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6.xml" ContentType="application/vnd.openxmlformats-officedocument.wordprocessingml.header+xml"/>
  <Override PartName="/word/footer3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D6B08" w14:textId="0136ED92" w:rsidR="000C23B6" w:rsidRPr="002C349B" w:rsidRDefault="000C23B6" w:rsidP="000C23B6">
      <w:pPr>
        <w:keepNext/>
        <w:spacing w:before="240" w:after="360"/>
        <w:jc w:val="center"/>
        <w:outlineLvl w:val="0"/>
        <w:rPr>
          <w:rFonts w:eastAsia="Times New Roman" w:cs="Times New Roman"/>
          <w:b/>
          <w:bCs/>
          <w:kern w:val="28"/>
          <w:sz w:val="24"/>
          <w:szCs w:val="24"/>
          <w:u w:val="single"/>
          <w:lang w:eastAsia="en-AU"/>
        </w:rPr>
      </w:pPr>
      <w:bookmarkStart w:id="0" w:name="_Toc160726224"/>
      <w:bookmarkStart w:id="1" w:name="_Toc181104479"/>
      <w:bookmarkStart w:id="2" w:name="_Toc183417096"/>
      <w:bookmarkStart w:id="3" w:name="_Toc78548463"/>
      <w:bookmarkStart w:id="4" w:name="_Toc78549734"/>
      <w:bookmarkStart w:id="5" w:name="_Toc78549779"/>
      <w:bookmarkStart w:id="6" w:name="_Toc80097481"/>
      <w:bookmarkStart w:id="7" w:name="_Toc80097775"/>
      <w:bookmarkStart w:id="8" w:name="_Hlk81640909"/>
      <w:r w:rsidRPr="4671B7FE">
        <w:rPr>
          <w:rFonts w:eastAsia="Times New Roman" w:cs="Times New Roman"/>
          <w:b/>
          <w:bCs/>
          <w:kern w:val="28"/>
          <w:sz w:val="24"/>
          <w:szCs w:val="24"/>
          <w:u w:val="single"/>
          <w:lang w:eastAsia="en-AU"/>
        </w:rPr>
        <w:t>E</w:t>
      </w:r>
      <w:bookmarkStart w:id="9" w:name="_Ref180681002"/>
      <w:bookmarkEnd w:id="9"/>
      <w:r w:rsidRPr="4671B7FE">
        <w:rPr>
          <w:rFonts w:eastAsia="Times New Roman" w:cs="Times New Roman"/>
          <w:b/>
          <w:bCs/>
          <w:kern w:val="28"/>
          <w:sz w:val="24"/>
          <w:szCs w:val="24"/>
          <w:u w:val="single"/>
          <w:lang w:eastAsia="en-AU"/>
        </w:rPr>
        <w:t>XPLANATORY STATEMENT</w:t>
      </w:r>
      <w:bookmarkEnd w:id="0"/>
      <w:bookmarkEnd w:id="1"/>
      <w:bookmarkEnd w:id="2"/>
    </w:p>
    <w:p w14:paraId="207FB640" w14:textId="77777777" w:rsidR="000C23B6" w:rsidRPr="002C349B" w:rsidRDefault="000C23B6" w:rsidP="000C23B6">
      <w:pPr>
        <w:pStyle w:val="Heading2"/>
        <w:jc w:val="center"/>
        <w:rPr>
          <w:rFonts w:ascii="Times New Roman" w:hAnsi="Times New Roman" w:cs="Times New Roman"/>
          <w:b/>
          <w:bCs/>
          <w:sz w:val="24"/>
          <w:szCs w:val="24"/>
          <w:u w:val="single"/>
        </w:rPr>
      </w:pPr>
      <w:bookmarkStart w:id="10" w:name="_Toc183786624"/>
      <w:r w:rsidRPr="002C349B">
        <w:rPr>
          <w:rFonts w:ascii="Times New Roman" w:hAnsi="Times New Roman" w:cs="Times New Roman"/>
          <w:b/>
          <w:bCs/>
          <w:sz w:val="24"/>
          <w:szCs w:val="24"/>
          <w:u w:val="single"/>
        </w:rPr>
        <w:t xml:space="preserve">Issued by authority of </w:t>
      </w:r>
      <w:sdt>
        <w:sdtPr>
          <w:rPr>
            <w:rStyle w:val="DefaultChar"/>
            <w:rFonts w:ascii="Times New Roman" w:hAnsi="Times New Roman" w:cs="Times New Roman"/>
            <w:b/>
            <w:bCs/>
            <w:u w:val="single"/>
          </w:rPr>
          <w:id w:val="-1025254589"/>
          <w:placeholder>
            <w:docPart w:val="3664A8D77ACF43D19BABE226B2A7448B"/>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36"/>
            <w:szCs w:val="26"/>
          </w:rPr>
        </w:sdtEndPr>
        <w:sdtContent>
          <w:r w:rsidRPr="002C349B">
            <w:rPr>
              <w:rStyle w:val="DefaultChar"/>
              <w:rFonts w:ascii="Times New Roman" w:hAnsi="Times New Roman" w:cs="Times New Roman"/>
              <w:b/>
              <w:bCs/>
              <w:u w:val="single"/>
            </w:rPr>
            <w:t>the Treasurer</w:t>
          </w:r>
        </w:sdtContent>
      </w:sdt>
      <w:bookmarkEnd w:id="10"/>
      <w:r w:rsidRPr="002C349B">
        <w:rPr>
          <w:rFonts w:ascii="Times New Roman" w:hAnsi="Times New Roman" w:cs="Times New Roman"/>
          <w:b/>
          <w:bCs/>
          <w:sz w:val="24"/>
          <w:szCs w:val="24"/>
          <w:u w:val="single"/>
        </w:rPr>
        <w:t xml:space="preserve"> </w:t>
      </w:r>
    </w:p>
    <w:p w14:paraId="5E7F6C66" w14:textId="77777777" w:rsidR="000C23B6" w:rsidRPr="00381776" w:rsidRDefault="000C23B6" w:rsidP="000C23B6">
      <w:pPr>
        <w:keepNext/>
        <w:keepLines/>
        <w:spacing w:before="240"/>
        <w:jc w:val="center"/>
        <w:rPr>
          <w:i/>
          <w:szCs w:val="24"/>
        </w:rPr>
      </w:pPr>
      <w:r>
        <w:rPr>
          <w:i/>
          <w:iCs/>
          <w:szCs w:val="24"/>
        </w:rPr>
        <w:t>T</w:t>
      </w:r>
      <w:r w:rsidRPr="00381776">
        <w:rPr>
          <w:i/>
          <w:iCs/>
          <w:szCs w:val="24"/>
        </w:rPr>
        <w:t xml:space="preserve">axation (Multinational—Global and Domestic Minimum Tax) </w:t>
      </w:r>
      <w:r>
        <w:rPr>
          <w:i/>
          <w:iCs/>
          <w:szCs w:val="24"/>
        </w:rPr>
        <w:t>Act</w:t>
      </w:r>
      <w:r w:rsidRPr="00381776">
        <w:rPr>
          <w:i/>
          <w:iCs/>
          <w:szCs w:val="24"/>
        </w:rPr>
        <w:t xml:space="preserve"> 2024</w:t>
      </w:r>
    </w:p>
    <w:p w14:paraId="596E69E8" w14:textId="77777777" w:rsidR="000C23B6" w:rsidRPr="00381776" w:rsidRDefault="000C23B6" w:rsidP="000C23B6">
      <w:pPr>
        <w:keepNext/>
        <w:keepLines/>
        <w:spacing w:before="240" w:after="240"/>
        <w:jc w:val="center"/>
        <w:rPr>
          <w:i/>
          <w:szCs w:val="24"/>
        </w:rPr>
      </w:pPr>
      <w:r w:rsidRPr="002C349B">
        <w:rPr>
          <w:i/>
          <w:szCs w:val="24"/>
        </w:rPr>
        <w:t xml:space="preserve">Taxation (Multinational—Global and Domestic Minimum Tax) </w:t>
      </w:r>
      <w:r>
        <w:rPr>
          <w:i/>
          <w:szCs w:val="24"/>
        </w:rPr>
        <w:t>Rules</w:t>
      </w:r>
      <w:r w:rsidRPr="002C349B">
        <w:rPr>
          <w:i/>
          <w:szCs w:val="24"/>
        </w:rPr>
        <w:t xml:space="preserve"> 2024</w:t>
      </w:r>
    </w:p>
    <w:p w14:paraId="5BF046D3" w14:textId="7A000354" w:rsidR="004A2858" w:rsidRPr="000D267A" w:rsidRDefault="004A2858" w:rsidP="004A2858">
      <w:pPr>
        <w:keepNext/>
        <w:keepLines/>
        <w:spacing w:before="240" w:after="240"/>
        <w:rPr>
          <w:rFonts w:eastAsia="Times New Roman" w:cs="Times New Roman"/>
          <w:lang w:eastAsia="en-AU"/>
        </w:rPr>
      </w:pPr>
      <w:r w:rsidRPr="000D267A">
        <w:rPr>
          <w:rFonts w:eastAsia="Times New Roman" w:cs="Times New Roman"/>
          <w:lang w:eastAsia="en-AU"/>
        </w:rPr>
        <w:t xml:space="preserve">Section 29 of the </w:t>
      </w:r>
      <w:r w:rsidRPr="000D267A">
        <w:rPr>
          <w:rFonts w:eastAsia="Times New Roman" w:cs="Times New Roman"/>
          <w:i/>
          <w:lang w:eastAsia="en-AU"/>
        </w:rPr>
        <w:t>Taxation (Multinational—Global and Domestic Minimum Tax) Act</w:t>
      </w:r>
      <w:r w:rsidR="00511574">
        <w:rPr>
          <w:rFonts w:eastAsia="Times New Roman" w:cs="Times New Roman"/>
          <w:i/>
          <w:lang w:eastAsia="en-AU"/>
        </w:rPr>
        <w:t> </w:t>
      </w:r>
      <w:r w:rsidRPr="000D267A">
        <w:rPr>
          <w:rFonts w:eastAsia="Times New Roman" w:cs="Times New Roman"/>
          <w:i/>
          <w:lang w:eastAsia="en-AU"/>
        </w:rPr>
        <w:t>2024</w:t>
      </w:r>
      <w:r w:rsidRPr="000D267A">
        <w:rPr>
          <w:rFonts w:eastAsia="Times New Roman" w:cs="Times New Roman"/>
          <w:lang w:eastAsia="en-AU"/>
        </w:rPr>
        <w:t xml:space="preserve"> (the Assessment Act) provides that the Minister may make Rules required or permitted by the Assessment Act</w:t>
      </w:r>
      <w:r>
        <w:rPr>
          <w:rFonts w:eastAsia="Times New Roman" w:cs="Times New Roman"/>
          <w:lang w:eastAsia="en-AU"/>
        </w:rPr>
        <w:t>, or necessary or convenient for carrying out or giving effect to the Assessment Act</w:t>
      </w:r>
      <w:r w:rsidRPr="000D267A">
        <w:rPr>
          <w:rFonts w:eastAsia="Times New Roman" w:cs="Times New Roman"/>
          <w:lang w:eastAsia="en-AU"/>
        </w:rPr>
        <w:t>.</w:t>
      </w:r>
    </w:p>
    <w:p w14:paraId="2BD9FB06" w14:textId="77777777" w:rsidR="004A2858" w:rsidRPr="000D267A" w:rsidRDefault="004A2858" w:rsidP="004A2858">
      <w:pPr>
        <w:keepNext/>
        <w:keepLines/>
        <w:spacing w:before="240" w:after="240"/>
        <w:rPr>
          <w:rFonts w:eastAsia="Calibri" w:cs="Times New Roman"/>
        </w:rPr>
      </w:pPr>
      <w:r w:rsidRPr="000D267A">
        <w:rPr>
          <w:rFonts w:eastAsia="Calibri" w:cs="Times New Roman"/>
        </w:rPr>
        <w:t>The purpose of</w:t>
      </w:r>
      <w:r>
        <w:rPr>
          <w:rFonts w:eastAsia="Calibri" w:cs="Times New Roman"/>
        </w:rPr>
        <w:t xml:space="preserve"> the</w:t>
      </w:r>
      <w:r w:rsidRPr="000D267A">
        <w:rPr>
          <w:rFonts w:eastAsia="Calibri" w:cs="Times New Roman"/>
        </w:rPr>
        <w:t xml:space="preserve"> </w:t>
      </w:r>
      <w:r w:rsidRPr="000D267A">
        <w:rPr>
          <w:rFonts w:eastAsia="Calibri" w:cs="Times New Roman"/>
          <w:i/>
          <w:iCs/>
        </w:rPr>
        <w:t>Taxation (Multinational—Global and Domestic Minimum Tax) Rules 2024</w:t>
      </w:r>
      <w:r w:rsidRPr="000D267A">
        <w:rPr>
          <w:rFonts w:eastAsia="Calibri" w:cs="Times New Roman"/>
        </w:rPr>
        <w:t xml:space="preserve"> (the Rules) is to empower the Minister to detail the specifics in computing top</w:t>
      </w:r>
      <w:r w:rsidRPr="25AC663E">
        <w:rPr>
          <w:rFonts w:eastAsia="Calibri" w:cs="Times New Roman"/>
        </w:rPr>
        <w:t>-</w:t>
      </w:r>
      <w:r w:rsidRPr="000D267A">
        <w:rPr>
          <w:rFonts w:eastAsia="Calibri" w:cs="Times New Roman"/>
        </w:rPr>
        <w:t>up tax. Whilst the Assessment Act establishes a framework to apply top</w:t>
      </w:r>
      <w:r w:rsidRPr="25AC663E">
        <w:rPr>
          <w:rFonts w:eastAsia="Calibri" w:cs="Times New Roman"/>
        </w:rPr>
        <w:t>-</w:t>
      </w:r>
      <w:r w:rsidRPr="000D267A">
        <w:rPr>
          <w:rFonts w:eastAsia="Calibri" w:cs="Times New Roman"/>
        </w:rPr>
        <w:t xml:space="preserve">up tax, the Rules include the detailed calculations required to arrive at a liability to top-up tax. The Rules include details on: </w:t>
      </w:r>
    </w:p>
    <w:p w14:paraId="647FDE02" w14:textId="77777777" w:rsidR="004A2858" w:rsidRPr="000D267A" w:rsidRDefault="004A2858" w:rsidP="004A2858">
      <w:pPr>
        <w:keepNext/>
        <w:keepLines/>
        <w:numPr>
          <w:ilvl w:val="0"/>
          <w:numId w:val="5"/>
        </w:numPr>
        <w:spacing w:before="240" w:after="0" w:line="276" w:lineRule="auto"/>
        <w:rPr>
          <w:rFonts w:eastAsia="Calibri" w:cs="Times New Roman"/>
        </w:rPr>
      </w:pPr>
      <w:r w:rsidRPr="000D267A">
        <w:rPr>
          <w:rFonts w:eastAsia="Calibri" w:cs="Times New Roman"/>
        </w:rPr>
        <w:t xml:space="preserve">computing and allocating GloBE Income or Loss; </w:t>
      </w:r>
    </w:p>
    <w:p w14:paraId="1874E1D9" w14:textId="77777777" w:rsidR="004A2858" w:rsidRPr="000D267A" w:rsidRDefault="004A2858" w:rsidP="004A2858">
      <w:pPr>
        <w:keepNext/>
        <w:keepLines/>
        <w:numPr>
          <w:ilvl w:val="0"/>
          <w:numId w:val="5"/>
        </w:numPr>
        <w:spacing w:before="0" w:after="0" w:line="276" w:lineRule="auto"/>
        <w:rPr>
          <w:rFonts w:eastAsia="Calibri" w:cs="Times New Roman"/>
        </w:rPr>
      </w:pPr>
      <w:r w:rsidRPr="000D267A">
        <w:rPr>
          <w:rFonts w:eastAsia="Calibri" w:cs="Times New Roman"/>
        </w:rPr>
        <w:t xml:space="preserve">computing and allocating </w:t>
      </w:r>
      <w:r w:rsidRPr="259BA307">
        <w:rPr>
          <w:rFonts w:eastAsia="Calibri" w:cs="Times New Roman"/>
        </w:rPr>
        <w:t>Adjusted Covered T</w:t>
      </w:r>
      <w:r w:rsidRPr="000D267A">
        <w:rPr>
          <w:rFonts w:eastAsia="Calibri" w:cs="Times New Roman"/>
        </w:rPr>
        <w:t xml:space="preserve">axes; </w:t>
      </w:r>
    </w:p>
    <w:p w14:paraId="5709039E" w14:textId="46C3EE5D" w:rsidR="004A2858" w:rsidRPr="000D267A" w:rsidRDefault="004A2858" w:rsidP="004A2858">
      <w:pPr>
        <w:keepNext/>
        <w:keepLines/>
        <w:numPr>
          <w:ilvl w:val="0"/>
          <w:numId w:val="5"/>
        </w:numPr>
        <w:spacing w:before="0" w:after="0" w:line="276" w:lineRule="auto"/>
        <w:rPr>
          <w:rFonts w:eastAsia="Calibri" w:cs="Times New Roman"/>
        </w:rPr>
      </w:pPr>
      <w:r w:rsidRPr="000D267A">
        <w:rPr>
          <w:rFonts w:eastAsia="Calibri" w:cs="Times New Roman"/>
        </w:rPr>
        <w:t>application</w:t>
      </w:r>
      <w:r>
        <w:rPr>
          <w:rFonts w:eastAsia="Calibri" w:cs="Times New Roman"/>
        </w:rPr>
        <w:t xml:space="preserve"> </w:t>
      </w:r>
      <w:r w:rsidRPr="000D267A">
        <w:rPr>
          <w:rFonts w:eastAsia="Calibri" w:cs="Times New Roman"/>
        </w:rPr>
        <w:t xml:space="preserve">to investment and </w:t>
      </w:r>
      <w:r w:rsidR="00E50CCE">
        <w:rPr>
          <w:rFonts w:eastAsia="Calibri" w:cs="Times New Roman"/>
        </w:rPr>
        <w:t>T</w:t>
      </w:r>
      <w:r w:rsidRPr="000D267A">
        <w:rPr>
          <w:rFonts w:eastAsia="Calibri" w:cs="Times New Roman"/>
        </w:rPr>
        <w:t xml:space="preserve">ax </w:t>
      </w:r>
      <w:r w:rsidR="00E50CCE">
        <w:rPr>
          <w:rFonts w:eastAsia="Calibri" w:cs="Times New Roman"/>
        </w:rPr>
        <w:t>T</w:t>
      </w:r>
      <w:r w:rsidRPr="000D267A">
        <w:rPr>
          <w:rFonts w:eastAsia="Calibri" w:cs="Times New Roman"/>
        </w:rPr>
        <w:t xml:space="preserve">ransparent </w:t>
      </w:r>
      <w:r w:rsidR="00E50CCE">
        <w:rPr>
          <w:rFonts w:eastAsia="Calibri" w:cs="Times New Roman"/>
        </w:rPr>
        <w:t>E</w:t>
      </w:r>
      <w:r w:rsidRPr="000D267A">
        <w:rPr>
          <w:rFonts w:eastAsia="Calibri" w:cs="Times New Roman"/>
        </w:rPr>
        <w:t xml:space="preserve">ntities; </w:t>
      </w:r>
    </w:p>
    <w:p w14:paraId="0FDCB0AC" w14:textId="77777777" w:rsidR="004A2858" w:rsidRPr="000D267A" w:rsidRDefault="004A2858" w:rsidP="004A2858">
      <w:pPr>
        <w:keepNext/>
        <w:keepLines/>
        <w:numPr>
          <w:ilvl w:val="0"/>
          <w:numId w:val="5"/>
        </w:numPr>
        <w:spacing w:before="0" w:after="0" w:line="276" w:lineRule="auto"/>
        <w:rPr>
          <w:rFonts w:eastAsia="Calibri" w:cs="Times New Roman"/>
        </w:rPr>
      </w:pPr>
      <w:r w:rsidRPr="000D267A">
        <w:rPr>
          <w:rFonts w:eastAsia="Calibri" w:cs="Times New Roman"/>
        </w:rPr>
        <w:t>safe harbour provisions; and</w:t>
      </w:r>
    </w:p>
    <w:p w14:paraId="20727C05" w14:textId="77777777" w:rsidR="004A2858" w:rsidRPr="000D267A" w:rsidRDefault="004A2858" w:rsidP="004A2858">
      <w:pPr>
        <w:keepNext/>
        <w:keepLines/>
        <w:numPr>
          <w:ilvl w:val="0"/>
          <w:numId w:val="5"/>
        </w:numPr>
        <w:spacing w:before="0" w:after="240" w:line="276" w:lineRule="auto"/>
        <w:rPr>
          <w:rFonts w:eastAsia="Calibri" w:cs="Times New Roman"/>
        </w:rPr>
      </w:pPr>
      <w:r w:rsidRPr="000D267A">
        <w:rPr>
          <w:rFonts w:eastAsia="Calibri" w:cs="Times New Roman"/>
        </w:rPr>
        <w:t xml:space="preserve">transitional provisions for MNE Groups in the initial phases of being in scope of the Assessment Act. </w:t>
      </w:r>
    </w:p>
    <w:p w14:paraId="630C94DF" w14:textId="77777777" w:rsidR="004A2858" w:rsidRPr="00221A02" w:rsidRDefault="004A2858" w:rsidP="004A2858">
      <w:pPr>
        <w:pStyle w:val="Normalparatextnonumbers"/>
      </w:pPr>
      <w:r w:rsidRPr="00221A02">
        <w:t xml:space="preserve">On 8 October 2021, Australia and 135 other members of the OECD/G20 Inclusive Framework on Base Erosion and Profit Shifting (the Inclusive Framework) agreed to the ‘Statement on the Two-Pillar Solution to Address the Tax Challenges Arising from the Digitalisation of the Economy’ (the Two-Pillar Solution). The Two-Pillar Solution seeks to reform the international taxation rules and ensure that MNEs pay a fair share of tax wherever they operate and generate profits in today’s digitalised and globalised world economy. The Two-Pillar Solution is a result of an OECD and G20 policy process with involvement of 140 countries and jurisdictions. </w:t>
      </w:r>
    </w:p>
    <w:p w14:paraId="74B80CAB" w14:textId="21E649CF" w:rsidR="004A2858" w:rsidRPr="00221A02" w:rsidRDefault="004A2858" w:rsidP="004A2858">
      <w:pPr>
        <w:pStyle w:val="Normalparatextnonumbers"/>
      </w:pPr>
      <w:r w:rsidRPr="00221A02">
        <w:t>The Two-Pillar Solution is intended to be achieved through a series of tax reforms, including through the ratification of multilateral conventions / instruments. Different reforms are scheduled on different timeframes but are generally to be implemented as a coordinated approach across jurisdictions, with the earliest reforms taking effect from 1</w:t>
      </w:r>
      <w:r w:rsidR="00AE1891">
        <w:t> </w:t>
      </w:r>
      <w:r w:rsidRPr="00221A02">
        <w:t xml:space="preserve">January 2024. </w:t>
      </w:r>
    </w:p>
    <w:p w14:paraId="53CAFE45" w14:textId="03A998CE" w:rsidR="004A2858" w:rsidRPr="00221A02" w:rsidRDefault="004A2858" w:rsidP="004A2858">
      <w:pPr>
        <w:pStyle w:val="Normalparatextnonumbers"/>
      </w:pPr>
      <w:r w:rsidRPr="00221A02">
        <w:t>The Two-Pillar Solution is comprised of Pillar 1 and Pillar 2. Pillar 1 aims to ensure a fairer distribution of profits and taxing rights among countries with respect to certain large MNEs. The GloBE Rules under Pillar 2 ensure that in</w:t>
      </w:r>
      <w:r>
        <w:t xml:space="preserve"> </w:t>
      </w:r>
      <w:r w:rsidRPr="00221A02">
        <w:t>scope MNE</w:t>
      </w:r>
      <w:r w:rsidR="00556762">
        <w:t xml:space="preserve"> Group</w:t>
      </w:r>
      <w:r w:rsidRPr="00221A02">
        <w:t>s will be subject to a global minimum tax rate of 15 per cent. This is achieved through a set of rules which identify low taxed pools of income within a MNE Group</w:t>
      </w:r>
      <w:r>
        <w:t>,</w:t>
      </w:r>
      <w:r w:rsidRPr="00221A02">
        <w:t xml:space="preserve"> and which allow </w:t>
      </w:r>
      <w:r w:rsidRPr="00221A02">
        <w:lastRenderedPageBreak/>
        <w:t xml:space="preserve">parent jurisdictions, or in some cases, other jurisdictions, to claim taxing rights over that income. </w:t>
      </w:r>
    </w:p>
    <w:p w14:paraId="2D898A8A" w14:textId="1EC732AD" w:rsidR="004A2858" w:rsidRPr="00221A02" w:rsidRDefault="004A2858" w:rsidP="004A2858">
      <w:pPr>
        <w:pStyle w:val="Normalparatextnonumbers"/>
      </w:pPr>
      <w:r w:rsidRPr="00221A02">
        <w:t>The Australian Government announced its intention to implement key aspects of Pillar 2 in the 2023-24 Budget, as part of its continuing efforts to ensure MNE</w:t>
      </w:r>
      <w:r w:rsidR="00A662E8">
        <w:t xml:space="preserve"> Group</w:t>
      </w:r>
      <w:r w:rsidRPr="00221A02">
        <w:t>s pay their fair share of tax.</w:t>
      </w:r>
    </w:p>
    <w:p w14:paraId="10949213" w14:textId="01E5830A" w:rsidR="004A2858" w:rsidRPr="008F5407" w:rsidRDefault="004A2858" w:rsidP="004A2858">
      <w:pPr>
        <w:pStyle w:val="Normalparatextnonumbers"/>
      </w:pPr>
      <w:r w:rsidRPr="00221A02">
        <w:t>The Rules implement the domestic framework for a multinational top</w:t>
      </w:r>
      <w:r>
        <w:t>-</w:t>
      </w:r>
      <w:r w:rsidRPr="00221A02">
        <w:t>up tax,</w:t>
      </w:r>
      <w:r>
        <w:t xml:space="preserve"> b</w:t>
      </w:r>
      <w:r w:rsidRPr="00221A02">
        <w:t>y providing for the substantive computations of top</w:t>
      </w:r>
      <w:r>
        <w:t>-</w:t>
      </w:r>
      <w:r w:rsidRPr="00221A02">
        <w:t xml:space="preserve">up tax under the GloBE Rules and operate to ensure that future administrative guidance released by the OECD can be incorporated in a timely and efficient manner. It is imperative that the Rules reflect OECD approved documents so that Australia’s implementation of the GloBE Rules achieves qualified status, which can only be achieved if the Rules are implemented in a manner consistent with the GloBE Rules. All OECD documents are publicly available </w:t>
      </w:r>
      <w:r w:rsidRPr="008F5407">
        <w:t xml:space="preserve">from the OECD website and could </w:t>
      </w:r>
      <w:r w:rsidR="00A0394B">
        <w:t xml:space="preserve">be, </w:t>
      </w:r>
      <w:r w:rsidRPr="008F5407">
        <w:t>in 2024 accessed freely from https://oecd.org.</w:t>
      </w:r>
    </w:p>
    <w:p w14:paraId="2EB49063" w14:textId="77777777" w:rsidR="004A2858" w:rsidRPr="008F5407" w:rsidRDefault="004A2858" w:rsidP="004A2858">
      <w:pPr>
        <w:keepNext/>
        <w:keepLines/>
        <w:spacing w:before="240" w:after="240"/>
        <w:rPr>
          <w:rFonts w:eastAsia="Times New Roman" w:cs="Times New Roman"/>
          <w:lang w:eastAsia="en-AU"/>
        </w:rPr>
      </w:pPr>
      <w:r>
        <w:rPr>
          <w:rFonts w:eastAsia="Times New Roman" w:cs="Times New Roman"/>
          <w:lang w:eastAsia="en-AU"/>
        </w:rPr>
        <w:t>In Australia, t</w:t>
      </w:r>
      <w:r w:rsidRPr="008F5407">
        <w:rPr>
          <w:rFonts w:eastAsia="Times New Roman" w:cs="Times New Roman"/>
          <w:lang w:eastAsia="en-AU"/>
        </w:rPr>
        <w:t xml:space="preserve">he Rules were publicly consulted on for 8 weeks from 21 March 2024 to 16 May 2024. Once the Rules were further developed, by including later releases of OECD </w:t>
      </w:r>
      <w:r>
        <w:rPr>
          <w:rFonts w:eastAsia="Times New Roman" w:cs="Times New Roman"/>
          <w:lang w:eastAsia="en-AU"/>
        </w:rPr>
        <w:t xml:space="preserve">Agreed </w:t>
      </w:r>
      <w:r w:rsidRPr="008F5407">
        <w:rPr>
          <w:rFonts w:eastAsia="Times New Roman" w:cs="Times New Roman"/>
          <w:lang w:eastAsia="en-AU"/>
        </w:rPr>
        <w:t>Administrative Guidance, the Rules were released for targeted consultation to individuals who were part of the Pillar 2 working group. The ATO has been heavily involved in the development of the Pillar 2 subordinate legislation.</w:t>
      </w:r>
    </w:p>
    <w:p w14:paraId="6013E341" w14:textId="77777777" w:rsidR="004A2858" w:rsidRPr="008F5407" w:rsidRDefault="004A2858" w:rsidP="004A2858">
      <w:pPr>
        <w:keepNext/>
        <w:keepLines/>
        <w:spacing w:before="240" w:after="240"/>
        <w:rPr>
          <w:rFonts w:eastAsia="Times New Roman" w:cs="Times New Roman"/>
          <w:lang w:eastAsia="en-AU"/>
        </w:rPr>
      </w:pPr>
      <w:r w:rsidRPr="008F5407">
        <w:rPr>
          <w:rFonts w:eastAsia="Times New Roman" w:cs="Times New Roman"/>
          <w:lang w:eastAsia="en-AU"/>
        </w:rPr>
        <w:t>The Assessment Act does not specify any conditions that need to be satisfied before the power to make the Rules may be exercised.</w:t>
      </w:r>
    </w:p>
    <w:p w14:paraId="760224C7" w14:textId="77777777" w:rsidR="004A2858" w:rsidRPr="008F5407" w:rsidRDefault="004A2858" w:rsidP="004A2858">
      <w:pPr>
        <w:keepNext/>
        <w:keepLines/>
        <w:spacing w:before="240" w:after="240"/>
        <w:rPr>
          <w:rFonts w:eastAsia="Times New Roman" w:cs="Times New Roman"/>
          <w:lang w:eastAsia="en-AU"/>
        </w:rPr>
      </w:pPr>
      <w:r w:rsidRPr="008F5407">
        <w:rPr>
          <w:rFonts w:eastAsia="Times New Roman" w:cs="Times New Roman"/>
          <w:lang w:eastAsia="en-AU"/>
        </w:rPr>
        <w:t xml:space="preserve">The Rules are a legislative instrument for the purposes of the </w:t>
      </w:r>
      <w:r w:rsidRPr="008F5407">
        <w:rPr>
          <w:rFonts w:eastAsia="Times New Roman" w:cs="Times New Roman"/>
          <w:i/>
          <w:iCs/>
          <w:lang w:eastAsia="en-AU"/>
        </w:rPr>
        <w:t>Legislation Act 2003</w:t>
      </w:r>
      <w:r w:rsidRPr="008F5407">
        <w:rPr>
          <w:rFonts w:eastAsia="Times New Roman" w:cs="Times New Roman"/>
          <w:lang w:eastAsia="en-AU"/>
        </w:rPr>
        <w:t xml:space="preserve">. The Rules are subject to disallowance and sunsetting in accordance with sections 42 and 50, respectively, of the </w:t>
      </w:r>
      <w:r w:rsidRPr="008F5407">
        <w:rPr>
          <w:rFonts w:eastAsia="Times New Roman" w:cs="Times New Roman"/>
          <w:i/>
          <w:lang w:eastAsia="en-AU"/>
        </w:rPr>
        <w:t xml:space="preserve">Legislation Act </w:t>
      </w:r>
      <w:r w:rsidRPr="008F5407">
        <w:rPr>
          <w:rFonts w:eastAsia="Times New Roman" w:cs="Times New Roman"/>
          <w:i/>
          <w:iCs/>
          <w:lang w:eastAsia="en-AU"/>
        </w:rPr>
        <w:t>2003</w:t>
      </w:r>
      <w:r w:rsidRPr="008F5407">
        <w:rPr>
          <w:rFonts w:eastAsia="Times New Roman" w:cs="Times New Roman"/>
          <w:lang w:eastAsia="en-AU"/>
        </w:rPr>
        <w:t>.</w:t>
      </w:r>
    </w:p>
    <w:p w14:paraId="4B49E346" w14:textId="77777777" w:rsidR="004A2858" w:rsidRPr="008F5407" w:rsidRDefault="004A2858" w:rsidP="004A2858">
      <w:pPr>
        <w:keepNext/>
        <w:keepLines/>
        <w:spacing w:before="240" w:after="240"/>
        <w:rPr>
          <w:rFonts w:eastAsia="Times New Roman" w:cs="Times New Roman"/>
          <w:lang w:eastAsia="en-AU"/>
        </w:rPr>
      </w:pPr>
      <w:r w:rsidRPr="008F5407">
        <w:rPr>
          <w:rFonts w:eastAsia="Times New Roman" w:cs="Times New Roman"/>
          <w:lang w:eastAsia="en-AU"/>
        </w:rPr>
        <w:t xml:space="preserve">The Rules commence the day after </w:t>
      </w:r>
      <w:r>
        <w:rPr>
          <w:rFonts w:eastAsia="Times New Roman" w:cs="Times New Roman"/>
          <w:lang w:eastAsia="en-AU"/>
        </w:rPr>
        <w:t>they are</w:t>
      </w:r>
      <w:r w:rsidRPr="008F5407">
        <w:rPr>
          <w:rFonts w:eastAsia="Times New Roman" w:cs="Times New Roman"/>
          <w:lang w:eastAsia="en-AU"/>
        </w:rPr>
        <w:t xml:space="preserve"> registered. </w:t>
      </w:r>
    </w:p>
    <w:p w14:paraId="6CA0CD5E" w14:textId="77777777" w:rsidR="004A2858" w:rsidRPr="008F5407" w:rsidRDefault="004A2858" w:rsidP="004A2858">
      <w:pPr>
        <w:keepNext/>
        <w:keepLines/>
        <w:spacing w:before="240" w:after="240"/>
        <w:rPr>
          <w:rFonts w:eastAsia="Times New Roman" w:cs="Times New Roman"/>
          <w:lang w:eastAsia="en-AU"/>
        </w:rPr>
      </w:pPr>
      <w:r w:rsidRPr="008F5407">
        <w:rPr>
          <w:rFonts w:eastAsia="Times New Roman" w:cs="Times New Roman"/>
          <w:lang w:eastAsia="en-AU"/>
        </w:rPr>
        <w:t>The Rules apply from 1 January 2024.</w:t>
      </w:r>
    </w:p>
    <w:p w14:paraId="6FF3804A" w14:textId="77777777" w:rsidR="004A2858" w:rsidRPr="008F5407" w:rsidRDefault="004A2858" w:rsidP="004A2858">
      <w:pPr>
        <w:keepNext/>
        <w:keepLines/>
        <w:spacing w:before="240" w:after="240"/>
        <w:rPr>
          <w:rFonts w:eastAsia="Times New Roman" w:cs="Times New Roman"/>
          <w:lang w:eastAsia="en-AU"/>
        </w:rPr>
      </w:pPr>
      <w:r w:rsidRPr="008F5407">
        <w:rPr>
          <w:rFonts w:eastAsia="Times New Roman" w:cs="Times New Roman"/>
          <w:lang w:eastAsia="en-AU"/>
        </w:rPr>
        <w:t>Retrospective commencement is appropriate because this will achieve a start date in line with that stipulated by the OECD’s Two Pillar Solution and an expected collective group of jurisdictions implementing the GloBE Rules as part of the coordinated international approach. The Assessment Act provides that Rules may be made retrospectively despite subsection 12(2) of the</w:t>
      </w:r>
      <w:r w:rsidRPr="008F5407">
        <w:rPr>
          <w:rFonts w:eastAsia="Times New Roman" w:cs="Times New Roman"/>
          <w:i/>
          <w:lang w:eastAsia="en-AU"/>
        </w:rPr>
        <w:t xml:space="preserve"> Legislation Act 2003</w:t>
      </w:r>
      <w:r w:rsidRPr="008F5407">
        <w:rPr>
          <w:rFonts w:eastAsia="Times New Roman" w:cs="Times New Roman"/>
          <w:lang w:eastAsia="en-AU"/>
        </w:rPr>
        <w:t>.</w:t>
      </w:r>
    </w:p>
    <w:p w14:paraId="6B8D7B82" w14:textId="77777777" w:rsidR="004A2858" w:rsidRPr="008F5407" w:rsidRDefault="004A2858" w:rsidP="004A2858">
      <w:pPr>
        <w:keepNext/>
        <w:keepLines/>
        <w:spacing w:before="240" w:after="240"/>
        <w:rPr>
          <w:rFonts w:eastAsia="Calibri" w:cs="Times New Roman"/>
          <w:u w:val="single"/>
        </w:rPr>
      </w:pPr>
      <w:r w:rsidRPr="008F5407">
        <w:rPr>
          <w:rFonts w:eastAsia="Calibri" w:cs="Times New Roman"/>
        </w:rPr>
        <w:t xml:space="preserve">Details of the Rules are set out in </w:t>
      </w:r>
      <w:r w:rsidRPr="008F5407">
        <w:rPr>
          <w:rFonts w:eastAsia="Calibri" w:cs="Times New Roman"/>
          <w:u w:val="single"/>
        </w:rPr>
        <w:t>Attachment A.</w:t>
      </w:r>
    </w:p>
    <w:p w14:paraId="161CCE5E" w14:textId="525CDBCD" w:rsidR="000C23B6" w:rsidRDefault="004A2858" w:rsidP="00250489">
      <w:pPr>
        <w:rPr>
          <w:u w:val="single"/>
        </w:rPr>
      </w:pPr>
      <w:r w:rsidRPr="008F5407">
        <w:rPr>
          <w:rFonts w:eastAsia="Calibri" w:cs="Times New Roman"/>
        </w:rPr>
        <w:t>The Office of Impact</w:t>
      </w:r>
      <w:r>
        <w:rPr>
          <w:rFonts w:eastAsia="Calibri" w:cs="Times New Roman"/>
        </w:rPr>
        <w:t xml:space="preserve"> </w:t>
      </w:r>
      <w:r w:rsidRPr="008F5407">
        <w:rPr>
          <w:rFonts w:eastAsia="Calibri" w:cs="Times New Roman"/>
        </w:rPr>
        <w:t xml:space="preserve">(OIA) Analysis has been consulted. A list of reports certified as equivalent to a Policy Impact Analysis can be found at https://oia.pmc.gov.au/published-impact-analyses-and-reports/two-pillar-solution-addressing-tax-challenges-arising. The full list of reports and executive summaries of those reports are also available in the Explanatory Memorandum for the </w:t>
      </w:r>
      <w:r w:rsidRPr="008F5407">
        <w:rPr>
          <w:rFonts w:eastAsia="Calibri" w:cs="Times New Roman"/>
          <w:i/>
          <w:iCs/>
        </w:rPr>
        <w:t>Taxation (Multinational-Global and Domestic Minimum Tax) Act 2024</w:t>
      </w:r>
      <w:r w:rsidRPr="008F5407">
        <w:rPr>
          <w:rFonts w:eastAsia="Calibri" w:cs="Times New Roman"/>
        </w:rPr>
        <w:t xml:space="preserve"> as these reports have been certified for the </w:t>
      </w:r>
      <w:r w:rsidR="00AA07F6">
        <w:rPr>
          <w:rFonts w:eastAsia="Calibri" w:cs="Times New Roman"/>
        </w:rPr>
        <w:t xml:space="preserve">Assessment </w:t>
      </w:r>
      <w:r w:rsidRPr="008F5407">
        <w:rPr>
          <w:rFonts w:eastAsia="Calibri" w:cs="Times New Roman"/>
        </w:rPr>
        <w:t>Act and the Rules.</w:t>
      </w:r>
      <w:r w:rsidR="000C23B6">
        <w:rPr>
          <w:u w:val="single"/>
        </w:rPr>
        <w:br w:type="page"/>
      </w:r>
    </w:p>
    <w:p w14:paraId="6A25A278" w14:textId="77777777" w:rsidR="000C23B6" w:rsidRPr="00766C1E" w:rsidRDefault="000C23B6" w:rsidP="000C23B6">
      <w:pPr>
        <w:pageBreakBefore/>
        <w:spacing w:before="240"/>
        <w:jc w:val="right"/>
        <w:rPr>
          <w:rFonts w:eastAsia="Times New Roman" w:cs="Times New Roman"/>
          <w:b/>
          <w:sz w:val="24"/>
          <w:szCs w:val="20"/>
          <w:u w:val="single"/>
          <w:lang w:eastAsia="en-AU"/>
        </w:rPr>
      </w:pPr>
      <w:r w:rsidRPr="00766C1E">
        <w:rPr>
          <w:rFonts w:eastAsia="Times New Roman" w:cs="Times New Roman"/>
          <w:b/>
          <w:sz w:val="24"/>
          <w:szCs w:val="20"/>
          <w:u w:val="single"/>
          <w:lang w:eastAsia="en-AU"/>
        </w:rPr>
        <w:lastRenderedPageBreak/>
        <w:t>ATTACHMENT A</w:t>
      </w:r>
    </w:p>
    <w:p w14:paraId="40D6C9E2" w14:textId="77777777" w:rsidR="000C23B6" w:rsidRPr="00766C1E" w:rsidRDefault="000C23B6" w:rsidP="000C23B6">
      <w:pPr>
        <w:spacing w:before="240"/>
        <w:rPr>
          <w:rFonts w:eastAsia="Times New Roman" w:cs="Times New Roman"/>
          <w:b/>
          <w:bCs/>
          <w:sz w:val="24"/>
          <w:szCs w:val="24"/>
          <w:u w:val="single"/>
          <w:lang w:eastAsia="en-AU"/>
        </w:rPr>
      </w:pPr>
      <w:r w:rsidRPr="00766C1E">
        <w:rPr>
          <w:rFonts w:eastAsia="Times New Roman" w:cs="Times New Roman"/>
          <w:b/>
          <w:bCs/>
          <w:sz w:val="24"/>
          <w:szCs w:val="20"/>
          <w:u w:val="single"/>
          <w:lang w:eastAsia="en-AU"/>
        </w:rPr>
        <w:t xml:space="preserve">Details of the </w:t>
      </w:r>
      <w:r w:rsidRPr="00766C1E">
        <w:rPr>
          <w:rFonts w:eastAsia="Times New Roman" w:cs="Times New Roman"/>
          <w:b/>
          <w:bCs/>
          <w:i/>
          <w:iCs/>
          <w:sz w:val="24"/>
          <w:szCs w:val="20"/>
          <w:u w:val="single"/>
          <w:lang w:eastAsia="en-AU"/>
        </w:rPr>
        <w:t xml:space="preserve">Taxation (Multinational—Global and Domestic Minimum Tax) </w:t>
      </w:r>
      <w:r>
        <w:rPr>
          <w:rFonts w:eastAsia="Times New Roman" w:cs="Times New Roman"/>
          <w:b/>
          <w:bCs/>
          <w:i/>
          <w:iCs/>
          <w:sz w:val="24"/>
          <w:szCs w:val="20"/>
          <w:u w:val="single"/>
          <w:lang w:eastAsia="en-AU"/>
        </w:rPr>
        <w:t>Rules</w:t>
      </w:r>
      <w:r w:rsidRPr="00766C1E">
        <w:rPr>
          <w:rFonts w:eastAsia="Times New Roman" w:cs="Times New Roman"/>
          <w:b/>
          <w:bCs/>
          <w:i/>
          <w:iCs/>
          <w:sz w:val="24"/>
          <w:szCs w:val="20"/>
          <w:u w:val="single"/>
          <w:lang w:eastAsia="en-AU"/>
        </w:rPr>
        <w:t xml:space="preserve"> 2024</w:t>
      </w:r>
      <w:r w:rsidRPr="00766C1E">
        <w:rPr>
          <w:rFonts w:eastAsia="Times New Roman" w:cs="Times New Roman"/>
          <w:b/>
          <w:i/>
          <w:sz w:val="24"/>
          <w:szCs w:val="20"/>
          <w:u w:val="single"/>
          <w:lang w:eastAsia="en-AU"/>
        </w:rPr>
        <w:t xml:space="preserve"> </w:t>
      </w:r>
    </w:p>
    <w:p w14:paraId="0B0BB959" w14:textId="77777777" w:rsidR="000C23B6" w:rsidRPr="00766C1E" w:rsidRDefault="000C23B6" w:rsidP="000C23B6">
      <w:pPr>
        <w:spacing w:before="240"/>
        <w:rPr>
          <w:rFonts w:ascii="Calibri" w:eastAsia="Times New Roman" w:hAnsi="Calibri" w:cs="Times New Roman"/>
          <w:u w:val="single"/>
        </w:rPr>
      </w:pPr>
      <w:r w:rsidRPr="00766C1E">
        <w:rPr>
          <w:rFonts w:eastAsia="Times New Roman" w:cs="Times New Roman"/>
          <w:sz w:val="24"/>
          <w:szCs w:val="20"/>
          <w:u w:val="single"/>
          <w:lang w:eastAsia="en-AU"/>
        </w:rPr>
        <w:t xml:space="preserve">Section 1 – Name </w:t>
      </w:r>
    </w:p>
    <w:p w14:paraId="5BD2416E" w14:textId="4FF035D2" w:rsidR="000C23B6" w:rsidRPr="00766C1E" w:rsidRDefault="000C23B6" w:rsidP="000C23B6">
      <w:pPr>
        <w:spacing w:before="240"/>
        <w:rPr>
          <w:rFonts w:eastAsia="Times New Roman" w:cs="Times New Roman"/>
          <w:sz w:val="24"/>
          <w:szCs w:val="20"/>
          <w:lang w:eastAsia="en-AU"/>
        </w:rPr>
      </w:pPr>
      <w:r w:rsidRPr="00766C1E">
        <w:rPr>
          <w:rFonts w:eastAsia="Times New Roman" w:cs="Times New Roman"/>
          <w:sz w:val="24"/>
          <w:szCs w:val="20"/>
          <w:lang w:eastAsia="en-AU"/>
        </w:rPr>
        <w:t xml:space="preserve">This section provides that the name </w:t>
      </w:r>
      <w:r>
        <w:rPr>
          <w:rFonts w:eastAsia="Times New Roman" w:cs="Times New Roman"/>
          <w:sz w:val="24"/>
          <w:szCs w:val="20"/>
          <w:lang w:eastAsia="en-AU"/>
        </w:rPr>
        <w:t xml:space="preserve">of </w:t>
      </w:r>
      <w:r w:rsidR="004D47E7">
        <w:rPr>
          <w:rFonts w:eastAsia="Times New Roman" w:cs="Times New Roman"/>
          <w:sz w:val="24"/>
          <w:szCs w:val="20"/>
          <w:lang w:eastAsia="en-AU"/>
        </w:rPr>
        <w:t>this instrument</w:t>
      </w:r>
      <w:r w:rsidRPr="00766C1E">
        <w:rPr>
          <w:rFonts w:eastAsia="Times New Roman" w:cs="Times New Roman"/>
          <w:sz w:val="24"/>
          <w:szCs w:val="20"/>
          <w:lang w:eastAsia="en-AU"/>
        </w:rPr>
        <w:t xml:space="preserve"> is the </w:t>
      </w:r>
      <w:bookmarkStart w:id="11" w:name="_Hlk158325863"/>
      <w:r w:rsidRPr="00766C1E">
        <w:rPr>
          <w:rFonts w:eastAsia="Times New Roman" w:cs="Times New Roman"/>
          <w:i/>
          <w:sz w:val="24"/>
          <w:szCs w:val="20"/>
          <w:lang w:eastAsia="en-AU"/>
        </w:rPr>
        <w:t>Taxation (</w:t>
      </w:r>
      <w:r>
        <w:rPr>
          <w:rFonts w:eastAsia="Times New Roman" w:cs="Times New Roman"/>
          <w:i/>
          <w:sz w:val="24"/>
          <w:szCs w:val="20"/>
          <w:lang w:eastAsia="en-AU"/>
        </w:rPr>
        <w:t>Multinational</w:t>
      </w:r>
      <w:r w:rsidRPr="00766C1E" w:rsidDel="000A3002">
        <w:rPr>
          <w:rFonts w:eastAsia="Times New Roman" w:cs="Times New Roman"/>
          <w:i/>
          <w:iCs/>
          <w:sz w:val="24"/>
          <w:szCs w:val="20"/>
          <w:lang w:eastAsia="en-AU"/>
        </w:rPr>
        <w:t>—</w:t>
      </w:r>
      <w:r>
        <w:rPr>
          <w:rFonts w:eastAsia="Times New Roman" w:cs="Times New Roman"/>
          <w:i/>
          <w:iCs/>
          <w:sz w:val="24"/>
          <w:szCs w:val="20"/>
          <w:lang w:eastAsia="en-AU"/>
        </w:rPr>
        <w:t>Global and Domestic Minimum</w:t>
      </w:r>
      <w:r w:rsidRPr="00766C1E" w:rsidDel="000A3002">
        <w:rPr>
          <w:rFonts w:eastAsia="Times New Roman" w:cs="Times New Roman"/>
          <w:i/>
          <w:iCs/>
          <w:sz w:val="24"/>
          <w:szCs w:val="20"/>
          <w:lang w:eastAsia="en-AU"/>
        </w:rPr>
        <w:t xml:space="preserve"> Tax) </w:t>
      </w:r>
      <w:r w:rsidRPr="00766C1E">
        <w:rPr>
          <w:rFonts w:eastAsia="Times New Roman" w:cs="Times New Roman"/>
          <w:i/>
          <w:iCs/>
          <w:sz w:val="24"/>
          <w:szCs w:val="20"/>
          <w:lang w:eastAsia="en-AU"/>
        </w:rPr>
        <w:t xml:space="preserve">Rules </w:t>
      </w:r>
      <w:r w:rsidRPr="00766C1E" w:rsidDel="000A3002">
        <w:rPr>
          <w:rFonts w:eastAsia="Times New Roman" w:cs="Times New Roman"/>
          <w:i/>
          <w:iCs/>
          <w:sz w:val="24"/>
          <w:szCs w:val="20"/>
          <w:lang w:eastAsia="en-AU"/>
        </w:rPr>
        <w:t>2024</w:t>
      </w:r>
      <w:bookmarkEnd w:id="11"/>
      <w:r w:rsidRPr="00766C1E" w:rsidDel="000A3002">
        <w:rPr>
          <w:rFonts w:eastAsia="Times New Roman" w:cs="Times New Roman"/>
          <w:i/>
          <w:sz w:val="24"/>
          <w:szCs w:val="20"/>
          <w:lang w:eastAsia="en-AU"/>
        </w:rPr>
        <w:t xml:space="preserve"> </w:t>
      </w:r>
      <w:r w:rsidRPr="00766C1E">
        <w:rPr>
          <w:rFonts w:eastAsia="Times New Roman" w:cs="Times New Roman"/>
          <w:sz w:val="24"/>
          <w:szCs w:val="20"/>
          <w:lang w:eastAsia="en-AU"/>
        </w:rPr>
        <w:t>(the Rules).</w:t>
      </w:r>
    </w:p>
    <w:p w14:paraId="2C24F859" w14:textId="77777777" w:rsidR="000C23B6" w:rsidRPr="00766C1E" w:rsidRDefault="000C23B6" w:rsidP="000C23B6">
      <w:pPr>
        <w:spacing w:before="240"/>
        <w:rPr>
          <w:rFonts w:eastAsia="Times New Roman" w:cs="Times New Roman"/>
          <w:sz w:val="24"/>
          <w:szCs w:val="20"/>
          <w:u w:val="single"/>
          <w:lang w:eastAsia="en-AU"/>
        </w:rPr>
      </w:pPr>
      <w:r w:rsidRPr="00766C1E">
        <w:rPr>
          <w:rFonts w:eastAsia="Times New Roman" w:cs="Times New Roman"/>
          <w:sz w:val="24"/>
          <w:szCs w:val="20"/>
          <w:u w:val="single"/>
          <w:lang w:eastAsia="en-AU"/>
        </w:rPr>
        <w:t>Section 2 – Commencement</w:t>
      </w:r>
    </w:p>
    <w:p w14:paraId="21582A94" w14:textId="77777777" w:rsidR="000C23B6" w:rsidRPr="00766C1E" w:rsidRDefault="000C23B6" w:rsidP="000C23B6">
      <w:pPr>
        <w:spacing w:before="240"/>
        <w:rPr>
          <w:rFonts w:eastAsia="Times New Roman" w:cs="Times New Roman"/>
          <w:sz w:val="24"/>
          <w:szCs w:val="20"/>
          <w:lang w:eastAsia="en-AU"/>
        </w:rPr>
      </w:pPr>
      <w:r>
        <w:rPr>
          <w:rFonts w:eastAsia="Times New Roman" w:cs="Times New Roman"/>
          <w:sz w:val="24"/>
          <w:szCs w:val="20"/>
          <w:lang w:eastAsia="en-AU"/>
        </w:rPr>
        <w:t>The whole of the instrument</w:t>
      </w:r>
      <w:r w:rsidRPr="00766C1E">
        <w:rPr>
          <w:rFonts w:eastAsia="Times New Roman" w:cs="Times New Roman"/>
          <w:sz w:val="24"/>
          <w:szCs w:val="20"/>
          <w:lang w:eastAsia="en-AU"/>
        </w:rPr>
        <w:t xml:space="preserve"> commence</w:t>
      </w:r>
      <w:r>
        <w:rPr>
          <w:rFonts w:eastAsia="Times New Roman" w:cs="Times New Roman"/>
          <w:sz w:val="24"/>
          <w:szCs w:val="20"/>
          <w:lang w:eastAsia="en-AU"/>
        </w:rPr>
        <w:t>s</w:t>
      </w:r>
      <w:r w:rsidRPr="00766C1E">
        <w:rPr>
          <w:rFonts w:eastAsia="Times New Roman" w:cs="Times New Roman"/>
          <w:sz w:val="24"/>
          <w:szCs w:val="20"/>
          <w:lang w:eastAsia="en-AU"/>
        </w:rPr>
        <w:t xml:space="preserve"> on the day after the instrument </w:t>
      </w:r>
      <w:r>
        <w:rPr>
          <w:rFonts w:eastAsia="Times New Roman" w:cs="Times New Roman"/>
          <w:sz w:val="24"/>
          <w:szCs w:val="20"/>
          <w:lang w:eastAsia="en-AU"/>
        </w:rPr>
        <w:t>is</w:t>
      </w:r>
      <w:r w:rsidRPr="00766C1E">
        <w:rPr>
          <w:rFonts w:eastAsia="Times New Roman" w:cs="Times New Roman"/>
          <w:sz w:val="24"/>
          <w:szCs w:val="20"/>
          <w:lang w:eastAsia="en-AU"/>
        </w:rPr>
        <w:t xml:space="preserve"> registered on the Federal Register of Legislation. </w:t>
      </w:r>
    </w:p>
    <w:p w14:paraId="4E6624BD" w14:textId="77777777" w:rsidR="000C23B6" w:rsidRPr="00BA3DA3" w:rsidRDefault="000C23B6" w:rsidP="000C23B6">
      <w:pPr>
        <w:spacing w:before="240"/>
        <w:rPr>
          <w:rFonts w:eastAsia="Times New Roman" w:cs="Times New Roman"/>
          <w:sz w:val="24"/>
          <w:szCs w:val="20"/>
          <w:u w:val="single"/>
          <w:lang w:eastAsia="en-AU"/>
        </w:rPr>
      </w:pPr>
      <w:r w:rsidRPr="00BA3DA3">
        <w:rPr>
          <w:rFonts w:eastAsia="Times New Roman" w:cs="Times New Roman"/>
          <w:sz w:val="24"/>
          <w:szCs w:val="20"/>
          <w:u w:val="single"/>
          <w:lang w:eastAsia="en-AU"/>
        </w:rPr>
        <w:t>Section 3 – Authority</w:t>
      </w:r>
    </w:p>
    <w:p w14:paraId="3F9C509C" w14:textId="77777777" w:rsidR="000C23B6" w:rsidRPr="00766C1E" w:rsidRDefault="000C23B6" w:rsidP="000C23B6">
      <w:pPr>
        <w:spacing w:before="240"/>
        <w:rPr>
          <w:rFonts w:eastAsia="Times New Roman" w:cs="Times New Roman"/>
          <w:sz w:val="24"/>
          <w:szCs w:val="20"/>
          <w:lang w:eastAsia="en-AU"/>
        </w:rPr>
      </w:pPr>
      <w:r w:rsidRPr="00766C1E">
        <w:rPr>
          <w:rFonts w:eastAsia="Times New Roman" w:cs="Times New Roman"/>
          <w:sz w:val="24"/>
          <w:szCs w:val="20"/>
          <w:lang w:eastAsia="en-AU"/>
        </w:rPr>
        <w:t xml:space="preserve">The Rules are made under the </w:t>
      </w:r>
      <w:r w:rsidRPr="002C349B">
        <w:rPr>
          <w:rFonts w:eastAsia="Times New Roman" w:cs="Times New Roman"/>
          <w:i/>
          <w:iCs/>
          <w:sz w:val="24"/>
          <w:szCs w:val="20"/>
          <w:lang w:eastAsia="en-AU"/>
        </w:rPr>
        <w:t xml:space="preserve">Taxation (Multinational—Global and Domestic Minimum Tax) Act 2024 </w:t>
      </w:r>
      <w:r w:rsidRPr="00766C1E">
        <w:rPr>
          <w:rFonts w:eastAsia="Times New Roman" w:cs="Times New Roman"/>
          <w:sz w:val="24"/>
          <w:szCs w:val="20"/>
          <w:lang w:eastAsia="en-AU"/>
        </w:rPr>
        <w:t xml:space="preserve">(the </w:t>
      </w:r>
      <w:r>
        <w:rPr>
          <w:rFonts w:eastAsia="Times New Roman" w:cs="Times New Roman"/>
          <w:sz w:val="24"/>
          <w:szCs w:val="20"/>
          <w:lang w:eastAsia="en-AU"/>
        </w:rPr>
        <w:t>Assessment Act</w:t>
      </w:r>
      <w:r w:rsidRPr="00766C1E">
        <w:rPr>
          <w:rFonts w:eastAsia="Times New Roman" w:cs="Times New Roman"/>
          <w:sz w:val="24"/>
          <w:szCs w:val="20"/>
          <w:lang w:eastAsia="en-AU"/>
        </w:rPr>
        <w:t>).</w:t>
      </w:r>
    </w:p>
    <w:p w14:paraId="6ACD445D" w14:textId="77777777" w:rsidR="000C23B6" w:rsidRPr="00BA3DA3" w:rsidRDefault="000C23B6" w:rsidP="000C23B6">
      <w:pPr>
        <w:spacing w:before="240"/>
        <w:rPr>
          <w:rFonts w:eastAsia="Times New Roman" w:cs="Times New Roman"/>
          <w:sz w:val="24"/>
          <w:szCs w:val="20"/>
          <w:u w:val="single"/>
          <w:lang w:eastAsia="en-AU"/>
        </w:rPr>
      </w:pPr>
      <w:r w:rsidRPr="00BA3DA3">
        <w:rPr>
          <w:rFonts w:eastAsia="Times New Roman" w:cs="Times New Roman"/>
          <w:sz w:val="24"/>
          <w:szCs w:val="20"/>
          <w:u w:val="single"/>
          <w:lang w:eastAsia="en-AU"/>
        </w:rPr>
        <w:t>Section 4 – Schedule</w:t>
      </w:r>
    </w:p>
    <w:p w14:paraId="5FC49FDD" w14:textId="77777777" w:rsidR="000C23B6" w:rsidRPr="00766C1E" w:rsidRDefault="000C23B6" w:rsidP="000C23B6">
      <w:pPr>
        <w:spacing w:before="240"/>
        <w:rPr>
          <w:rFonts w:eastAsia="Times New Roman" w:cs="Times New Roman"/>
          <w:sz w:val="24"/>
          <w:szCs w:val="20"/>
          <w:lang w:eastAsia="en-AU"/>
        </w:rPr>
      </w:pPr>
      <w:r w:rsidRPr="00766C1E">
        <w:rPr>
          <w:rFonts w:eastAsia="Times New Roman" w:cs="Times New Roman"/>
          <w:sz w:val="24"/>
          <w:szCs w:val="20"/>
          <w:lang w:eastAsia="en-AU"/>
        </w:rPr>
        <w:t>This section provides that each instrument that is specified in the Schedules to this instrument are amended or repealed as set out in the applicable items in the Schedules, and any other item in the Schedules to this instrument has effect according to its terms.</w:t>
      </w:r>
    </w:p>
    <w:p w14:paraId="66B5CD70" w14:textId="77777777" w:rsidR="008A3B5F" w:rsidRPr="00020288" w:rsidRDefault="008A3B5F" w:rsidP="008A3B5F">
      <w:pPr>
        <w:pStyle w:val="Normalparatextnonumbers"/>
      </w:pPr>
    </w:p>
    <w:p w14:paraId="679725A4" w14:textId="77777777" w:rsidR="0090171F" w:rsidRDefault="0090171F" w:rsidP="00873094">
      <w:pPr>
        <w:pStyle w:val="Normalparatextnonumbers"/>
      </w:pPr>
      <w:bookmarkStart w:id="12" w:name="ConsultPreamble"/>
      <w:bookmarkEnd w:id="12"/>
    </w:p>
    <w:p w14:paraId="2C8BEA42" w14:textId="77777777" w:rsidR="00924E28" w:rsidRPr="00020288" w:rsidRDefault="00924E28" w:rsidP="00873094">
      <w:pPr>
        <w:pStyle w:val="Normalparatextnonumbers"/>
      </w:pPr>
    </w:p>
    <w:p w14:paraId="0EA6AC1D" w14:textId="77777777" w:rsidR="00873094" w:rsidRPr="00020288" w:rsidRDefault="00873094" w:rsidP="00873094">
      <w:pPr>
        <w:pStyle w:val="TOC1"/>
        <w:sectPr w:rsidR="00873094" w:rsidRPr="00020288" w:rsidSect="00000BFC">
          <w:footerReference w:type="first" r:id="rId12"/>
          <w:type w:val="oddPage"/>
          <w:pgSz w:w="9979" w:h="14175" w:code="138"/>
          <w:pgMar w:top="567" w:right="1134" w:bottom="567" w:left="1134" w:header="709" w:footer="709" w:gutter="0"/>
          <w:cols w:space="708"/>
          <w:titlePg/>
          <w:docGrid w:linePitch="360"/>
        </w:sectPr>
      </w:pPr>
    </w:p>
    <w:p w14:paraId="2B25889D" w14:textId="77777777" w:rsidR="00873094" w:rsidRPr="00020288" w:rsidRDefault="00873094" w:rsidP="00873094">
      <w:pPr>
        <w:pStyle w:val="TOCHeading"/>
      </w:pPr>
      <w:bookmarkStart w:id="13" w:name="_Toc80172450"/>
      <w:bookmarkStart w:id="14" w:name="_Toc80197114"/>
      <w:bookmarkStart w:id="15" w:name="_Toc81852681"/>
      <w:bookmarkEnd w:id="3"/>
      <w:bookmarkEnd w:id="4"/>
      <w:bookmarkEnd w:id="5"/>
      <w:bookmarkEnd w:id="6"/>
      <w:bookmarkEnd w:id="7"/>
      <w:r w:rsidRPr="00020288">
        <w:lastRenderedPageBreak/>
        <w:t>Table of Contents</w:t>
      </w:r>
      <w:bookmarkStart w:id="16" w:name="_Toc78549733"/>
      <w:bookmarkStart w:id="17" w:name="_Toc78549778"/>
      <w:bookmarkStart w:id="18" w:name="_Toc80097483"/>
      <w:bookmarkStart w:id="19" w:name="_Toc80097777"/>
      <w:bookmarkStart w:id="20" w:name="_Toc80115276"/>
      <w:bookmarkStart w:id="21" w:name="_Toc80172451"/>
      <w:bookmarkStart w:id="22" w:name="_Toc80197115"/>
      <w:bookmarkStart w:id="23" w:name="_Toc81852682"/>
      <w:bookmarkStart w:id="24" w:name="_Toc81852727"/>
      <w:bookmarkEnd w:id="13"/>
      <w:bookmarkEnd w:id="14"/>
      <w:bookmarkEnd w:id="15"/>
    </w:p>
    <w:p w14:paraId="4F17FDA9" w14:textId="169EBB3D" w:rsidR="00CD011E" w:rsidRDefault="00873094">
      <w:pPr>
        <w:pStyle w:val="TOC1"/>
        <w:rPr>
          <w:rFonts w:asciiTheme="minorHAnsi" w:eastAsiaTheme="minorEastAsia" w:hAnsiTheme="minorHAnsi" w:cstheme="minorBidi"/>
          <w:bCs w:val="0"/>
          <w:noProof/>
          <w:kern w:val="2"/>
          <w:sz w:val="22"/>
          <w:szCs w:val="22"/>
          <w:lang w:eastAsia="en-AU"/>
          <w14:ligatures w14:val="standardContextual"/>
        </w:rPr>
      </w:pPr>
      <w:r w:rsidRPr="00BC2E4A">
        <w:fldChar w:fldCharType="begin"/>
      </w:r>
      <w:r w:rsidRPr="00BC2E4A">
        <w:instrText xml:space="preserve"> TOC \o "1-1" \u </w:instrText>
      </w:r>
      <w:r w:rsidRPr="00BC2E4A">
        <w:fldChar w:fldCharType="separate"/>
      </w:r>
      <w:r w:rsidR="00CD011E" w:rsidRPr="00270D13">
        <w:rPr>
          <w:rFonts w:eastAsia="Times New Roman" w:cs="Times New Roman"/>
          <w:b/>
          <w:noProof/>
          <w:kern w:val="28"/>
          <w:u w:val="single"/>
          <w:lang w:eastAsia="en-AU"/>
        </w:rPr>
        <w:t>EXPLANATORY STATEMENT</w:t>
      </w:r>
      <w:r w:rsidR="00CD011E">
        <w:rPr>
          <w:noProof/>
        </w:rPr>
        <w:tab/>
      </w:r>
      <w:r w:rsidR="00CD011E">
        <w:rPr>
          <w:noProof/>
        </w:rPr>
        <w:fldChar w:fldCharType="begin"/>
      </w:r>
      <w:r w:rsidR="00CD011E">
        <w:rPr>
          <w:noProof/>
        </w:rPr>
        <w:instrText xml:space="preserve"> PAGEREF _Toc183417096 \h </w:instrText>
      </w:r>
      <w:r w:rsidR="00CD011E">
        <w:rPr>
          <w:noProof/>
        </w:rPr>
      </w:r>
      <w:r w:rsidR="00CD011E">
        <w:rPr>
          <w:noProof/>
        </w:rPr>
        <w:fldChar w:fldCharType="separate"/>
      </w:r>
      <w:r w:rsidR="009D6D0D">
        <w:rPr>
          <w:noProof/>
        </w:rPr>
        <w:t>1</w:t>
      </w:r>
      <w:r w:rsidR="00CD011E">
        <w:rPr>
          <w:noProof/>
        </w:rPr>
        <w:fldChar w:fldCharType="end"/>
      </w:r>
    </w:p>
    <w:p w14:paraId="666B0A65" w14:textId="29B9555A" w:rsidR="00CD011E" w:rsidRDefault="00CD011E">
      <w:pPr>
        <w:pStyle w:val="TOC1"/>
        <w:rPr>
          <w:rFonts w:asciiTheme="minorHAnsi" w:eastAsiaTheme="minorEastAsia" w:hAnsiTheme="minorHAnsi" w:cstheme="minorBidi"/>
          <w:bCs w:val="0"/>
          <w:noProof/>
          <w:kern w:val="2"/>
          <w:sz w:val="22"/>
          <w:szCs w:val="22"/>
          <w:lang w:eastAsia="en-AU"/>
          <w14:ligatures w14:val="standardContextual"/>
        </w:rPr>
      </w:pPr>
      <w:r>
        <w:rPr>
          <w:noProof/>
        </w:rPr>
        <w:t>Glossary</w:t>
      </w:r>
      <w:r>
        <w:rPr>
          <w:noProof/>
        </w:rPr>
        <w:tab/>
      </w:r>
      <w:r w:rsidR="003C09AF">
        <w:rPr>
          <w:noProof/>
        </w:rPr>
        <w:tab/>
      </w:r>
      <w:r>
        <w:rPr>
          <w:noProof/>
        </w:rPr>
        <w:fldChar w:fldCharType="begin"/>
      </w:r>
      <w:r>
        <w:rPr>
          <w:noProof/>
        </w:rPr>
        <w:instrText xml:space="preserve"> PAGEREF _Toc183417097 \h </w:instrText>
      </w:r>
      <w:r>
        <w:rPr>
          <w:noProof/>
        </w:rPr>
      </w:r>
      <w:r>
        <w:rPr>
          <w:noProof/>
        </w:rPr>
        <w:fldChar w:fldCharType="separate"/>
      </w:r>
      <w:r w:rsidR="009D6D0D">
        <w:rPr>
          <w:noProof/>
        </w:rPr>
        <w:t>iii</w:t>
      </w:r>
      <w:r>
        <w:rPr>
          <w:noProof/>
        </w:rPr>
        <w:fldChar w:fldCharType="end"/>
      </w:r>
    </w:p>
    <w:p w14:paraId="337AA1E7" w14:textId="5A7F79B0" w:rsidR="00CD011E" w:rsidRDefault="00CD011E">
      <w:pPr>
        <w:pStyle w:val="TOC1"/>
        <w:rPr>
          <w:rFonts w:asciiTheme="minorHAnsi" w:eastAsiaTheme="minorEastAsia" w:hAnsiTheme="minorHAnsi" w:cstheme="minorBidi"/>
          <w:bCs w:val="0"/>
          <w:noProof/>
          <w:kern w:val="2"/>
          <w:sz w:val="22"/>
          <w:szCs w:val="22"/>
          <w:lang w:eastAsia="en-AU"/>
          <w14:ligatures w14:val="standardContextual"/>
        </w:rPr>
      </w:pPr>
      <w:r w:rsidRPr="00270D13">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 w:val="22"/>
          <w:szCs w:val="22"/>
          <w:lang w:eastAsia="en-AU"/>
          <w14:ligatures w14:val="standardContextual"/>
        </w:rPr>
        <w:tab/>
      </w:r>
      <w:r>
        <w:rPr>
          <w:noProof/>
        </w:rPr>
        <w:t>Scope of entities</w:t>
      </w:r>
      <w:r>
        <w:rPr>
          <w:noProof/>
        </w:rPr>
        <w:tab/>
      </w:r>
      <w:r>
        <w:rPr>
          <w:noProof/>
        </w:rPr>
        <w:fldChar w:fldCharType="begin"/>
      </w:r>
      <w:r>
        <w:rPr>
          <w:noProof/>
        </w:rPr>
        <w:instrText xml:space="preserve"> PAGEREF _Toc183417098 \h </w:instrText>
      </w:r>
      <w:r>
        <w:rPr>
          <w:noProof/>
        </w:rPr>
      </w:r>
      <w:r>
        <w:rPr>
          <w:noProof/>
        </w:rPr>
        <w:fldChar w:fldCharType="separate"/>
      </w:r>
      <w:r w:rsidR="009D6D0D">
        <w:rPr>
          <w:noProof/>
        </w:rPr>
        <w:t>7</w:t>
      </w:r>
      <w:r>
        <w:rPr>
          <w:noProof/>
        </w:rPr>
        <w:fldChar w:fldCharType="end"/>
      </w:r>
    </w:p>
    <w:p w14:paraId="02A1F343" w14:textId="3BDE1EE1" w:rsidR="00CD011E" w:rsidRDefault="00CD011E">
      <w:pPr>
        <w:pStyle w:val="TOC1"/>
        <w:rPr>
          <w:rFonts w:asciiTheme="minorHAnsi" w:eastAsiaTheme="minorEastAsia" w:hAnsiTheme="minorHAnsi" w:cstheme="minorBidi"/>
          <w:bCs w:val="0"/>
          <w:noProof/>
          <w:kern w:val="2"/>
          <w:sz w:val="22"/>
          <w:szCs w:val="22"/>
          <w:lang w:eastAsia="en-AU"/>
          <w14:ligatures w14:val="standardContextual"/>
        </w:rPr>
      </w:pPr>
      <w:r w:rsidRPr="00270D13">
        <w:rPr>
          <w:noProof/>
          <w14:scene3d>
            <w14:camera w14:prst="orthographicFront"/>
            <w14:lightRig w14:rig="threePt" w14:dir="t">
              <w14:rot w14:lat="0" w14:lon="0" w14:rev="0"/>
            </w14:lightRig>
          </w14:scene3d>
        </w:rPr>
        <w:t>Chapter 2:</w:t>
      </w:r>
      <w:r>
        <w:rPr>
          <w:rFonts w:asciiTheme="minorHAnsi" w:eastAsiaTheme="minorEastAsia" w:hAnsiTheme="minorHAnsi" w:cstheme="minorBidi"/>
          <w:bCs w:val="0"/>
          <w:noProof/>
          <w:kern w:val="2"/>
          <w:sz w:val="22"/>
          <w:szCs w:val="22"/>
          <w:lang w:eastAsia="en-AU"/>
          <w14:ligatures w14:val="standardContextual"/>
        </w:rPr>
        <w:tab/>
      </w:r>
      <w:r>
        <w:rPr>
          <w:noProof/>
        </w:rPr>
        <w:t>Liability to Top</w:t>
      </w:r>
      <w:r>
        <w:rPr>
          <w:noProof/>
        </w:rPr>
        <w:noBreakHyphen/>
        <w:t>up Tax</w:t>
      </w:r>
      <w:r>
        <w:rPr>
          <w:noProof/>
        </w:rPr>
        <w:tab/>
      </w:r>
      <w:r>
        <w:rPr>
          <w:noProof/>
        </w:rPr>
        <w:fldChar w:fldCharType="begin"/>
      </w:r>
      <w:r>
        <w:rPr>
          <w:noProof/>
        </w:rPr>
        <w:instrText xml:space="preserve"> PAGEREF _Toc183417099 \h </w:instrText>
      </w:r>
      <w:r>
        <w:rPr>
          <w:noProof/>
        </w:rPr>
      </w:r>
      <w:r>
        <w:rPr>
          <w:noProof/>
        </w:rPr>
        <w:fldChar w:fldCharType="separate"/>
      </w:r>
      <w:r w:rsidR="009D6D0D">
        <w:rPr>
          <w:noProof/>
        </w:rPr>
        <w:t>11</w:t>
      </w:r>
      <w:r>
        <w:rPr>
          <w:noProof/>
        </w:rPr>
        <w:fldChar w:fldCharType="end"/>
      </w:r>
    </w:p>
    <w:p w14:paraId="19FE0ABD" w14:textId="4486B5C8" w:rsidR="00CD011E" w:rsidRDefault="00CD011E">
      <w:pPr>
        <w:pStyle w:val="TOC1"/>
        <w:rPr>
          <w:rFonts w:asciiTheme="minorHAnsi" w:eastAsiaTheme="minorEastAsia" w:hAnsiTheme="minorHAnsi" w:cstheme="minorBidi"/>
          <w:bCs w:val="0"/>
          <w:noProof/>
          <w:kern w:val="2"/>
          <w:sz w:val="22"/>
          <w:szCs w:val="22"/>
          <w:lang w:eastAsia="en-AU"/>
          <w14:ligatures w14:val="standardContextual"/>
        </w:rPr>
      </w:pPr>
      <w:r w:rsidRPr="00270D13">
        <w:rPr>
          <w:noProof/>
          <w14:scene3d>
            <w14:camera w14:prst="orthographicFront"/>
            <w14:lightRig w14:rig="threePt" w14:dir="t">
              <w14:rot w14:lat="0" w14:lon="0" w14:rev="0"/>
            </w14:lightRig>
          </w14:scene3d>
        </w:rPr>
        <w:t>Chapter 3:</w:t>
      </w:r>
      <w:r>
        <w:rPr>
          <w:rFonts w:asciiTheme="minorHAnsi" w:eastAsiaTheme="minorEastAsia" w:hAnsiTheme="minorHAnsi" w:cstheme="minorBidi"/>
          <w:bCs w:val="0"/>
          <w:noProof/>
          <w:kern w:val="2"/>
          <w:sz w:val="22"/>
          <w:szCs w:val="22"/>
          <w:lang w:eastAsia="en-AU"/>
          <w14:ligatures w14:val="standardContextual"/>
        </w:rPr>
        <w:tab/>
      </w:r>
      <w:r>
        <w:rPr>
          <w:noProof/>
        </w:rPr>
        <w:t>GloBE Income or Loss</w:t>
      </w:r>
      <w:r>
        <w:rPr>
          <w:noProof/>
        </w:rPr>
        <w:tab/>
      </w:r>
      <w:r>
        <w:rPr>
          <w:noProof/>
        </w:rPr>
        <w:fldChar w:fldCharType="begin"/>
      </w:r>
      <w:r>
        <w:rPr>
          <w:noProof/>
        </w:rPr>
        <w:instrText xml:space="preserve"> PAGEREF _Toc183417100 \h </w:instrText>
      </w:r>
      <w:r>
        <w:rPr>
          <w:noProof/>
        </w:rPr>
      </w:r>
      <w:r>
        <w:rPr>
          <w:noProof/>
        </w:rPr>
        <w:fldChar w:fldCharType="separate"/>
      </w:r>
      <w:r w:rsidR="009D6D0D">
        <w:rPr>
          <w:noProof/>
        </w:rPr>
        <w:t>29</w:t>
      </w:r>
      <w:r>
        <w:rPr>
          <w:noProof/>
        </w:rPr>
        <w:fldChar w:fldCharType="end"/>
      </w:r>
    </w:p>
    <w:p w14:paraId="41EEAD62" w14:textId="21F178CB" w:rsidR="00CD011E" w:rsidRDefault="00CD011E">
      <w:pPr>
        <w:pStyle w:val="TOC1"/>
        <w:rPr>
          <w:rFonts w:asciiTheme="minorHAnsi" w:eastAsiaTheme="minorEastAsia" w:hAnsiTheme="minorHAnsi" w:cstheme="minorBidi"/>
          <w:bCs w:val="0"/>
          <w:noProof/>
          <w:kern w:val="2"/>
          <w:sz w:val="22"/>
          <w:szCs w:val="22"/>
          <w:lang w:eastAsia="en-AU"/>
          <w14:ligatures w14:val="standardContextual"/>
        </w:rPr>
      </w:pPr>
      <w:r w:rsidRPr="00270D13">
        <w:rPr>
          <w:noProof/>
          <w14:scene3d>
            <w14:camera w14:prst="orthographicFront"/>
            <w14:lightRig w14:rig="threePt" w14:dir="t">
              <w14:rot w14:lat="0" w14:lon="0" w14:rev="0"/>
            </w14:lightRig>
          </w14:scene3d>
        </w:rPr>
        <w:t>Chapter 4:</w:t>
      </w:r>
      <w:r>
        <w:rPr>
          <w:rFonts w:asciiTheme="minorHAnsi" w:eastAsiaTheme="minorEastAsia" w:hAnsiTheme="minorHAnsi" w:cstheme="minorBidi"/>
          <w:bCs w:val="0"/>
          <w:noProof/>
          <w:kern w:val="2"/>
          <w:sz w:val="22"/>
          <w:szCs w:val="22"/>
          <w:lang w:eastAsia="en-AU"/>
          <w14:ligatures w14:val="standardContextual"/>
        </w:rPr>
        <w:tab/>
      </w:r>
      <w:r>
        <w:rPr>
          <w:noProof/>
        </w:rPr>
        <w:t>Adjusted Covered Taxes</w:t>
      </w:r>
      <w:r>
        <w:rPr>
          <w:noProof/>
        </w:rPr>
        <w:tab/>
      </w:r>
      <w:r>
        <w:rPr>
          <w:noProof/>
        </w:rPr>
        <w:fldChar w:fldCharType="begin"/>
      </w:r>
      <w:r>
        <w:rPr>
          <w:noProof/>
        </w:rPr>
        <w:instrText xml:space="preserve"> PAGEREF _Toc183417101 \h </w:instrText>
      </w:r>
      <w:r>
        <w:rPr>
          <w:noProof/>
        </w:rPr>
      </w:r>
      <w:r>
        <w:rPr>
          <w:noProof/>
        </w:rPr>
        <w:fldChar w:fldCharType="separate"/>
      </w:r>
      <w:r w:rsidR="009D6D0D">
        <w:rPr>
          <w:noProof/>
        </w:rPr>
        <w:t>63</w:t>
      </w:r>
      <w:r>
        <w:rPr>
          <w:noProof/>
        </w:rPr>
        <w:fldChar w:fldCharType="end"/>
      </w:r>
    </w:p>
    <w:p w14:paraId="7C7E6655" w14:textId="566BC1A7" w:rsidR="00CD011E" w:rsidRDefault="00CD011E">
      <w:pPr>
        <w:pStyle w:val="TOC1"/>
        <w:rPr>
          <w:rFonts w:asciiTheme="minorHAnsi" w:eastAsiaTheme="minorEastAsia" w:hAnsiTheme="minorHAnsi" w:cstheme="minorBidi"/>
          <w:bCs w:val="0"/>
          <w:noProof/>
          <w:kern w:val="2"/>
          <w:sz w:val="22"/>
          <w:szCs w:val="22"/>
          <w:lang w:eastAsia="en-AU"/>
          <w14:ligatures w14:val="standardContextual"/>
        </w:rPr>
      </w:pPr>
      <w:r w:rsidRPr="00270D13">
        <w:rPr>
          <w:noProof/>
          <w14:scene3d>
            <w14:camera w14:prst="orthographicFront"/>
            <w14:lightRig w14:rig="threePt" w14:dir="t">
              <w14:rot w14:lat="0" w14:lon="0" w14:rev="0"/>
            </w14:lightRig>
          </w14:scene3d>
        </w:rPr>
        <w:t>Chapter 5:</w:t>
      </w:r>
      <w:r>
        <w:rPr>
          <w:rFonts w:asciiTheme="minorHAnsi" w:eastAsiaTheme="minorEastAsia" w:hAnsiTheme="minorHAnsi" w:cstheme="minorBidi"/>
          <w:bCs w:val="0"/>
          <w:noProof/>
          <w:kern w:val="2"/>
          <w:sz w:val="22"/>
          <w:szCs w:val="22"/>
          <w:lang w:eastAsia="en-AU"/>
          <w14:ligatures w14:val="standardContextual"/>
        </w:rPr>
        <w:tab/>
      </w:r>
      <w:r>
        <w:rPr>
          <w:noProof/>
        </w:rPr>
        <w:t>Computing Top</w:t>
      </w:r>
      <w:r>
        <w:rPr>
          <w:noProof/>
        </w:rPr>
        <w:noBreakHyphen/>
        <w:t>up Tax</w:t>
      </w:r>
      <w:r>
        <w:rPr>
          <w:noProof/>
        </w:rPr>
        <w:tab/>
      </w:r>
      <w:r>
        <w:rPr>
          <w:noProof/>
        </w:rPr>
        <w:fldChar w:fldCharType="begin"/>
      </w:r>
      <w:r>
        <w:rPr>
          <w:noProof/>
        </w:rPr>
        <w:instrText xml:space="preserve"> PAGEREF _Toc183417102 \h </w:instrText>
      </w:r>
      <w:r>
        <w:rPr>
          <w:noProof/>
        </w:rPr>
      </w:r>
      <w:r>
        <w:rPr>
          <w:noProof/>
        </w:rPr>
        <w:fldChar w:fldCharType="separate"/>
      </w:r>
      <w:r w:rsidR="009D6D0D">
        <w:rPr>
          <w:noProof/>
        </w:rPr>
        <w:t>107</w:t>
      </w:r>
      <w:r>
        <w:rPr>
          <w:noProof/>
        </w:rPr>
        <w:fldChar w:fldCharType="end"/>
      </w:r>
    </w:p>
    <w:p w14:paraId="1828D400" w14:textId="7DE3F9C6" w:rsidR="00CD011E" w:rsidRDefault="00CD011E">
      <w:pPr>
        <w:pStyle w:val="TOC1"/>
        <w:rPr>
          <w:rFonts w:asciiTheme="minorHAnsi" w:eastAsiaTheme="minorEastAsia" w:hAnsiTheme="minorHAnsi" w:cstheme="minorBidi"/>
          <w:bCs w:val="0"/>
          <w:noProof/>
          <w:kern w:val="2"/>
          <w:sz w:val="22"/>
          <w:szCs w:val="22"/>
          <w:lang w:eastAsia="en-AU"/>
          <w14:ligatures w14:val="standardContextual"/>
        </w:rPr>
      </w:pPr>
      <w:r w:rsidRPr="00270D13">
        <w:rPr>
          <w:noProof/>
          <w14:scene3d>
            <w14:camera w14:prst="orthographicFront"/>
            <w14:lightRig w14:rig="threePt" w14:dir="t">
              <w14:rot w14:lat="0" w14:lon="0" w14:rev="0"/>
            </w14:lightRig>
          </w14:scene3d>
        </w:rPr>
        <w:t>Chapter 6:</w:t>
      </w:r>
      <w:r>
        <w:rPr>
          <w:rFonts w:asciiTheme="minorHAnsi" w:eastAsiaTheme="minorEastAsia" w:hAnsiTheme="minorHAnsi" w:cstheme="minorBidi"/>
          <w:bCs w:val="0"/>
          <w:noProof/>
          <w:kern w:val="2"/>
          <w:sz w:val="22"/>
          <w:szCs w:val="22"/>
          <w:lang w:eastAsia="en-AU"/>
          <w14:ligatures w14:val="standardContextual"/>
        </w:rPr>
        <w:tab/>
      </w:r>
      <w:r>
        <w:rPr>
          <w:noProof/>
        </w:rPr>
        <w:t>Corporate structures</w:t>
      </w:r>
      <w:r>
        <w:rPr>
          <w:noProof/>
        </w:rPr>
        <w:tab/>
      </w:r>
      <w:r>
        <w:rPr>
          <w:noProof/>
        </w:rPr>
        <w:fldChar w:fldCharType="begin"/>
      </w:r>
      <w:r>
        <w:rPr>
          <w:noProof/>
        </w:rPr>
        <w:instrText xml:space="preserve"> PAGEREF _Toc183417103 \h </w:instrText>
      </w:r>
      <w:r>
        <w:rPr>
          <w:noProof/>
        </w:rPr>
      </w:r>
      <w:r>
        <w:rPr>
          <w:noProof/>
        </w:rPr>
        <w:fldChar w:fldCharType="separate"/>
      </w:r>
      <w:r w:rsidR="009D6D0D">
        <w:rPr>
          <w:noProof/>
        </w:rPr>
        <w:t>121</w:t>
      </w:r>
      <w:r>
        <w:rPr>
          <w:noProof/>
        </w:rPr>
        <w:fldChar w:fldCharType="end"/>
      </w:r>
    </w:p>
    <w:p w14:paraId="7159C70F" w14:textId="3E245922" w:rsidR="00CD011E" w:rsidRDefault="00CD011E">
      <w:pPr>
        <w:pStyle w:val="TOC1"/>
        <w:rPr>
          <w:rFonts w:asciiTheme="minorHAnsi" w:eastAsiaTheme="minorEastAsia" w:hAnsiTheme="minorHAnsi" w:cstheme="minorBidi"/>
          <w:bCs w:val="0"/>
          <w:noProof/>
          <w:kern w:val="2"/>
          <w:sz w:val="22"/>
          <w:szCs w:val="22"/>
          <w:lang w:eastAsia="en-AU"/>
          <w14:ligatures w14:val="standardContextual"/>
        </w:rPr>
      </w:pPr>
      <w:r w:rsidRPr="00270D13">
        <w:rPr>
          <w:noProof/>
          <w14:scene3d>
            <w14:camera w14:prst="orthographicFront"/>
            <w14:lightRig w14:rig="threePt" w14:dir="t">
              <w14:rot w14:lat="0" w14:lon="0" w14:rev="0"/>
            </w14:lightRig>
          </w14:scene3d>
        </w:rPr>
        <w:t>Chapter 7:</w:t>
      </w:r>
      <w:r>
        <w:rPr>
          <w:rFonts w:asciiTheme="minorHAnsi" w:eastAsiaTheme="minorEastAsia" w:hAnsiTheme="minorHAnsi" w:cstheme="minorBidi"/>
          <w:bCs w:val="0"/>
          <w:noProof/>
          <w:kern w:val="2"/>
          <w:sz w:val="22"/>
          <w:szCs w:val="22"/>
          <w:lang w:eastAsia="en-AU"/>
          <w14:ligatures w14:val="standardContextual"/>
        </w:rPr>
        <w:tab/>
      </w:r>
      <w:r>
        <w:rPr>
          <w:noProof/>
        </w:rPr>
        <w:t>Investment Entities</w:t>
      </w:r>
      <w:r>
        <w:rPr>
          <w:noProof/>
        </w:rPr>
        <w:tab/>
      </w:r>
      <w:r>
        <w:rPr>
          <w:noProof/>
        </w:rPr>
        <w:fldChar w:fldCharType="begin"/>
      </w:r>
      <w:r>
        <w:rPr>
          <w:noProof/>
        </w:rPr>
        <w:instrText xml:space="preserve"> PAGEREF _Toc183417104 \h </w:instrText>
      </w:r>
      <w:r>
        <w:rPr>
          <w:noProof/>
        </w:rPr>
      </w:r>
      <w:r>
        <w:rPr>
          <w:noProof/>
        </w:rPr>
        <w:fldChar w:fldCharType="separate"/>
      </w:r>
      <w:r w:rsidR="009D6D0D">
        <w:rPr>
          <w:noProof/>
        </w:rPr>
        <w:t>137</w:t>
      </w:r>
      <w:r>
        <w:rPr>
          <w:noProof/>
        </w:rPr>
        <w:fldChar w:fldCharType="end"/>
      </w:r>
    </w:p>
    <w:p w14:paraId="1C367A18" w14:textId="1F48B10E" w:rsidR="00CD011E" w:rsidRDefault="00CD011E">
      <w:pPr>
        <w:pStyle w:val="TOC1"/>
        <w:rPr>
          <w:rFonts w:asciiTheme="minorHAnsi" w:eastAsiaTheme="minorEastAsia" w:hAnsiTheme="minorHAnsi" w:cstheme="minorBidi"/>
          <w:bCs w:val="0"/>
          <w:noProof/>
          <w:kern w:val="2"/>
          <w:sz w:val="22"/>
          <w:szCs w:val="22"/>
          <w:lang w:eastAsia="en-AU"/>
          <w14:ligatures w14:val="standardContextual"/>
        </w:rPr>
      </w:pPr>
      <w:r w:rsidRPr="00270D13">
        <w:rPr>
          <w:noProof/>
          <w14:scene3d>
            <w14:camera w14:prst="orthographicFront"/>
            <w14:lightRig w14:rig="threePt" w14:dir="t">
              <w14:rot w14:lat="0" w14:lon="0" w14:rev="0"/>
            </w14:lightRig>
          </w14:scene3d>
        </w:rPr>
        <w:t>Chapter 8:</w:t>
      </w:r>
      <w:r>
        <w:rPr>
          <w:rFonts w:asciiTheme="minorHAnsi" w:eastAsiaTheme="minorEastAsia" w:hAnsiTheme="minorHAnsi" w:cstheme="minorBidi"/>
          <w:bCs w:val="0"/>
          <w:noProof/>
          <w:kern w:val="2"/>
          <w:sz w:val="22"/>
          <w:szCs w:val="22"/>
          <w:lang w:eastAsia="en-AU"/>
          <w14:ligatures w14:val="standardContextual"/>
        </w:rPr>
        <w:tab/>
      </w:r>
      <w:r>
        <w:rPr>
          <w:noProof/>
        </w:rPr>
        <w:t>Safe Harbours</w:t>
      </w:r>
      <w:r>
        <w:rPr>
          <w:noProof/>
        </w:rPr>
        <w:tab/>
      </w:r>
      <w:r>
        <w:rPr>
          <w:noProof/>
        </w:rPr>
        <w:fldChar w:fldCharType="begin"/>
      </w:r>
      <w:r>
        <w:rPr>
          <w:noProof/>
        </w:rPr>
        <w:instrText xml:space="preserve"> PAGEREF _Toc183417105 \h </w:instrText>
      </w:r>
      <w:r>
        <w:rPr>
          <w:noProof/>
        </w:rPr>
      </w:r>
      <w:r>
        <w:rPr>
          <w:noProof/>
        </w:rPr>
        <w:fldChar w:fldCharType="separate"/>
      </w:r>
      <w:r w:rsidR="009D6D0D">
        <w:rPr>
          <w:noProof/>
        </w:rPr>
        <w:t>167</w:t>
      </w:r>
      <w:r>
        <w:rPr>
          <w:noProof/>
        </w:rPr>
        <w:fldChar w:fldCharType="end"/>
      </w:r>
    </w:p>
    <w:p w14:paraId="70F6B711" w14:textId="6FBAAABE" w:rsidR="00CD011E" w:rsidRDefault="00CD011E">
      <w:pPr>
        <w:pStyle w:val="TOC1"/>
        <w:rPr>
          <w:rFonts w:asciiTheme="minorHAnsi" w:eastAsiaTheme="minorEastAsia" w:hAnsiTheme="minorHAnsi" w:cstheme="minorBidi"/>
          <w:bCs w:val="0"/>
          <w:noProof/>
          <w:kern w:val="2"/>
          <w:sz w:val="22"/>
          <w:szCs w:val="22"/>
          <w:lang w:eastAsia="en-AU"/>
          <w14:ligatures w14:val="standardContextual"/>
        </w:rPr>
      </w:pPr>
      <w:r w:rsidRPr="00270D13">
        <w:rPr>
          <w:noProof/>
          <w14:scene3d>
            <w14:camera w14:prst="orthographicFront"/>
            <w14:lightRig w14:rig="threePt" w14:dir="t">
              <w14:rot w14:lat="0" w14:lon="0" w14:rev="0"/>
            </w14:lightRig>
          </w14:scene3d>
        </w:rPr>
        <w:t>Chapter 9:</w:t>
      </w:r>
      <w:r>
        <w:rPr>
          <w:rFonts w:asciiTheme="minorHAnsi" w:eastAsiaTheme="minorEastAsia" w:hAnsiTheme="minorHAnsi" w:cstheme="minorBidi"/>
          <w:bCs w:val="0"/>
          <w:noProof/>
          <w:kern w:val="2"/>
          <w:sz w:val="22"/>
          <w:szCs w:val="22"/>
          <w:lang w:eastAsia="en-AU"/>
          <w14:ligatures w14:val="standardContextual"/>
        </w:rPr>
        <w:tab/>
      </w:r>
      <w:r>
        <w:rPr>
          <w:noProof/>
        </w:rPr>
        <w:t>Transitional provisions</w:t>
      </w:r>
      <w:r>
        <w:rPr>
          <w:noProof/>
        </w:rPr>
        <w:tab/>
      </w:r>
      <w:r>
        <w:rPr>
          <w:noProof/>
        </w:rPr>
        <w:fldChar w:fldCharType="begin"/>
      </w:r>
      <w:r>
        <w:rPr>
          <w:noProof/>
        </w:rPr>
        <w:instrText xml:space="preserve"> PAGEREF _Toc183417106 \h </w:instrText>
      </w:r>
      <w:r>
        <w:rPr>
          <w:noProof/>
        </w:rPr>
      </w:r>
      <w:r>
        <w:rPr>
          <w:noProof/>
        </w:rPr>
        <w:fldChar w:fldCharType="separate"/>
      </w:r>
      <w:r w:rsidR="009D6D0D">
        <w:rPr>
          <w:noProof/>
        </w:rPr>
        <w:t>189</w:t>
      </w:r>
      <w:r>
        <w:rPr>
          <w:noProof/>
        </w:rPr>
        <w:fldChar w:fldCharType="end"/>
      </w:r>
    </w:p>
    <w:p w14:paraId="43DA0AE6" w14:textId="7FB81731" w:rsidR="00CD011E" w:rsidRDefault="00CD011E">
      <w:pPr>
        <w:pStyle w:val="TOC1"/>
        <w:rPr>
          <w:rFonts w:asciiTheme="minorHAnsi" w:eastAsiaTheme="minorEastAsia" w:hAnsiTheme="minorHAnsi" w:cstheme="minorBidi"/>
          <w:bCs w:val="0"/>
          <w:noProof/>
          <w:kern w:val="2"/>
          <w:sz w:val="22"/>
          <w:szCs w:val="22"/>
          <w:lang w:eastAsia="en-AU"/>
          <w14:ligatures w14:val="standardContextual"/>
        </w:rPr>
      </w:pPr>
      <w:r w:rsidRPr="00270D13">
        <w:rPr>
          <w:noProof/>
          <w14:scene3d>
            <w14:camera w14:prst="orthographicFront"/>
            <w14:lightRig w14:rig="threePt" w14:dir="t">
              <w14:rot w14:lat="0" w14:lon="0" w14:rev="0"/>
            </w14:lightRig>
          </w14:scene3d>
        </w:rPr>
        <w:t>Chapter 10:</w:t>
      </w:r>
      <w:r>
        <w:rPr>
          <w:rFonts w:asciiTheme="minorHAnsi" w:eastAsiaTheme="minorEastAsia" w:hAnsiTheme="minorHAnsi" w:cstheme="minorBidi"/>
          <w:bCs w:val="0"/>
          <w:noProof/>
          <w:kern w:val="2"/>
          <w:sz w:val="22"/>
          <w:szCs w:val="22"/>
          <w:lang w:eastAsia="en-AU"/>
          <w14:ligatures w14:val="standardContextual"/>
        </w:rPr>
        <w:tab/>
      </w:r>
      <w:r>
        <w:rPr>
          <w:noProof/>
        </w:rPr>
        <w:t>Definitions</w:t>
      </w:r>
      <w:r>
        <w:rPr>
          <w:noProof/>
        </w:rPr>
        <w:tab/>
      </w:r>
      <w:r>
        <w:rPr>
          <w:noProof/>
        </w:rPr>
        <w:fldChar w:fldCharType="begin"/>
      </w:r>
      <w:r>
        <w:rPr>
          <w:noProof/>
        </w:rPr>
        <w:instrText xml:space="preserve"> PAGEREF _Toc183417107 \h </w:instrText>
      </w:r>
      <w:r>
        <w:rPr>
          <w:noProof/>
        </w:rPr>
      </w:r>
      <w:r>
        <w:rPr>
          <w:noProof/>
        </w:rPr>
        <w:fldChar w:fldCharType="separate"/>
      </w:r>
      <w:r w:rsidR="009D6D0D">
        <w:rPr>
          <w:noProof/>
        </w:rPr>
        <w:t>201</w:t>
      </w:r>
      <w:r>
        <w:rPr>
          <w:noProof/>
        </w:rPr>
        <w:fldChar w:fldCharType="end"/>
      </w:r>
    </w:p>
    <w:p w14:paraId="1EE0FFFC" w14:textId="4E9EAF5A" w:rsidR="00CD011E" w:rsidRDefault="00CD011E">
      <w:pPr>
        <w:pStyle w:val="TOC1"/>
        <w:rPr>
          <w:rFonts w:asciiTheme="minorHAnsi" w:eastAsiaTheme="minorEastAsia" w:hAnsiTheme="minorHAnsi" w:cstheme="minorBidi"/>
          <w:bCs w:val="0"/>
          <w:noProof/>
          <w:kern w:val="2"/>
          <w:sz w:val="22"/>
          <w:szCs w:val="22"/>
          <w:lang w:eastAsia="en-AU"/>
          <w14:ligatures w14:val="standardContextual"/>
        </w:rPr>
      </w:pPr>
      <w:r w:rsidRPr="00270D13">
        <w:rPr>
          <w:noProof/>
          <w14:scene3d>
            <w14:camera w14:prst="orthographicFront"/>
            <w14:lightRig w14:rig="threePt" w14:dir="t">
              <w14:rot w14:lat="0" w14:lon="0" w14:rev="0"/>
            </w14:lightRig>
          </w14:scene3d>
        </w:rPr>
        <w:t>Chapter 11:</w:t>
      </w:r>
      <w:r>
        <w:rPr>
          <w:rFonts w:asciiTheme="minorHAnsi" w:eastAsiaTheme="minorEastAsia" w:hAnsiTheme="minorHAnsi" w:cstheme="minorBidi"/>
          <w:bCs w:val="0"/>
          <w:noProof/>
          <w:kern w:val="2"/>
          <w:sz w:val="22"/>
          <w:szCs w:val="22"/>
          <w:lang w:eastAsia="en-AU"/>
          <w14:ligatures w14:val="standardContextual"/>
        </w:rPr>
        <w:tab/>
      </w:r>
      <w:r>
        <w:rPr>
          <w:noProof/>
        </w:rPr>
        <w:t>Statement of Compatibility with Human Rights</w:t>
      </w:r>
      <w:r>
        <w:rPr>
          <w:noProof/>
        </w:rPr>
        <w:tab/>
      </w:r>
      <w:r>
        <w:rPr>
          <w:noProof/>
        </w:rPr>
        <w:fldChar w:fldCharType="begin"/>
      </w:r>
      <w:r>
        <w:rPr>
          <w:noProof/>
        </w:rPr>
        <w:instrText xml:space="preserve"> PAGEREF _Toc183417108 \h </w:instrText>
      </w:r>
      <w:r>
        <w:rPr>
          <w:noProof/>
        </w:rPr>
      </w:r>
      <w:r>
        <w:rPr>
          <w:noProof/>
        </w:rPr>
        <w:fldChar w:fldCharType="separate"/>
      </w:r>
      <w:r w:rsidR="009D6D0D">
        <w:rPr>
          <w:noProof/>
        </w:rPr>
        <w:t>245</w:t>
      </w:r>
      <w:r>
        <w:rPr>
          <w:noProof/>
        </w:rPr>
        <w:fldChar w:fldCharType="end"/>
      </w:r>
    </w:p>
    <w:p w14:paraId="38C925A3" w14:textId="4DFC2D0E" w:rsidR="00CD011E" w:rsidRDefault="00CD011E">
      <w:pPr>
        <w:pStyle w:val="TOC1"/>
        <w:rPr>
          <w:rFonts w:asciiTheme="minorHAnsi" w:eastAsiaTheme="minorEastAsia" w:hAnsiTheme="minorHAnsi" w:cstheme="minorBidi"/>
          <w:bCs w:val="0"/>
          <w:noProof/>
          <w:kern w:val="2"/>
          <w:sz w:val="22"/>
          <w:szCs w:val="22"/>
          <w:lang w:eastAsia="en-AU"/>
          <w14:ligatures w14:val="standardContextual"/>
        </w:rPr>
      </w:pPr>
      <w:r>
        <w:rPr>
          <w:noProof/>
        </w:rPr>
        <w:t>Attachment 1:</w:t>
      </w:r>
      <w:r>
        <w:rPr>
          <w:rFonts w:asciiTheme="minorHAnsi" w:eastAsiaTheme="minorEastAsia" w:hAnsiTheme="minorHAnsi" w:cstheme="minorBidi"/>
          <w:bCs w:val="0"/>
          <w:noProof/>
          <w:kern w:val="2"/>
          <w:sz w:val="22"/>
          <w:szCs w:val="22"/>
          <w:lang w:eastAsia="en-AU"/>
          <w14:ligatures w14:val="standardContextual"/>
        </w:rPr>
        <w:tab/>
      </w:r>
      <w:r>
        <w:rPr>
          <w:noProof/>
        </w:rPr>
        <w:t>Conversion tables</w:t>
      </w:r>
      <w:r>
        <w:rPr>
          <w:noProof/>
        </w:rPr>
        <w:tab/>
      </w:r>
      <w:r>
        <w:rPr>
          <w:noProof/>
        </w:rPr>
        <w:fldChar w:fldCharType="begin"/>
      </w:r>
      <w:r>
        <w:rPr>
          <w:noProof/>
        </w:rPr>
        <w:instrText xml:space="preserve"> PAGEREF _Toc183417109 \h </w:instrText>
      </w:r>
      <w:r>
        <w:rPr>
          <w:noProof/>
        </w:rPr>
      </w:r>
      <w:r>
        <w:rPr>
          <w:noProof/>
        </w:rPr>
        <w:fldChar w:fldCharType="separate"/>
      </w:r>
      <w:r w:rsidR="009D6D0D">
        <w:rPr>
          <w:noProof/>
        </w:rPr>
        <w:t>247</w:t>
      </w:r>
      <w:r>
        <w:rPr>
          <w:noProof/>
        </w:rPr>
        <w:fldChar w:fldCharType="end"/>
      </w:r>
    </w:p>
    <w:p w14:paraId="4734C1ED" w14:textId="17B5B5CF" w:rsidR="00873094" w:rsidRPr="00020288" w:rsidRDefault="00873094" w:rsidP="00BC2E4A">
      <w:pPr>
        <w:pStyle w:val="TOC1"/>
      </w:pPr>
      <w:r w:rsidRPr="00BC2E4A">
        <w:fldChar w:fldCharType="end"/>
      </w:r>
    </w:p>
    <w:p w14:paraId="2B7567BB" w14:textId="77777777" w:rsidR="00873094" w:rsidRPr="00020288" w:rsidRDefault="00873094" w:rsidP="00873094"/>
    <w:p w14:paraId="52193498" w14:textId="77777777" w:rsidR="00873094" w:rsidRPr="00020288" w:rsidRDefault="00873094" w:rsidP="00873094">
      <w:pPr>
        <w:sectPr w:rsidR="00873094" w:rsidRPr="00020288" w:rsidSect="00000BFC">
          <w:headerReference w:type="even" r:id="rId13"/>
          <w:headerReference w:type="default" r:id="rId14"/>
          <w:headerReference w:type="first" r:id="rId15"/>
          <w:footerReference w:type="first" r:id="rId16"/>
          <w:type w:val="oddPage"/>
          <w:pgSz w:w="9979" w:h="14175" w:code="9"/>
          <w:pgMar w:top="567" w:right="1134" w:bottom="567" w:left="1134" w:header="709" w:footer="709" w:gutter="0"/>
          <w:pgNumType w:start="1"/>
          <w:cols w:space="708"/>
          <w:titlePg/>
          <w:docGrid w:linePitch="360"/>
        </w:sectPr>
      </w:pPr>
    </w:p>
    <w:p w14:paraId="2C0385E2" w14:textId="77777777" w:rsidR="00873094" w:rsidRPr="00020288" w:rsidRDefault="00873094" w:rsidP="00873094">
      <w:pPr>
        <w:pStyle w:val="Heading1"/>
        <w:rPr>
          <w:rFonts w:hint="eastAsia"/>
        </w:rPr>
      </w:pPr>
      <w:bookmarkStart w:id="25" w:name="_Toc82021619"/>
      <w:bookmarkStart w:id="26" w:name="_Toc82067318"/>
      <w:bookmarkStart w:id="27" w:name="_Toc82072959"/>
      <w:bookmarkStart w:id="28" w:name="_Toc82073275"/>
      <w:bookmarkStart w:id="29" w:name="_Toc82073912"/>
      <w:bookmarkStart w:id="30" w:name="_Toc82074016"/>
      <w:bookmarkStart w:id="31" w:name="_Toc183417097"/>
      <w:bookmarkStart w:id="32" w:name="_Toc183786625"/>
      <w:r w:rsidRPr="00020288">
        <w:lastRenderedPageBreak/>
        <w:t>Glossary</w:t>
      </w:r>
      <w:bookmarkStart w:id="33" w:name="_Toc485286223"/>
      <w:bookmarkStart w:id="34" w:name="_Toc78193244"/>
      <w:bookmarkStart w:id="35" w:name="_Toc7819340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00A12BAA">
        <w:tab/>
      </w:r>
      <w:r w:rsidR="001F670B">
        <w:t xml:space="preserve"> </w:t>
      </w:r>
    </w:p>
    <w:p w14:paraId="1E3400B3" w14:textId="7F5E3F6F" w:rsidR="00873094" w:rsidRPr="00020288" w:rsidRDefault="00873094" w:rsidP="00873094">
      <w:pPr>
        <w:pStyle w:val="Normalparatextnonumbers"/>
      </w:pPr>
      <w:r w:rsidRPr="00020288">
        <w:t xml:space="preserve">This Explanatory </w:t>
      </w:r>
      <w:r w:rsidR="000C23B6">
        <w:t>Statement</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0C23B6" w:rsidRPr="000C23B6" w14:paraId="56108A2E" w14:textId="77777777">
        <w:tc>
          <w:tcPr>
            <w:tcW w:w="3776" w:type="dxa"/>
            <w:shd w:val="clear" w:color="auto" w:fill="auto"/>
          </w:tcPr>
          <w:p w14:paraId="622CB01B" w14:textId="77777777" w:rsidR="000C23B6" w:rsidRPr="000C23B6" w:rsidRDefault="000C23B6" w:rsidP="000C23B6">
            <w:pPr>
              <w:keepNext/>
              <w:numPr>
                <w:ilvl w:val="3"/>
                <w:numId w:val="2"/>
              </w:numPr>
              <w:outlineLvl w:val="3"/>
              <w:rPr>
                <w:rFonts w:ascii="Helvetica" w:eastAsia="Times New Roman" w:hAnsi="Helvetica" w:cs="Helvetica"/>
                <w:b/>
                <w:i/>
                <w:iCs/>
              </w:rPr>
            </w:pPr>
            <w:r w:rsidRPr="000C23B6">
              <w:rPr>
                <w:rFonts w:ascii="Helvetica" w:eastAsia="Times New Roman" w:hAnsi="Helvetica" w:cs="Helvetica"/>
                <w:b/>
                <w:i/>
                <w:iCs/>
              </w:rPr>
              <w:t>Abbreviation</w:t>
            </w:r>
          </w:p>
        </w:tc>
        <w:tc>
          <w:tcPr>
            <w:tcW w:w="3874" w:type="dxa"/>
            <w:shd w:val="clear" w:color="auto" w:fill="auto"/>
          </w:tcPr>
          <w:p w14:paraId="676CDABE" w14:textId="77777777" w:rsidR="000C23B6" w:rsidRPr="000C23B6" w:rsidRDefault="000C23B6" w:rsidP="000C23B6">
            <w:pPr>
              <w:keepNext/>
              <w:numPr>
                <w:ilvl w:val="3"/>
                <w:numId w:val="2"/>
              </w:numPr>
              <w:outlineLvl w:val="3"/>
              <w:rPr>
                <w:rFonts w:ascii="Helvetica" w:eastAsia="Times New Roman" w:hAnsi="Helvetica" w:cs="Helvetica"/>
                <w:b/>
                <w:i/>
                <w:iCs/>
              </w:rPr>
            </w:pPr>
            <w:r w:rsidRPr="000C23B6">
              <w:rPr>
                <w:rFonts w:ascii="Helvetica" w:eastAsia="Times New Roman" w:hAnsi="Helvetica" w:cs="Helvetica"/>
                <w:b/>
                <w:i/>
                <w:iCs/>
              </w:rPr>
              <w:t>Definition</w:t>
            </w:r>
          </w:p>
        </w:tc>
      </w:tr>
      <w:tr w:rsidR="000C23B6" w:rsidRPr="000C23B6" w14:paraId="05472258" w14:textId="77777777">
        <w:tc>
          <w:tcPr>
            <w:tcW w:w="3776" w:type="dxa"/>
          </w:tcPr>
          <w:p w14:paraId="27243C14" w14:textId="77777777" w:rsidR="000C23B6" w:rsidRPr="000C23B6" w:rsidRDefault="000C23B6" w:rsidP="000C23B6">
            <w:r w:rsidRPr="000C23B6">
              <w:t>Acceptable FAS</w:t>
            </w:r>
          </w:p>
        </w:tc>
        <w:tc>
          <w:tcPr>
            <w:tcW w:w="3874" w:type="dxa"/>
          </w:tcPr>
          <w:p w14:paraId="3421870F" w14:textId="63AE516B" w:rsidR="000C23B6" w:rsidRPr="000C23B6" w:rsidRDefault="000C23B6" w:rsidP="000C23B6">
            <w:r w:rsidRPr="000C23B6">
              <w:t>Acceptable Financial Accounting Standard</w:t>
            </w:r>
          </w:p>
        </w:tc>
      </w:tr>
      <w:tr w:rsidR="000C23B6" w:rsidRPr="000C23B6" w14:paraId="1C6178FB" w14:textId="77777777">
        <w:tc>
          <w:tcPr>
            <w:tcW w:w="3776" w:type="dxa"/>
          </w:tcPr>
          <w:p w14:paraId="14FD3FEC" w14:textId="77777777" w:rsidR="000C23B6" w:rsidRPr="000C23B6" w:rsidRDefault="000C23B6" w:rsidP="000C23B6">
            <w:r w:rsidRPr="000C23B6">
              <w:t>Agreed Administrative Guidance</w:t>
            </w:r>
          </w:p>
        </w:tc>
        <w:tc>
          <w:tcPr>
            <w:tcW w:w="3874" w:type="dxa"/>
          </w:tcPr>
          <w:p w14:paraId="5289EBD1" w14:textId="77777777" w:rsidR="000C23B6" w:rsidRPr="000C23B6" w:rsidRDefault="000C23B6" w:rsidP="000C23B6">
            <w:pPr>
              <w:rPr>
                <w:color w:val="000000" w:themeColor="text1"/>
              </w:rPr>
            </w:pPr>
            <w:r w:rsidRPr="000C23B6">
              <w:rPr>
                <w:color w:val="000000" w:themeColor="text1"/>
              </w:rPr>
              <w:t>The following collection of documents:</w:t>
            </w:r>
          </w:p>
          <w:p w14:paraId="10289BC7" w14:textId="77777777" w:rsidR="000C23B6" w:rsidRPr="000C23B6" w:rsidRDefault="000C23B6" w:rsidP="000C23B6">
            <w:pPr>
              <w:tabs>
                <w:tab w:val="num" w:pos="227"/>
                <w:tab w:val="num" w:pos="520"/>
                <w:tab w:val="left" w:pos="720"/>
              </w:tabs>
              <w:ind w:left="227" w:hanging="227"/>
              <w:rPr>
                <w:rFonts w:eastAsia="Calibri"/>
                <w:color w:val="000000" w:themeColor="text1"/>
                <w:lang w:eastAsia="en-GB"/>
              </w:rPr>
            </w:pPr>
            <w:r w:rsidRPr="000C23B6">
              <w:rPr>
                <w:rFonts w:eastAsia="Calibri"/>
                <w:i/>
                <w:color w:val="000000" w:themeColor="text1"/>
                <w:lang w:eastAsia="en-GB"/>
              </w:rPr>
              <w:t>Tax Challenges Arising from the Digitalisation of the Economy – Administrative Guidance on the Global Anti</w:t>
            </w:r>
            <w:r w:rsidRPr="000C23B6">
              <w:rPr>
                <w:rFonts w:eastAsia="Calibri"/>
                <w:i/>
                <w:color w:val="000000" w:themeColor="text1"/>
                <w:lang w:eastAsia="en-GB"/>
              </w:rPr>
              <w:noBreakHyphen/>
              <w:t>Base Erosion Model Rules (Pillar Two)</w:t>
            </w:r>
            <w:r w:rsidRPr="000C23B6">
              <w:rPr>
                <w:rFonts w:eastAsia="Calibri"/>
                <w:color w:val="000000" w:themeColor="text1"/>
                <w:lang w:eastAsia="en-GB"/>
              </w:rPr>
              <w:t xml:space="preserve"> published by the OECD on 2 February 2023.</w:t>
            </w:r>
          </w:p>
          <w:p w14:paraId="00ECD586" w14:textId="77777777" w:rsidR="000C23B6" w:rsidRPr="000C23B6" w:rsidRDefault="000C23B6" w:rsidP="000C23B6">
            <w:pPr>
              <w:tabs>
                <w:tab w:val="num" w:pos="227"/>
                <w:tab w:val="num" w:pos="520"/>
                <w:tab w:val="left" w:pos="720"/>
              </w:tabs>
              <w:ind w:left="227" w:hanging="227"/>
              <w:rPr>
                <w:rFonts w:eastAsia="Calibri"/>
                <w:color w:val="000000" w:themeColor="text1"/>
                <w:lang w:eastAsia="en-GB"/>
              </w:rPr>
            </w:pPr>
            <w:r w:rsidRPr="000C23B6">
              <w:rPr>
                <w:rFonts w:eastAsia="Calibri"/>
                <w:i/>
                <w:color w:val="000000" w:themeColor="text1"/>
                <w:lang w:eastAsia="en-GB"/>
              </w:rPr>
              <w:t>Tax Challenges Arising from the Digitalisation of the Economy – Administrative Guidance on the Global Anti</w:t>
            </w:r>
            <w:r w:rsidRPr="000C23B6">
              <w:rPr>
                <w:rFonts w:eastAsia="Calibri"/>
                <w:i/>
                <w:color w:val="000000" w:themeColor="text1"/>
                <w:lang w:eastAsia="en-GB"/>
              </w:rPr>
              <w:noBreakHyphen/>
              <w:t>Base Erosion Model Rules (Pillar Two)</w:t>
            </w:r>
            <w:r w:rsidRPr="000C23B6">
              <w:rPr>
                <w:rFonts w:eastAsia="Calibri"/>
                <w:color w:val="000000" w:themeColor="text1"/>
                <w:lang w:eastAsia="en-GB"/>
              </w:rPr>
              <w:t>, July 2023 published by the OECD on 17 July 2023.</w:t>
            </w:r>
          </w:p>
          <w:p w14:paraId="18C819F3" w14:textId="77777777" w:rsidR="000C23B6" w:rsidRPr="000C23B6" w:rsidRDefault="000C23B6" w:rsidP="000C23B6">
            <w:pPr>
              <w:tabs>
                <w:tab w:val="num" w:pos="227"/>
                <w:tab w:val="num" w:pos="520"/>
                <w:tab w:val="left" w:pos="720"/>
              </w:tabs>
              <w:ind w:left="227" w:hanging="227"/>
              <w:rPr>
                <w:rFonts w:eastAsia="Calibri"/>
                <w:color w:val="000000" w:themeColor="text1"/>
                <w:lang w:eastAsia="en-GB"/>
              </w:rPr>
            </w:pPr>
            <w:r w:rsidRPr="000C23B6">
              <w:rPr>
                <w:rFonts w:eastAsia="Calibri"/>
                <w:i/>
                <w:color w:val="000000" w:themeColor="text1"/>
                <w:lang w:eastAsia="en-GB"/>
              </w:rPr>
              <w:t>Tax Challenges Arising from the Digitalisation of the Economy – Administrative Guidance on the Global Anti</w:t>
            </w:r>
            <w:r w:rsidRPr="000C23B6">
              <w:rPr>
                <w:rFonts w:eastAsia="Calibri"/>
                <w:i/>
                <w:color w:val="000000" w:themeColor="text1"/>
                <w:lang w:eastAsia="en-GB"/>
              </w:rPr>
              <w:noBreakHyphen/>
              <w:t>Base Erosion Model Rules (Pillar Two)</w:t>
            </w:r>
            <w:r w:rsidRPr="000C23B6">
              <w:rPr>
                <w:rFonts w:eastAsia="Calibri"/>
                <w:color w:val="000000" w:themeColor="text1"/>
                <w:lang w:eastAsia="en-GB"/>
              </w:rPr>
              <w:t>, December 2023 published by the OECD on 18 December 2023.</w:t>
            </w:r>
          </w:p>
          <w:p w14:paraId="4F982F75" w14:textId="77777777" w:rsidR="000C23B6" w:rsidRPr="000C23B6" w:rsidRDefault="000C23B6" w:rsidP="000C23B6">
            <w:pPr>
              <w:tabs>
                <w:tab w:val="num" w:pos="227"/>
                <w:tab w:val="num" w:pos="520"/>
                <w:tab w:val="left" w:pos="720"/>
              </w:tabs>
              <w:ind w:left="227" w:hanging="227"/>
              <w:rPr>
                <w:rFonts w:eastAsia="Calibri"/>
                <w:color w:val="000000" w:themeColor="text1"/>
                <w:lang w:eastAsia="en-GB"/>
              </w:rPr>
            </w:pPr>
            <w:r w:rsidRPr="000C23B6">
              <w:rPr>
                <w:rFonts w:eastAsia="Calibri"/>
                <w:i/>
                <w:iCs/>
                <w:color w:val="000000" w:themeColor="text1"/>
                <w:lang w:eastAsia="en-GB"/>
              </w:rPr>
              <w:t>Tax Challenges Arising from the Digitalisation of the Economy – Administrative Guidance on the Global Anti-Base Erosion Model Rules (Pillar Two)</w:t>
            </w:r>
            <w:r w:rsidRPr="000C23B6">
              <w:rPr>
                <w:rFonts w:eastAsia="Calibri"/>
                <w:color w:val="000000" w:themeColor="text1"/>
                <w:lang w:eastAsia="en-GB"/>
              </w:rPr>
              <w:t>, June 2024</w:t>
            </w:r>
            <w:r w:rsidRPr="000C23B6">
              <w:rPr>
                <w:rFonts w:eastAsia="Calibri"/>
                <w:color w:val="000000" w:themeColor="text1"/>
                <w:lang w:eastAsia="en-GB"/>
              </w:rPr>
              <w:br/>
              <w:t xml:space="preserve">published by the OECD on 17 June 2024. </w:t>
            </w:r>
          </w:p>
        </w:tc>
      </w:tr>
      <w:tr w:rsidR="000C23B6" w:rsidRPr="000C23B6" w14:paraId="081B4336" w14:textId="77777777">
        <w:tc>
          <w:tcPr>
            <w:tcW w:w="3776" w:type="dxa"/>
          </w:tcPr>
          <w:p w14:paraId="626AEC54" w14:textId="77777777" w:rsidR="000C23B6" w:rsidRPr="000C23B6" w:rsidRDefault="000C23B6" w:rsidP="000C23B6">
            <w:r w:rsidRPr="000C23B6">
              <w:t xml:space="preserve">Assessment Act </w:t>
            </w:r>
          </w:p>
        </w:tc>
        <w:tc>
          <w:tcPr>
            <w:tcW w:w="3874" w:type="dxa"/>
          </w:tcPr>
          <w:p w14:paraId="3AF946BB" w14:textId="77777777" w:rsidR="000C23B6" w:rsidRPr="000C23B6" w:rsidRDefault="000C23B6" w:rsidP="000C23B6">
            <w:pPr>
              <w:rPr>
                <w:i/>
                <w:iCs/>
              </w:rPr>
            </w:pPr>
            <w:r w:rsidRPr="000C23B6">
              <w:rPr>
                <w:i/>
                <w:iCs/>
              </w:rPr>
              <w:t>Taxation (Multinational—Global and Domestic Minimum Tax) Act 2024</w:t>
            </w:r>
          </w:p>
        </w:tc>
      </w:tr>
      <w:tr w:rsidR="000C23B6" w:rsidRPr="000C23B6" w14:paraId="6A5D4092" w14:textId="77777777">
        <w:tc>
          <w:tcPr>
            <w:tcW w:w="3776" w:type="dxa"/>
          </w:tcPr>
          <w:p w14:paraId="636564CB" w14:textId="224B8BAA" w:rsidR="000C23B6" w:rsidRPr="000C23B6" w:rsidRDefault="000C23B6" w:rsidP="000C23B6">
            <w:r>
              <w:t xml:space="preserve">Authorised </w:t>
            </w:r>
            <w:r w:rsidRPr="000C23B6">
              <w:t>FAS</w:t>
            </w:r>
          </w:p>
        </w:tc>
        <w:tc>
          <w:tcPr>
            <w:tcW w:w="3874" w:type="dxa"/>
          </w:tcPr>
          <w:p w14:paraId="43D8AC78" w14:textId="438521DC" w:rsidR="000C23B6" w:rsidRPr="000C23B6" w:rsidRDefault="000C23B6" w:rsidP="000C23B6">
            <w:r w:rsidRPr="000C23B6">
              <w:t>Authorised Financial Accounting Standard</w:t>
            </w:r>
          </w:p>
        </w:tc>
      </w:tr>
      <w:tr w:rsidR="000C23B6" w:rsidRPr="000C23B6" w14:paraId="64A243E0" w14:textId="77777777">
        <w:tc>
          <w:tcPr>
            <w:tcW w:w="3776" w:type="dxa"/>
          </w:tcPr>
          <w:p w14:paraId="18EE28D7" w14:textId="77777777" w:rsidR="000C23B6" w:rsidRPr="000C23B6" w:rsidRDefault="000C23B6" w:rsidP="000C23B6">
            <w:r w:rsidRPr="000C23B6">
              <w:lastRenderedPageBreak/>
              <w:t>CbC</w:t>
            </w:r>
          </w:p>
        </w:tc>
        <w:tc>
          <w:tcPr>
            <w:tcW w:w="3874" w:type="dxa"/>
          </w:tcPr>
          <w:p w14:paraId="03A178C1" w14:textId="77777777" w:rsidR="000C23B6" w:rsidRPr="000C23B6" w:rsidRDefault="000C23B6" w:rsidP="000C23B6">
            <w:r w:rsidRPr="000C23B6">
              <w:t>Country-by-Country</w:t>
            </w:r>
          </w:p>
        </w:tc>
      </w:tr>
      <w:tr w:rsidR="000C23B6" w:rsidRPr="000C23B6" w14:paraId="0B1EAACE" w14:textId="77777777">
        <w:tc>
          <w:tcPr>
            <w:tcW w:w="3776" w:type="dxa"/>
          </w:tcPr>
          <w:p w14:paraId="4012D851" w14:textId="1913D754" w:rsidR="000C23B6" w:rsidRPr="000C23B6" w:rsidRDefault="000C23B6" w:rsidP="003407B1">
            <w:pPr>
              <w:tabs>
                <w:tab w:val="left" w:pos="2280"/>
              </w:tabs>
            </w:pPr>
            <w:r w:rsidRPr="000C23B6">
              <w:t>CFS</w:t>
            </w:r>
            <w:r w:rsidR="003407B1">
              <w:tab/>
            </w:r>
          </w:p>
        </w:tc>
        <w:tc>
          <w:tcPr>
            <w:tcW w:w="3874" w:type="dxa"/>
          </w:tcPr>
          <w:p w14:paraId="2E018381" w14:textId="366CFEEC" w:rsidR="000C23B6" w:rsidRPr="000C23B6" w:rsidRDefault="0049664F" w:rsidP="000C23B6">
            <w:r w:rsidRPr="0049664F">
              <w:t>Consolidated Financial Statements</w:t>
            </w:r>
          </w:p>
        </w:tc>
      </w:tr>
      <w:tr w:rsidR="000C23B6" w:rsidRPr="000C23B6" w14:paraId="5B933F52" w14:textId="77777777">
        <w:tc>
          <w:tcPr>
            <w:tcW w:w="3776" w:type="dxa"/>
          </w:tcPr>
          <w:p w14:paraId="328B6A7E" w14:textId="77777777" w:rsidR="000C23B6" w:rsidRPr="000C23B6" w:rsidRDefault="000C23B6" w:rsidP="000C23B6">
            <w:r w:rsidRPr="000C23B6">
              <w:t xml:space="preserve">2022 Commentary </w:t>
            </w:r>
          </w:p>
        </w:tc>
        <w:tc>
          <w:tcPr>
            <w:tcW w:w="3874" w:type="dxa"/>
          </w:tcPr>
          <w:p w14:paraId="29812C75" w14:textId="77777777" w:rsidR="000C23B6" w:rsidRPr="000C23B6" w:rsidRDefault="000C23B6" w:rsidP="000C23B6">
            <w:pPr>
              <w:rPr>
                <w:i/>
                <w:iCs/>
              </w:rPr>
            </w:pPr>
            <w:r w:rsidRPr="000C23B6">
              <w:rPr>
                <w:i/>
                <w:iCs/>
              </w:rPr>
              <w:t xml:space="preserve">Tax Challenges Arising from the Digitalisation of the Economy – Commentary to the Global Anti-Base Erosion Model Rules (Pillar Two), </w:t>
            </w:r>
            <w:r w:rsidRPr="000C23B6">
              <w:t>OECD 2022</w:t>
            </w:r>
          </w:p>
        </w:tc>
      </w:tr>
      <w:tr w:rsidR="000C23B6" w:rsidRPr="000C23B6" w14:paraId="7207FEE4" w14:textId="77777777">
        <w:tc>
          <w:tcPr>
            <w:tcW w:w="3776" w:type="dxa"/>
          </w:tcPr>
          <w:p w14:paraId="3AF11D2F" w14:textId="77777777" w:rsidR="000C23B6" w:rsidRPr="000C23B6" w:rsidRDefault="000C23B6" w:rsidP="000C23B6">
            <w:r w:rsidRPr="000C23B6">
              <w:t>Consolidated Commentary</w:t>
            </w:r>
          </w:p>
        </w:tc>
        <w:tc>
          <w:tcPr>
            <w:tcW w:w="3874" w:type="dxa"/>
          </w:tcPr>
          <w:p w14:paraId="4EF9593C" w14:textId="77777777" w:rsidR="000C23B6" w:rsidRPr="000C23B6" w:rsidRDefault="000C23B6" w:rsidP="000C23B6">
            <w:pPr>
              <w:spacing w:after="0"/>
              <w:rPr>
                <w:i/>
                <w:iCs/>
              </w:rPr>
            </w:pPr>
            <w:r w:rsidRPr="000C23B6">
              <w:rPr>
                <w:i/>
                <w:iCs/>
              </w:rPr>
              <w:t xml:space="preserve">Tax Challenges Arising from </w:t>
            </w:r>
          </w:p>
          <w:p w14:paraId="4EE11F5F" w14:textId="77777777" w:rsidR="000C23B6" w:rsidRPr="000C23B6" w:rsidRDefault="000C23B6" w:rsidP="000C23B6">
            <w:pPr>
              <w:spacing w:before="0" w:after="0"/>
              <w:rPr>
                <w:i/>
                <w:iCs/>
              </w:rPr>
            </w:pPr>
            <w:r w:rsidRPr="000C23B6">
              <w:rPr>
                <w:i/>
                <w:iCs/>
              </w:rPr>
              <w:t xml:space="preserve">the Digitalisation of the Economy – </w:t>
            </w:r>
          </w:p>
          <w:p w14:paraId="2D7D71C7" w14:textId="77777777" w:rsidR="000C23B6" w:rsidRPr="000C23B6" w:rsidRDefault="000C23B6" w:rsidP="000C23B6">
            <w:pPr>
              <w:spacing w:before="0" w:after="0"/>
              <w:rPr>
                <w:i/>
                <w:iCs/>
              </w:rPr>
            </w:pPr>
            <w:r w:rsidRPr="000C23B6">
              <w:rPr>
                <w:i/>
                <w:iCs/>
              </w:rPr>
              <w:t xml:space="preserve">Consolidated Commentary to the Global </w:t>
            </w:r>
          </w:p>
          <w:p w14:paraId="4082B935" w14:textId="6FB77460" w:rsidR="000C23B6" w:rsidRPr="000C23B6" w:rsidRDefault="000C23B6" w:rsidP="000C23B6">
            <w:pPr>
              <w:spacing w:before="0"/>
              <w:rPr>
                <w:i/>
                <w:iCs/>
              </w:rPr>
            </w:pPr>
            <w:r w:rsidRPr="000C23B6">
              <w:rPr>
                <w:i/>
                <w:iCs/>
              </w:rPr>
              <w:t>Anti-Base Erosion Model Rules (2023)</w:t>
            </w:r>
            <w:r w:rsidR="003E7F62">
              <w:rPr>
                <w:i/>
                <w:iCs/>
              </w:rPr>
              <w:t xml:space="preserve"> </w:t>
            </w:r>
            <w:r w:rsidR="003E7F62" w:rsidRPr="003E7F62">
              <w:t>published by the OECD on 2</w:t>
            </w:r>
            <w:r w:rsidR="003E7F62">
              <w:t>5 April 2024</w:t>
            </w:r>
          </w:p>
        </w:tc>
      </w:tr>
      <w:tr w:rsidR="000C23B6" w:rsidRPr="000C23B6" w14:paraId="4F70B891" w14:textId="77777777">
        <w:tc>
          <w:tcPr>
            <w:tcW w:w="3776" w:type="dxa"/>
          </w:tcPr>
          <w:p w14:paraId="37CA6C76" w14:textId="77777777" w:rsidR="000C23B6" w:rsidRPr="000C23B6" w:rsidRDefault="000C23B6" w:rsidP="000C23B6">
            <w:r w:rsidRPr="000C23B6">
              <w:t>Consequential Act</w:t>
            </w:r>
          </w:p>
        </w:tc>
        <w:tc>
          <w:tcPr>
            <w:tcW w:w="3874" w:type="dxa"/>
          </w:tcPr>
          <w:p w14:paraId="6BAFB99D" w14:textId="77777777" w:rsidR="000C23B6" w:rsidRPr="000C23B6" w:rsidRDefault="000C23B6" w:rsidP="000C23B6">
            <w:r w:rsidRPr="000C23B6">
              <w:rPr>
                <w:i/>
                <w:iCs/>
              </w:rPr>
              <w:t>Treasury Laws Amendment (Multinational—Global and Domestic Minimum Tax) (Consequential) Act 2024</w:t>
            </w:r>
          </w:p>
        </w:tc>
      </w:tr>
      <w:tr w:rsidR="000C23B6" w:rsidRPr="000C23B6" w14:paraId="33A90AA3" w14:textId="77777777">
        <w:tc>
          <w:tcPr>
            <w:tcW w:w="3776" w:type="dxa"/>
          </w:tcPr>
          <w:p w14:paraId="32656852" w14:textId="77777777" w:rsidR="000C23B6" w:rsidRPr="000C23B6" w:rsidRDefault="000C23B6" w:rsidP="000C23B6">
            <w:r w:rsidRPr="000C23B6">
              <w:t>DMT</w:t>
            </w:r>
          </w:p>
        </w:tc>
        <w:tc>
          <w:tcPr>
            <w:tcW w:w="3874" w:type="dxa"/>
          </w:tcPr>
          <w:p w14:paraId="775FDCDD" w14:textId="5C8E245E" w:rsidR="000C23B6" w:rsidRPr="000C23B6" w:rsidRDefault="000C23B6" w:rsidP="000C23B6">
            <w:r w:rsidRPr="000C23B6">
              <w:t xml:space="preserve">Domestic </w:t>
            </w:r>
            <w:r w:rsidR="000F3608">
              <w:t>M</w:t>
            </w:r>
            <w:r w:rsidRPr="000C23B6">
              <w:t xml:space="preserve">inimum </w:t>
            </w:r>
            <w:r w:rsidR="000F3608">
              <w:t>T</w:t>
            </w:r>
            <w:r w:rsidRPr="000C23B6">
              <w:t>ax</w:t>
            </w:r>
          </w:p>
        </w:tc>
      </w:tr>
      <w:tr w:rsidR="000C23B6" w:rsidRPr="000C23B6" w14:paraId="5E922256" w14:textId="77777777">
        <w:tc>
          <w:tcPr>
            <w:tcW w:w="3776" w:type="dxa"/>
          </w:tcPr>
          <w:p w14:paraId="7709EEE5" w14:textId="77777777" w:rsidR="000C23B6" w:rsidRPr="000C23B6" w:rsidRDefault="000C23B6" w:rsidP="000C23B6">
            <w:r w:rsidRPr="000C23B6">
              <w:t>ETR</w:t>
            </w:r>
          </w:p>
        </w:tc>
        <w:tc>
          <w:tcPr>
            <w:tcW w:w="3874" w:type="dxa"/>
          </w:tcPr>
          <w:p w14:paraId="531EC5AB" w14:textId="77777777" w:rsidR="000C23B6" w:rsidRPr="000C23B6" w:rsidRDefault="000C23B6" w:rsidP="000C23B6">
            <w:r w:rsidRPr="000C23B6">
              <w:t>Effective Tax Rate</w:t>
            </w:r>
          </w:p>
        </w:tc>
      </w:tr>
      <w:tr w:rsidR="000C23B6" w:rsidRPr="000C23B6" w14:paraId="5D5B61AB" w14:textId="77777777">
        <w:tc>
          <w:tcPr>
            <w:tcW w:w="3776" w:type="dxa"/>
          </w:tcPr>
          <w:p w14:paraId="273C28B1" w14:textId="77777777" w:rsidR="000C23B6" w:rsidRPr="000C23B6" w:rsidRDefault="000C23B6" w:rsidP="000C23B6">
            <w:r w:rsidRPr="000C23B6">
              <w:t>FANIL</w:t>
            </w:r>
          </w:p>
        </w:tc>
        <w:tc>
          <w:tcPr>
            <w:tcW w:w="3874" w:type="dxa"/>
          </w:tcPr>
          <w:p w14:paraId="49F1D3E9" w14:textId="77777777" w:rsidR="000C23B6" w:rsidRPr="000C23B6" w:rsidRDefault="00125D0E" w:rsidP="000C23B6">
            <w:r w:rsidRPr="00125D0E">
              <w:t>Financial Accounting Net Income or Loss</w:t>
            </w:r>
          </w:p>
        </w:tc>
      </w:tr>
      <w:tr w:rsidR="000C23B6" w:rsidRPr="000C23B6" w14:paraId="3CE2F31F" w14:textId="77777777">
        <w:tc>
          <w:tcPr>
            <w:tcW w:w="3776" w:type="dxa"/>
          </w:tcPr>
          <w:p w14:paraId="0967BD99" w14:textId="77777777" w:rsidR="000C23B6" w:rsidRPr="000C23B6" w:rsidRDefault="000C23B6" w:rsidP="000C23B6">
            <w:r w:rsidRPr="000C23B6">
              <w:t xml:space="preserve">Imposition Act </w:t>
            </w:r>
          </w:p>
        </w:tc>
        <w:tc>
          <w:tcPr>
            <w:tcW w:w="3874" w:type="dxa"/>
          </w:tcPr>
          <w:p w14:paraId="6BE14A0E" w14:textId="77777777" w:rsidR="000C23B6" w:rsidRPr="000C23B6" w:rsidRDefault="000C23B6" w:rsidP="000C23B6">
            <w:pPr>
              <w:rPr>
                <w:rFonts w:cs="Times New Roman"/>
              </w:rPr>
            </w:pPr>
            <w:r w:rsidRPr="000C23B6">
              <w:rPr>
                <w:rFonts w:cs="Times New Roman"/>
                <w:i/>
                <w:iCs/>
              </w:rPr>
              <w:t>Taxation (Multinational—Global and Domestic Minimum Tax) Imposition Act 2024</w:t>
            </w:r>
          </w:p>
        </w:tc>
      </w:tr>
      <w:tr w:rsidR="000C23B6" w:rsidRPr="000C23B6" w14:paraId="65FAA1B9" w14:textId="77777777">
        <w:tc>
          <w:tcPr>
            <w:tcW w:w="3776" w:type="dxa"/>
          </w:tcPr>
          <w:p w14:paraId="6995C5CC" w14:textId="77777777" w:rsidR="000C23B6" w:rsidRPr="000C23B6" w:rsidRDefault="000C23B6" w:rsidP="000C23B6">
            <w:r w:rsidRPr="000C23B6">
              <w:t>GloBE Rules</w:t>
            </w:r>
          </w:p>
        </w:tc>
        <w:tc>
          <w:tcPr>
            <w:tcW w:w="3874" w:type="dxa"/>
          </w:tcPr>
          <w:p w14:paraId="31D225A3" w14:textId="77777777" w:rsidR="000C23B6" w:rsidRPr="000C23B6" w:rsidRDefault="000C23B6" w:rsidP="000C23B6">
            <w:r w:rsidRPr="000C23B6">
              <w:t>OECD GloBE Model Rules (as modified by the Commentary, Agreed Administrative Guidance and Safe Harbours Rules)</w:t>
            </w:r>
          </w:p>
        </w:tc>
      </w:tr>
      <w:tr w:rsidR="000C23B6" w:rsidRPr="000C23B6" w14:paraId="38926773" w14:textId="77777777">
        <w:tc>
          <w:tcPr>
            <w:tcW w:w="3776" w:type="dxa"/>
          </w:tcPr>
          <w:p w14:paraId="5B1B294C" w14:textId="77777777" w:rsidR="000C23B6" w:rsidRPr="000C23B6" w:rsidRDefault="000C23B6" w:rsidP="000C23B6">
            <w:r w:rsidRPr="000C23B6">
              <w:t>IIR</w:t>
            </w:r>
          </w:p>
        </w:tc>
        <w:tc>
          <w:tcPr>
            <w:tcW w:w="3874" w:type="dxa"/>
          </w:tcPr>
          <w:p w14:paraId="3C0C2273" w14:textId="77777777" w:rsidR="000C23B6" w:rsidRPr="000C23B6" w:rsidRDefault="000C23B6" w:rsidP="000C23B6">
            <w:r w:rsidRPr="000C23B6">
              <w:t>Income Inclusion Rule</w:t>
            </w:r>
          </w:p>
        </w:tc>
      </w:tr>
      <w:tr w:rsidR="009631BC" w:rsidRPr="000C23B6" w14:paraId="7D0B4377" w14:textId="77777777">
        <w:tc>
          <w:tcPr>
            <w:tcW w:w="3776" w:type="dxa"/>
          </w:tcPr>
          <w:p w14:paraId="52F51A60" w14:textId="4DE09295" w:rsidR="009631BC" w:rsidRPr="000C23B6" w:rsidRDefault="009631BC" w:rsidP="000C23B6">
            <w:r>
              <w:t xml:space="preserve">IPE </w:t>
            </w:r>
          </w:p>
        </w:tc>
        <w:tc>
          <w:tcPr>
            <w:tcW w:w="3874" w:type="dxa"/>
          </w:tcPr>
          <w:p w14:paraId="2001B862" w14:textId="0D265CBC" w:rsidR="009631BC" w:rsidRPr="000C23B6" w:rsidRDefault="009631BC" w:rsidP="000C23B6">
            <w:r>
              <w:t>Intermediate Parent Entity</w:t>
            </w:r>
          </w:p>
        </w:tc>
      </w:tr>
      <w:tr w:rsidR="009631BC" w:rsidRPr="000C23B6" w14:paraId="2071D972" w14:textId="77777777">
        <w:tc>
          <w:tcPr>
            <w:tcW w:w="3776" w:type="dxa"/>
          </w:tcPr>
          <w:p w14:paraId="34283174" w14:textId="081A1A0C" w:rsidR="009631BC" w:rsidRPr="000C23B6" w:rsidRDefault="009631BC" w:rsidP="000C23B6">
            <w:r>
              <w:t>ITAA 1997</w:t>
            </w:r>
          </w:p>
        </w:tc>
        <w:tc>
          <w:tcPr>
            <w:tcW w:w="3874" w:type="dxa"/>
          </w:tcPr>
          <w:p w14:paraId="04FE077C" w14:textId="36F95E11" w:rsidR="009631BC" w:rsidRPr="009631BC" w:rsidRDefault="009631BC" w:rsidP="000C23B6">
            <w:pPr>
              <w:rPr>
                <w:i/>
                <w:iCs/>
              </w:rPr>
            </w:pPr>
            <w:r w:rsidRPr="009631BC">
              <w:rPr>
                <w:i/>
                <w:iCs/>
              </w:rPr>
              <w:t>Income Tax Assessment Act 1997</w:t>
            </w:r>
          </w:p>
        </w:tc>
      </w:tr>
      <w:tr w:rsidR="000C23B6" w:rsidRPr="000C23B6" w14:paraId="57F8B395" w14:textId="77777777">
        <w:tc>
          <w:tcPr>
            <w:tcW w:w="3776" w:type="dxa"/>
          </w:tcPr>
          <w:p w14:paraId="6397802A" w14:textId="77777777" w:rsidR="000C23B6" w:rsidRPr="000C23B6" w:rsidRDefault="000C23B6" w:rsidP="000C23B6">
            <w:r w:rsidRPr="000C23B6">
              <w:t>JV</w:t>
            </w:r>
          </w:p>
        </w:tc>
        <w:tc>
          <w:tcPr>
            <w:tcW w:w="3874" w:type="dxa"/>
          </w:tcPr>
          <w:p w14:paraId="461CBFD9" w14:textId="18E26E3F" w:rsidR="000C23B6" w:rsidRPr="000C23B6" w:rsidRDefault="000C23B6" w:rsidP="000C23B6">
            <w:r w:rsidRPr="000C23B6">
              <w:t xml:space="preserve">Joint </w:t>
            </w:r>
            <w:r w:rsidR="00D30669">
              <w:t>V</w:t>
            </w:r>
            <w:r w:rsidRPr="000C23B6">
              <w:t xml:space="preserve">enture </w:t>
            </w:r>
          </w:p>
        </w:tc>
      </w:tr>
      <w:tr w:rsidR="000C23B6" w:rsidRPr="000C23B6" w14:paraId="2A107DEB" w14:textId="77777777">
        <w:tc>
          <w:tcPr>
            <w:tcW w:w="3776" w:type="dxa"/>
          </w:tcPr>
          <w:p w14:paraId="7B0E4D77" w14:textId="77777777" w:rsidR="000C23B6" w:rsidRPr="000C23B6" w:rsidRDefault="000C23B6" w:rsidP="000C23B6">
            <w:r w:rsidRPr="000C23B6">
              <w:t>LTCE</w:t>
            </w:r>
          </w:p>
        </w:tc>
        <w:tc>
          <w:tcPr>
            <w:tcW w:w="3874" w:type="dxa"/>
          </w:tcPr>
          <w:p w14:paraId="6EBED579" w14:textId="77777777" w:rsidR="000C23B6" w:rsidRPr="000C23B6" w:rsidRDefault="00125D0E" w:rsidP="000C23B6">
            <w:r w:rsidRPr="00125D0E">
              <w:t>Low-Taxed Constituent Entity</w:t>
            </w:r>
          </w:p>
        </w:tc>
      </w:tr>
      <w:tr w:rsidR="00354F58" w:rsidRPr="000C23B6" w14:paraId="54FCF2FA" w14:textId="77777777">
        <w:tc>
          <w:tcPr>
            <w:tcW w:w="3776" w:type="dxa"/>
          </w:tcPr>
          <w:p w14:paraId="0CCD74BC" w14:textId="6F60590F" w:rsidR="00354F58" w:rsidRPr="000C23B6" w:rsidRDefault="00354F58" w:rsidP="00B70208">
            <w:r>
              <w:t>MEC Group</w:t>
            </w:r>
          </w:p>
        </w:tc>
        <w:tc>
          <w:tcPr>
            <w:tcW w:w="3874" w:type="dxa"/>
          </w:tcPr>
          <w:p w14:paraId="41041741" w14:textId="3DC62998" w:rsidR="00354F58" w:rsidRPr="000C23B6" w:rsidRDefault="00354F58" w:rsidP="00B70208">
            <w:r>
              <w:t>Multiple Entry Consolidated Group</w:t>
            </w:r>
          </w:p>
        </w:tc>
      </w:tr>
      <w:tr w:rsidR="00B70208" w:rsidRPr="000C23B6" w14:paraId="6952D5C6" w14:textId="77777777">
        <w:tc>
          <w:tcPr>
            <w:tcW w:w="3776" w:type="dxa"/>
          </w:tcPr>
          <w:p w14:paraId="676A732B" w14:textId="7969B87A" w:rsidR="00B70208" w:rsidRPr="000C23B6" w:rsidRDefault="00B70208" w:rsidP="00B70208">
            <w:r w:rsidRPr="000C23B6">
              <w:lastRenderedPageBreak/>
              <w:t>MNE</w:t>
            </w:r>
            <w:r>
              <w:t xml:space="preserve"> </w:t>
            </w:r>
          </w:p>
        </w:tc>
        <w:tc>
          <w:tcPr>
            <w:tcW w:w="3874" w:type="dxa"/>
          </w:tcPr>
          <w:p w14:paraId="79D13107" w14:textId="67D716EE" w:rsidR="00B70208" w:rsidRPr="000C23B6" w:rsidRDefault="00B70208" w:rsidP="00B70208">
            <w:r w:rsidRPr="000C23B6">
              <w:t>Multinational enterprise</w:t>
            </w:r>
            <w:r>
              <w:t xml:space="preserve"> </w:t>
            </w:r>
          </w:p>
        </w:tc>
      </w:tr>
      <w:tr w:rsidR="00B70208" w:rsidRPr="000C23B6" w14:paraId="1D2B4F1A" w14:textId="77777777">
        <w:tc>
          <w:tcPr>
            <w:tcW w:w="3776" w:type="dxa"/>
          </w:tcPr>
          <w:p w14:paraId="55BB56B1" w14:textId="71F285A8" w:rsidR="00B70208" w:rsidRPr="000C23B6" w:rsidRDefault="00354F58" w:rsidP="00B70208">
            <w:r>
              <w:t xml:space="preserve">MNE Group </w:t>
            </w:r>
          </w:p>
        </w:tc>
        <w:tc>
          <w:tcPr>
            <w:tcW w:w="3874" w:type="dxa"/>
          </w:tcPr>
          <w:p w14:paraId="20859F3B" w14:textId="7D7613B2" w:rsidR="00354F58" w:rsidRDefault="00354F58" w:rsidP="00354F58">
            <w:r>
              <w:t xml:space="preserve">MNE Group as defined in the GloBE </w:t>
            </w:r>
          </w:p>
          <w:p w14:paraId="0EF9B898" w14:textId="413A504F" w:rsidR="00B70208" w:rsidRPr="000C23B6" w:rsidRDefault="00354F58" w:rsidP="00354F58">
            <w:r>
              <w:t>Rules</w:t>
            </w:r>
          </w:p>
        </w:tc>
      </w:tr>
      <w:tr w:rsidR="00B70208" w:rsidRPr="000C23B6" w14:paraId="2307DF59" w14:textId="77777777">
        <w:tc>
          <w:tcPr>
            <w:tcW w:w="3776" w:type="dxa"/>
          </w:tcPr>
          <w:p w14:paraId="21864E8C" w14:textId="450257A2" w:rsidR="00B70208" w:rsidRPr="000C23B6" w:rsidRDefault="00B70208" w:rsidP="00B70208">
            <w:r w:rsidRPr="000C23B6">
              <w:t>MOCE</w:t>
            </w:r>
          </w:p>
        </w:tc>
        <w:tc>
          <w:tcPr>
            <w:tcW w:w="3874" w:type="dxa"/>
          </w:tcPr>
          <w:p w14:paraId="388009E1" w14:textId="05E8B540" w:rsidR="00B70208" w:rsidRPr="000C23B6" w:rsidRDefault="00B70208" w:rsidP="00B70208">
            <w:r w:rsidRPr="000C23B6">
              <w:t>Minority-owned Constituent Entity</w:t>
            </w:r>
          </w:p>
        </w:tc>
      </w:tr>
      <w:tr w:rsidR="00B70208" w:rsidRPr="000C23B6" w14:paraId="72D4B437" w14:textId="77777777">
        <w:tc>
          <w:tcPr>
            <w:tcW w:w="3776" w:type="dxa"/>
          </w:tcPr>
          <w:p w14:paraId="00100E50" w14:textId="77777777" w:rsidR="00B70208" w:rsidRPr="000C23B6" w:rsidRDefault="00B70208" w:rsidP="00B70208">
            <w:r w:rsidRPr="000C23B6">
              <w:t>OECD</w:t>
            </w:r>
          </w:p>
        </w:tc>
        <w:tc>
          <w:tcPr>
            <w:tcW w:w="3874" w:type="dxa"/>
          </w:tcPr>
          <w:p w14:paraId="0301B04A" w14:textId="77777777" w:rsidR="00B70208" w:rsidRPr="000C23B6" w:rsidRDefault="00B70208" w:rsidP="00B70208">
            <w:r w:rsidRPr="000C23B6">
              <w:t xml:space="preserve">Organisation for Economic Cooperation and Development </w:t>
            </w:r>
          </w:p>
        </w:tc>
      </w:tr>
      <w:tr w:rsidR="00B70208" w:rsidRPr="000C23B6" w14:paraId="22F21940" w14:textId="77777777">
        <w:tc>
          <w:tcPr>
            <w:tcW w:w="3776" w:type="dxa"/>
          </w:tcPr>
          <w:p w14:paraId="6512855A" w14:textId="77777777" w:rsidR="00B70208" w:rsidRPr="000C23B6" w:rsidRDefault="00B70208" w:rsidP="00B70208">
            <w:r w:rsidRPr="000C23B6">
              <w:t>OECD GloBE Model Rules</w:t>
            </w:r>
          </w:p>
        </w:tc>
        <w:tc>
          <w:tcPr>
            <w:tcW w:w="3874" w:type="dxa"/>
          </w:tcPr>
          <w:p w14:paraId="1292C090" w14:textId="77777777" w:rsidR="00B70208" w:rsidRPr="000C23B6" w:rsidRDefault="00B70208" w:rsidP="00B70208">
            <w:r w:rsidRPr="000C23B6">
              <w:rPr>
                <w:i/>
                <w:iCs/>
              </w:rPr>
              <w:t xml:space="preserve">Tax Challenges Arising from the Digitalisation of the Economy – Global Anti-Base Erosion Model Rules (Pillar Two) </w:t>
            </w:r>
            <w:r w:rsidRPr="000C23B6">
              <w:t>published by the OECD on 20 December 2021</w:t>
            </w:r>
          </w:p>
        </w:tc>
      </w:tr>
      <w:tr w:rsidR="00B70208" w:rsidRPr="000C23B6" w14:paraId="7EF031C9" w14:textId="77777777">
        <w:tc>
          <w:tcPr>
            <w:tcW w:w="3776" w:type="dxa"/>
          </w:tcPr>
          <w:p w14:paraId="3CBF63EC" w14:textId="77777777" w:rsidR="00B70208" w:rsidRPr="000C23B6" w:rsidRDefault="00B70208" w:rsidP="00B70208">
            <w:r w:rsidRPr="000C23B6">
              <w:t>POPE</w:t>
            </w:r>
          </w:p>
        </w:tc>
        <w:tc>
          <w:tcPr>
            <w:tcW w:w="3874" w:type="dxa"/>
          </w:tcPr>
          <w:p w14:paraId="15692D01" w14:textId="77777777" w:rsidR="00B70208" w:rsidRPr="000C23B6" w:rsidRDefault="00B70208" w:rsidP="00B70208">
            <w:r w:rsidRPr="000C23B6">
              <w:t>Partially-owned Parent Entity</w:t>
            </w:r>
          </w:p>
        </w:tc>
      </w:tr>
      <w:tr w:rsidR="00B70208" w:rsidRPr="000C23B6" w14:paraId="459ECEF6" w14:textId="77777777">
        <w:tc>
          <w:tcPr>
            <w:tcW w:w="3776" w:type="dxa"/>
          </w:tcPr>
          <w:p w14:paraId="5FB2F596" w14:textId="77777777" w:rsidR="00B70208" w:rsidRPr="000C23B6" w:rsidRDefault="00B70208" w:rsidP="00B70208">
            <w:r w:rsidRPr="000C23B6">
              <w:t>RBA</w:t>
            </w:r>
          </w:p>
        </w:tc>
        <w:tc>
          <w:tcPr>
            <w:tcW w:w="3874" w:type="dxa"/>
          </w:tcPr>
          <w:p w14:paraId="6F846836" w14:textId="77777777" w:rsidR="00B70208" w:rsidRPr="000C23B6" w:rsidRDefault="00B70208" w:rsidP="00B70208">
            <w:r w:rsidRPr="000C23B6">
              <w:t>Reserve Bank of Australia</w:t>
            </w:r>
          </w:p>
        </w:tc>
      </w:tr>
      <w:tr w:rsidR="00B70208" w:rsidRPr="000C23B6" w14:paraId="19B40103" w14:textId="77777777">
        <w:tc>
          <w:tcPr>
            <w:tcW w:w="3776" w:type="dxa"/>
          </w:tcPr>
          <w:p w14:paraId="78768A35" w14:textId="77777777" w:rsidR="00B70208" w:rsidRPr="000C23B6" w:rsidRDefault="00B70208" w:rsidP="00B70208">
            <w:r w:rsidRPr="000C23B6">
              <w:t>QDMTT</w:t>
            </w:r>
          </w:p>
        </w:tc>
        <w:tc>
          <w:tcPr>
            <w:tcW w:w="3874" w:type="dxa"/>
          </w:tcPr>
          <w:p w14:paraId="76A10119" w14:textId="08ABFEE3" w:rsidR="00B70208" w:rsidRPr="000C23B6" w:rsidRDefault="00B70208" w:rsidP="00B70208">
            <w:r w:rsidRPr="000C23B6">
              <w:t xml:space="preserve">Qualified Domestic Minimum </w:t>
            </w:r>
            <w:r w:rsidR="00474635">
              <w:t>T</w:t>
            </w:r>
            <w:r w:rsidRPr="000C23B6">
              <w:t>op</w:t>
            </w:r>
            <w:r w:rsidRPr="000C23B6">
              <w:noBreakHyphen/>
              <w:t xml:space="preserve">up </w:t>
            </w:r>
            <w:r w:rsidR="00474635">
              <w:t>T</w:t>
            </w:r>
            <w:r w:rsidRPr="000C23B6">
              <w:t>ax</w:t>
            </w:r>
          </w:p>
        </w:tc>
      </w:tr>
      <w:tr w:rsidR="00B70208" w:rsidRPr="000C23B6" w14:paraId="06BA311D" w14:textId="77777777">
        <w:tc>
          <w:tcPr>
            <w:tcW w:w="3776" w:type="dxa"/>
          </w:tcPr>
          <w:p w14:paraId="29979D58" w14:textId="77777777" w:rsidR="00B70208" w:rsidRPr="000C23B6" w:rsidRDefault="00B70208" w:rsidP="00B70208">
            <w:r w:rsidRPr="000C23B6">
              <w:t>QIIR</w:t>
            </w:r>
          </w:p>
        </w:tc>
        <w:tc>
          <w:tcPr>
            <w:tcW w:w="3874" w:type="dxa"/>
          </w:tcPr>
          <w:p w14:paraId="387BF6DC" w14:textId="77777777" w:rsidR="00B70208" w:rsidRPr="000C23B6" w:rsidRDefault="00B70208" w:rsidP="00B70208">
            <w:r w:rsidRPr="000C23B6">
              <w:t>Qualified Income Inclusion Rules</w:t>
            </w:r>
          </w:p>
        </w:tc>
      </w:tr>
      <w:tr w:rsidR="00B70208" w:rsidRPr="000C23B6" w14:paraId="2A37260F" w14:textId="77777777">
        <w:tc>
          <w:tcPr>
            <w:tcW w:w="3776" w:type="dxa"/>
          </w:tcPr>
          <w:p w14:paraId="2FFADB2F" w14:textId="3A29A2FE" w:rsidR="00B70208" w:rsidRPr="000C23B6" w:rsidRDefault="00B70208" w:rsidP="00B70208">
            <w:r w:rsidRPr="000C23B6">
              <w:t>Safe Harbour</w:t>
            </w:r>
            <w:r>
              <w:t xml:space="preserve"> Guidance</w:t>
            </w:r>
          </w:p>
        </w:tc>
        <w:tc>
          <w:tcPr>
            <w:tcW w:w="3874" w:type="dxa"/>
          </w:tcPr>
          <w:p w14:paraId="45B77603" w14:textId="77777777" w:rsidR="00B70208" w:rsidRPr="000C23B6" w:rsidRDefault="00B70208" w:rsidP="00B70208">
            <w:r w:rsidRPr="000C23B6">
              <w:rPr>
                <w:i/>
              </w:rPr>
              <w:t>Safe Harbours and Penalty Relief: Global Anti</w:t>
            </w:r>
            <w:r w:rsidRPr="000C23B6">
              <w:rPr>
                <w:i/>
              </w:rPr>
              <w:noBreakHyphen/>
              <w:t>Base Erosion Rules (Pillar Two)</w:t>
            </w:r>
            <w:r w:rsidRPr="000C23B6">
              <w:t xml:space="preserve"> published by the OECD on 20 December 2022</w:t>
            </w:r>
          </w:p>
        </w:tc>
      </w:tr>
      <w:tr w:rsidR="00B70208" w:rsidRPr="000C23B6" w14:paraId="6F34E1F6" w14:textId="77777777">
        <w:tc>
          <w:tcPr>
            <w:tcW w:w="3776" w:type="dxa"/>
          </w:tcPr>
          <w:p w14:paraId="6F33CAD7" w14:textId="1FC25434" w:rsidR="00B70208" w:rsidRPr="000C23B6" w:rsidRDefault="00B70208" w:rsidP="00B70208">
            <w:r>
              <w:t xml:space="preserve">TCG </w:t>
            </w:r>
          </w:p>
        </w:tc>
        <w:tc>
          <w:tcPr>
            <w:tcW w:w="3874" w:type="dxa"/>
          </w:tcPr>
          <w:p w14:paraId="30F98375" w14:textId="1DBA4344" w:rsidR="00B70208" w:rsidRPr="00B56FB8" w:rsidRDefault="001B58B0" w:rsidP="00B70208">
            <w:r w:rsidRPr="001B58B0">
              <w:t>Tax Consolidated Group</w:t>
            </w:r>
          </w:p>
        </w:tc>
      </w:tr>
      <w:tr w:rsidR="00B70208" w:rsidRPr="000C23B6" w14:paraId="7694A511" w14:textId="77777777">
        <w:tc>
          <w:tcPr>
            <w:tcW w:w="3776" w:type="dxa"/>
          </w:tcPr>
          <w:p w14:paraId="20BBE68B" w14:textId="77777777" w:rsidR="00B70208" w:rsidRPr="000C23B6" w:rsidRDefault="00B70208" w:rsidP="00B70208">
            <w:r w:rsidRPr="000C23B6">
              <w:t>The Rules</w:t>
            </w:r>
          </w:p>
        </w:tc>
        <w:tc>
          <w:tcPr>
            <w:tcW w:w="3874" w:type="dxa"/>
          </w:tcPr>
          <w:p w14:paraId="638814D9" w14:textId="77777777" w:rsidR="00B70208" w:rsidRPr="000C23B6" w:rsidRDefault="00B70208" w:rsidP="00B70208">
            <w:pPr>
              <w:rPr>
                <w:rFonts w:cs="Times New Roman"/>
                <w:i/>
                <w:iCs/>
              </w:rPr>
            </w:pPr>
            <w:r w:rsidRPr="000C23B6">
              <w:rPr>
                <w:i/>
                <w:iCs/>
              </w:rPr>
              <w:t>Taxation (Multinational—Global and Domestic Minimum Tax) Rules 2024</w:t>
            </w:r>
          </w:p>
        </w:tc>
      </w:tr>
      <w:tr w:rsidR="00B70208" w:rsidRPr="000C23B6" w14:paraId="537E8F30" w14:textId="77777777">
        <w:tc>
          <w:tcPr>
            <w:tcW w:w="3776" w:type="dxa"/>
          </w:tcPr>
          <w:p w14:paraId="3F8D6E05" w14:textId="77777777" w:rsidR="00B70208" w:rsidRPr="000C23B6" w:rsidRDefault="00B70208" w:rsidP="00B70208">
            <w:r w:rsidRPr="000C23B6">
              <w:t>UPE</w:t>
            </w:r>
          </w:p>
        </w:tc>
        <w:tc>
          <w:tcPr>
            <w:tcW w:w="3874" w:type="dxa"/>
          </w:tcPr>
          <w:p w14:paraId="2FC27E93" w14:textId="77777777" w:rsidR="00B70208" w:rsidRPr="000C23B6" w:rsidRDefault="001B58B0" w:rsidP="00B70208">
            <w:r w:rsidRPr="001B58B0">
              <w:t>Ultimate Parent Entity</w:t>
            </w:r>
          </w:p>
        </w:tc>
      </w:tr>
      <w:tr w:rsidR="00B70208" w:rsidRPr="000C23B6" w14:paraId="07B85EBA" w14:textId="77777777">
        <w:tc>
          <w:tcPr>
            <w:tcW w:w="3776" w:type="dxa"/>
          </w:tcPr>
          <w:p w14:paraId="394810B6" w14:textId="77777777" w:rsidR="00B70208" w:rsidRPr="000C23B6" w:rsidRDefault="00B70208" w:rsidP="00B70208">
            <w:r w:rsidRPr="000C23B6">
              <w:t>UTPR</w:t>
            </w:r>
          </w:p>
        </w:tc>
        <w:tc>
          <w:tcPr>
            <w:tcW w:w="3874" w:type="dxa"/>
          </w:tcPr>
          <w:p w14:paraId="1CB5DBA7" w14:textId="77777777" w:rsidR="00B70208" w:rsidRPr="000C23B6" w:rsidRDefault="00B70208" w:rsidP="00B70208">
            <w:pPr>
              <w:rPr>
                <w:i/>
                <w:iCs/>
              </w:rPr>
            </w:pPr>
            <w:r w:rsidRPr="000C23B6">
              <w:t>Undertaxed Profits Rules</w:t>
            </w:r>
          </w:p>
        </w:tc>
      </w:tr>
    </w:tbl>
    <w:p w14:paraId="2FE71C20" w14:textId="77777777" w:rsidR="00873094" w:rsidRPr="00020288" w:rsidRDefault="00873094" w:rsidP="00873094"/>
    <w:p w14:paraId="502EBE0F" w14:textId="77777777" w:rsidR="00873094" w:rsidRPr="00020288" w:rsidRDefault="00873094" w:rsidP="00873094">
      <w:pPr>
        <w:pStyle w:val="Heading1"/>
        <w:rPr>
          <w:rFonts w:hint="eastAsia"/>
        </w:rPr>
        <w:sectPr w:rsidR="00873094" w:rsidRPr="00020288" w:rsidSect="00000BFC">
          <w:headerReference w:type="even" r:id="rId17"/>
          <w:headerReference w:type="default" r:id="rId18"/>
          <w:headerReference w:type="first" r:id="rId19"/>
          <w:footerReference w:type="first" r:id="rId20"/>
          <w:type w:val="oddPage"/>
          <w:pgSz w:w="9979" w:h="14175" w:code="9"/>
          <w:pgMar w:top="567" w:right="1134" w:bottom="567" w:left="1134" w:header="709" w:footer="709" w:gutter="0"/>
          <w:pgNumType w:fmt="lowerRoman"/>
          <w:cols w:space="708"/>
          <w:docGrid w:linePitch="360"/>
        </w:sectPr>
      </w:pPr>
      <w:bookmarkStart w:id="36" w:name="_Toc78548464"/>
      <w:bookmarkStart w:id="37" w:name="_Toc78549735"/>
      <w:bookmarkStart w:id="38" w:name="_Toc78549780"/>
      <w:bookmarkStart w:id="39" w:name="_Toc80097484"/>
      <w:bookmarkStart w:id="40" w:name="_Toc80097778"/>
      <w:bookmarkStart w:id="41" w:name="_Toc80115277"/>
      <w:bookmarkStart w:id="42" w:name="_Toc80172452"/>
      <w:bookmarkStart w:id="43" w:name="_Toc80197116"/>
      <w:bookmarkStart w:id="44" w:name="_Toc81852683"/>
      <w:bookmarkStart w:id="45" w:name="_Toc81852728"/>
    </w:p>
    <w:p w14:paraId="403DAC83" w14:textId="0E9DF6FD" w:rsidR="00873094" w:rsidRPr="0073326A" w:rsidRDefault="000C23B6" w:rsidP="00777A92">
      <w:pPr>
        <w:pStyle w:val="Chapterheading"/>
        <w:rPr>
          <w:rFonts w:hint="eastAsia"/>
        </w:rPr>
      </w:pPr>
      <w:bookmarkStart w:id="46" w:name="GeneralOutline"/>
      <w:bookmarkStart w:id="47" w:name="_Toc183417098"/>
      <w:bookmarkStart w:id="48" w:name="_Toc183786626"/>
      <w:bookmarkEnd w:id="33"/>
      <w:bookmarkEnd w:id="34"/>
      <w:bookmarkEnd w:id="35"/>
      <w:bookmarkEnd w:id="36"/>
      <w:bookmarkEnd w:id="37"/>
      <w:bookmarkEnd w:id="38"/>
      <w:bookmarkEnd w:id="39"/>
      <w:bookmarkEnd w:id="40"/>
      <w:bookmarkEnd w:id="41"/>
      <w:bookmarkEnd w:id="42"/>
      <w:bookmarkEnd w:id="43"/>
      <w:bookmarkEnd w:id="44"/>
      <w:bookmarkEnd w:id="45"/>
      <w:bookmarkEnd w:id="46"/>
      <w:r>
        <w:lastRenderedPageBreak/>
        <w:t>Scope of entities</w:t>
      </w:r>
      <w:bookmarkEnd w:id="47"/>
      <w:bookmarkEnd w:id="48"/>
      <w:r>
        <w:t xml:space="preserve"> </w:t>
      </w:r>
    </w:p>
    <w:p w14:paraId="389E23B4" w14:textId="36596918" w:rsidR="00916EE2" w:rsidRDefault="0096460F" w:rsidP="0096460F">
      <w:pPr>
        <w:pStyle w:val="TOCHeading"/>
      </w:pPr>
      <w:bookmarkStart w:id="49" w:name="_Toc183786627"/>
      <w:bookmarkStart w:id="50" w:name="Chapter1"/>
      <w:r>
        <w:t xml:space="preserve">Table of Contents: </w:t>
      </w:r>
    </w:p>
    <w:p w14:paraId="5993BE32" w14:textId="7EA1CC80" w:rsidR="0096460F" w:rsidRDefault="0096460F">
      <w:pPr>
        <w:pStyle w:val="TOC2"/>
        <w:rPr>
          <w:rFonts w:asciiTheme="minorHAnsi" w:eastAsiaTheme="minorEastAsia" w:hAnsiTheme="minorHAnsi"/>
          <w:kern w:val="2"/>
          <w:sz w:val="22"/>
          <w:lang w:eastAsia="en-AU"/>
          <w14:ligatures w14:val="standardContextual"/>
        </w:rPr>
      </w:pPr>
      <w:r>
        <w:fldChar w:fldCharType="begin"/>
      </w:r>
      <w:r>
        <w:instrText xml:space="preserve"> TOC \o "1-3" \z  \B Chapter1</w:instrText>
      </w:r>
      <w:r>
        <w:fldChar w:fldCharType="separate"/>
      </w:r>
      <w:r>
        <w:t>Outline of chapter</w:t>
      </w:r>
      <w:r>
        <w:rPr>
          <w:webHidden/>
        </w:rPr>
        <w:tab/>
      </w:r>
      <w:r>
        <w:rPr>
          <w:webHidden/>
        </w:rPr>
        <w:fldChar w:fldCharType="begin"/>
      </w:r>
      <w:r>
        <w:rPr>
          <w:webHidden/>
        </w:rPr>
        <w:instrText xml:space="preserve"> PAGEREF _Toc185502977 \h </w:instrText>
      </w:r>
      <w:r>
        <w:rPr>
          <w:webHidden/>
        </w:rPr>
      </w:r>
      <w:r>
        <w:rPr>
          <w:webHidden/>
        </w:rPr>
        <w:fldChar w:fldCharType="separate"/>
      </w:r>
      <w:r w:rsidR="009D6D0D">
        <w:rPr>
          <w:webHidden/>
        </w:rPr>
        <w:t>7</w:t>
      </w:r>
      <w:r>
        <w:rPr>
          <w:webHidden/>
        </w:rPr>
        <w:fldChar w:fldCharType="end"/>
      </w:r>
    </w:p>
    <w:p w14:paraId="13F4760F" w14:textId="52881F2B" w:rsidR="0096460F" w:rsidRDefault="0096460F">
      <w:pPr>
        <w:pStyle w:val="TOC2"/>
        <w:rPr>
          <w:rFonts w:asciiTheme="minorHAnsi" w:eastAsiaTheme="minorEastAsia" w:hAnsiTheme="minorHAnsi"/>
          <w:kern w:val="2"/>
          <w:sz w:val="22"/>
          <w:lang w:eastAsia="en-AU"/>
          <w14:ligatures w14:val="standardContextual"/>
        </w:rPr>
      </w:pPr>
      <w:r>
        <w:t>Detailed explanation of new law</w:t>
      </w:r>
      <w:r>
        <w:rPr>
          <w:webHidden/>
        </w:rPr>
        <w:tab/>
      </w:r>
      <w:r>
        <w:rPr>
          <w:webHidden/>
        </w:rPr>
        <w:fldChar w:fldCharType="begin"/>
      </w:r>
      <w:r>
        <w:rPr>
          <w:webHidden/>
        </w:rPr>
        <w:instrText xml:space="preserve"> PAGEREF _Toc185502978 \h </w:instrText>
      </w:r>
      <w:r>
        <w:rPr>
          <w:webHidden/>
        </w:rPr>
      </w:r>
      <w:r>
        <w:rPr>
          <w:webHidden/>
        </w:rPr>
        <w:fldChar w:fldCharType="separate"/>
      </w:r>
      <w:r w:rsidR="009D6D0D">
        <w:rPr>
          <w:webHidden/>
        </w:rPr>
        <w:t>8</w:t>
      </w:r>
      <w:r>
        <w:rPr>
          <w:webHidden/>
        </w:rPr>
        <w:fldChar w:fldCharType="end"/>
      </w:r>
    </w:p>
    <w:p w14:paraId="2461D486" w14:textId="3E4A90E8"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Scope: Excluded entities</w:t>
      </w:r>
      <w:r>
        <w:rPr>
          <w:noProof/>
          <w:webHidden/>
        </w:rPr>
        <w:tab/>
      </w:r>
      <w:r>
        <w:rPr>
          <w:noProof/>
          <w:webHidden/>
        </w:rPr>
        <w:fldChar w:fldCharType="begin"/>
      </w:r>
      <w:r>
        <w:rPr>
          <w:noProof/>
          <w:webHidden/>
        </w:rPr>
        <w:instrText xml:space="preserve"> PAGEREF _Toc185502979 \h </w:instrText>
      </w:r>
      <w:r>
        <w:rPr>
          <w:noProof/>
          <w:webHidden/>
        </w:rPr>
      </w:r>
      <w:r>
        <w:rPr>
          <w:noProof/>
          <w:webHidden/>
        </w:rPr>
        <w:fldChar w:fldCharType="separate"/>
      </w:r>
      <w:r w:rsidR="009D6D0D">
        <w:rPr>
          <w:noProof/>
          <w:webHidden/>
        </w:rPr>
        <w:t>8</w:t>
      </w:r>
      <w:r>
        <w:rPr>
          <w:noProof/>
          <w:webHidden/>
        </w:rPr>
        <w:fldChar w:fldCharType="end"/>
      </w:r>
    </w:p>
    <w:p w14:paraId="635EE18C" w14:textId="5822DF90" w:rsidR="0096460F" w:rsidRPr="0096460F" w:rsidRDefault="0096460F" w:rsidP="00B7652D">
      <w:r>
        <w:fldChar w:fldCharType="end"/>
      </w:r>
    </w:p>
    <w:p w14:paraId="7E5305CD" w14:textId="77777777" w:rsidR="00873094" w:rsidRPr="00020288" w:rsidRDefault="00873094" w:rsidP="005D0844">
      <w:pPr>
        <w:pStyle w:val="Heading2"/>
        <w:rPr>
          <w:rFonts w:hint="eastAsia"/>
        </w:rPr>
      </w:pPr>
      <w:bookmarkStart w:id="51" w:name="_Toc185502977"/>
      <w:r w:rsidRPr="00020288">
        <w:t xml:space="preserve">Outline </w:t>
      </w:r>
      <w:r w:rsidRPr="005D0844">
        <w:t>of</w:t>
      </w:r>
      <w:r w:rsidRPr="00020288">
        <w:t xml:space="preserve"> chapter</w:t>
      </w:r>
      <w:bookmarkEnd w:id="49"/>
      <w:bookmarkEnd w:id="51"/>
    </w:p>
    <w:p w14:paraId="6785C276" w14:textId="77777777" w:rsidR="008E2AF8" w:rsidRPr="00221A02" w:rsidRDefault="008E2AF8" w:rsidP="008E2AF8">
      <w:pPr>
        <w:numPr>
          <w:ilvl w:val="1"/>
          <w:numId w:val="16"/>
        </w:numPr>
        <w:rPr>
          <w:rFonts w:eastAsia="Calibri" w:cs="Times New Roman"/>
        </w:rPr>
      </w:pPr>
      <w:r w:rsidRPr="00221A02">
        <w:rPr>
          <w:rFonts w:eastAsia="Calibri" w:cs="Times New Roman"/>
        </w:rPr>
        <w:t xml:space="preserve">The Assessment Act establishes a new taxation framework that assesses the </w:t>
      </w:r>
      <w:r w:rsidRPr="4779C8F1">
        <w:rPr>
          <w:rFonts w:eastAsia="Calibri" w:cs="Times New Roman"/>
        </w:rPr>
        <w:t>Domestic Minimum Tax</w:t>
      </w:r>
      <w:r w:rsidRPr="00221A02">
        <w:rPr>
          <w:rFonts w:eastAsia="Calibri" w:cs="Times New Roman"/>
        </w:rPr>
        <w:t xml:space="preserve"> and the global minimum top-up tax liability on certain MNEs as a part of coordinated global approach. The Assessment Act, Imposition Act and Consequential Act (together, the Acts) ensure that MNEs within scope of the OECD’s GloBE Rules pay a Minimum Rate of 15 per cent on the GloBE Income arising in each jurisdiction they operate, consistent with the GloBE Rules.</w:t>
      </w:r>
    </w:p>
    <w:p w14:paraId="118216CA" w14:textId="77777777" w:rsidR="008E2AF8" w:rsidRPr="00221A02" w:rsidRDefault="008E2AF8" w:rsidP="008E2AF8">
      <w:pPr>
        <w:numPr>
          <w:ilvl w:val="1"/>
          <w:numId w:val="16"/>
        </w:numPr>
        <w:rPr>
          <w:rFonts w:eastAsia="Calibri" w:cs="Times New Roman"/>
        </w:rPr>
      </w:pPr>
      <w:r w:rsidRPr="00221A02">
        <w:rPr>
          <w:rFonts w:eastAsia="Calibri" w:cs="Times New Roman"/>
        </w:rPr>
        <w:t>The Rules provide the specific legislative machinery and computations required to be undertaken to determine the amount of top-up tax liability.</w:t>
      </w:r>
    </w:p>
    <w:p w14:paraId="46B108C4" w14:textId="3C3A6A91" w:rsidR="008E2AF8" w:rsidRPr="00221A02" w:rsidRDefault="008E2AF8" w:rsidP="008E2AF8">
      <w:pPr>
        <w:numPr>
          <w:ilvl w:val="1"/>
          <w:numId w:val="16"/>
        </w:numPr>
        <w:rPr>
          <w:rFonts w:eastAsia="Calibri" w:cs="Times New Roman"/>
        </w:rPr>
      </w:pPr>
      <w:r w:rsidRPr="00221A02">
        <w:rPr>
          <w:rFonts w:eastAsia="Calibri" w:cs="Times New Roman"/>
        </w:rPr>
        <w:t xml:space="preserve">The Rules implement the core provisions for computing </w:t>
      </w:r>
      <w:r w:rsidR="000427BB">
        <w:rPr>
          <w:rFonts w:eastAsia="Calibri" w:cs="Times New Roman"/>
        </w:rPr>
        <w:t>T</w:t>
      </w:r>
      <w:r w:rsidRPr="45A54236">
        <w:rPr>
          <w:rFonts w:eastAsia="Calibri" w:cs="Times New Roman"/>
        </w:rPr>
        <w:t>op</w:t>
      </w:r>
      <w:r w:rsidRPr="0FBE0675">
        <w:rPr>
          <w:rFonts w:eastAsia="Calibri" w:cs="Times New Roman"/>
        </w:rPr>
        <w:t>-</w:t>
      </w:r>
      <w:r w:rsidRPr="00221A02">
        <w:rPr>
          <w:rFonts w:eastAsia="Calibri" w:cs="Times New Roman"/>
        </w:rPr>
        <w:t xml:space="preserve">up </w:t>
      </w:r>
      <w:r w:rsidRPr="45A54236">
        <w:rPr>
          <w:rFonts w:eastAsia="Calibri" w:cs="Times New Roman"/>
        </w:rPr>
        <w:t>Tax</w:t>
      </w:r>
      <w:r w:rsidRPr="00221A02">
        <w:rPr>
          <w:rFonts w:eastAsia="Calibri" w:cs="Times New Roman"/>
        </w:rPr>
        <w:t xml:space="preserve">, by determining the </w:t>
      </w:r>
      <w:r w:rsidRPr="45A54236">
        <w:rPr>
          <w:rFonts w:eastAsia="Calibri" w:cs="Times New Roman"/>
        </w:rPr>
        <w:t>amount</w:t>
      </w:r>
      <w:r w:rsidRPr="00221A02">
        <w:rPr>
          <w:rFonts w:eastAsia="Calibri" w:cs="Times New Roman"/>
        </w:rPr>
        <w:t xml:space="preserve"> of </w:t>
      </w:r>
      <w:r w:rsidRPr="76050EA2">
        <w:rPr>
          <w:rFonts w:eastAsia="Calibri" w:cs="Times New Roman"/>
        </w:rPr>
        <w:t>t</w:t>
      </w:r>
      <w:r w:rsidRPr="45A54236">
        <w:rPr>
          <w:rFonts w:eastAsia="Calibri" w:cs="Times New Roman"/>
        </w:rPr>
        <w:t xml:space="preserve">op-up </w:t>
      </w:r>
      <w:r w:rsidRPr="76050EA2">
        <w:rPr>
          <w:rFonts w:eastAsia="Calibri" w:cs="Times New Roman"/>
        </w:rPr>
        <w:t>tax</w:t>
      </w:r>
      <w:r w:rsidRPr="00221A02">
        <w:rPr>
          <w:rFonts w:eastAsia="Calibri" w:cs="Times New Roman"/>
        </w:rPr>
        <w:t xml:space="preserve"> that is applicable with respect to the ETR based on adjusted covered taxes divided by GloBE Income of an MNE Group in a jurisdiction. The Rules also provide ancillary provisions for special entities, transitional rules</w:t>
      </w:r>
      <w:r w:rsidR="000F3608" w:rsidRPr="00221A02">
        <w:rPr>
          <w:rFonts w:eastAsia="Calibri" w:cs="Times New Roman"/>
        </w:rPr>
        <w:t>,</w:t>
      </w:r>
      <w:r w:rsidRPr="00221A02">
        <w:rPr>
          <w:rFonts w:eastAsia="Calibri" w:cs="Times New Roman"/>
        </w:rPr>
        <w:t xml:space="preserve"> and safe harbours.</w:t>
      </w:r>
    </w:p>
    <w:p w14:paraId="10AA28B0" w14:textId="77777777" w:rsidR="008E2AF8" w:rsidRPr="00221A02" w:rsidRDefault="008E2AF8" w:rsidP="008E2AF8">
      <w:pPr>
        <w:numPr>
          <w:ilvl w:val="1"/>
          <w:numId w:val="16"/>
        </w:numPr>
        <w:rPr>
          <w:rFonts w:eastAsia="Calibri" w:cs="Times New Roman"/>
        </w:rPr>
      </w:pPr>
      <w:r w:rsidRPr="00221A02">
        <w:rPr>
          <w:rFonts w:eastAsia="Calibri" w:cs="Times New Roman"/>
        </w:rPr>
        <w:t xml:space="preserve">The Rules contain detail on Chapters 2 to 5 of the GloBE Rules that establish the computations for calculating an ETR. The ancillary Chapters 6 and 7 of the GloBE Rules are included to support the </w:t>
      </w:r>
      <w:r>
        <w:rPr>
          <w:rFonts w:eastAsia="Calibri" w:cs="Times New Roman"/>
        </w:rPr>
        <w:t>ETR</w:t>
      </w:r>
      <w:r w:rsidRPr="00221A02">
        <w:rPr>
          <w:rFonts w:eastAsia="Calibri" w:cs="Times New Roman"/>
        </w:rPr>
        <w:t xml:space="preserve"> computations for special entities. The safe harbours and transitional provisions from Chapters 8 and 9 of the GloBE Rules are also contained in the Rules.</w:t>
      </w:r>
    </w:p>
    <w:p w14:paraId="5978AECE" w14:textId="493F3D09" w:rsidR="000C23B6" w:rsidRDefault="008E2AF8">
      <w:pPr>
        <w:pStyle w:val="Normalparatextwithnumbers"/>
        <w:numPr>
          <w:ilvl w:val="1"/>
          <w:numId w:val="16"/>
        </w:numPr>
      </w:pPr>
      <w:r w:rsidRPr="008E2AF8">
        <w:rPr>
          <w:rFonts w:eastAsia="Calibri" w:cs="Times New Roman"/>
        </w:rPr>
        <w:t>The following content on Chapter 1 sets out further entities that are excluded from the scope of the GloBE Rules and the currency translation rules that apply.</w:t>
      </w:r>
      <w:r w:rsidR="000C23B6">
        <w:t xml:space="preserve"> </w:t>
      </w:r>
    </w:p>
    <w:p w14:paraId="1A065816" w14:textId="77777777" w:rsidR="00873094" w:rsidRPr="00020288" w:rsidRDefault="00873094" w:rsidP="00873094">
      <w:pPr>
        <w:pStyle w:val="Heading2"/>
        <w:numPr>
          <w:ilvl w:val="1"/>
          <w:numId w:val="2"/>
        </w:numPr>
        <w:tabs>
          <w:tab w:val="num" w:pos="567"/>
        </w:tabs>
        <w:ind w:left="567" w:hanging="567"/>
        <w:rPr>
          <w:rFonts w:hint="eastAsia"/>
        </w:rPr>
      </w:pPr>
      <w:bookmarkStart w:id="52" w:name="_Toc183786628"/>
      <w:bookmarkStart w:id="53" w:name="_Toc185502978"/>
      <w:r w:rsidRPr="00020288">
        <w:lastRenderedPageBreak/>
        <w:t>Detailed explanation of new law</w:t>
      </w:r>
      <w:bookmarkEnd w:id="52"/>
      <w:bookmarkEnd w:id="53"/>
    </w:p>
    <w:p w14:paraId="5D3AF7EA" w14:textId="77777777" w:rsidR="000C23B6" w:rsidRPr="0066772A" w:rsidRDefault="000C23B6" w:rsidP="000C23B6">
      <w:pPr>
        <w:pStyle w:val="Heading3"/>
        <w:rPr>
          <w:rFonts w:hint="eastAsia"/>
        </w:rPr>
      </w:pPr>
      <w:bookmarkStart w:id="54" w:name="_Toc159844665"/>
      <w:bookmarkStart w:id="55" w:name="_Toc183786629"/>
      <w:bookmarkStart w:id="56" w:name="_Toc185502979"/>
      <w:bookmarkStart w:id="57" w:name="_Toc181104495"/>
      <w:r>
        <w:t>Scope: Excluded entities</w:t>
      </w:r>
      <w:bookmarkEnd w:id="54"/>
      <w:bookmarkEnd w:id="55"/>
      <w:bookmarkEnd w:id="56"/>
      <w:r>
        <w:t xml:space="preserve"> </w:t>
      </w:r>
      <w:bookmarkEnd w:id="57"/>
    </w:p>
    <w:p w14:paraId="117F9340" w14:textId="19125444" w:rsidR="005D5519" w:rsidRPr="00992D24" w:rsidRDefault="005D5519" w:rsidP="005D5519">
      <w:pPr>
        <w:pStyle w:val="Normalparatextwithnumbers"/>
        <w:rPr>
          <w:rFonts w:eastAsia="Calibri" w:cs="Times New Roman"/>
        </w:rPr>
      </w:pPr>
      <w:r>
        <w:rPr>
          <w:rFonts w:eastAsia="Calibri" w:cs="Times New Roman"/>
        </w:rPr>
        <w:t xml:space="preserve">The </w:t>
      </w:r>
      <w:r w:rsidRPr="000F1626">
        <w:t>GloBE Rules stipulate that an Excluded Entity is not subject to the GloBE Rules. However, the revenue of an Excluded Entity is included in ascertaining whether</w:t>
      </w:r>
      <w:r>
        <w:t xml:space="preserve"> </w:t>
      </w:r>
      <w:r w:rsidRPr="000F1626">
        <w:t>the EUR 750 million GloBE Threshold has been satisfied</w:t>
      </w:r>
      <w:r>
        <w:t>.</w:t>
      </w:r>
    </w:p>
    <w:p w14:paraId="6640BCE4" w14:textId="793762E4" w:rsidR="005D5519" w:rsidRDefault="000427BB" w:rsidP="005D5519">
      <w:pPr>
        <w:pStyle w:val="Normalparatextwithnumbers"/>
      </w:pPr>
      <w:r>
        <w:rPr>
          <w:rFonts w:eastAsia="Calibri" w:cs="Times New Roman"/>
        </w:rPr>
        <w:t>Section 20 of t</w:t>
      </w:r>
      <w:r w:rsidR="005D5519">
        <w:rPr>
          <w:rFonts w:eastAsia="Calibri" w:cs="Times New Roman"/>
        </w:rPr>
        <w:t xml:space="preserve">he Assessment Act </w:t>
      </w:r>
      <w:r w:rsidR="005D5519" w:rsidRPr="00BD5AAF">
        <w:t>defin</w:t>
      </w:r>
      <w:r>
        <w:t>es</w:t>
      </w:r>
      <w:r w:rsidR="005D5519" w:rsidRPr="00BD5AAF">
        <w:t xml:space="preserve"> an Excluded Entity</w:t>
      </w:r>
      <w:r>
        <w:t>, which includes an empowering provision for the Rules to prescribe further Entities that are Excluded</w:t>
      </w:r>
      <w:r w:rsidR="005D5519">
        <w:t>.</w:t>
      </w:r>
      <w:r>
        <w:t xml:space="preserve"> </w:t>
      </w:r>
    </w:p>
    <w:p w14:paraId="3A45C64B" w14:textId="3C9CCD27" w:rsidR="000C23B6" w:rsidRPr="00346AD6" w:rsidRDefault="000C23B6" w:rsidP="000C23B6">
      <w:pPr>
        <w:pStyle w:val="Heading6"/>
        <w:rPr>
          <w:rFonts w:hint="eastAsia"/>
        </w:rPr>
      </w:pPr>
      <w:r w:rsidRPr="00346AD6">
        <w:t>Excluded Exempt Income Entity</w:t>
      </w:r>
      <w:r w:rsidR="00255DAF">
        <w:t xml:space="preserve"> and</w:t>
      </w:r>
      <w:r w:rsidRPr="00346AD6">
        <w:t xml:space="preserve"> Excluded Non-Profit Subsidiary </w:t>
      </w:r>
    </w:p>
    <w:p w14:paraId="379810EC" w14:textId="77777777" w:rsidR="00071D82" w:rsidRPr="00221A02" w:rsidRDefault="00071D82" w:rsidP="00071D82">
      <w:pPr>
        <w:numPr>
          <w:ilvl w:val="1"/>
          <w:numId w:val="17"/>
        </w:numPr>
        <w:rPr>
          <w:rFonts w:eastAsia="Calibri" w:cs="Times New Roman"/>
        </w:rPr>
      </w:pPr>
      <w:r w:rsidRPr="00221A02">
        <w:rPr>
          <w:rFonts w:eastAsia="Calibri" w:cs="Times New Roman"/>
        </w:rPr>
        <w:t xml:space="preserve">An Entity can be an Excluded Exempt Income Entity or Excluded Non-Profit Subsidiary depending on the value of the Entity owned by the Excluded Entity and the activities conducted by </w:t>
      </w:r>
      <w:r>
        <w:rPr>
          <w:rFonts w:eastAsia="Calibri" w:cs="Times New Roman"/>
        </w:rPr>
        <w:t>an</w:t>
      </w:r>
      <w:r w:rsidRPr="00221A02">
        <w:rPr>
          <w:rFonts w:eastAsia="Calibri" w:cs="Times New Roman"/>
        </w:rPr>
        <w:t xml:space="preserve"> Entity. </w:t>
      </w:r>
    </w:p>
    <w:p w14:paraId="5FCDF3CA" w14:textId="77777777" w:rsidR="00071D82" w:rsidRPr="00221A02" w:rsidRDefault="00071D82" w:rsidP="00071D82">
      <w:pPr>
        <w:numPr>
          <w:ilvl w:val="1"/>
          <w:numId w:val="17"/>
        </w:numPr>
        <w:rPr>
          <w:rFonts w:eastAsia="Calibri" w:cs="Times New Roman"/>
        </w:rPr>
      </w:pPr>
      <w:r w:rsidRPr="00221A02">
        <w:rPr>
          <w:rFonts w:eastAsia="Calibri" w:cs="Times New Roman"/>
        </w:rPr>
        <w:t xml:space="preserve">Where the Entity is a Main Entity, then the income of any Permanent Establishments under the Main Entity is included in the value and activities assessment. </w:t>
      </w:r>
    </w:p>
    <w:p w14:paraId="7B0E8637" w14:textId="77777777" w:rsidR="00071D82" w:rsidRPr="00221A02" w:rsidRDefault="00071D82" w:rsidP="00071D82">
      <w:pPr>
        <w:numPr>
          <w:ilvl w:val="1"/>
          <w:numId w:val="16"/>
        </w:numPr>
        <w:rPr>
          <w:rFonts w:eastAsia="Calibri" w:cs="Times New Roman"/>
        </w:rPr>
      </w:pPr>
      <w:r w:rsidRPr="00221A02">
        <w:rPr>
          <w:rFonts w:eastAsia="Calibri" w:cs="Times New Roman"/>
        </w:rPr>
        <w:t>The ‘value of</w:t>
      </w:r>
      <w:r>
        <w:rPr>
          <w:rFonts w:eastAsia="Calibri" w:cs="Times New Roman"/>
        </w:rPr>
        <w:t xml:space="preserve"> the</w:t>
      </w:r>
      <w:r w:rsidRPr="00221A02">
        <w:rPr>
          <w:rFonts w:eastAsia="Calibri" w:cs="Times New Roman"/>
        </w:rPr>
        <w:t xml:space="preserve"> entity’ refers to the aggregate value of the Ownership Interests held by the Excluded Entity in the subsidiary Entity and is tested on the date of the most recent change in the Excluded Entity’s relative Ownership Interests in the Entity. Where Ownership Interests are represented by shares, the value of the Entity refers to the value of the issued and outstanding shares held by the shareholders. </w:t>
      </w:r>
    </w:p>
    <w:p w14:paraId="773FD327" w14:textId="77777777" w:rsidR="00071D82" w:rsidRPr="00221A02" w:rsidRDefault="00071D82" w:rsidP="00071D82">
      <w:pPr>
        <w:numPr>
          <w:ilvl w:val="1"/>
          <w:numId w:val="16"/>
        </w:numPr>
        <w:rPr>
          <w:rFonts w:eastAsia="Calibri" w:cs="Times New Roman"/>
        </w:rPr>
      </w:pPr>
      <w:r w:rsidRPr="00221A02">
        <w:rPr>
          <w:rFonts w:eastAsia="Calibri" w:cs="Times New Roman"/>
        </w:rPr>
        <w:t xml:space="preserve">An </w:t>
      </w:r>
      <w:r w:rsidRPr="00221A02">
        <w:rPr>
          <w:rFonts w:eastAsia="Calibri" w:cs="Times New Roman"/>
          <w:b/>
          <w:i/>
        </w:rPr>
        <w:t>Excluded Exempt Income Entity</w:t>
      </w:r>
      <w:r w:rsidRPr="00221A02">
        <w:rPr>
          <w:rFonts w:eastAsia="Calibri" w:cs="Times New Roman"/>
        </w:rPr>
        <w:t xml:space="preserve"> must have at least 85 per cent of its value owned by one or more Excluded Entities (other than any Pension Services Entity, Excluded Service Entity, Excluded Exempt Income Entity or Excluded Non-Profit Subsidiary) and substantially all of its income is Excluded Dividends or Excluded Equity Gain or Loss, which are items of income that are excluded from the computation of GloBE </w:t>
      </w:r>
      <w:r w:rsidRPr="00221A02" w:rsidDel="009205A4">
        <w:rPr>
          <w:rFonts w:eastAsia="Calibri" w:cs="Times New Roman"/>
        </w:rPr>
        <w:t>Income</w:t>
      </w:r>
      <w:r w:rsidRPr="00221A02">
        <w:rPr>
          <w:rFonts w:eastAsia="Calibri" w:cs="Times New Roman"/>
        </w:rPr>
        <w:t xml:space="preserve"> or </w:t>
      </w:r>
      <w:r w:rsidRPr="00221A02" w:rsidDel="009205A4">
        <w:rPr>
          <w:rFonts w:eastAsia="Calibri" w:cs="Times New Roman"/>
        </w:rPr>
        <w:t>Loss</w:t>
      </w:r>
      <w:r w:rsidRPr="00221A02">
        <w:rPr>
          <w:rFonts w:eastAsia="Calibri" w:cs="Times New Roman"/>
        </w:rPr>
        <w:t>.</w:t>
      </w:r>
      <w:r>
        <w:br/>
      </w:r>
      <w:r w:rsidRPr="00221A02">
        <w:rPr>
          <w:rFonts w:eastAsia="Calibri" w:cs="Times New Roman"/>
          <w:b/>
          <w:bCs/>
          <w:i/>
          <w:iCs/>
        </w:rPr>
        <w:t xml:space="preserve">[Chapter 1, subsection 1-20(2) of the Rules] </w:t>
      </w:r>
    </w:p>
    <w:p w14:paraId="66948404" w14:textId="77FB7D18" w:rsidR="00071D82" w:rsidRPr="00221A02" w:rsidRDefault="00071D82" w:rsidP="00071D82">
      <w:pPr>
        <w:numPr>
          <w:ilvl w:val="1"/>
          <w:numId w:val="16"/>
        </w:numPr>
        <w:rPr>
          <w:rFonts w:eastAsia="Calibri" w:cs="Times New Roman"/>
        </w:rPr>
      </w:pPr>
      <w:r w:rsidRPr="00221A02">
        <w:rPr>
          <w:rFonts w:eastAsia="Calibri" w:cs="Times New Roman"/>
        </w:rPr>
        <w:t>The ownership percentage threshold for these Entities</w:t>
      </w:r>
      <w:r>
        <w:rPr>
          <w:rFonts w:eastAsia="Calibri" w:cs="Times New Roman"/>
        </w:rPr>
        <w:t xml:space="preserve"> </w:t>
      </w:r>
      <w:r w:rsidRPr="00221A02">
        <w:rPr>
          <w:rFonts w:eastAsia="Calibri" w:cs="Times New Roman"/>
        </w:rPr>
        <w:t xml:space="preserve">is lower than for Excluded Service Entities </w:t>
      </w:r>
      <w:r>
        <w:rPr>
          <w:rFonts w:eastAsia="Calibri" w:cs="Times New Roman"/>
        </w:rPr>
        <w:t>(see sections 20 and 25 of the Assessment Act)</w:t>
      </w:r>
      <w:r w:rsidRPr="00221A02">
        <w:rPr>
          <w:rFonts w:eastAsia="Calibri" w:cs="Times New Roman"/>
        </w:rPr>
        <w:t xml:space="preserve"> to </w:t>
      </w:r>
      <w:r w:rsidR="00B67585">
        <w:rPr>
          <w:rFonts w:eastAsia="Calibri" w:cs="Times New Roman"/>
        </w:rPr>
        <w:t xml:space="preserve">allow for broader </w:t>
      </w:r>
      <w:r w:rsidRPr="00221A02">
        <w:rPr>
          <w:rFonts w:eastAsia="Calibri" w:cs="Times New Roman"/>
        </w:rPr>
        <w:t>ownership structures associated with these types of Entities.</w:t>
      </w:r>
    </w:p>
    <w:p w14:paraId="6A99693D" w14:textId="6F0E614C" w:rsidR="00071D82" w:rsidRPr="00935092" w:rsidRDefault="00071D82" w:rsidP="00071D82">
      <w:pPr>
        <w:numPr>
          <w:ilvl w:val="1"/>
          <w:numId w:val="16"/>
        </w:numPr>
        <w:rPr>
          <w:rFonts w:eastAsia="Calibri" w:cs="Times New Roman"/>
          <w:bCs/>
          <w:iCs/>
        </w:rPr>
      </w:pPr>
      <w:r>
        <w:t xml:space="preserve">An </w:t>
      </w:r>
      <w:r w:rsidRPr="008335B2">
        <w:rPr>
          <w:b/>
          <w:i/>
        </w:rPr>
        <w:t>Excluded Non-Profit Subsidiary</w:t>
      </w:r>
      <w:r>
        <w:t xml:space="preserve"> </w:t>
      </w:r>
      <w:r w:rsidRPr="00822A7F">
        <w:t xml:space="preserve">must have </w:t>
      </w:r>
      <w:r>
        <w:t>100 per cent</w:t>
      </w:r>
      <w:r w:rsidRPr="00822A7F">
        <w:t xml:space="preserve"> of its value owned by </w:t>
      </w:r>
      <w:r>
        <w:t>one or more Non-profit Organisations and</w:t>
      </w:r>
      <w:r w:rsidRPr="00822A7F">
        <w:t xml:space="preserve"> </w:t>
      </w:r>
      <w:r>
        <w:t xml:space="preserve">the sum of the revenue of Group Entities which are not a </w:t>
      </w:r>
      <w:r w:rsidRPr="00FA1FA0">
        <w:t>Non</w:t>
      </w:r>
      <w:r>
        <w:noBreakHyphen/>
      </w:r>
      <w:r w:rsidRPr="00FA1FA0">
        <w:t>profit Organisation, an Excluded Service Entity</w:t>
      </w:r>
      <w:r w:rsidR="000F3608">
        <w:t>,</w:t>
      </w:r>
      <w:r w:rsidRPr="00FA1FA0">
        <w:t xml:space="preserve"> or an Excluded Exempt Income Entity</w:t>
      </w:r>
      <w:r>
        <w:t>:</w:t>
      </w:r>
    </w:p>
    <w:p w14:paraId="1A67368F" w14:textId="77777777" w:rsidR="00071D82" w:rsidRDefault="00071D82" w:rsidP="00B07214">
      <w:pPr>
        <w:pStyle w:val="Dotpoint1"/>
      </w:pPr>
      <w:r>
        <w:t>is less than 25 per cent of the consolidated revenue of the MNE Group in a Fiscal Period; and</w:t>
      </w:r>
    </w:p>
    <w:p w14:paraId="04A4C6EC" w14:textId="77777777" w:rsidR="00071D82" w:rsidRPr="0018588C" w:rsidRDefault="00071D82" w:rsidP="00B07214">
      <w:pPr>
        <w:pStyle w:val="Dotpoint1"/>
        <w:rPr>
          <w:rStyle w:val="References"/>
          <w:b w:val="0"/>
          <w:bCs w:val="0"/>
          <w:i w:val="0"/>
          <w:iCs w:val="0"/>
        </w:rPr>
      </w:pPr>
      <w:r>
        <w:lastRenderedPageBreak/>
        <w:t>does not exceed the EUR 750 million threshold.</w:t>
      </w:r>
      <w:r>
        <w:br/>
      </w:r>
      <w:r>
        <w:rPr>
          <w:rStyle w:val="References"/>
        </w:rPr>
        <w:t>[Chapter 1, paragraph 1-20(3)(b) of the Rules]</w:t>
      </w:r>
    </w:p>
    <w:p w14:paraId="3565B63B" w14:textId="77777777" w:rsidR="000427BB" w:rsidRPr="000427BB" w:rsidRDefault="00071D82" w:rsidP="00071D82">
      <w:pPr>
        <w:numPr>
          <w:ilvl w:val="1"/>
          <w:numId w:val="16"/>
        </w:numPr>
        <w:rPr>
          <w:rFonts w:eastAsia="Calibri" w:cs="Times New Roman"/>
          <w:bCs/>
          <w:iCs/>
        </w:rPr>
      </w:pPr>
      <w:r w:rsidRPr="00221A02">
        <w:rPr>
          <w:rFonts w:eastAsia="Calibri" w:cs="Times New Roman"/>
        </w:rPr>
        <w:t xml:space="preserve">An </w:t>
      </w:r>
      <w:r w:rsidRPr="00221A02">
        <w:rPr>
          <w:rFonts w:eastAsia="Calibri" w:cs="Times New Roman"/>
          <w:b/>
          <w:i/>
        </w:rPr>
        <w:t>Excluded Non-Profit Subsidiary</w:t>
      </w:r>
      <w:r w:rsidRPr="00221A02">
        <w:rPr>
          <w:rFonts w:eastAsia="Calibri" w:cs="Times New Roman"/>
        </w:rPr>
        <w:t xml:space="preserve"> is a subsidiary Entity of a </w:t>
      </w:r>
      <w:r>
        <w:rPr>
          <w:rFonts w:eastAsia="Calibri" w:cs="Times New Roman"/>
        </w:rPr>
        <w:t xml:space="preserve">Non-profit </w:t>
      </w:r>
      <w:r w:rsidRPr="00221A02" w:rsidDel="00313F6F">
        <w:rPr>
          <w:rFonts w:eastAsia="Calibri" w:cs="Times New Roman"/>
        </w:rPr>
        <w:t>Organisation</w:t>
      </w:r>
      <w:r w:rsidRPr="00221A02">
        <w:rPr>
          <w:rFonts w:eastAsia="Calibri" w:cs="Times New Roman"/>
        </w:rPr>
        <w:t xml:space="preserve">. These subsidiary Entities typically undertake commercial activities to raise funds for the charitable activities of the parent </w:t>
      </w:r>
      <w:r>
        <w:rPr>
          <w:rFonts w:eastAsia="Calibri" w:cs="Times New Roman"/>
        </w:rPr>
        <w:t>Non-</w:t>
      </w:r>
      <w:r w:rsidRPr="00221A02">
        <w:rPr>
          <w:rFonts w:eastAsia="Calibri" w:cs="Times New Roman"/>
        </w:rPr>
        <w:t xml:space="preserve">profit </w:t>
      </w:r>
      <w:r>
        <w:rPr>
          <w:rFonts w:eastAsia="Calibri" w:cs="Times New Roman"/>
        </w:rPr>
        <w:t>O</w:t>
      </w:r>
      <w:r w:rsidRPr="0077722D">
        <w:rPr>
          <w:rFonts w:eastAsia="Calibri" w:cs="Times New Roman"/>
        </w:rPr>
        <w:t>rganisation.</w:t>
      </w:r>
      <w:r w:rsidRPr="00221A02">
        <w:rPr>
          <w:rFonts w:eastAsia="Calibri" w:cs="Times New Roman"/>
        </w:rPr>
        <w:t xml:space="preserve"> The revenue of the Non-profit Organisation is included when determining the consolidated revenue of the MNE Group and, as a result, could lead to the consolidated revenue of the MNE Group reaching the EUR 750 million threshold, </w:t>
      </w:r>
      <w:r w:rsidRPr="0077722D">
        <w:rPr>
          <w:rFonts w:eastAsia="Calibri" w:cs="Times New Roman"/>
        </w:rPr>
        <w:t>even though</w:t>
      </w:r>
      <w:r w:rsidRPr="00221A02">
        <w:rPr>
          <w:rFonts w:eastAsia="Calibri" w:cs="Times New Roman"/>
        </w:rPr>
        <w:t xml:space="preserve"> the revenue of the subsidiary entities undertaking the commercial activities could be significantly below that threshold. In other words, the subsidiaries undertaking the commercial activities may only come within scope of the GloBE Rules because they are owned by the </w:t>
      </w:r>
      <w:r>
        <w:rPr>
          <w:rFonts w:eastAsia="Calibri" w:cs="Times New Roman"/>
        </w:rPr>
        <w:t>Non-</w:t>
      </w:r>
      <w:r w:rsidRPr="00221A02">
        <w:rPr>
          <w:rFonts w:eastAsia="Calibri" w:cs="Times New Roman"/>
        </w:rPr>
        <w:t xml:space="preserve">profit </w:t>
      </w:r>
      <w:r>
        <w:rPr>
          <w:rFonts w:eastAsia="Calibri" w:cs="Times New Roman"/>
        </w:rPr>
        <w:t>O</w:t>
      </w:r>
      <w:r w:rsidRPr="0077722D">
        <w:rPr>
          <w:rFonts w:eastAsia="Calibri" w:cs="Times New Roman"/>
        </w:rPr>
        <w:t>rganisation.</w:t>
      </w:r>
      <w:r w:rsidRPr="00221A02">
        <w:rPr>
          <w:rFonts w:eastAsia="Calibri" w:cs="Times New Roman"/>
        </w:rPr>
        <w:t xml:space="preserve"> This outcome </w:t>
      </w:r>
      <w:r>
        <w:rPr>
          <w:rFonts w:eastAsia="Calibri" w:cs="Times New Roman"/>
        </w:rPr>
        <w:t>would be</w:t>
      </w:r>
      <w:r w:rsidRPr="00221A02">
        <w:rPr>
          <w:rFonts w:eastAsia="Calibri" w:cs="Times New Roman"/>
        </w:rPr>
        <w:t xml:space="preserve"> inconsistent with the policy intention of the GloBE Rules</w:t>
      </w:r>
      <w:r>
        <w:rPr>
          <w:rFonts w:eastAsia="Calibri" w:cs="Times New Roman"/>
        </w:rPr>
        <w:t>. Treating</w:t>
      </w:r>
      <w:r w:rsidRPr="00221A02">
        <w:rPr>
          <w:rFonts w:eastAsia="Calibri" w:cs="Times New Roman"/>
        </w:rPr>
        <w:t xml:space="preserve"> </w:t>
      </w:r>
      <w:r>
        <w:rPr>
          <w:rFonts w:eastAsia="Calibri" w:cs="Times New Roman"/>
        </w:rPr>
        <w:t xml:space="preserve">an </w:t>
      </w:r>
      <w:r w:rsidRPr="000427BB">
        <w:rPr>
          <w:rFonts w:eastAsia="Calibri" w:cs="Times New Roman"/>
          <w:bCs/>
          <w:iCs/>
        </w:rPr>
        <w:t>Excluded Non</w:t>
      </w:r>
      <w:r w:rsidR="00AE06FB" w:rsidRPr="000427BB">
        <w:rPr>
          <w:rFonts w:eastAsia="Calibri" w:cs="Times New Roman"/>
          <w:bCs/>
          <w:iCs/>
        </w:rPr>
        <w:noBreakHyphen/>
      </w:r>
      <w:r w:rsidRPr="000427BB">
        <w:rPr>
          <w:rFonts w:eastAsia="Calibri" w:cs="Times New Roman"/>
          <w:bCs/>
          <w:iCs/>
        </w:rPr>
        <w:t>Profit Subsidiary</w:t>
      </w:r>
      <w:r w:rsidRPr="00221A02">
        <w:rPr>
          <w:rFonts w:eastAsia="Calibri" w:cs="Times New Roman"/>
        </w:rPr>
        <w:t xml:space="preserve"> </w:t>
      </w:r>
      <w:r>
        <w:rPr>
          <w:rFonts w:eastAsia="Calibri" w:cs="Times New Roman"/>
        </w:rPr>
        <w:t xml:space="preserve">as an Excluded Entity </w:t>
      </w:r>
      <w:r w:rsidRPr="00221A02">
        <w:rPr>
          <w:rFonts w:eastAsia="Calibri" w:cs="Times New Roman"/>
        </w:rPr>
        <w:t>rectifies this unintended consequence</w:t>
      </w:r>
      <w:r w:rsidRPr="102AEA4F">
        <w:rPr>
          <w:rFonts w:eastAsia="Calibri" w:cs="Times New Roman"/>
        </w:rPr>
        <w:t xml:space="preserve">, </w:t>
      </w:r>
      <w:r w:rsidR="00AE06FB">
        <w:rPr>
          <w:rFonts w:eastAsia="Calibri" w:cs="Times New Roman"/>
        </w:rPr>
        <w:t xml:space="preserve">as explained in </w:t>
      </w:r>
      <w:r w:rsidRPr="102AEA4F">
        <w:rPr>
          <w:rFonts w:eastAsia="Calibri" w:cs="Times New Roman"/>
        </w:rPr>
        <w:t>paragraph 54.1 on page 30 of the Consolidated Commentary</w:t>
      </w:r>
      <w:r>
        <w:rPr>
          <w:rFonts w:eastAsia="Calibri" w:cs="Times New Roman"/>
        </w:rPr>
        <w:t>.</w:t>
      </w:r>
      <w:r w:rsidR="000427BB" w:rsidRPr="000427BB">
        <w:t xml:space="preserve"> </w:t>
      </w:r>
    </w:p>
    <w:p w14:paraId="406FFD56" w14:textId="5560A9EF" w:rsidR="00071D82" w:rsidRPr="00221A02" w:rsidRDefault="003C3244" w:rsidP="00071D82">
      <w:pPr>
        <w:numPr>
          <w:ilvl w:val="1"/>
          <w:numId w:val="16"/>
        </w:numPr>
        <w:rPr>
          <w:rFonts w:eastAsia="Calibri" w:cs="Times New Roman"/>
          <w:bCs/>
          <w:iCs/>
        </w:rPr>
      </w:pPr>
      <w:r>
        <w:rPr>
          <w:rFonts w:eastAsia="Calibri" w:cs="Times New Roman"/>
          <w:bCs/>
          <w:iCs/>
        </w:rPr>
        <w:t xml:space="preserve">Prescribing </w:t>
      </w:r>
      <w:r w:rsidR="000427BB" w:rsidRPr="003D01B1">
        <w:rPr>
          <w:rFonts w:eastAsia="Calibri" w:cs="Times New Roman"/>
          <w:bCs/>
          <w:iCs/>
        </w:rPr>
        <w:t>Excluded Exempt Income Entit</w:t>
      </w:r>
      <w:r>
        <w:rPr>
          <w:rFonts w:eastAsia="Calibri" w:cs="Times New Roman"/>
          <w:bCs/>
          <w:iCs/>
        </w:rPr>
        <w:t xml:space="preserve">ies and Excluded Exempt Income Entities </w:t>
      </w:r>
      <w:r w:rsidR="00347280">
        <w:t xml:space="preserve">as Excluded Entities under </w:t>
      </w:r>
      <w:r w:rsidR="000427BB">
        <w:t>paragraph 20(1)(h) of the Assessment Act</w:t>
      </w:r>
      <w:r w:rsidR="00347280">
        <w:t xml:space="preserve"> is appropriate to ensure </w:t>
      </w:r>
      <w:r w:rsidR="00626F7B">
        <w:t xml:space="preserve">consistent outcomes </w:t>
      </w:r>
      <w:r w:rsidR="00347280">
        <w:t xml:space="preserve">with the </w:t>
      </w:r>
      <w:r w:rsidR="00626F7B">
        <w:t xml:space="preserve">OECD Model Rules that assists in achieving qualified status. </w:t>
      </w:r>
      <w:r w:rsidR="000427BB">
        <w:t xml:space="preserve">   </w:t>
      </w:r>
    </w:p>
    <w:p w14:paraId="2356AF86" w14:textId="77777777" w:rsidR="00071D82" w:rsidRPr="00221A02" w:rsidRDefault="00071D82" w:rsidP="00071D82">
      <w:pPr>
        <w:keepNext/>
        <w:keepLines/>
        <w:numPr>
          <w:ilvl w:val="4"/>
          <w:numId w:val="2"/>
        </w:numPr>
        <w:spacing w:before="240" w:after="240"/>
        <w:contextualSpacing/>
        <w:outlineLvl w:val="4"/>
        <w:rPr>
          <w:rFonts w:ascii="Helvetica" w:eastAsia="Times New Roman" w:hAnsi="Helvetica" w:cs="Times New Roman"/>
          <w:b/>
          <w:spacing w:val="-10"/>
          <w:kern w:val="28"/>
          <w:sz w:val="24"/>
          <w:szCs w:val="56"/>
        </w:rPr>
      </w:pPr>
      <w:r w:rsidRPr="00221A02">
        <w:rPr>
          <w:rFonts w:ascii="Helvetica" w:eastAsia="Times New Roman" w:hAnsi="Helvetica" w:cs="Times New Roman"/>
          <w:b/>
          <w:spacing w:val="-10"/>
          <w:kern w:val="28"/>
          <w:sz w:val="24"/>
          <w:szCs w:val="56"/>
        </w:rPr>
        <w:t>Currency translation</w:t>
      </w:r>
    </w:p>
    <w:p w14:paraId="4F987501" w14:textId="003643CC" w:rsidR="00071D82" w:rsidRDefault="00071D82" w:rsidP="00071D82">
      <w:pPr>
        <w:pStyle w:val="Normalparatextwithnumbers"/>
        <w:numPr>
          <w:ilvl w:val="1"/>
          <w:numId w:val="17"/>
        </w:numPr>
      </w:pPr>
      <w:r w:rsidRPr="00221A02">
        <w:t>MNE Groups are required to undertake all relevant GloBE calculations and report the relevant amounts in the GloBE Information Return in the presentation currency of the MNE Group’s CFS</w:t>
      </w:r>
      <w:r>
        <w:t xml:space="preserve">, </w:t>
      </w:r>
      <w:r w:rsidR="00AE06FB">
        <w:t>as described in</w:t>
      </w:r>
      <w:r w:rsidRPr="1AA30751">
        <w:t xml:space="preserve"> </w:t>
      </w:r>
      <w:r w:rsidRPr="45BC8DE1">
        <w:t>paragraph 17 on page 13 of the Consolidated Commentary.</w:t>
      </w:r>
    </w:p>
    <w:p w14:paraId="26CD9296" w14:textId="632B1BBD" w:rsidR="00071D82" w:rsidRDefault="00071D82" w:rsidP="00071D82">
      <w:pPr>
        <w:pStyle w:val="Normalparatextwithnumbers"/>
        <w:numPr>
          <w:ilvl w:val="1"/>
          <w:numId w:val="17"/>
        </w:numPr>
      </w:pPr>
      <w:r w:rsidRPr="00C35F32">
        <w:t xml:space="preserve">Amounts relevant to the GloBE Income or Loss calculations that are not denominated in or have not been converted to the presentation currency of the MNE Group’s CFS, must be translated to the presentation currency, in accordance with the applicable foreign currency translation rules in the Authorised </w:t>
      </w:r>
      <w:r w:rsidR="000427BB">
        <w:t xml:space="preserve">FAS </w:t>
      </w:r>
      <w:r w:rsidRPr="00C35F32">
        <w:t>used to compute the FANIL of Constituent Entities in the jurisdiction.</w:t>
      </w:r>
      <w:r>
        <w:br/>
      </w:r>
      <w:r w:rsidRPr="00C35F32">
        <w:rPr>
          <w:rFonts w:eastAsia="Calibri" w:cs="Times New Roman"/>
          <w:b/>
          <w:bCs/>
          <w:i/>
          <w:iCs/>
        </w:rPr>
        <w:t>[Chapter 1, section 1-25 of the Rules]</w:t>
      </w:r>
    </w:p>
    <w:p w14:paraId="377D5B8F" w14:textId="77777777" w:rsidR="00071D82" w:rsidRPr="00C35F32" w:rsidRDefault="00071D82" w:rsidP="00071D82">
      <w:pPr>
        <w:pStyle w:val="Normalparatextwithnumbers"/>
        <w:numPr>
          <w:ilvl w:val="1"/>
          <w:numId w:val="16"/>
        </w:numPr>
        <w:rPr>
          <w:rFonts w:eastAsia="Calibri" w:cs="Times New Roman"/>
        </w:rPr>
      </w:pPr>
      <w:r w:rsidRPr="00C35F32">
        <w:rPr>
          <w:rFonts w:eastAsia="Calibri" w:cs="Times New Roman"/>
        </w:rPr>
        <w:t>Where an amount which is relevant to determining if a materiality or other threshold is satisfied or exceeded is denominated in amount other than Euros, the amount is to be converted to Euros.</w:t>
      </w:r>
      <w:r>
        <w:rPr>
          <w:rFonts w:eastAsia="Calibri" w:cs="Times New Roman"/>
        </w:rPr>
        <w:br/>
      </w:r>
      <w:r w:rsidRPr="00C35F32">
        <w:rPr>
          <w:rFonts w:eastAsia="Calibri" w:cs="Times New Roman"/>
          <w:b/>
          <w:bCs/>
          <w:i/>
          <w:iCs/>
        </w:rPr>
        <w:t>[Chapter 1, section 1-25 of the Rules]</w:t>
      </w:r>
    </w:p>
    <w:p w14:paraId="5F2E5956" w14:textId="77777777" w:rsidR="00071D82" w:rsidRPr="002F1E03" w:rsidRDefault="00071D82" w:rsidP="00071D82">
      <w:pPr>
        <w:pStyle w:val="Normalparatextwithnumbers"/>
        <w:numPr>
          <w:ilvl w:val="1"/>
          <w:numId w:val="16"/>
        </w:numPr>
        <w:rPr>
          <w:rFonts w:eastAsia="Calibri" w:cs="Times New Roman"/>
        </w:rPr>
      </w:pPr>
      <w:r w:rsidRPr="002F1E03">
        <w:rPr>
          <w:rFonts w:eastAsia="Calibri" w:cs="Times New Roman"/>
        </w:rPr>
        <w:t>The amount is to be converted using the average of the daily rates of exchange, for the month of December immediately preceding the Fiscal Year as quoted by the European Central Bank.</w:t>
      </w:r>
      <w:r>
        <w:rPr>
          <w:rFonts w:eastAsia="Calibri" w:cs="Times New Roman"/>
        </w:rPr>
        <w:t xml:space="preserve"> </w:t>
      </w:r>
    </w:p>
    <w:p w14:paraId="1F59E3C3" w14:textId="77777777" w:rsidR="00071D82" w:rsidRPr="00221A02" w:rsidRDefault="00071D82" w:rsidP="00071D82">
      <w:pPr>
        <w:numPr>
          <w:ilvl w:val="1"/>
          <w:numId w:val="18"/>
        </w:numPr>
        <w:rPr>
          <w:rFonts w:eastAsia="Calibri" w:cs="Times New Roman"/>
        </w:rPr>
      </w:pPr>
      <w:r w:rsidRPr="00221A02">
        <w:rPr>
          <w:rFonts w:eastAsia="Calibri" w:cs="Times New Roman"/>
        </w:rPr>
        <w:t xml:space="preserve">In the unlikely event that both the European Central Bank and the RBA do not quote a daily rate of exchange in respect of the two currencies, the Minister may make a legislative instrument specifying an appropriate source to quote </w:t>
      </w:r>
      <w:r w:rsidRPr="00221A02">
        <w:rPr>
          <w:rFonts w:eastAsia="Calibri" w:cs="Times New Roman"/>
        </w:rPr>
        <w:lastRenderedPageBreak/>
        <w:t xml:space="preserve">the rates of exchange. </w:t>
      </w:r>
      <w:r w:rsidRPr="00221A02">
        <w:rPr>
          <w:rFonts w:eastAsia="Calibri" w:cs="Times New Roman"/>
        </w:rPr>
        <w:br/>
      </w:r>
      <w:r w:rsidRPr="00221A02">
        <w:rPr>
          <w:rFonts w:eastAsia="Calibri" w:cs="Times New Roman"/>
          <w:b/>
          <w:bCs/>
          <w:i/>
          <w:iCs/>
        </w:rPr>
        <w:t>[Chapter 1, section 1</w:t>
      </w:r>
      <w:r w:rsidRPr="00221A02">
        <w:rPr>
          <w:rFonts w:eastAsia="Calibri" w:cs="Times New Roman"/>
          <w:b/>
          <w:bCs/>
          <w:i/>
          <w:iCs/>
        </w:rPr>
        <w:noBreakHyphen/>
        <w:t>25 of the Rules]</w:t>
      </w:r>
    </w:p>
    <w:p w14:paraId="56836470" w14:textId="02537EFB" w:rsidR="00071D82" w:rsidRPr="00221A02" w:rsidRDefault="00071D82" w:rsidP="00071D82">
      <w:pPr>
        <w:numPr>
          <w:ilvl w:val="1"/>
          <w:numId w:val="18"/>
        </w:numPr>
        <w:rPr>
          <w:rFonts w:eastAsia="Calibri" w:cs="Times New Roman"/>
        </w:rPr>
      </w:pPr>
      <w:r w:rsidRPr="00C56DDD">
        <w:rPr>
          <w:rFonts w:eastAsia="Calibri" w:cs="Times New Roman"/>
        </w:rPr>
        <w:t>Th</w:t>
      </w:r>
      <w:r w:rsidR="000427BB">
        <w:rPr>
          <w:rFonts w:eastAsia="Calibri" w:cs="Times New Roman"/>
        </w:rPr>
        <w:t>e</w:t>
      </w:r>
      <w:r w:rsidRPr="00C56DDD">
        <w:rPr>
          <w:rFonts w:eastAsia="Calibri" w:cs="Times New Roman"/>
        </w:rPr>
        <w:t xml:space="preserve"> power </w:t>
      </w:r>
      <w:r w:rsidR="000427BB">
        <w:rPr>
          <w:rFonts w:eastAsia="Calibri" w:cs="Times New Roman"/>
        </w:rPr>
        <w:t xml:space="preserve">for the Minister to make a legislative instrument </w:t>
      </w:r>
      <w:r w:rsidRPr="00C56DDD">
        <w:rPr>
          <w:rFonts w:eastAsia="Calibri" w:cs="Times New Roman"/>
        </w:rPr>
        <w:t xml:space="preserve">is appropriate as it achieves the necessary objective of </w:t>
      </w:r>
      <w:r w:rsidR="007136C1">
        <w:rPr>
          <w:rFonts w:eastAsia="Calibri" w:cs="Times New Roman"/>
        </w:rPr>
        <w:t xml:space="preserve">ensuring </w:t>
      </w:r>
      <w:r w:rsidRPr="00C56DDD">
        <w:rPr>
          <w:rFonts w:eastAsia="Calibri" w:cs="Times New Roman"/>
        </w:rPr>
        <w:t xml:space="preserve">that there will always be </w:t>
      </w:r>
      <w:r w:rsidR="007136C1">
        <w:rPr>
          <w:rFonts w:eastAsia="Calibri" w:cs="Times New Roman"/>
        </w:rPr>
        <w:t xml:space="preserve">a method for </w:t>
      </w:r>
      <w:r w:rsidRPr="00C56DDD">
        <w:rPr>
          <w:rFonts w:eastAsia="Calibri" w:cs="Times New Roman"/>
        </w:rPr>
        <w:t>determining the rate of exchange between two currencies. Th</w:t>
      </w:r>
      <w:r w:rsidR="007136C1">
        <w:rPr>
          <w:rFonts w:eastAsia="Calibri" w:cs="Times New Roman"/>
        </w:rPr>
        <w:t xml:space="preserve">e </w:t>
      </w:r>
      <w:r w:rsidR="000427BB">
        <w:rPr>
          <w:rFonts w:eastAsia="Calibri" w:cs="Times New Roman"/>
        </w:rPr>
        <w:t xml:space="preserve">legislative instrument </w:t>
      </w:r>
      <w:r w:rsidRPr="00C56DDD">
        <w:rPr>
          <w:rFonts w:eastAsia="Calibri" w:cs="Times New Roman"/>
        </w:rPr>
        <w:t>would be subject to parliamentary oversight in the form of disallowance and sunsetting.</w:t>
      </w:r>
      <w:r w:rsidRPr="00221A02">
        <w:rPr>
          <w:rFonts w:eastAsia="Calibri" w:cs="Times New Roman"/>
        </w:rPr>
        <w:t xml:space="preserve"> </w:t>
      </w:r>
    </w:p>
    <w:p w14:paraId="09B10A29" w14:textId="77777777" w:rsidR="00071D82" w:rsidRPr="00221A02" w:rsidRDefault="00071D82" w:rsidP="00071D82">
      <w:pPr>
        <w:numPr>
          <w:ilvl w:val="1"/>
          <w:numId w:val="16"/>
        </w:numPr>
        <w:rPr>
          <w:rFonts w:eastAsia="Calibri" w:cs="Times New Roman"/>
        </w:rPr>
      </w:pPr>
      <w:r>
        <w:rPr>
          <w:rFonts w:eastAsia="Calibri" w:cs="Times New Roman"/>
        </w:rPr>
        <w:t>T</w:t>
      </w:r>
      <w:r w:rsidRPr="00221A02">
        <w:rPr>
          <w:rFonts w:eastAsia="Calibri" w:cs="Times New Roman"/>
        </w:rPr>
        <w:t xml:space="preserve">hresholds </w:t>
      </w:r>
      <w:r>
        <w:rPr>
          <w:rFonts w:eastAsia="Calibri" w:cs="Times New Roman"/>
        </w:rPr>
        <w:t>for which an amount may be required to be translated include those found at:</w:t>
      </w:r>
      <w:r w:rsidRPr="00221A02">
        <w:rPr>
          <w:rFonts w:eastAsia="Calibri" w:cs="Times New Roman"/>
        </w:rPr>
        <w:t xml:space="preserve"> </w:t>
      </w:r>
    </w:p>
    <w:p w14:paraId="67DF88D4" w14:textId="77777777" w:rsidR="00071D82" w:rsidRPr="00221A02" w:rsidRDefault="00071D82" w:rsidP="00B07214">
      <w:pPr>
        <w:pStyle w:val="Dotpoint1"/>
      </w:pPr>
      <w:r>
        <w:t>sub</w:t>
      </w:r>
      <w:r w:rsidRPr="00221A02">
        <w:t>section</w:t>
      </w:r>
      <w:r>
        <w:t>s</w:t>
      </w:r>
      <w:r w:rsidRPr="00221A02">
        <w:t xml:space="preserve"> 12(2)</w:t>
      </w:r>
      <w:r>
        <w:t xml:space="preserve"> and </w:t>
      </w:r>
      <w:r w:rsidRPr="00221A02">
        <w:t>(3) of the Assessment Act –</w:t>
      </w:r>
      <w:r>
        <w:t xml:space="preserve"> </w:t>
      </w:r>
      <w:r w:rsidRPr="00221A02">
        <w:t>referring to revenue included in the CFS</w:t>
      </w:r>
      <w:r w:rsidRPr="00221A02" w:rsidDel="00DE4BCE">
        <w:t xml:space="preserve"> </w:t>
      </w:r>
      <w:r w:rsidRPr="00221A02">
        <w:t>equal to or greater than EUR 750 million;</w:t>
      </w:r>
    </w:p>
    <w:p w14:paraId="0591273A" w14:textId="77777777" w:rsidR="00071D82" w:rsidRPr="00221A02" w:rsidRDefault="00071D82" w:rsidP="00B07214">
      <w:pPr>
        <w:pStyle w:val="Dotpoint1"/>
      </w:pPr>
      <w:r w:rsidRPr="00221A02">
        <w:t>subsection 3-10(7)(c) of the Rules –</w:t>
      </w:r>
      <w:r>
        <w:t xml:space="preserve"> </w:t>
      </w:r>
      <w:r w:rsidRPr="00221A02">
        <w:t xml:space="preserve">referring to permanent differences in excess of EUR 1 million; </w:t>
      </w:r>
    </w:p>
    <w:p w14:paraId="2C9A995D" w14:textId="77777777" w:rsidR="00071D82" w:rsidRPr="00221A02" w:rsidRDefault="00071D82" w:rsidP="00B07214">
      <w:pPr>
        <w:pStyle w:val="Dotpoint1"/>
      </w:pPr>
      <w:r w:rsidRPr="00221A02">
        <w:t>subsection 4-120(4) of the Rules –</w:t>
      </w:r>
      <w:r>
        <w:t xml:space="preserve"> </w:t>
      </w:r>
      <w:r w:rsidRPr="00221A02">
        <w:t xml:space="preserve">referring to an aggregate decrease of less than EUR 1 million for a Constituent Entity in the prior fiscal year; </w:t>
      </w:r>
    </w:p>
    <w:p w14:paraId="41FA4E97" w14:textId="77777777" w:rsidR="00071D82" w:rsidRPr="00221A02" w:rsidRDefault="00071D82" w:rsidP="00B07214">
      <w:pPr>
        <w:pStyle w:val="Dotpoint1"/>
      </w:pPr>
      <w:r w:rsidRPr="00221A02">
        <w:t>subsections 5-100(1)(a)</w:t>
      </w:r>
      <w:r>
        <w:t xml:space="preserve"> and </w:t>
      </w:r>
      <w:r w:rsidRPr="00221A02">
        <w:t>(b) of the Rules –</w:t>
      </w:r>
      <w:r>
        <w:t xml:space="preserve"> </w:t>
      </w:r>
      <w:r w:rsidRPr="00221A02">
        <w:t xml:space="preserve">referring to Average GloBE Revenue of less than EUR 10 million and Average GloBE Income or Loss of less than EUR 1 million; </w:t>
      </w:r>
    </w:p>
    <w:p w14:paraId="3AA5CD79" w14:textId="77777777" w:rsidR="00071D82" w:rsidRPr="00221A02" w:rsidRDefault="00071D82" w:rsidP="00B07214">
      <w:pPr>
        <w:pStyle w:val="Dotpoint1"/>
      </w:pPr>
      <w:r w:rsidRPr="00221A02">
        <w:t>section 34 of the Assessment Act – definition of ‘Material Competitive Distortion’ – which is</w:t>
      </w:r>
      <w:r w:rsidRPr="00221A02" w:rsidDel="000D4589">
        <w:t xml:space="preserve"> </w:t>
      </w:r>
      <w:r w:rsidRPr="00221A02">
        <w:t xml:space="preserve">an aggregate variation of greater than EUR 75 million in a Fiscal Year; </w:t>
      </w:r>
    </w:p>
    <w:p w14:paraId="230B0750" w14:textId="08A9E0D7" w:rsidR="000C23B6" w:rsidRPr="00020288" w:rsidRDefault="00071D82" w:rsidP="00B07214">
      <w:pPr>
        <w:pStyle w:val="Dotpoint1"/>
      </w:pPr>
      <w:r w:rsidRPr="00754A94">
        <w:t>section 3-</w:t>
      </w:r>
      <w:r w:rsidR="0057778B">
        <w:t>65</w:t>
      </w:r>
      <w:r w:rsidRPr="00754A94">
        <w:t xml:space="preserve"> of the Rules - ‘Policy Disallowed Expenses’ – referring to expenses accrued by the Constituent Entity for fines and penalties that equal or exceed EUR 50,000.  </w:t>
      </w:r>
      <w:r w:rsidR="000C23B6">
        <w:t xml:space="preserve"> </w:t>
      </w:r>
    </w:p>
    <w:p w14:paraId="7D69F325" w14:textId="77777777" w:rsidR="0025163B" w:rsidRDefault="0025163B" w:rsidP="00873094">
      <w:pPr>
        <w:spacing w:after="0" w:line="360" w:lineRule="auto"/>
        <w:contextualSpacing/>
      </w:pPr>
      <w:bookmarkStart w:id="58" w:name="_Toc78193246"/>
      <w:bookmarkStart w:id="59" w:name="_Toc78193403"/>
      <w:bookmarkStart w:id="60" w:name="_Toc78548476"/>
      <w:bookmarkStart w:id="61" w:name="_Toc78549747"/>
      <w:bookmarkStart w:id="62" w:name="_Toc78549791"/>
      <w:bookmarkEnd w:id="50"/>
    </w:p>
    <w:p w14:paraId="51F08BFF" w14:textId="77777777" w:rsidR="000C23B6" w:rsidRPr="00020288" w:rsidRDefault="000C23B6" w:rsidP="00873094">
      <w:pPr>
        <w:spacing w:after="0" w:line="360" w:lineRule="auto"/>
        <w:contextualSpacing/>
        <w:sectPr w:rsidR="000C23B6" w:rsidRPr="00020288" w:rsidSect="0025163B">
          <w:headerReference w:type="even" r:id="rId21"/>
          <w:headerReference w:type="default" r:id="rId22"/>
          <w:footerReference w:type="even" r:id="rId23"/>
          <w:footerReference w:type="default" r:id="rId24"/>
          <w:headerReference w:type="first" r:id="rId25"/>
          <w:footerReference w:type="first" r:id="rId26"/>
          <w:type w:val="oddPage"/>
          <w:pgSz w:w="9979" w:h="14175" w:code="9"/>
          <w:pgMar w:top="567" w:right="1134" w:bottom="567" w:left="1134" w:header="709" w:footer="709" w:gutter="0"/>
          <w:cols w:space="708"/>
          <w:titlePg/>
          <w:docGrid w:linePitch="360"/>
        </w:sectPr>
      </w:pPr>
    </w:p>
    <w:p w14:paraId="1437988C" w14:textId="5F8FC1C7" w:rsidR="0025163B" w:rsidRPr="0073326A" w:rsidRDefault="000C23B6" w:rsidP="00777A92">
      <w:pPr>
        <w:pStyle w:val="Chapterheading"/>
        <w:rPr>
          <w:rFonts w:hint="eastAsia"/>
        </w:rPr>
      </w:pPr>
      <w:bookmarkStart w:id="63" w:name="_Ref183185659"/>
      <w:bookmarkStart w:id="64" w:name="_Toc183417099"/>
      <w:bookmarkStart w:id="65" w:name="_Toc183786630"/>
      <w:r>
        <w:lastRenderedPageBreak/>
        <w:t>Liability to Top</w:t>
      </w:r>
      <w:r>
        <w:noBreakHyphen/>
        <w:t>up Tax</w:t>
      </w:r>
      <w:bookmarkEnd w:id="63"/>
      <w:bookmarkEnd w:id="64"/>
      <w:bookmarkEnd w:id="65"/>
    </w:p>
    <w:p w14:paraId="51ED2499" w14:textId="4FE3F3C3" w:rsidR="00AB22A5" w:rsidRDefault="00AB22A5" w:rsidP="00AB22A5">
      <w:pPr>
        <w:pStyle w:val="TOCHeading"/>
      </w:pPr>
      <w:bookmarkStart w:id="66" w:name="_Toc183786631"/>
      <w:bookmarkStart w:id="67" w:name="Chapter2"/>
      <w:r>
        <w:t xml:space="preserve">Table of Contents: </w:t>
      </w:r>
    </w:p>
    <w:p w14:paraId="7E610400" w14:textId="701D5EE8" w:rsidR="00066A4E" w:rsidRDefault="00AB22A5">
      <w:pPr>
        <w:pStyle w:val="TOC2"/>
        <w:rPr>
          <w:rFonts w:asciiTheme="minorHAnsi" w:eastAsiaTheme="minorEastAsia" w:hAnsiTheme="minorHAnsi"/>
          <w:kern w:val="2"/>
          <w:sz w:val="22"/>
          <w:lang w:eastAsia="en-AU"/>
          <w14:ligatures w14:val="standardContextual"/>
        </w:rPr>
      </w:pPr>
      <w:r>
        <w:fldChar w:fldCharType="begin"/>
      </w:r>
      <w:r>
        <w:instrText xml:space="preserve"> TOC \o "1-3" \z  \B Chapter2</w:instrText>
      </w:r>
      <w:r>
        <w:fldChar w:fldCharType="separate"/>
      </w:r>
      <w:r w:rsidR="00066A4E">
        <w:t>Outline of chapter</w:t>
      </w:r>
      <w:r w:rsidR="00066A4E">
        <w:rPr>
          <w:webHidden/>
        </w:rPr>
        <w:tab/>
      </w:r>
      <w:r w:rsidR="00066A4E">
        <w:rPr>
          <w:webHidden/>
        </w:rPr>
        <w:fldChar w:fldCharType="begin"/>
      </w:r>
      <w:r w:rsidR="00066A4E">
        <w:rPr>
          <w:webHidden/>
        </w:rPr>
        <w:instrText xml:space="preserve"> PAGEREF _Toc185614891 \h </w:instrText>
      </w:r>
      <w:r w:rsidR="00066A4E">
        <w:rPr>
          <w:webHidden/>
        </w:rPr>
      </w:r>
      <w:r w:rsidR="00066A4E">
        <w:rPr>
          <w:webHidden/>
        </w:rPr>
        <w:fldChar w:fldCharType="separate"/>
      </w:r>
      <w:r w:rsidR="009D6D0D">
        <w:rPr>
          <w:webHidden/>
        </w:rPr>
        <w:t>11</w:t>
      </w:r>
      <w:r w:rsidR="00066A4E">
        <w:rPr>
          <w:webHidden/>
        </w:rPr>
        <w:fldChar w:fldCharType="end"/>
      </w:r>
    </w:p>
    <w:p w14:paraId="6AE38103" w14:textId="69908E2B" w:rsidR="00066A4E" w:rsidRDefault="00066A4E">
      <w:pPr>
        <w:pStyle w:val="TOC2"/>
        <w:rPr>
          <w:rFonts w:asciiTheme="minorHAnsi" w:eastAsiaTheme="minorEastAsia" w:hAnsiTheme="minorHAnsi"/>
          <w:kern w:val="2"/>
          <w:sz w:val="22"/>
          <w:lang w:eastAsia="en-AU"/>
          <w14:ligatures w14:val="standardContextual"/>
        </w:rPr>
      </w:pPr>
      <w:r>
        <w:t>Detailed explanation of new law</w:t>
      </w:r>
      <w:r>
        <w:rPr>
          <w:webHidden/>
        </w:rPr>
        <w:tab/>
      </w:r>
      <w:r>
        <w:rPr>
          <w:webHidden/>
        </w:rPr>
        <w:fldChar w:fldCharType="begin"/>
      </w:r>
      <w:r>
        <w:rPr>
          <w:webHidden/>
        </w:rPr>
        <w:instrText xml:space="preserve"> PAGEREF _Toc185614892 \h </w:instrText>
      </w:r>
      <w:r>
        <w:rPr>
          <w:webHidden/>
        </w:rPr>
      </w:r>
      <w:r>
        <w:rPr>
          <w:webHidden/>
        </w:rPr>
        <w:fldChar w:fldCharType="separate"/>
      </w:r>
      <w:r w:rsidR="009D6D0D">
        <w:rPr>
          <w:webHidden/>
        </w:rPr>
        <w:t>12</w:t>
      </w:r>
      <w:r>
        <w:rPr>
          <w:webHidden/>
        </w:rPr>
        <w:fldChar w:fldCharType="end"/>
      </w:r>
    </w:p>
    <w:p w14:paraId="34D94A99" w14:textId="5FF0AB7D" w:rsidR="00066A4E" w:rsidRDefault="00066A4E">
      <w:pPr>
        <w:pStyle w:val="TOC3"/>
        <w:rPr>
          <w:rFonts w:asciiTheme="minorHAnsi" w:eastAsiaTheme="minorEastAsia" w:hAnsiTheme="minorHAnsi" w:cstheme="minorBidi"/>
          <w:iCs w:val="0"/>
          <w:noProof/>
          <w:kern w:val="2"/>
          <w:sz w:val="22"/>
          <w:szCs w:val="22"/>
          <w:lang w:eastAsia="en-AU"/>
          <w14:ligatures w14:val="standardContextual"/>
        </w:rPr>
      </w:pPr>
      <w:r>
        <w:rPr>
          <w:noProof/>
        </w:rPr>
        <w:t>Top-up tax arising under the IIR</w:t>
      </w:r>
      <w:r>
        <w:rPr>
          <w:noProof/>
          <w:webHidden/>
        </w:rPr>
        <w:tab/>
      </w:r>
      <w:r>
        <w:rPr>
          <w:noProof/>
          <w:webHidden/>
        </w:rPr>
        <w:fldChar w:fldCharType="begin"/>
      </w:r>
      <w:r>
        <w:rPr>
          <w:noProof/>
          <w:webHidden/>
        </w:rPr>
        <w:instrText xml:space="preserve"> PAGEREF _Toc185614893 \h </w:instrText>
      </w:r>
      <w:r>
        <w:rPr>
          <w:noProof/>
          <w:webHidden/>
        </w:rPr>
      </w:r>
      <w:r>
        <w:rPr>
          <w:noProof/>
          <w:webHidden/>
        </w:rPr>
        <w:fldChar w:fldCharType="separate"/>
      </w:r>
      <w:r w:rsidR="009D6D0D">
        <w:rPr>
          <w:noProof/>
          <w:webHidden/>
        </w:rPr>
        <w:t>12</w:t>
      </w:r>
      <w:r>
        <w:rPr>
          <w:noProof/>
          <w:webHidden/>
        </w:rPr>
        <w:fldChar w:fldCharType="end"/>
      </w:r>
    </w:p>
    <w:p w14:paraId="0F0FA8D3" w14:textId="3F471160" w:rsidR="00066A4E" w:rsidRDefault="00066A4E">
      <w:pPr>
        <w:pStyle w:val="TOC3"/>
        <w:rPr>
          <w:rFonts w:asciiTheme="minorHAnsi" w:eastAsiaTheme="minorEastAsia" w:hAnsiTheme="minorHAnsi" w:cstheme="minorBidi"/>
          <w:iCs w:val="0"/>
          <w:noProof/>
          <w:kern w:val="2"/>
          <w:sz w:val="22"/>
          <w:szCs w:val="22"/>
          <w:lang w:eastAsia="en-AU"/>
          <w14:ligatures w14:val="standardContextual"/>
        </w:rPr>
      </w:pPr>
      <w:r>
        <w:rPr>
          <w:noProof/>
        </w:rPr>
        <w:t>Top-up Tax arising under the DMT</w:t>
      </w:r>
      <w:r>
        <w:rPr>
          <w:noProof/>
          <w:webHidden/>
        </w:rPr>
        <w:tab/>
      </w:r>
      <w:r>
        <w:rPr>
          <w:noProof/>
          <w:webHidden/>
        </w:rPr>
        <w:fldChar w:fldCharType="begin"/>
      </w:r>
      <w:r>
        <w:rPr>
          <w:noProof/>
          <w:webHidden/>
        </w:rPr>
        <w:instrText xml:space="preserve"> PAGEREF _Toc185614894 \h </w:instrText>
      </w:r>
      <w:r>
        <w:rPr>
          <w:noProof/>
          <w:webHidden/>
        </w:rPr>
      </w:r>
      <w:r>
        <w:rPr>
          <w:noProof/>
          <w:webHidden/>
        </w:rPr>
        <w:fldChar w:fldCharType="separate"/>
      </w:r>
      <w:r w:rsidR="009D6D0D">
        <w:rPr>
          <w:noProof/>
          <w:webHidden/>
        </w:rPr>
        <w:t>21</w:t>
      </w:r>
      <w:r>
        <w:rPr>
          <w:noProof/>
          <w:webHidden/>
        </w:rPr>
        <w:fldChar w:fldCharType="end"/>
      </w:r>
    </w:p>
    <w:p w14:paraId="66CC66F0" w14:textId="54EC7C0A" w:rsidR="00066A4E" w:rsidRDefault="00066A4E">
      <w:pPr>
        <w:pStyle w:val="TOC3"/>
        <w:rPr>
          <w:rFonts w:asciiTheme="minorHAnsi" w:eastAsiaTheme="minorEastAsia" w:hAnsiTheme="minorHAnsi" w:cstheme="minorBidi"/>
          <w:iCs w:val="0"/>
          <w:noProof/>
          <w:kern w:val="2"/>
          <w:sz w:val="22"/>
          <w:szCs w:val="22"/>
          <w:lang w:eastAsia="en-AU"/>
          <w14:ligatures w14:val="standardContextual"/>
        </w:rPr>
      </w:pPr>
      <w:r>
        <w:rPr>
          <w:noProof/>
        </w:rPr>
        <w:t>Top</w:t>
      </w:r>
      <w:r>
        <w:rPr>
          <w:noProof/>
        </w:rPr>
        <w:noBreakHyphen/>
        <w:t>up Tax arising under the UTPR</w:t>
      </w:r>
      <w:r>
        <w:rPr>
          <w:noProof/>
          <w:webHidden/>
        </w:rPr>
        <w:tab/>
      </w:r>
      <w:r>
        <w:rPr>
          <w:noProof/>
          <w:webHidden/>
        </w:rPr>
        <w:fldChar w:fldCharType="begin"/>
      </w:r>
      <w:r>
        <w:rPr>
          <w:noProof/>
          <w:webHidden/>
        </w:rPr>
        <w:instrText xml:space="preserve"> PAGEREF _Toc185614895 \h </w:instrText>
      </w:r>
      <w:r>
        <w:rPr>
          <w:noProof/>
          <w:webHidden/>
        </w:rPr>
      </w:r>
      <w:r>
        <w:rPr>
          <w:noProof/>
          <w:webHidden/>
        </w:rPr>
        <w:fldChar w:fldCharType="separate"/>
      </w:r>
      <w:r w:rsidR="009D6D0D">
        <w:rPr>
          <w:noProof/>
          <w:webHidden/>
        </w:rPr>
        <w:t>23</w:t>
      </w:r>
      <w:r>
        <w:rPr>
          <w:noProof/>
          <w:webHidden/>
        </w:rPr>
        <w:fldChar w:fldCharType="end"/>
      </w:r>
    </w:p>
    <w:p w14:paraId="6D24BCF6" w14:textId="4A95FF8C" w:rsidR="00AB22A5" w:rsidRPr="00AB22A5" w:rsidRDefault="00AB22A5" w:rsidP="00AB22A5">
      <w:r>
        <w:fldChar w:fldCharType="end"/>
      </w:r>
    </w:p>
    <w:p w14:paraId="6D1178C5" w14:textId="44BD8E73" w:rsidR="0025163B" w:rsidRPr="00020288" w:rsidRDefault="0025163B" w:rsidP="005D0844">
      <w:pPr>
        <w:pStyle w:val="Heading2"/>
        <w:rPr>
          <w:rFonts w:hint="eastAsia"/>
        </w:rPr>
      </w:pPr>
      <w:bookmarkStart w:id="68" w:name="_Toc185614891"/>
      <w:r w:rsidRPr="00020288">
        <w:t xml:space="preserve">Outline </w:t>
      </w:r>
      <w:r w:rsidRPr="005D0844">
        <w:t>of</w:t>
      </w:r>
      <w:r w:rsidRPr="00020288">
        <w:t xml:space="preserve"> chapter</w:t>
      </w:r>
      <w:bookmarkEnd w:id="66"/>
      <w:bookmarkEnd w:id="68"/>
    </w:p>
    <w:p w14:paraId="48D9BCE1" w14:textId="77777777" w:rsidR="0003529C" w:rsidRDefault="0003529C" w:rsidP="0003529C">
      <w:pPr>
        <w:pStyle w:val="Normalparatextwithnumbers"/>
      </w:pPr>
      <w:r>
        <w:t>Chapter 2 of the Rules sets out the allocation of top</w:t>
      </w:r>
      <w:r w:rsidRPr="0013622E">
        <w:t xml:space="preserve">-up </w:t>
      </w:r>
      <w:r>
        <w:t xml:space="preserve">tax on the Constituent Entities within an Applicable MNE Group. The allocation is consistent with </w:t>
      </w:r>
      <w:r w:rsidDel="00F66866">
        <w:t xml:space="preserve">the </w:t>
      </w:r>
      <w:r>
        <w:t xml:space="preserve">GloBE Rules. </w:t>
      </w:r>
    </w:p>
    <w:p w14:paraId="642FEA50" w14:textId="77777777" w:rsidR="0003529C" w:rsidRDefault="0003529C" w:rsidP="0003529C">
      <w:pPr>
        <w:pStyle w:val="Normalparatextwithnumbers"/>
      </w:pPr>
      <w:r>
        <w:t xml:space="preserve">The charging provisions in the GloBE Rules comprise of the IIR and the UTPR. </w:t>
      </w:r>
    </w:p>
    <w:p w14:paraId="1D3CF274" w14:textId="77777777" w:rsidR="0003529C" w:rsidRDefault="0003529C" w:rsidP="0003529C">
      <w:pPr>
        <w:pStyle w:val="Normalparatextwithnumbers"/>
      </w:pPr>
      <w:r>
        <w:t>The IIR applies by allocating a Top-up Tax Amount to the Parent Entity generally closest to the top of the corporate structure (the ‘top-down’ approach). A Top</w:t>
      </w:r>
      <w:r w:rsidRPr="0013622E">
        <w:t xml:space="preserve">-up </w:t>
      </w:r>
      <w:r>
        <w:t xml:space="preserve">Tax Amount is appliable to LTCEs that are subject to an ETR below the 15 per cent Minimum Rate. </w:t>
      </w:r>
    </w:p>
    <w:p w14:paraId="462E1B7D" w14:textId="77777777" w:rsidR="0003529C" w:rsidRPr="00502F95" w:rsidRDefault="0003529C" w:rsidP="0003529C">
      <w:pPr>
        <w:pStyle w:val="Normalparatextwithnumbers"/>
      </w:pPr>
      <w:r w:rsidRPr="00502F95">
        <w:t xml:space="preserve">The UTPR serves as a backstop to the IIR. </w:t>
      </w:r>
      <w:r w:rsidRPr="007D7787">
        <w:t xml:space="preserve">It permits other jurisdictions to impose top-up tax </w:t>
      </w:r>
      <w:r>
        <w:t xml:space="preserve">(by </w:t>
      </w:r>
      <w:r w:rsidRPr="00502F95">
        <w:t>den</w:t>
      </w:r>
      <w:r>
        <w:t>ying</w:t>
      </w:r>
      <w:r w:rsidRPr="00502F95">
        <w:t xml:space="preserve"> deductions or an equivalent adjustment) </w:t>
      </w:r>
      <w:r>
        <w:t>on</w:t>
      </w:r>
      <w:r w:rsidRPr="00502F95">
        <w:t xml:space="preserve"> certain </w:t>
      </w:r>
      <w:r>
        <w:t>Constituent Entities</w:t>
      </w:r>
      <w:r w:rsidRPr="00502F95">
        <w:t xml:space="preserve"> to the extent that </w:t>
      </w:r>
      <w:r>
        <w:t xml:space="preserve">the undertaxed income of </w:t>
      </w:r>
      <w:r w:rsidRPr="00502F95">
        <w:t xml:space="preserve">an LTCE </w:t>
      </w:r>
      <w:r>
        <w:t xml:space="preserve">in the MNE Group </w:t>
      </w:r>
      <w:r w:rsidRPr="00502F95">
        <w:t>is not subject to tax under an IIR.</w:t>
      </w:r>
    </w:p>
    <w:p w14:paraId="71E171F5" w14:textId="77777777" w:rsidR="0003529C" w:rsidRDefault="0003529C" w:rsidP="0003529C">
      <w:pPr>
        <w:pStyle w:val="Normalparatextwithnumbers"/>
      </w:pPr>
      <w:r w:rsidRPr="00C96CC7">
        <w:t>The two sets of rules provide a systematic solution to ensure all in</w:t>
      </w:r>
      <w:r w:rsidRPr="3D793834">
        <w:t xml:space="preserve"> </w:t>
      </w:r>
      <w:r w:rsidRPr="00C96CC7">
        <w:t xml:space="preserve">scope MNE Groups are subject to a minimum of 15 per cent ETR </w:t>
      </w:r>
      <w:r>
        <w:t xml:space="preserve">on the excess profits </w:t>
      </w:r>
      <w:r w:rsidRPr="00C96CC7">
        <w:t xml:space="preserve">in </w:t>
      </w:r>
      <w:r w:rsidRPr="1D939956">
        <w:t>each jurisdiction</w:t>
      </w:r>
      <w:r w:rsidRPr="00C96CC7">
        <w:t xml:space="preserve"> in which they operate.  </w:t>
      </w:r>
    </w:p>
    <w:p w14:paraId="70DDC541" w14:textId="77777777" w:rsidR="0003529C" w:rsidRDefault="0003529C" w:rsidP="0003529C">
      <w:pPr>
        <w:pStyle w:val="Normalparatextwithnumbers"/>
      </w:pPr>
      <w:r>
        <w:t>Jurisdictions have the option to legislate a DMT. The Rules include the details for computing D</w:t>
      </w:r>
      <w:r w:rsidRPr="04269106">
        <w:t>omestic Top</w:t>
      </w:r>
      <w:r w:rsidRPr="00CC6076">
        <w:t xml:space="preserve">-up </w:t>
      </w:r>
      <w:r w:rsidRPr="04269106">
        <w:t>Tax</w:t>
      </w:r>
      <w:r w:rsidRPr="4D139431">
        <w:t xml:space="preserve"> </w:t>
      </w:r>
      <w:r w:rsidRPr="19B42694">
        <w:t>Amounts for</w:t>
      </w:r>
      <w:r w:rsidRPr="00CC6076">
        <w:t xml:space="preserve"> Constituent Entities located in Australia that are subject to an ETR below the 15 per cent Minimum Rate</w:t>
      </w:r>
      <w:r>
        <w:t xml:space="preserve">.  </w:t>
      </w:r>
    </w:p>
    <w:p w14:paraId="7D0D80FD" w14:textId="77777777" w:rsidR="0025163B" w:rsidRPr="00020288" w:rsidRDefault="0025163B" w:rsidP="0025163B">
      <w:pPr>
        <w:pStyle w:val="Heading2"/>
        <w:numPr>
          <w:ilvl w:val="1"/>
          <w:numId w:val="2"/>
        </w:numPr>
        <w:tabs>
          <w:tab w:val="num" w:pos="567"/>
        </w:tabs>
        <w:ind w:left="567" w:hanging="567"/>
        <w:rPr>
          <w:rFonts w:hint="eastAsia"/>
        </w:rPr>
      </w:pPr>
      <w:bookmarkStart w:id="69" w:name="_Toc183786632"/>
      <w:bookmarkStart w:id="70" w:name="_Toc185614892"/>
      <w:r w:rsidRPr="00020288">
        <w:lastRenderedPageBreak/>
        <w:t>Detailed explanation of new law</w:t>
      </w:r>
      <w:bookmarkEnd w:id="69"/>
      <w:bookmarkEnd w:id="70"/>
    </w:p>
    <w:p w14:paraId="77172FCD" w14:textId="77777777" w:rsidR="00E21369" w:rsidRDefault="00E21369" w:rsidP="00E21369">
      <w:pPr>
        <w:pStyle w:val="Heading4"/>
        <w:numPr>
          <w:ilvl w:val="3"/>
          <w:numId w:val="2"/>
        </w:numPr>
      </w:pPr>
      <w:r>
        <w:t xml:space="preserve">Agreed rule order for the IIR </w:t>
      </w:r>
    </w:p>
    <w:p w14:paraId="4F91BEA3" w14:textId="77777777" w:rsidR="00E21369" w:rsidRDefault="00E21369" w:rsidP="00E21369">
      <w:pPr>
        <w:pStyle w:val="Normalparatextwithnumbers"/>
        <w:numPr>
          <w:ilvl w:val="1"/>
          <w:numId w:val="17"/>
        </w:numPr>
      </w:pPr>
      <w:bookmarkStart w:id="71" w:name="_Ref183185670"/>
      <w:r>
        <w:t>The IIR follows a linear, top-down approach, in imposing top</w:t>
      </w:r>
      <w:r w:rsidRPr="0013622E">
        <w:t xml:space="preserve">-up </w:t>
      </w:r>
      <w:r>
        <w:t>tax on a Parent Entity.</w:t>
      </w:r>
      <w:bookmarkEnd w:id="71"/>
      <w:r>
        <w:t xml:space="preserve">  </w:t>
      </w:r>
    </w:p>
    <w:p w14:paraId="254B5419" w14:textId="77777777" w:rsidR="00E21369" w:rsidRDefault="00E21369" w:rsidP="00E21369">
      <w:pPr>
        <w:pStyle w:val="Normalparatextwithnumbers"/>
        <w:numPr>
          <w:ilvl w:val="1"/>
          <w:numId w:val="17"/>
        </w:numPr>
      </w:pPr>
      <w:r>
        <w:t xml:space="preserve">Generally, the jurisdiction where the LTCE is located has the primary right to collect any </w:t>
      </w:r>
      <w:r w:rsidRPr="0013622E">
        <w:t>top-up tax</w:t>
      </w:r>
      <w:r>
        <w:t xml:space="preserve"> under the QDMTT. However, if that right is not exercised, then under the IIR agreed rule order, the jurisdiction where the UPE of the MNE Group is located will have the right to collect the t</w:t>
      </w:r>
      <w:r w:rsidRPr="0013622E">
        <w:t>op-up tax</w:t>
      </w:r>
      <w:r>
        <w:t xml:space="preserve"> under the IIR. </w:t>
      </w:r>
    </w:p>
    <w:p w14:paraId="55E6179A" w14:textId="77777777" w:rsidR="00E21369" w:rsidRDefault="00E21369" w:rsidP="00E21369">
      <w:pPr>
        <w:pStyle w:val="Normalparatextwithnumbers"/>
        <w:numPr>
          <w:ilvl w:val="1"/>
          <w:numId w:val="17"/>
        </w:numPr>
      </w:pPr>
      <w:r>
        <w:t xml:space="preserve">However, where the jurisdiction in which the UPE is located does not have a QIIR, the </w:t>
      </w:r>
      <w:r w:rsidRPr="0013622E">
        <w:t>top-up tax</w:t>
      </w:r>
      <w:r>
        <w:t xml:space="preserve"> in respect of a LTCE can be imposed on a Parent Entity that is lower down in the MNE Group structure. For instance, top</w:t>
      </w:r>
      <w:r w:rsidRPr="0013622E">
        <w:t xml:space="preserve">-up </w:t>
      </w:r>
      <w:r>
        <w:t>tax</w:t>
      </w:r>
      <w:r w:rsidRPr="004E0D0F">
        <w:t xml:space="preserve"> liability that arises in respect of a </w:t>
      </w:r>
      <w:r>
        <w:t>Permanent Establishment</w:t>
      </w:r>
      <w:r w:rsidRPr="004E0D0F">
        <w:t xml:space="preserve"> will be imposed on the Main Entity.</w:t>
      </w:r>
      <w:r>
        <w:t xml:space="preserve"> Another example of where the IIR may be imposed lower down the </w:t>
      </w:r>
      <w:bookmarkStart w:id="72" w:name="_Hlk181871706"/>
      <w:r>
        <w:t xml:space="preserve">group structure </w:t>
      </w:r>
      <w:bookmarkEnd w:id="72"/>
      <w:r>
        <w:t>is where there is a POPE.</w:t>
      </w:r>
    </w:p>
    <w:p w14:paraId="77244496" w14:textId="77777777" w:rsidR="00E21369" w:rsidRDefault="00E21369" w:rsidP="00E21369">
      <w:pPr>
        <w:pStyle w:val="Normalparatextwithnumbers"/>
        <w:numPr>
          <w:ilvl w:val="1"/>
          <w:numId w:val="17"/>
        </w:numPr>
      </w:pPr>
      <w:r>
        <w:t>Where neither the jurisdiction in which the UPE is located (or in some cases, a jurisdiction in which a Parent Entity lower down the</w:t>
      </w:r>
      <w:r w:rsidRPr="00602043">
        <w:t xml:space="preserve"> </w:t>
      </w:r>
      <w:r>
        <w:t xml:space="preserve">group structure is located) does not have a QIIR, then other jurisdictions with a Qualified UTPR may be able to exercise the right to claim any </w:t>
      </w:r>
      <w:r w:rsidRPr="0013622E">
        <w:t>top-up tax</w:t>
      </w:r>
      <w:r>
        <w:t>.</w:t>
      </w:r>
    </w:p>
    <w:p w14:paraId="45681FEF" w14:textId="77777777" w:rsidR="00E21369" w:rsidRDefault="00E21369" w:rsidP="00E21369">
      <w:pPr>
        <w:pStyle w:val="Heading4"/>
        <w:numPr>
          <w:ilvl w:val="3"/>
          <w:numId w:val="2"/>
        </w:numPr>
      </w:pPr>
      <w:r>
        <w:t>Application of the IIR</w:t>
      </w:r>
    </w:p>
    <w:p w14:paraId="469DEDF6" w14:textId="26C20B58" w:rsidR="00E21369" w:rsidRPr="000B3F6F" w:rsidRDefault="00E21369" w:rsidP="00E21369">
      <w:pPr>
        <w:pStyle w:val="Normalparatextwithnumbers"/>
        <w:numPr>
          <w:ilvl w:val="1"/>
          <w:numId w:val="17"/>
        </w:numPr>
        <w:rPr>
          <w:rStyle w:val="References"/>
          <w:b w:val="0"/>
          <w:i w:val="0"/>
        </w:rPr>
      </w:pPr>
      <w:r>
        <w:t>A Parent</w:t>
      </w:r>
      <w:r w:rsidDel="00052862">
        <w:t xml:space="preserve"> </w:t>
      </w:r>
      <w:r>
        <w:t>Entity has an IIR T</w:t>
      </w:r>
      <w:r w:rsidRPr="0013622E">
        <w:t>op-</w:t>
      </w:r>
      <w:r>
        <w:t>u</w:t>
      </w:r>
      <w:r w:rsidRPr="0013622E">
        <w:t xml:space="preserve">p </w:t>
      </w:r>
      <w:r>
        <w:t>T</w:t>
      </w:r>
      <w:r w:rsidRPr="0013622E">
        <w:t>ax</w:t>
      </w:r>
      <w:r>
        <w:t xml:space="preserve"> Amount in respect of LTCE if the Parent Entity </w:t>
      </w:r>
      <w:bookmarkStart w:id="73" w:name="_Int_FlBAj3li"/>
      <w:r>
        <w:t>is located in</w:t>
      </w:r>
      <w:bookmarkEnd w:id="73"/>
      <w:r>
        <w:t xml:space="preserve"> Australia and it has an ownership interest in the LTCE for a Fiscal Year and the LTCE is not located in Australia. This extends to a Parent Entity that has an ownership interest in a JV or JV Subsidiary at any time in the Fiscal Year. The IIR Top-up Tax Amount is determined by reference to the </w:t>
      </w:r>
      <w:r w:rsidRPr="006978E2">
        <w:t>Parent Entit</w:t>
      </w:r>
      <w:r>
        <w:t>y’s</w:t>
      </w:r>
      <w:r w:rsidRPr="006978E2">
        <w:t xml:space="preserve"> allocable share of top-up tax </w:t>
      </w:r>
      <w:r>
        <w:t xml:space="preserve">for </w:t>
      </w:r>
      <w:r w:rsidRPr="006978E2">
        <w:t>the LTCE, JV, or JV Subsidiary for the Fiscal Year</w:t>
      </w:r>
      <w:r>
        <w:t>.</w:t>
      </w:r>
      <w:r>
        <w:br/>
      </w:r>
      <w:r w:rsidRPr="004E25B9">
        <w:rPr>
          <w:rStyle w:val="References"/>
        </w:rPr>
        <w:t>[Chapter 2, section 2-5 of the Rules]</w:t>
      </w:r>
    </w:p>
    <w:p w14:paraId="46667D5C" w14:textId="7B7E5B80" w:rsidR="000B3F6F" w:rsidRPr="00A50C75" w:rsidRDefault="000B3F6F" w:rsidP="000B3F6F">
      <w:pPr>
        <w:pStyle w:val="Normalparatextwithnumbers"/>
      </w:pPr>
      <w:r w:rsidRPr="00A50C75">
        <w:t xml:space="preserve">The Top-up Tax of a JV Entity is used to compute the IIR Top-up Tax Amount of an UPE of the actual MNE Group that holds an Ownership Interest in the JV entity for the purpose of applying IIR by the Parent Entity. </w:t>
      </w:r>
      <w:r w:rsidRPr="00A50C75">
        <w:br/>
      </w:r>
      <w:r w:rsidRPr="00A50C75">
        <w:rPr>
          <w:b/>
          <w:bCs/>
          <w:i/>
          <w:iCs/>
        </w:rPr>
        <w:t>[Chapter 2, subsection</w:t>
      </w:r>
      <w:r w:rsidR="00A97904">
        <w:rPr>
          <w:b/>
          <w:bCs/>
          <w:i/>
          <w:iCs/>
        </w:rPr>
        <w:t>s</w:t>
      </w:r>
      <w:r w:rsidRPr="00A50C75">
        <w:rPr>
          <w:b/>
          <w:bCs/>
          <w:i/>
          <w:iCs/>
        </w:rPr>
        <w:t xml:space="preserve"> 2-5(3) and (4) of the Rules]</w:t>
      </w:r>
    </w:p>
    <w:p w14:paraId="34C760DF" w14:textId="77777777" w:rsidR="00871600" w:rsidRDefault="00871600" w:rsidP="00AB22A5">
      <w:pPr>
        <w:pStyle w:val="Heading3"/>
        <w:rPr>
          <w:rFonts w:hint="eastAsia"/>
        </w:rPr>
      </w:pPr>
      <w:bookmarkStart w:id="74" w:name="_Toc181720705"/>
      <w:bookmarkStart w:id="75" w:name="_Toc183786633"/>
      <w:bookmarkStart w:id="76" w:name="_Toc185614893"/>
      <w:r>
        <w:t>Top-up tax arising under the IIR</w:t>
      </w:r>
      <w:bookmarkEnd w:id="74"/>
      <w:bookmarkEnd w:id="75"/>
      <w:bookmarkEnd w:id="76"/>
    </w:p>
    <w:p w14:paraId="5FDC08C0" w14:textId="1170F8E6" w:rsidR="00871600" w:rsidRDefault="00871600" w:rsidP="00871600">
      <w:pPr>
        <w:pStyle w:val="Normalparatextwithnumbers"/>
        <w:numPr>
          <w:ilvl w:val="1"/>
          <w:numId w:val="17"/>
        </w:numPr>
      </w:pPr>
      <w:r w:rsidRPr="00CE4204">
        <w:t xml:space="preserve">However, </w:t>
      </w:r>
      <w:r>
        <w:t xml:space="preserve">a </w:t>
      </w:r>
      <w:r w:rsidRPr="00CE4204">
        <w:t xml:space="preserve">Parent Entity </w:t>
      </w:r>
      <w:r>
        <w:t xml:space="preserve">may not have an </w:t>
      </w:r>
      <w:bookmarkStart w:id="77" w:name="_Hlk181877132"/>
      <w:r>
        <w:t xml:space="preserve">IIR Top-up Tax Amount </w:t>
      </w:r>
      <w:bookmarkEnd w:id="77"/>
      <w:r>
        <w:t xml:space="preserve">where the entity </w:t>
      </w:r>
      <w:r w:rsidRPr="00CE4204">
        <w:t xml:space="preserve">is an </w:t>
      </w:r>
      <w:r>
        <w:t>IPE</w:t>
      </w:r>
      <w:r w:rsidRPr="00CE4204">
        <w:t xml:space="preserve"> or a </w:t>
      </w:r>
      <w:r>
        <w:t xml:space="preserve">POPE. </w:t>
      </w:r>
      <w:r w:rsidR="00D752FE">
        <w:t>An</w:t>
      </w:r>
      <w:r>
        <w:t xml:space="preserve"> IPE will not have a IIR Top-up Tax Amount if the UPE of the group is required to apply a Qualified IIR.</w:t>
      </w:r>
      <w:r w:rsidR="003244B6">
        <w:t xml:space="preserve"> The same treatment </w:t>
      </w:r>
      <w:r w:rsidR="003244B6">
        <w:lastRenderedPageBreak/>
        <w:t>applies</w:t>
      </w:r>
      <w:r w:rsidR="002119B2">
        <w:t xml:space="preserve"> to an IPE</w:t>
      </w:r>
      <w:r w:rsidR="003244B6">
        <w:t xml:space="preserve"> where</w:t>
      </w:r>
      <w:r>
        <w:t xml:space="preserve"> another IPE holds a Controlling Interest</w:t>
      </w:r>
      <w:r w:rsidR="00906E0B">
        <w:t>,</w:t>
      </w:r>
      <w:r w:rsidR="003244B6">
        <w:t xml:space="preserve"> directly or indirectly</w:t>
      </w:r>
      <w:r w:rsidR="00906E0B">
        <w:t>,</w:t>
      </w:r>
      <w:r w:rsidR="003244B6">
        <w:t xml:space="preserve"> </w:t>
      </w:r>
      <w:r>
        <w:t>in the POPE</w:t>
      </w:r>
      <w:r w:rsidR="003244B6">
        <w:t>.</w:t>
      </w:r>
      <w:r>
        <w:t xml:space="preserve"> Similarly, a POPE will not have an IIR Top-up Tax Amount if it is wholly owned by another POPE</w:t>
      </w:r>
      <w:r w:rsidR="00C146C2">
        <w:t>,</w:t>
      </w:r>
      <w:r>
        <w:t xml:space="preserve"> which is required to apply a Qualified IIR.</w:t>
      </w:r>
      <w:r>
        <w:br/>
      </w:r>
      <w:r w:rsidRPr="00A13137">
        <w:rPr>
          <w:rStyle w:val="References"/>
        </w:rPr>
        <w:t>[</w:t>
      </w:r>
      <w:r>
        <w:rPr>
          <w:rStyle w:val="References"/>
        </w:rPr>
        <w:t>Chapter 2, subsection 2-5(5) of the Rules]</w:t>
      </w:r>
    </w:p>
    <w:p w14:paraId="1748A15E" w14:textId="77777777" w:rsidR="00871600" w:rsidRDefault="00871600" w:rsidP="00367002">
      <w:pPr>
        <w:pStyle w:val="DiagramHeading"/>
      </w:pPr>
      <w:r>
        <w:t>Base scenarios for IIR</w:t>
      </w:r>
    </w:p>
    <w:bookmarkStart w:id="78" w:name="_Toc158373977"/>
    <w:p w14:paraId="5863510A" w14:textId="77777777" w:rsidR="00871600" w:rsidRPr="00AE281D" w:rsidRDefault="00871600" w:rsidP="00871600">
      <w:pPr>
        <w:pStyle w:val="Normalparatextnonumbers"/>
        <w:rPr>
          <w:b/>
          <w:bCs/>
          <w:szCs w:val="20"/>
          <w:lang w:eastAsia="en-AU"/>
        </w:rPr>
      </w:pPr>
      <w:r w:rsidRPr="00AE281D">
        <w:rPr>
          <w:b/>
          <w:bCs/>
          <w:noProof/>
          <w:lang w:eastAsia="en-AU"/>
        </w:rPr>
        <mc:AlternateContent>
          <mc:Choice Requires="wps">
            <w:drawing>
              <wp:anchor distT="0" distB="0" distL="114300" distR="114300" simplePos="0" relativeHeight="251658246" behindDoc="0" locked="0" layoutInCell="1" allowOverlap="1" wp14:anchorId="2E03F30E" wp14:editId="0B9A3663">
                <wp:simplePos x="0" y="0"/>
                <wp:positionH relativeFrom="column">
                  <wp:posOffset>2436495</wp:posOffset>
                </wp:positionH>
                <wp:positionV relativeFrom="paragraph">
                  <wp:posOffset>330835</wp:posOffset>
                </wp:positionV>
                <wp:extent cx="0" cy="1174750"/>
                <wp:effectExtent l="0" t="0" r="38100" b="25400"/>
                <wp:wrapNone/>
                <wp:docPr id="28" name="Straight Connector 28" descr="Vertical blank line"/>
                <wp:cNvGraphicFramePr/>
                <a:graphic xmlns:a="http://schemas.openxmlformats.org/drawingml/2006/main">
                  <a:graphicData uri="http://schemas.microsoft.com/office/word/2010/wordprocessingShape">
                    <wps:wsp>
                      <wps:cNvCnPr/>
                      <wps:spPr>
                        <a:xfrm>
                          <a:off x="0" y="0"/>
                          <a:ext cx="0" cy="1174750"/>
                        </a:xfrm>
                        <a:prstGeom prst="line">
                          <a:avLst/>
                        </a:prstGeom>
                        <a:noFill/>
                        <a:ln w="6350" cap="flat" cmpd="sng" algn="ctr">
                          <a:solidFill>
                            <a:srgbClr val="E7E6E6">
                              <a:lumMod val="10000"/>
                            </a:srgbClr>
                          </a:solidFill>
                          <a:prstDash val="solid"/>
                          <a:miter lim="800000"/>
                        </a:ln>
                        <a:effectLst/>
                      </wps:spPr>
                      <wps:bodyPr/>
                    </wps:wsp>
                  </a:graphicData>
                </a:graphic>
              </wp:anchor>
            </w:drawing>
          </mc:Choice>
          <mc:Fallback>
            <w:pict>
              <v:line w14:anchorId="36A67F06" id="Straight Connector 28" o:spid="_x0000_s1026" alt="Vertical blank line"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191.85pt,26.05pt" to="191.85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" strokecolor="#181717" strokeweight=".5pt">
                <v:stroke joinstyle="miter"/>
              </v:line>
            </w:pict>
          </mc:Fallback>
        </mc:AlternateContent>
      </w:r>
      <w:r w:rsidRPr="00AE281D">
        <w:rPr>
          <w:b/>
          <w:bCs/>
          <w:noProof/>
          <w:lang w:eastAsia="en-AU"/>
        </w:rPr>
        <w:drawing>
          <wp:anchor distT="0" distB="0" distL="114300" distR="114300" simplePos="0" relativeHeight="251658244" behindDoc="1" locked="0" layoutInCell="1" allowOverlap="1" wp14:anchorId="009224B2" wp14:editId="1440CCD0">
            <wp:simplePos x="0" y="0"/>
            <wp:positionH relativeFrom="column">
              <wp:posOffset>2526665</wp:posOffset>
            </wp:positionH>
            <wp:positionV relativeFrom="paragraph">
              <wp:posOffset>281305</wp:posOffset>
            </wp:positionV>
            <wp:extent cx="2075815" cy="1231900"/>
            <wp:effectExtent l="0" t="0" r="0" b="6350"/>
            <wp:wrapTight wrapText="bothSides">
              <wp:wrapPolygon edited="0">
                <wp:start x="0" y="0"/>
                <wp:lineTo x="0" y="17703"/>
                <wp:lineTo x="9713" y="21377"/>
                <wp:lineTo x="16056" y="21377"/>
                <wp:lineTo x="16255" y="14363"/>
                <wp:lineTo x="13678" y="11357"/>
                <wp:lineTo x="17840" y="10689"/>
                <wp:lineTo x="18831" y="10021"/>
                <wp:lineTo x="18435" y="5344"/>
                <wp:lineTo x="11101" y="0"/>
                <wp:lineTo x="0" y="0"/>
              </wp:wrapPolygon>
            </wp:wrapTight>
            <wp:docPr id="24" name="Picture 24" descr="Diagram showing 2 boxes with the letters PE in each box, with one box being over the top of a picture of Australia. Both boxes have arrows pointing  down to another box with the letters LT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 showing 2 boxes with the letters PE in each box, with one box being over the top of a picture of Australia. Both boxes have arrows pointing  down to another box with the letters LTCE."/>
                    <pic:cNvPicPr>
                      <a:picLocks noChangeAspect="1" noChangeArrowheads="1"/>
                    </pic:cNvPicPr>
                  </pic:nvPicPr>
                  <pic:blipFill>
                    <a:blip r:embed="rId27">
                      <a:biLevel thresh="50000"/>
                      <a:extLst>
                        <a:ext uri="{28A0092B-C50C-407E-A947-70E740481C1C}">
                          <a14:useLocalDpi xmlns:a14="http://schemas.microsoft.com/office/drawing/2010/main" val="0"/>
                        </a:ext>
                      </a:extLst>
                    </a:blip>
                    <a:srcRect/>
                    <a:stretch>
                      <a:fillRect/>
                    </a:stretch>
                  </pic:blipFill>
                  <pic:spPr bwMode="auto">
                    <a:xfrm>
                      <a:off x="0" y="0"/>
                      <a:ext cx="2075815" cy="1231900"/>
                    </a:xfrm>
                    <a:prstGeom prst="rect">
                      <a:avLst/>
                    </a:prstGeom>
                    <a:noFill/>
                  </pic:spPr>
                </pic:pic>
              </a:graphicData>
            </a:graphic>
            <wp14:sizeRelH relativeFrom="page">
              <wp14:pctWidth>0</wp14:pctWidth>
            </wp14:sizeRelH>
            <wp14:sizeRelV relativeFrom="page">
              <wp14:pctHeight>0</wp14:pctHeight>
            </wp14:sizeRelV>
          </wp:anchor>
        </w:drawing>
      </w:r>
      <w:r w:rsidRPr="00AE281D">
        <w:rPr>
          <w:b/>
          <w:bCs/>
          <w:noProof/>
          <w:lang w:eastAsia="en-AU"/>
        </w:rPr>
        <w:drawing>
          <wp:anchor distT="0" distB="0" distL="114300" distR="114300" simplePos="0" relativeHeight="251658243" behindDoc="1" locked="0" layoutInCell="1" allowOverlap="1" wp14:anchorId="03993EC4" wp14:editId="78DEB261">
            <wp:simplePos x="0" y="0"/>
            <wp:positionH relativeFrom="column">
              <wp:posOffset>1170305</wp:posOffset>
            </wp:positionH>
            <wp:positionV relativeFrom="paragraph">
              <wp:posOffset>276225</wp:posOffset>
            </wp:positionV>
            <wp:extent cx="1567180" cy="1308100"/>
            <wp:effectExtent l="0" t="0" r="0" b="6350"/>
            <wp:wrapTight wrapText="bothSides">
              <wp:wrapPolygon edited="0">
                <wp:start x="263" y="0"/>
                <wp:lineTo x="0" y="5977"/>
                <wp:lineTo x="0" y="11010"/>
                <wp:lineTo x="263" y="16043"/>
                <wp:lineTo x="2888" y="21390"/>
                <wp:lineTo x="11815" y="21390"/>
                <wp:lineTo x="11815" y="20132"/>
                <wp:lineTo x="12865" y="20132"/>
                <wp:lineTo x="16541" y="16043"/>
                <wp:lineTo x="17066" y="10066"/>
                <wp:lineTo x="16541" y="0"/>
                <wp:lineTo x="263" y="0"/>
              </wp:wrapPolygon>
            </wp:wrapTight>
            <wp:docPr id="13" name="Picture 13" descr="Diagram showing 2 boxes with the letters PE in each box over the top of a picture of Australia and arrows pointing down to a box with the word LT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showing 2 boxes with the letters PE in each box over the top of a picture of Australia and arrows pointing down to a box with the word LTCE."/>
                    <pic:cNvPicPr>
                      <a:picLocks noChangeAspect="1" noChangeArrowheads="1"/>
                    </pic:cNvPicPr>
                  </pic:nvPicPr>
                  <pic:blipFill>
                    <a:blip r:embed="rId28">
                      <a:biLevel thresh="50000"/>
                      <a:extLst>
                        <a:ext uri="{28A0092B-C50C-407E-A947-70E740481C1C}">
                          <a14:useLocalDpi xmlns:a14="http://schemas.microsoft.com/office/drawing/2010/main" val="0"/>
                        </a:ext>
                      </a:extLst>
                    </a:blip>
                    <a:srcRect/>
                    <a:stretch>
                      <a:fillRect/>
                    </a:stretch>
                  </pic:blipFill>
                  <pic:spPr bwMode="auto">
                    <a:xfrm>
                      <a:off x="0" y="0"/>
                      <a:ext cx="1567180" cy="1308100"/>
                    </a:xfrm>
                    <a:prstGeom prst="rect">
                      <a:avLst/>
                    </a:prstGeom>
                    <a:noFill/>
                  </pic:spPr>
                </pic:pic>
              </a:graphicData>
            </a:graphic>
            <wp14:sizeRelH relativeFrom="page">
              <wp14:pctWidth>0</wp14:pctWidth>
            </wp14:sizeRelH>
            <wp14:sizeRelV relativeFrom="page">
              <wp14:pctHeight>0</wp14:pctHeight>
            </wp14:sizeRelV>
          </wp:anchor>
        </w:drawing>
      </w:r>
      <w:r w:rsidRPr="00AE281D">
        <w:rPr>
          <w:b/>
          <w:bCs/>
          <w:noProof/>
          <w:lang w:eastAsia="en-AU"/>
        </w:rPr>
        <mc:AlternateContent>
          <mc:Choice Requires="wps">
            <w:drawing>
              <wp:anchor distT="0" distB="0" distL="114300" distR="114300" simplePos="0" relativeHeight="251658245" behindDoc="0" locked="0" layoutInCell="1" allowOverlap="1" wp14:anchorId="6E010F2B" wp14:editId="46EA1D72">
                <wp:simplePos x="0" y="0"/>
                <wp:positionH relativeFrom="column">
                  <wp:posOffset>1033145</wp:posOffset>
                </wp:positionH>
                <wp:positionV relativeFrom="paragraph">
                  <wp:posOffset>288290</wp:posOffset>
                </wp:positionV>
                <wp:extent cx="0" cy="1174750"/>
                <wp:effectExtent l="0" t="0" r="38100" b="25400"/>
                <wp:wrapNone/>
                <wp:docPr id="25" name="Straight Connector 25" descr="Vertical blank line"/>
                <wp:cNvGraphicFramePr/>
                <a:graphic xmlns:a="http://schemas.openxmlformats.org/drawingml/2006/main">
                  <a:graphicData uri="http://schemas.microsoft.com/office/word/2010/wordprocessingShape">
                    <wps:wsp>
                      <wps:cNvCnPr/>
                      <wps:spPr>
                        <a:xfrm>
                          <a:off x="0" y="0"/>
                          <a:ext cx="0" cy="1174750"/>
                        </a:xfrm>
                        <a:prstGeom prst="line">
                          <a:avLst/>
                        </a:prstGeom>
                        <a:noFill/>
                        <a:ln w="6350" cap="flat" cmpd="sng" algn="ctr">
                          <a:solidFill>
                            <a:srgbClr val="E7E6E6">
                              <a:lumMod val="10000"/>
                            </a:srgbClr>
                          </a:solidFill>
                          <a:prstDash val="solid"/>
                          <a:miter lim="800000"/>
                        </a:ln>
                        <a:effectLst/>
                      </wps:spPr>
                      <wps:bodyPr/>
                    </wps:wsp>
                  </a:graphicData>
                </a:graphic>
              </wp:anchor>
            </w:drawing>
          </mc:Choice>
          <mc:Fallback>
            <w:pict>
              <v:line w14:anchorId="47566301" id="Straight Connector 25" o:spid="_x0000_s1026" alt="Vertical blank line"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81.35pt,22.7pt" to="81.35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" strokecolor="#181717" strokeweight=".5pt">
                <v:stroke joinstyle="miter"/>
              </v:line>
            </w:pict>
          </mc:Fallback>
        </mc:AlternateContent>
      </w:r>
      <w:r w:rsidRPr="00AE281D">
        <w:rPr>
          <w:b/>
          <w:bCs/>
          <w:noProof/>
          <w:lang w:eastAsia="en-AU"/>
        </w:rPr>
        <w:drawing>
          <wp:anchor distT="0" distB="0" distL="114300" distR="114300" simplePos="0" relativeHeight="251658247" behindDoc="1" locked="0" layoutInCell="1" allowOverlap="1" wp14:anchorId="2C9F5C54" wp14:editId="78B5E161">
            <wp:simplePos x="0" y="0"/>
            <wp:positionH relativeFrom="margin">
              <wp:posOffset>-568960</wp:posOffset>
            </wp:positionH>
            <wp:positionV relativeFrom="paragraph">
              <wp:posOffset>310515</wp:posOffset>
            </wp:positionV>
            <wp:extent cx="1568450" cy="1275080"/>
            <wp:effectExtent l="0" t="0" r="0" b="1270"/>
            <wp:wrapTopAndBottom/>
            <wp:docPr id="8" name="Picture 8" descr="Diagram showing a box with the letters UPE over the top of a picture of Australia and an arrow pointing down to a box with the letters LT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showing a box with the letters UPE over the top of a picture of Australia and an arrow pointing down to a box with the letters LTCE."/>
                    <pic:cNvPicPr>
                      <a:picLocks noChangeAspect="1" noChangeArrowheads="1"/>
                    </pic:cNvPicPr>
                  </pic:nvPicPr>
                  <pic:blipFill>
                    <a:blip r:embed="rId29">
                      <a:biLevel thresh="50000"/>
                      <a:extLst>
                        <a:ext uri="{28A0092B-C50C-407E-A947-70E740481C1C}">
                          <a14:useLocalDpi xmlns:a14="http://schemas.microsoft.com/office/drawing/2010/main" val="0"/>
                        </a:ext>
                      </a:extLst>
                    </a:blip>
                    <a:srcRect/>
                    <a:stretch>
                      <a:fillRect/>
                    </a:stretch>
                  </pic:blipFill>
                  <pic:spPr bwMode="auto">
                    <a:xfrm>
                      <a:off x="0" y="0"/>
                      <a:ext cx="1568450" cy="1275080"/>
                    </a:xfrm>
                    <a:prstGeom prst="rect">
                      <a:avLst/>
                    </a:prstGeom>
                    <a:noFill/>
                  </pic:spPr>
                </pic:pic>
              </a:graphicData>
            </a:graphic>
            <wp14:sizeRelH relativeFrom="page">
              <wp14:pctWidth>0</wp14:pctWidth>
            </wp14:sizeRelH>
            <wp14:sizeRelV relativeFrom="page">
              <wp14:pctHeight>0</wp14:pctHeight>
            </wp14:sizeRelV>
          </wp:anchor>
        </w:drawing>
      </w:r>
      <w:bookmarkEnd w:id="78"/>
      <w:r w:rsidRPr="00AE281D">
        <w:rPr>
          <w:b/>
          <w:bCs/>
          <w:szCs w:val="20"/>
          <w:lang w:eastAsia="en-AU"/>
        </w:rPr>
        <w:t>Example 1a</w:t>
      </w:r>
      <w:r w:rsidRPr="00AE281D">
        <w:rPr>
          <w:b/>
          <w:bCs/>
          <w:szCs w:val="20"/>
          <w:lang w:eastAsia="en-AU"/>
        </w:rPr>
        <w:tab/>
      </w:r>
      <w:r w:rsidRPr="00AE281D">
        <w:rPr>
          <w:b/>
          <w:bCs/>
          <w:szCs w:val="20"/>
          <w:lang w:eastAsia="en-AU"/>
        </w:rPr>
        <w:tab/>
        <w:t>Example 1b</w:t>
      </w:r>
      <w:r w:rsidRPr="00AE281D">
        <w:rPr>
          <w:b/>
          <w:bCs/>
          <w:szCs w:val="20"/>
          <w:lang w:eastAsia="en-AU"/>
        </w:rPr>
        <w:tab/>
      </w:r>
      <w:r w:rsidRPr="00AE281D">
        <w:rPr>
          <w:b/>
          <w:bCs/>
          <w:szCs w:val="20"/>
          <w:lang w:eastAsia="en-AU"/>
        </w:rPr>
        <w:tab/>
        <w:t>Example 1c</w:t>
      </w:r>
    </w:p>
    <w:p w14:paraId="7528C7D1" w14:textId="48149B42" w:rsidR="00871600" w:rsidRDefault="00871600" w:rsidP="00871600">
      <w:pPr>
        <w:pStyle w:val="Exampletext"/>
        <w:rPr>
          <w:lang w:eastAsia="en-AU"/>
        </w:rPr>
      </w:pPr>
      <w:r>
        <w:rPr>
          <w:b/>
          <w:bCs/>
          <w:lang w:eastAsia="en-AU"/>
        </w:rPr>
        <w:t>Example 1a</w:t>
      </w:r>
      <w:r w:rsidRPr="00C42D9B">
        <w:rPr>
          <w:lang w:eastAsia="en-AU"/>
        </w:rPr>
        <w:t xml:space="preserve">: </w:t>
      </w:r>
      <w:r>
        <w:rPr>
          <w:lang w:eastAsia="en-AU"/>
        </w:rPr>
        <w:t xml:space="preserve">As the LTCE is in a different jurisdiction from the UPE, this is an </w:t>
      </w:r>
      <w:r w:rsidR="002330EF">
        <w:rPr>
          <w:lang w:eastAsia="en-AU"/>
        </w:rPr>
        <w:t>MNE Group</w:t>
      </w:r>
      <w:r>
        <w:rPr>
          <w:lang w:eastAsia="en-AU"/>
        </w:rPr>
        <w:t xml:space="preserve">. </w:t>
      </w:r>
      <w:r w:rsidRPr="00C42D9B">
        <w:rPr>
          <w:lang w:eastAsia="en-AU"/>
        </w:rPr>
        <w:t xml:space="preserve">The </w:t>
      </w:r>
      <w:r>
        <w:rPr>
          <w:lang w:eastAsia="en-AU"/>
        </w:rPr>
        <w:t>P</w:t>
      </w:r>
      <w:r w:rsidRPr="00C42D9B">
        <w:rPr>
          <w:lang w:eastAsia="en-AU"/>
        </w:rPr>
        <w:t xml:space="preserve">arent </w:t>
      </w:r>
      <w:r>
        <w:rPr>
          <w:lang w:eastAsia="en-AU"/>
        </w:rPr>
        <w:t>E</w:t>
      </w:r>
      <w:r w:rsidRPr="00C42D9B">
        <w:rPr>
          <w:lang w:eastAsia="en-AU"/>
        </w:rPr>
        <w:t>ntity is in Australia and is the only Parent Entity. The entirety</w:t>
      </w:r>
      <w:r w:rsidRPr="006C30A7">
        <w:t xml:space="preserve"> </w:t>
      </w:r>
      <w:r>
        <w:rPr>
          <w:lang w:eastAsia="en-AU"/>
        </w:rPr>
        <w:t xml:space="preserve">of </w:t>
      </w:r>
      <w:r w:rsidRPr="0013622E">
        <w:rPr>
          <w:lang w:eastAsia="en-AU"/>
        </w:rPr>
        <w:t>top-up tax</w:t>
      </w:r>
      <w:r>
        <w:rPr>
          <w:lang w:eastAsia="en-AU"/>
        </w:rPr>
        <w:t xml:space="preserve"> of the subsidiary is allocated to the Parent Entity. The subsidiary will not be subject to any other IIR. </w:t>
      </w:r>
    </w:p>
    <w:p w14:paraId="38869F4D" w14:textId="604C430F" w:rsidR="00871600" w:rsidRDefault="00871600" w:rsidP="00871600">
      <w:pPr>
        <w:pStyle w:val="Exampletext"/>
        <w:rPr>
          <w:lang w:eastAsia="en-AU"/>
        </w:rPr>
      </w:pPr>
      <w:r w:rsidRPr="006C30A7">
        <w:rPr>
          <w:b/>
          <w:bCs/>
          <w:lang w:eastAsia="en-AU"/>
        </w:rPr>
        <w:t>Example 1b</w:t>
      </w:r>
      <w:r>
        <w:rPr>
          <w:lang w:eastAsia="en-AU"/>
        </w:rPr>
        <w:t>: Ownership of the entity in a low</w:t>
      </w:r>
      <w:r w:rsidRPr="0096E0B3">
        <w:rPr>
          <w:lang w:eastAsia="en-AU"/>
        </w:rPr>
        <w:t xml:space="preserve"> </w:t>
      </w:r>
      <w:r>
        <w:rPr>
          <w:lang w:eastAsia="en-AU"/>
        </w:rPr>
        <w:t xml:space="preserve">tax jurisdiction is split between two ‘Parent’ Entities (entities with an ownership interest) both in Australia. The LTCE will only be included on a </w:t>
      </w:r>
      <w:r w:rsidRPr="3CC6E940">
        <w:rPr>
          <w:lang w:eastAsia="en-AU"/>
        </w:rPr>
        <w:t>line-by-line</w:t>
      </w:r>
      <w:r>
        <w:rPr>
          <w:lang w:eastAsia="en-AU"/>
        </w:rPr>
        <w:t xml:space="preserve"> basis in the CFS of one Parent Entity (i.e. the parent that controls the LTCE), so will only be included under one </w:t>
      </w:r>
      <w:r w:rsidR="002330EF">
        <w:rPr>
          <w:lang w:eastAsia="en-AU"/>
        </w:rPr>
        <w:t>MNE Group</w:t>
      </w:r>
      <w:r>
        <w:rPr>
          <w:lang w:eastAsia="en-AU"/>
        </w:rPr>
        <w:t xml:space="preserve"> for the purposes of the GloBE Rules. However, only the Parent Entity (the UPE) will be required to pay its Allocable Share of </w:t>
      </w:r>
      <w:r w:rsidRPr="0013622E">
        <w:rPr>
          <w:lang w:eastAsia="en-AU"/>
        </w:rPr>
        <w:t>top-up tax</w:t>
      </w:r>
      <w:r>
        <w:rPr>
          <w:lang w:eastAsia="en-AU"/>
        </w:rPr>
        <w:t xml:space="preserve"> for the LTCE located in a low-tax jurisdiction. The other Parent Entity is not subject to the IIR in respect of the LTCE because it is not part of the same MNE Group </w:t>
      </w:r>
      <w:r w:rsidR="00577422">
        <w:rPr>
          <w:lang w:eastAsia="en-AU"/>
        </w:rPr>
        <w:t xml:space="preserve">for </w:t>
      </w:r>
      <w:r>
        <w:rPr>
          <w:lang w:eastAsia="en-AU"/>
        </w:rPr>
        <w:t xml:space="preserve">the purposes of the GloBE Rules. </w:t>
      </w:r>
    </w:p>
    <w:p w14:paraId="1F9A28E9" w14:textId="0758F707" w:rsidR="00871600" w:rsidRPr="00DC0B67" w:rsidRDefault="00871600" w:rsidP="00871600">
      <w:pPr>
        <w:pStyle w:val="Exampletext"/>
        <w:rPr>
          <w:rStyle w:val="References"/>
          <w:b w:val="0"/>
          <w:bCs w:val="0"/>
          <w:i w:val="0"/>
          <w:iCs/>
        </w:rPr>
      </w:pPr>
      <w:r w:rsidRPr="006C30A7">
        <w:rPr>
          <w:b/>
          <w:bCs/>
          <w:lang w:eastAsia="en-AU"/>
        </w:rPr>
        <w:t>Example 1c</w:t>
      </w:r>
      <w:r>
        <w:rPr>
          <w:lang w:eastAsia="en-AU"/>
        </w:rPr>
        <w:t xml:space="preserve">: Ownership is split between two Parent Entities: one in Australia; the other overseas. Similar to the previous scenario, the LTCE will only be in one set of CFS and therefore in one </w:t>
      </w:r>
      <w:r w:rsidR="002330EF">
        <w:rPr>
          <w:lang w:eastAsia="en-AU"/>
        </w:rPr>
        <w:t>MNE Group</w:t>
      </w:r>
      <w:r>
        <w:rPr>
          <w:lang w:eastAsia="en-AU"/>
        </w:rPr>
        <w:t xml:space="preserve"> with one UPE. If the UPE is the Australian parent, an Australian IIR will apply, and no foreign IIR will apply. </w:t>
      </w:r>
      <w:r w:rsidRPr="00EC0724">
        <w:rPr>
          <w:lang w:eastAsia="en-AU"/>
        </w:rPr>
        <w:t xml:space="preserve">This example assumes that the other </w:t>
      </w:r>
      <w:r w:rsidR="00582AA6" w:rsidRPr="00EC0724">
        <w:rPr>
          <w:lang w:eastAsia="en-AU"/>
        </w:rPr>
        <w:t xml:space="preserve">Parent </w:t>
      </w:r>
      <w:r w:rsidR="00582AA6">
        <w:rPr>
          <w:lang w:eastAsia="en-AU"/>
        </w:rPr>
        <w:t>Entity</w:t>
      </w:r>
      <w:r>
        <w:rPr>
          <w:lang w:eastAsia="en-AU"/>
        </w:rPr>
        <w:t xml:space="preserve"> is</w:t>
      </w:r>
      <w:r w:rsidRPr="00EC0724">
        <w:rPr>
          <w:lang w:eastAsia="en-AU"/>
        </w:rPr>
        <w:t xml:space="preserve"> not a </w:t>
      </w:r>
      <w:r>
        <w:rPr>
          <w:lang w:eastAsia="en-AU"/>
        </w:rPr>
        <w:t>POPE</w:t>
      </w:r>
      <w:r w:rsidRPr="00EC0724">
        <w:rPr>
          <w:lang w:eastAsia="en-AU"/>
        </w:rPr>
        <w:t xml:space="preserve"> that can apply IIR under the rule order.</w:t>
      </w:r>
      <w:r>
        <w:rPr>
          <w:lang w:eastAsia="en-AU"/>
        </w:rPr>
        <w:t xml:space="preserve"> </w:t>
      </w:r>
    </w:p>
    <w:p w14:paraId="7820479C" w14:textId="77777777" w:rsidR="00871600" w:rsidRDefault="00871600" w:rsidP="00871600">
      <w:pPr>
        <w:pStyle w:val="Heading4"/>
        <w:numPr>
          <w:ilvl w:val="3"/>
          <w:numId w:val="2"/>
        </w:numPr>
      </w:pPr>
      <w:bookmarkStart w:id="79" w:name="_Toc158373978"/>
      <w:bookmarkStart w:id="80" w:name="_Toc159844818"/>
      <w:r>
        <w:lastRenderedPageBreak/>
        <w:t>Allocation of top-up tax under the IIR</w:t>
      </w:r>
      <w:bookmarkEnd w:id="79"/>
      <w:bookmarkEnd w:id="80"/>
    </w:p>
    <w:p w14:paraId="09682B21" w14:textId="4435032D" w:rsidR="00871600" w:rsidRDefault="00871600" w:rsidP="00871600">
      <w:pPr>
        <w:pStyle w:val="Normalparatextwithnumbers"/>
        <w:numPr>
          <w:ilvl w:val="1"/>
          <w:numId w:val="17"/>
        </w:numPr>
      </w:pPr>
      <w:r>
        <w:t>Section 6 of the Assessment Act imposes IIR Top-up Tax Amount on an Entity if it has one or more Top-up Tax Amounts. The amount of the liability for top</w:t>
      </w:r>
      <w:r w:rsidR="00F84120">
        <w:t>-</w:t>
      </w:r>
      <w:r>
        <w:t>up tax will be the sum of the Top-up Tax Amounts.</w:t>
      </w:r>
    </w:p>
    <w:p w14:paraId="7C4B4369" w14:textId="6F8429BA" w:rsidR="00871600" w:rsidRDefault="00871600" w:rsidP="00871600">
      <w:pPr>
        <w:pStyle w:val="Normalparatextwithnumbers"/>
        <w:numPr>
          <w:ilvl w:val="1"/>
          <w:numId w:val="17"/>
        </w:numPr>
      </w:pPr>
      <w:r>
        <w:t>The Rules allocate the IIR Top</w:t>
      </w:r>
      <w:r w:rsidRPr="0013622E">
        <w:t xml:space="preserve">-up </w:t>
      </w:r>
      <w:r>
        <w:t xml:space="preserve">Tax Amount to a Parent Entity in the MNE Group based on its </w:t>
      </w:r>
      <w:r w:rsidRPr="009864F8">
        <w:rPr>
          <w:b/>
          <w:bCs/>
          <w:i/>
          <w:iCs/>
        </w:rPr>
        <w:t xml:space="preserve">Allocable Share </w:t>
      </w:r>
      <w:r w:rsidRPr="00BA71B3">
        <w:t xml:space="preserve">of the </w:t>
      </w:r>
      <w:r w:rsidRPr="0013622E">
        <w:t>top-up tax</w:t>
      </w:r>
      <w:r>
        <w:t xml:space="preserve"> of each LTCE of the MNE Group for the Fiscal Year, which is an amount equal to: </w:t>
      </w:r>
    </w:p>
    <w:p w14:paraId="4AE859E5" w14:textId="042C0BE4" w:rsidR="00EC0B90" w:rsidRPr="00196FFD" w:rsidRDefault="00EC0B90" w:rsidP="00871600">
      <w:pPr>
        <w:pStyle w:val="Normalparatextwithnumbers"/>
        <w:numPr>
          <w:ilvl w:val="0"/>
          <w:numId w:val="0"/>
        </w:numPr>
        <w:ind w:left="709"/>
        <w:jc w:val="center"/>
        <w:rPr>
          <w:rStyle w:val="References"/>
        </w:rPr>
      </w:pPr>
      <w:r w:rsidRPr="00EC0B90">
        <w:rPr>
          <w:rStyle w:val="References"/>
          <w:b w:val="0"/>
          <w:bCs w:val="0"/>
          <w:i w:val="0"/>
          <w:iCs w:val="0"/>
          <w:noProof/>
        </w:rPr>
        <w:drawing>
          <wp:inline distT="0" distB="0" distL="0" distR="0" wp14:anchorId="3A4FC4A1" wp14:editId="36D30905">
            <wp:extent cx="4896485" cy="406400"/>
            <wp:effectExtent l="0" t="0" r="0" b="0"/>
            <wp:docPr id="2061615481" name="Picture 16" descr="The Rules allocate the IIR Top-up Tax Amount to a Parent Entity in the MNE Group based on its Allocable Share of the top-up tax of each LTCE of the MNE Group for the Fiscal Year, which is an amount equal to th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615481" name="Picture 16" descr="The Rules allocate the IIR Top-up Tax Amount to a Parent Entity in the MNE Group based on its Allocable Share of the top-up tax of each LTCE of the MNE Group for the Fiscal Year, which is an amount equal to the formul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96485" cy="406400"/>
                    </a:xfrm>
                    <a:prstGeom prst="rect">
                      <a:avLst/>
                    </a:prstGeom>
                    <a:noFill/>
                    <a:ln>
                      <a:noFill/>
                    </a:ln>
                  </pic:spPr>
                </pic:pic>
              </a:graphicData>
            </a:graphic>
          </wp:inline>
        </w:drawing>
      </w:r>
    </w:p>
    <w:p w14:paraId="6E661CB6" w14:textId="55ABFFFD" w:rsidR="00871600" w:rsidRDefault="00871600" w:rsidP="00196FFD">
      <w:pPr>
        <w:pStyle w:val="Normalparatextwithnumbers"/>
        <w:numPr>
          <w:ilvl w:val="0"/>
          <w:numId w:val="0"/>
        </w:numPr>
        <w:ind w:left="709"/>
      </w:pPr>
      <w:r w:rsidRPr="00293112">
        <w:rPr>
          <w:rStyle w:val="References"/>
        </w:rPr>
        <w:t>[</w:t>
      </w:r>
      <w:r>
        <w:rPr>
          <w:rStyle w:val="References"/>
        </w:rPr>
        <w:t>Chapter 2, section 2-10 of the Rules</w:t>
      </w:r>
      <w:r w:rsidRPr="00293112">
        <w:rPr>
          <w:rStyle w:val="References"/>
        </w:rPr>
        <w:t>]</w:t>
      </w:r>
    </w:p>
    <w:p w14:paraId="76A80004" w14:textId="5DB9282E" w:rsidR="001C0B4F" w:rsidRDefault="00871600" w:rsidP="001C0B4F">
      <w:pPr>
        <w:pStyle w:val="Normalparatextwithnumbers"/>
        <w:numPr>
          <w:ilvl w:val="1"/>
          <w:numId w:val="18"/>
        </w:numPr>
      </w:pPr>
      <w:r>
        <w:t xml:space="preserve">The </w:t>
      </w:r>
      <w:r w:rsidRPr="00DC0B67">
        <w:rPr>
          <w:b/>
          <w:bCs/>
          <w:i/>
          <w:iCs/>
        </w:rPr>
        <w:t>Parent Entity’s</w:t>
      </w:r>
      <w:r>
        <w:t xml:space="preserve"> </w:t>
      </w:r>
      <w:r w:rsidRPr="007B6DA0">
        <w:rPr>
          <w:b/>
          <w:i/>
        </w:rPr>
        <w:t>Inclusion Ratio</w:t>
      </w:r>
      <w:r>
        <w:t xml:space="preserve"> for a LTCE is worked out based on its Ownership Interests in the LTCE. Specifically, the Inclusion Ratio is: </w:t>
      </w:r>
    </w:p>
    <w:p w14:paraId="3791E967" w14:textId="6C34F9A4" w:rsidR="0053425A" w:rsidRPr="001C0B4F" w:rsidRDefault="001C0B4F" w:rsidP="001C0B4F">
      <w:pPr>
        <w:pStyle w:val="Normalparatextwithnumbers"/>
        <w:numPr>
          <w:ilvl w:val="0"/>
          <w:numId w:val="0"/>
        </w:numPr>
        <w:ind w:left="709"/>
      </w:pPr>
      <w:r w:rsidRPr="001C0B4F">
        <w:rPr>
          <w:noProof/>
        </w:rPr>
        <w:drawing>
          <wp:inline distT="0" distB="0" distL="0" distR="0" wp14:anchorId="3B3AC723" wp14:editId="1D9699EA">
            <wp:extent cx="4896485" cy="422910"/>
            <wp:effectExtent l="0" t="0" r="0" b="0"/>
            <wp:docPr id="1413242937" name="Picture 17" descr="Formula for the Parent Entity's Inclusion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42937" name="Picture 17" descr="Formula for the Parent Entity's Inclusion Rati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96485" cy="422910"/>
                    </a:xfrm>
                    <a:prstGeom prst="rect">
                      <a:avLst/>
                    </a:prstGeom>
                    <a:noFill/>
                    <a:ln>
                      <a:noFill/>
                    </a:ln>
                  </pic:spPr>
                </pic:pic>
              </a:graphicData>
            </a:graphic>
          </wp:inline>
        </w:drawing>
      </w:r>
    </w:p>
    <w:p w14:paraId="77EA2D8D" w14:textId="77777777" w:rsidR="00871600" w:rsidRDefault="00871600" w:rsidP="0053425A">
      <w:pPr>
        <w:pStyle w:val="Normalparatextwithnumbers"/>
        <w:numPr>
          <w:ilvl w:val="0"/>
          <w:numId w:val="0"/>
        </w:numPr>
        <w:ind w:left="709"/>
      </w:pPr>
      <w:r w:rsidRPr="00365A39">
        <w:rPr>
          <w:rStyle w:val="References"/>
        </w:rPr>
        <w:t>[</w:t>
      </w:r>
      <w:r>
        <w:rPr>
          <w:rStyle w:val="References"/>
        </w:rPr>
        <w:t>Chapter 2, subsection 2-15(1) of the Rules</w:t>
      </w:r>
      <w:r w:rsidRPr="00365A39">
        <w:rPr>
          <w:rStyle w:val="References"/>
        </w:rPr>
        <w:t>]</w:t>
      </w:r>
    </w:p>
    <w:p w14:paraId="6DE27C5F" w14:textId="77777777" w:rsidR="00871600" w:rsidRDefault="00871600" w:rsidP="00871600">
      <w:pPr>
        <w:pStyle w:val="Normalparatextwithnumbers"/>
        <w:numPr>
          <w:ilvl w:val="1"/>
          <w:numId w:val="18"/>
        </w:numPr>
      </w:pPr>
      <w:r w:rsidRPr="004E0D0F">
        <w:t>The elements within this formula, which requires computing the GloBE Income that is attributable to other owners, begins with the GloBE Income or Loss calculated under Chapter</w:t>
      </w:r>
      <w:r>
        <w:t> </w:t>
      </w:r>
      <w:r w:rsidRPr="004E0D0F">
        <w:t>3</w:t>
      </w:r>
      <w:r>
        <w:t xml:space="preserve"> of the Rules</w:t>
      </w:r>
      <w:r w:rsidRPr="004E0D0F">
        <w:t>.</w:t>
      </w:r>
    </w:p>
    <w:p w14:paraId="24CA35FC" w14:textId="3B525122" w:rsidR="00871600" w:rsidRPr="004E0D0F" w:rsidRDefault="00871600" w:rsidP="00871600">
      <w:pPr>
        <w:pStyle w:val="Normalparatextwithnumbers"/>
        <w:numPr>
          <w:ilvl w:val="1"/>
          <w:numId w:val="17"/>
        </w:numPr>
      </w:pPr>
      <w:r>
        <w:t>That calculation starts with an Entity’s FANIL and makes adjustments from there. The Constituent Entity’s income is determined on a separate entity basis and transactions between Group Entities are generally respected; the GloBE Income computation generally does not take into account elimination adjustments that would be made in the financial statement consolidation process. The MNE Group can elect to apply its consolidated accounting elimination adjustments, but only in respect of transactions between Group Entities in the same jurisdiction. In this case, it would be unlikely that an LTCE’s GloBE Income will exactly equal the accounting income that is ultimately reflected in the CFS.</w:t>
      </w:r>
    </w:p>
    <w:p w14:paraId="7C85C68E" w14:textId="640758A4" w:rsidR="00871600" w:rsidRDefault="00871600" w:rsidP="00871600">
      <w:pPr>
        <w:pStyle w:val="Normalparatextwithnumbers"/>
        <w:numPr>
          <w:ilvl w:val="1"/>
          <w:numId w:val="17"/>
        </w:numPr>
      </w:pPr>
      <w:r>
        <w:t xml:space="preserve">The CFS generally reflects all the assets, liabilities, income, expenses and cash flows of controlled subsidiaries. However, where the subsidiaries are partially owned by third party owners outside of the MNE Group, adjustments will be required to account for the Ownership Interests of the third-party owners. This ensures that the </w:t>
      </w:r>
      <w:r w:rsidR="0053425A">
        <w:t xml:space="preserve">CFS </w:t>
      </w:r>
      <w:r>
        <w:t>does not overstate the portion of the income of the MNE Group that belongs to or inures to the benefit of the owners of the UPE.</w:t>
      </w:r>
      <w:r w:rsidRPr="00D24A66">
        <w:t xml:space="preserve"> </w:t>
      </w:r>
    </w:p>
    <w:p w14:paraId="331F36C3" w14:textId="6CCBADE7" w:rsidR="00871600" w:rsidRPr="00DA4BF1" w:rsidRDefault="00871600" w:rsidP="00871600">
      <w:pPr>
        <w:pStyle w:val="Normalparatextwithnumbers"/>
        <w:numPr>
          <w:ilvl w:val="1"/>
          <w:numId w:val="17"/>
        </w:numPr>
      </w:pPr>
      <w:r w:rsidRPr="00EC0724">
        <w:t>In determining the amount of an LTCE’s GloBE Income that is attributable to other owners in the formula above, it is necessary to apply the same principles that the UPE applies</w:t>
      </w:r>
      <w:r>
        <w:t xml:space="preserve"> in </w:t>
      </w:r>
      <w:r w:rsidR="0053425A">
        <w:t>the CFS</w:t>
      </w:r>
      <w:r>
        <w:t>.</w:t>
      </w:r>
      <w:r w:rsidRPr="00EC0724">
        <w:t xml:space="preserve"> </w:t>
      </w:r>
      <w:r>
        <w:t>Alternately, the principles it</w:t>
      </w:r>
      <w:r w:rsidRPr="00EC0724">
        <w:t xml:space="preserve"> would need to apply in </w:t>
      </w:r>
      <w:r w:rsidR="0053425A">
        <w:t xml:space="preserve">the CFS </w:t>
      </w:r>
      <w:r w:rsidRPr="00EC0724">
        <w:t xml:space="preserve">to determine the share of the </w:t>
      </w:r>
      <w:r>
        <w:t>FANIL</w:t>
      </w:r>
      <w:r w:rsidRPr="00EC0724">
        <w:t xml:space="preserve"> that belongs to third party owners of a subsidiary that it does not wholly own. Consistent with the </w:t>
      </w:r>
      <w:r w:rsidRPr="00EC0724">
        <w:lastRenderedPageBreak/>
        <w:t xml:space="preserve">GloBE Rules, a hypothetical amount of GloBE Income </w:t>
      </w:r>
      <w:r>
        <w:t>or Loss</w:t>
      </w:r>
      <w:r w:rsidRPr="00EC0724">
        <w:t xml:space="preserve"> is attributed to third party owners with Ownership Interests in the LTCE. This calculation is based on applying the </w:t>
      </w:r>
      <w:r>
        <w:t xml:space="preserve">Authorised </w:t>
      </w:r>
      <w:r w:rsidR="0053425A">
        <w:t xml:space="preserve">FAS </w:t>
      </w:r>
      <w:r w:rsidRPr="00EC0724">
        <w:t xml:space="preserve">used in the </w:t>
      </w:r>
      <w:r w:rsidR="0053425A">
        <w:t xml:space="preserve">CFS </w:t>
      </w:r>
      <w:r w:rsidRPr="00EC0724">
        <w:t>of the UPE and</w:t>
      </w:r>
      <w:r>
        <w:t xml:space="preserve"> with the following assumptions</w:t>
      </w:r>
      <w:r w:rsidR="0053425A">
        <w:t xml:space="preserve">. </w:t>
      </w:r>
    </w:p>
    <w:p w14:paraId="4F84B65F" w14:textId="5261EF09" w:rsidR="00871600" w:rsidRDefault="00871600" w:rsidP="00B07214">
      <w:pPr>
        <w:pStyle w:val="Dotpoint1"/>
      </w:pPr>
      <w:r w:rsidRPr="00DA4BF1">
        <w:t xml:space="preserve">First, </w:t>
      </w:r>
      <w:r>
        <w:t>the LTCE’s net income is equal to its GloBE Income or Loss</w:t>
      </w:r>
      <w:r w:rsidR="0053425A">
        <w:t xml:space="preserve">. </w:t>
      </w:r>
    </w:p>
    <w:p w14:paraId="31554B0E" w14:textId="5A881CD3" w:rsidR="00871600" w:rsidRPr="00DA4BF1" w:rsidRDefault="00871600" w:rsidP="00B07214">
      <w:pPr>
        <w:pStyle w:val="Dotpoint1"/>
      </w:pPr>
      <w:r>
        <w:t xml:space="preserve">Second, </w:t>
      </w:r>
      <w:r w:rsidRPr="00DA4BF1">
        <w:t xml:space="preserve">the Parent Entity </w:t>
      </w:r>
      <w:r>
        <w:t xml:space="preserve">had </w:t>
      </w:r>
      <w:r w:rsidRPr="00DA4BF1">
        <w:t>prepare</w:t>
      </w:r>
      <w:r>
        <w:t>d</w:t>
      </w:r>
      <w:r w:rsidRPr="00DA4BF1">
        <w:t xml:space="preserve"> the hypothetical </w:t>
      </w:r>
      <w:r w:rsidR="0053425A">
        <w:t xml:space="preserve">CFS </w:t>
      </w:r>
      <w:r w:rsidRPr="00DA4BF1">
        <w:t xml:space="preserve">using </w:t>
      </w:r>
      <w:r>
        <w:t xml:space="preserve">the accounting standards it uses for its own </w:t>
      </w:r>
      <w:r w:rsidR="0053425A">
        <w:t>CFS.</w:t>
      </w:r>
      <w:r>
        <w:t xml:space="preserve"> </w:t>
      </w:r>
      <w:r w:rsidR="0053425A">
        <w:t>T</w:t>
      </w:r>
      <w:r>
        <w:t xml:space="preserve">his assumption </w:t>
      </w:r>
      <w:r w:rsidRPr="00961C60">
        <w:t xml:space="preserve">sets a uniform accounting standard to </w:t>
      </w:r>
      <w:r>
        <w:t xml:space="preserve">appropriately </w:t>
      </w:r>
      <w:r w:rsidRPr="00961C60">
        <w:t xml:space="preserve">allocate the LTCE’s GloBE </w:t>
      </w:r>
      <w:r>
        <w:t>i</w:t>
      </w:r>
      <w:r w:rsidRPr="00961C60">
        <w:t xml:space="preserve">ncome and </w:t>
      </w:r>
      <w:r>
        <w:t>t</w:t>
      </w:r>
      <w:r w:rsidRPr="00961C60">
        <w:t xml:space="preserve">op-up </w:t>
      </w:r>
      <w:r>
        <w:t>t</w:t>
      </w:r>
      <w:r w:rsidRPr="00961C60">
        <w:t xml:space="preserve">ax among Parent Entities applying the IIR. Because all Parent Entities will be applying the same accounting standard to determine their Inclusion Ratio, there will be no </w:t>
      </w:r>
      <w:r>
        <w:t xml:space="preserve">under taxation or double taxation in computing </w:t>
      </w:r>
      <w:r w:rsidRPr="00961C60">
        <w:t xml:space="preserve">Top-up Tax </w:t>
      </w:r>
      <w:r>
        <w:t xml:space="preserve">Amounts </w:t>
      </w:r>
      <w:r w:rsidRPr="00961C60">
        <w:t>and there will be a</w:t>
      </w:r>
      <w:r>
        <w:t xml:space="preserve">ppropriate </w:t>
      </w:r>
      <w:r w:rsidRPr="00961C60">
        <w:t>coordination between the application of the IIR by a Parent Entity and a POPE in respect of the same LTCE</w:t>
      </w:r>
      <w:r>
        <w:t xml:space="preserve">. </w:t>
      </w:r>
    </w:p>
    <w:p w14:paraId="302D2B2F" w14:textId="0F0B27FA" w:rsidR="00871600" w:rsidRPr="00DA4BF1" w:rsidRDefault="00871600" w:rsidP="00B07214">
      <w:pPr>
        <w:pStyle w:val="Dotpoint1"/>
      </w:pPr>
      <w:r>
        <w:t>Third</w:t>
      </w:r>
      <w:r w:rsidRPr="00DA4BF1">
        <w:t xml:space="preserve">, the Parent Entity owns a controlling interest in the </w:t>
      </w:r>
      <w:r>
        <w:t xml:space="preserve">LTCE </w:t>
      </w:r>
      <w:r w:rsidRPr="00DA4BF1">
        <w:t xml:space="preserve">such that </w:t>
      </w:r>
      <w:r>
        <w:t xml:space="preserve">all the income and expenses of the LTCE are consolidated </w:t>
      </w:r>
      <w:r w:rsidRPr="00DA4BF1">
        <w:t>on a line</w:t>
      </w:r>
      <w:r>
        <w:noBreakHyphen/>
      </w:r>
      <w:r w:rsidRPr="00DA4BF1">
        <w:t>by</w:t>
      </w:r>
      <w:r>
        <w:noBreakHyphen/>
      </w:r>
      <w:r w:rsidRPr="00DA4BF1">
        <w:t xml:space="preserve">line basis </w:t>
      </w:r>
      <w:r>
        <w:t xml:space="preserve">with those of the Parent Entity </w:t>
      </w:r>
      <w:r w:rsidRPr="00DA4BF1">
        <w:t xml:space="preserve">in the hypothetical statements. This assumption is required to ensure that the LTCE’s income and expenses will be included in the hypothetical CFS (even where the Parent Entity does not actually hold a controlling interest in the LTCE). </w:t>
      </w:r>
    </w:p>
    <w:p w14:paraId="4FDE6E68" w14:textId="77777777" w:rsidR="00871600" w:rsidRPr="00DA4BF1" w:rsidRDefault="00871600" w:rsidP="00B07214">
      <w:pPr>
        <w:pStyle w:val="Dotpoint1"/>
      </w:pPr>
      <w:r>
        <w:t>Fourth</w:t>
      </w:r>
      <w:r w:rsidRPr="00DA4BF1">
        <w:t xml:space="preserve">, the entire GloBE Income of the </w:t>
      </w:r>
      <w:r>
        <w:t>LTCE</w:t>
      </w:r>
      <w:r w:rsidRPr="00DA4BF1">
        <w:t xml:space="preserve"> is attributable to transactions with </w:t>
      </w:r>
      <w:r>
        <w:t>third parties outside of the Group</w:t>
      </w:r>
      <w:r w:rsidRPr="00DA4BF1">
        <w:t xml:space="preserve">. This assumption ensures that </w:t>
      </w:r>
      <w:r>
        <w:t>intragroup</w:t>
      </w:r>
      <w:r w:rsidRPr="00DA4BF1">
        <w:t xml:space="preserve"> income and expense transactions, which would otherwise be eliminated in the preparation of the CFS, are recognised in the hypothetical CFS. </w:t>
      </w:r>
    </w:p>
    <w:p w14:paraId="233E7ECC" w14:textId="77777777" w:rsidR="00871600" w:rsidRPr="007B6DA0" w:rsidRDefault="00871600" w:rsidP="00B07214">
      <w:pPr>
        <w:pStyle w:val="Dotpoint1"/>
        <w:rPr>
          <w:rStyle w:val="References"/>
          <w:b w:val="0"/>
          <w:i w:val="0"/>
        </w:rPr>
      </w:pPr>
      <w:r w:rsidRPr="00DA4BF1">
        <w:t xml:space="preserve">Finally, all </w:t>
      </w:r>
      <w:r>
        <w:t>Ownership Interests not held by the Parent Entity, directly or indirectly, are held by third-party owners</w:t>
      </w:r>
      <w:r w:rsidRPr="00DA4BF1">
        <w:t>.</w:t>
      </w:r>
      <w:r>
        <w:t xml:space="preserve"> This assumption treats other CEs of the MNE Group that own an interest in the LTCE in the same manner as persons that are not Group Entities. This ensures that only the income attributable to direct and indirect Ownership Interests owned by the Parent Entity is included in the Parent Entity’s Inclusion Ratio.</w:t>
      </w:r>
      <w:r>
        <w:br/>
      </w:r>
      <w:r w:rsidRPr="007B6DA0">
        <w:rPr>
          <w:rStyle w:val="References"/>
        </w:rPr>
        <w:t>[Chapter 2, subsection 2-</w:t>
      </w:r>
      <w:r>
        <w:rPr>
          <w:rStyle w:val="References"/>
        </w:rPr>
        <w:t>15</w:t>
      </w:r>
      <w:r w:rsidRPr="007B6DA0">
        <w:rPr>
          <w:rStyle w:val="References"/>
        </w:rPr>
        <w:t>(2)</w:t>
      </w:r>
      <w:r>
        <w:rPr>
          <w:rStyle w:val="References"/>
        </w:rPr>
        <w:t xml:space="preserve"> of the Rules</w:t>
      </w:r>
      <w:r w:rsidRPr="007B6DA0">
        <w:rPr>
          <w:rStyle w:val="References"/>
        </w:rPr>
        <w:t xml:space="preserve">] </w:t>
      </w:r>
    </w:p>
    <w:p w14:paraId="2F932AFB" w14:textId="77777777" w:rsidR="00871600" w:rsidRPr="00DA4BF1" w:rsidRDefault="00871600" w:rsidP="00871600">
      <w:pPr>
        <w:pStyle w:val="Normalparatextwithnumbers"/>
        <w:numPr>
          <w:ilvl w:val="1"/>
          <w:numId w:val="18"/>
        </w:numPr>
      </w:pPr>
      <w:r>
        <w:t>If the LTCE is a Flow-through Entity, the LTCE’s GloBE Income for the purposes of the Inclusion Ratio is to be reduced by the amount allocated to non-Group owners who hold Ownership Interests in the Flow-through Entity directly or through a Tax Transparent Structure.</w:t>
      </w:r>
      <w:r>
        <w:br/>
      </w:r>
      <w:r w:rsidRPr="00EF10C1">
        <w:rPr>
          <w:rStyle w:val="References"/>
        </w:rPr>
        <w:t>[</w:t>
      </w:r>
      <w:r>
        <w:rPr>
          <w:rStyle w:val="References"/>
        </w:rPr>
        <w:t>Chapter 2, subsection 2-15(3) of the Rules</w:t>
      </w:r>
      <w:r w:rsidRPr="00EF10C1">
        <w:rPr>
          <w:rStyle w:val="References"/>
        </w:rPr>
        <w:t xml:space="preserve">] </w:t>
      </w:r>
    </w:p>
    <w:p w14:paraId="3BE4B4FA" w14:textId="380B8D3C" w:rsidR="00871600" w:rsidRDefault="00871600" w:rsidP="00871600">
      <w:pPr>
        <w:pStyle w:val="Heading4"/>
        <w:numPr>
          <w:ilvl w:val="3"/>
          <w:numId w:val="2"/>
        </w:numPr>
      </w:pPr>
      <w:bookmarkStart w:id="81" w:name="_Toc158373979"/>
      <w:bookmarkStart w:id="82" w:name="_Toc159844819"/>
      <w:r>
        <w:lastRenderedPageBreak/>
        <w:t xml:space="preserve">IIR </w:t>
      </w:r>
      <w:r w:rsidR="002A502C">
        <w:t>o</w:t>
      </w:r>
      <w:r>
        <w:t xml:space="preserve">ffset </w:t>
      </w:r>
      <w:r w:rsidR="002A502C">
        <w:t>m</w:t>
      </w:r>
      <w:r>
        <w:t>echanism</w:t>
      </w:r>
      <w:bookmarkEnd w:id="81"/>
      <w:bookmarkEnd w:id="82"/>
    </w:p>
    <w:p w14:paraId="4FFFB3D6" w14:textId="77777777" w:rsidR="00871600" w:rsidRDefault="00871600" w:rsidP="00871600">
      <w:pPr>
        <w:pStyle w:val="Normalparatextwithnumbers"/>
        <w:numPr>
          <w:ilvl w:val="1"/>
          <w:numId w:val="18"/>
        </w:numPr>
      </w:pPr>
      <w:r>
        <w:t xml:space="preserve">The purpose of the offset mechanism is to avoid any double taxation where </w:t>
      </w:r>
      <w:r w:rsidRPr="0013622E">
        <w:t>top-up tax</w:t>
      </w:r>
      <w:r>
        <w:t xml:space="preserve"> is allocated to more than one Parent Entity in the same ownership chain. </w:t>
      </w:r>
    </w:p>
    <w:p w14:paraId="1FA2EA7E" w14:textId="77777777" w:rsidR="00871600" w:rsidRDefault="00871600" w:rsidP="00871600">
      <w:pPr>
        <w:pStyle w:val="Normalparatextwithnumbers"/>
        <w:numPr>
          <w:ilvl w:val="1"/>
          <w:numId w:val="17"/>
        </w:numPr>
      </w:pPr>
      <w:r>
        <w:t xml:space="preserve">Consistent with the GloBE Rules, Australia imposes </w:t>
      </w:r>
      <w:r w:rsidRPr="0013622E">
        <w:t>top-up tax</w:t>
      </w:r>
      <w:r>
        <w:t xml:space="preserve"> under the IIR, and the tax is typically imposed on a UPE located in Australia. </w:t>
      </w:r>
    </w:p>
    <w:p w14:paraId="480A9DC5" w14:textId="0B25FE88" w:rsidR="00871600" w:rsidRDefault="00871600" w:rsidP="00871600">
      <w:pPr>
        <w:pStyle w:val="Normalparatextwithnumbers"/>
        <w:numPr>
          <w:ilvl w:val="1"/>
          <w:numId w:val="18"/>
        </w:numPr>
      </w:pPr>
      <w:r>
        <w:t xml:space="preserve">Under the GloBE Rules, where a UPE is located in a jurisdiction without a Qualified IIR, an IPE located in a jurisdiction with a Qualified IIR will be liable for any </w:t>
      </w:r>
      <w:r w:rsidRPr="0013622E">
        <w:t>top-up tax</w:t>
      </w:r>
      <w:r>
        <w:t xml:space="preserve">. Where there is more than one IPE, the highest-tier IPE, which is determined by whether it holds Controlling Interests over other Constituent Entities in the MNE Group, will have liability of the </w:t>
      </w:r>
      <w:r w:rsidR="00906E0B">
        <w:t>T</w:t>
      </w:r>
      <w:r w:rsidRPr="0013622E">
        <w:t xml:space="preserve">op-up </w:t>
      </w:r>
      <w:r w:rsidR="00906E0B">
        <w:t>T</w:t>
      </w:r>
      <w:r w:rsidRPr="0013622E">
        <w:t>ax</w:t>
      </w:r>
      <w:r>
        <w:t xml:space="preserve"> Amount. </w:t>
      </w:r>
    </w:p>
    <w:p w14:paraId="5A5358AB" w14:textId="1F20A98A" w:rsidR="00871600" w:rsidRDefault="00871600" w:rsidP="00871600">
      <w:pPr>
        <w:pStyle w:val="Normalparatextwithnumbers"/>
        <w:numPr>
          <w:ilvl w:val="1"/>
          <w:numId w:val="18"/>
        </w:numPr>
      </w:pPr>
      <w:r>
        <w:t xml:space="preserve">Where an IPE does not hold Controlling Interests over another IPE, then each IPE in the MNE Group will </w:t>
      </w:r>
      <w:r w:rsidRPr="00355A45">
        <w:t xml:space="preserve">bear the </w:t>
      </w:r>
      <w:r w:rsidRPr="0013622E">
        <w:t>top-up tax</w:t>
      </w:r>
      <w:r w:rsidRPr="00355A45">
        <w:t xml:space="preserve"> liability </w:t>
      </w:r>
      <w:r>
        <w:t xml:space="preserve">in respect </w:t>
      </w:r>
      <w:r w:rsidRPr="00355A45">
        <w:t xml:space="preserve">of a LTCE </w:t>
      </w:r>
      <w:r>
        <w:t xml:space="preserve">that is proportional to its </w:t>
      </w:r>
      <w:r w:rsidRPr="00355A45">
        <w:t xml:space="preserve">direct or indirect Ownership Interests in that LTCE. </w:t>
      </w:r>
      <w:r>
        <w:t xml:space="preserve">To avoid double taxation, an IPE’s Allocable Share of the </w:t>
      </w:r>
      <w:r w:rsidRPr="0013622E">
        <w:t>top-up tax</w:t>
      </w:r>
      <w:r>
        <w:t xml:space="preserve"> is reduced by the amount of top-up tax payable by the other IPEs that are lower down in the ownership chain. </w:t>
      </w:r>
      <w:r w:rsidRPr="001E27E2">
        <w:t xml:space="preserve">This reduction is made </w:t>
      </w:r>
      <w:r>
        <w:t>when</w:t>
      </w:r>
      <w:r w:rsidRPr="001E27E2">
        <w:t xml:space="preserve"> allocating the amount of </w:t>
      </w:r>
      <w:r>
        <w:t>top-up tax</w:t>
      </w:r>
      <w:r w:rsidRPr="001E27E2">
        <w:t xml:space="preserve"> among Parent Entities and not after the full amount or a portion of the </w:t>
      </w:r>
      <w:r>
        <w:t>top-up tax</w:t>
      </w:r>
      <w:r w:rsidRPr="001E27E2">
        <w:t xml:space="preserve"> is effectively paid.</w:t>
      </w:r>
      <w:r>
        <w:br/>
      </w:r>
      <w:r w:rsidRPr="008D4078">
        <w:rPr>
          <w:rStyle w:val="References"/>
        </w:rPr>
        <w:t>[</w:t>
      </w:r>
      <w:r>
        <w:rPr>
          <w:rStyle w:val="References"/>
        </w:rPr>
        <w:t>Chapter 2, section 2-20 of the Rules</w:t>
      </w:r>
      <w:r w:rsidRPr="008D4078">
        <w:rPr>
          <w:rStyle w:val="References"/>
        </w:rPr>
        <w:t xml:space="preserve">] </w:t>
      </w:r>
    </w:p>
    <w:p w14:paraId="4A7D8A9C" w14:textId="553BCA64" w:rsidR="00871600" w:rsidRDefault="00494EF9" w:rsidP="00367002">
      <w:pPr>
        <w:pStyle w:val="DiagramHeading"/>
      </w:pPr>
      <w:r>
        <w:lastRenderedPageBreak/>
        <w:t>IIR o</w:t>
      </w:r>
      <w:r w:rsidR="00871600" w:rsidRPr="001F1E14">
        <w:t xml:space="preserve">ffset </w:t>
      </w:r>
      <w:r>
        <w:t>m</w:t>
      </w:r>
      <w:r w:rsidR="00871600" w:rsidRPr="001F1E14">
        <w:t>echanism</w:t>
      </w:r>
      <w:r w:rsidR="00871600">
        <w:t xml:space="preserve"> with Intermediate Parent Entities</w:t>
      </w:r>
    </w:p>
    <w:p w14:paraId="2FB34DF5" w14:textId="59AE71E0" w:rsidR="00547C85" w:rsidRDefault="00547C85" w:rsidP="00871600">
      <w:pPr>
        <w:pStyle w:val="Heading5"/>
        <w:numPr>
          <w:ilvl w:val="4"/>
          <w:numId w:val="2"/>
        </w:numPr>
        <w:ind w:left="1701" w:hanging="1701"/>
      </w:pPr>
      <w:r w:rsidRPr="00547C85">
        <w:rPr>
          <w:noProof/>
        </w:rPr>
        <w:drawing>
          <wp:inline distT="0" distB="0" distL="0" distR="0" wp14:anchorId="5147122D" wp14:editId="5F2C3AA9">
            <wp:extent cx="4896485" cy="3903980"/>
            <wp:effectExtent l="0" t="0" r="0" b="0"/>
            <wp:docPr id="544236091" name="Picture 12" descr="Diagram 2.2 IIR offset mechanism with Intermediate Parent 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36091" name="Picture 12" descr="Diagram 2.2 IIR offset mechanism with Intermediate Parent Entitie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96485" cy="3903980"/>
                    </a:xfrm>
                    <a:prstGeom prst="rect">
                      <a:avLst/>
                    </a:prstGeom>
                    <a:noFill/>
                    <a:ln>
                      <a:noFill/>
                    </a:ln>
                  </pic:spPr>
                </pic:pic>
              </a:graphicData>
            </a:graphic>
          </wp:inline>
        </w:drawing>
      </w:r>
    </w:p>
    <w:p w14:paraId="7C7DBB0C" w14:textId="0A065338" w:rsidR="00871600" w:rsidRPr="004E0D0F" w:rsidRDefault="00871600" w:rsidP="00871600">
      <w:pPr>
        <w:pStyle w:val="Heading5"/>
        <w:numPr>
          <w:ilvl w:val="4"/>
          <w:numId w:val="2"/>
        </w:numPr>
        <w:ind w:left="1701" w:hanging="1701"/>
      </w:pPr>
      <w:r w:rsidRPr="004E0D0F">
        <w:t>POPEs</w:t>
      </w:r>
    </w:p>
    <w:p w14:paraId="7E7DB81D" w14:textId="20514F90" w:rsidR="00871600" w:rsidRPr="004E0D0F" w:rsidRDefault="00871600" w:rsidP="00871600">
      <w:pPr>
        <w:pStyle w:val="Normalparatextwithnumbers"/>
        <w:numPr>
          <w:ilvl w:val="1"/>
          <w:numId w:val="18"/>
        </w:numPr>
        <w:rPr>
          <w:rStyle w:val="References"/>
          <w:b w:val="0"/>
          <w:i w:val="0"/>
        </w:rPr>
      </w:pPr>
      <w:r w:rsidRPr="004E0D0F">
        <w:t xml:space="preserve">The above top-down </w:t>
      </w:r>
      <w:r w:rsidR="001B3676">
        <w:t>o</w:t>
      </w:r>
      <w:r w:rsidRPr="004E0D0F">
        <w:t xml:space="preserve">rdering </w:t>
      </w:r>
      <w:r w:rsidR="001B3676">
        <w:t>r</w:t>
      </w:r>
      <w:r w:rsidRPr="004E0D0F">
        <w:t>ule is modified for POPEs.</w:t>
      </w:r>
      <w:r w:rsidR="00367002">
        <w:t xml:space="preserve"> </w:t>
      </w:r>
      <w:r w:rsidRPr="004E0D0F">
        <w:t>Top-</w:t>
      </w:r>
      <w:r w:rsidR="00367002">
        <w:t>u</w:t>
      </w:r>
      <w:r w:rsidRPr="004E0D0F">
        <w:t xml:space="preserve">p </w:t>
      </w:r>
      <w:r w:rsidR="001B3676">
        <w:t>t</w:t>
      </w:r>
      <w:r w:rsidRPr="004E0D0F">
        <w:t xml:space="preserve">ax </w:t>
      </w:r>
      <w:r>
        <w:t>amounts</w:t>
      </w:r>
      <w:r w:rsidRPr="004E0D0F">
        <w:t xml:space="preserve"> in respect of a LTCE will be </w:t>
      </w:r>
      <w:r>
        <w:t>allocated to</w:t>
      </w:r>
      <w:r w:rsidRPr="004E0D0F">
        <w:t xml:space="preserve"> a POPE that directly or indirectly owns an Ownership Interest in the LTCE at any time during the Fiscal Year. This ensures that owners of the POPE who are outside the MNE Group also bear their share of the tax burden that is imposed on the POPE. This is called the Split-Ownership Ordering Rule. To achieve this result, the top-up tax </w:t>
      </w:r>
      <w:r>
        <w:t xml:space="preserve">amount </w:t>
      </w:r>
      <w:r w:rsidRPr="004E0D0F">
        <w:t xml:space="preserve">of a LTCE for a Fiscal Year is </w:t>
      </w:r>
      <w:r>
        <w:t>allocated to</w:t>
      </w:r>
      <w:r w:rsidRPr="004E0D0F">
        <w:t xml:space="preserve"> the POPE, despite </w:t>
      </w:r>
      <w:r>
        <w:t xml:space="preserve">the UPE or an IPE potentially also calculating an allocable share of the </w:t>
      </w:r>
      <w:r w:rsidRPr="004E0D0F">
        <w:t>top</w:t>
      </w:r>
      <w:r w:rsidRPr="004E0D0F">
        <w:noBreakHyphen/>
        <w:t>up tax of the LTCE</w:t>
      </w:r>
      <w:r>
        <w:t>.</w:t>
      </w:r>
      <w:r w:rsidRPr="004E0D0F">
        <w:t xml:space="preserve"> The IIR </w:t>
      </w:r>
      <w:r w:rsidR="0017100B">
        <w:t>o</w:t>
      </w:r>
      <w:r w:rsidRPr="004E0D0F">
        <w:t xml:space="preserve">ffset </w:t>
      </w:r>
      <w:r w:rsidR="0017100B">
        <w:t>m</w:t>
      </w:r>
      <w:r w:rsidRPr="004E0D0F">
        <w:t xml:space="preserve">echanism operates to reduce the </w:t>
      </w:r>
      <w:r w:rsidRPr="0013622E">
        <w:t>top-up tax</w:t>
      </w:r>
      <w:r w:rsidRPr="004E0D0F">
        <w:t xml:space="preserve"> liability of the UPE or IPE by an amount equal to the portion of the UPE’s or IPE’s Allocable Share of </w:t>
      </w:r>
      <w:r w:rsidRPr="0013622E">
        <w:t>top-up tax</w:t>
      </w:r>
      <w:r w:rsidRPr="004E0D0F">
        <w:t xml:space="preserve"> that is brought into charge by the POPE. </w:t>
      </w:r>
      <w:r w:rsidRPr="004E0D0F">
        <w:br/>
      </w:r>
      <w:r w:rsidRPr="004E0D0F">
        <w:rPr>
          <w:rStyle w:val="References"/>
        </w:rPr>
        <w:t>[Chapter 2, section 2-</w:t>
      </w:r>
      <w:r>
        <w:rPr>
          <w:rStyle w:val="References"/>
        </w:rPr>
        <w:t>20</w:t>
      </w:r>
      <w:r w:rsidRPr="004E0D0F">
        <w:rPr>
          <w:rStyle w:val="References"/>
        </w:rPr>
        <w:t xml:space="preserve"> of the Rules]</w:t>
      </w:r>
    </w:p>
    <w:p w14:paraId="380D1B02" w14:textId="77777777" w:rsidR="00871600" w:rsidRDefault="00871600" w:rsidP="00871600">
      <w:pPr>
        <w:pStyle w:val="Normalparatextwithnumbers"/>
        <w:numPr>
          <w:ilvl w:val="1"/>
          <w:numId w:val="18"/>
        </w:numPr>
      </w:pPr>
      <w:r w:rsidRPr="004E0D0F">
        <w:t>A Parent Entity will be a POPE where more than 20 per cent of the Ownership Interest</w:t>
      </w:r>
      <w:r>
        <w:t>’</w:t>
      </w:r>
      <w:r w:rsidRPr="004E0D0F">
        <w:t xml:space="preserve">s </w:t>
      </w:r>
      <w:r>
        <w:t xml:space="preserve">carrying rights to </w:t>
      </w:r>
      <w:r w:rsidRPr="004E0D0F">
        <w:t>that Parent Entity’s profits are held (directly or indirectly) by owners outside the MNE Group.</w:t>
      </w:r>
      <w:r>
        <w:br/>
      </w:r>
      <w:r w:rsidRPr="004E0D0F">
        <w:rPr>
          <w:rStyle w:val="References"/>
        </w:rPr>
        <w:t xml:space="preserve">[Chapter </w:t>
      </w:r>
      <w:r>
        <w:rPr>
          <w:rStyle w:val="References"/>
        </w:rPr>
        <w:t>10,</w:t>
      </w:r>
      <w:r w:rsidRPr="004E0D0F">
        <w:rPr>
          <w:rStyle w:val="References"/>
        </w:rPr>
        <w:t xml:space="preserve"> </w:t>
      </w:r>
      <w:r>
        <w:rPr>
          <w:rStyle w:val="References"/>
        </w:rPr>
        <w:t>section 10-5 of the Rules</w:t>
      </w:r>
      <w:r w:rsidRPr="004E0D0F">
        <w:rPr>
          <w:rStyle w:val="References"/>
        </w:rPr>
        <w:t xml:space="preserve">] </w:t>
      </w:r>
      <w:r w:rsidRPr="004E0D0F">
        <w:t xml:space="preserve">  </w:t>
      </w:r>
    </w:p>
    <w:p w14:paraId="02368843" w14:textId="7DF87894" w:rsidR="00D25378" w:rsidRDefault="00871600" w:rsidP="00D25378">
      <w:pPr>
        <w:pStyle w:val="Normalparatextwithnumbers"/>
        <w:numPr>
          <w:ilvl w:val="1"/>
          <w:numId w:val="18"/>
        </w:numPr>
      </w:pPr>
      <w:r w:rsidRPr="004E0D0F">
        <w:lastRenderedPageBreak/>
        <w:t xml:space="preserve">These Ownership Interests may be held indirectly by the owners outside the MNE Group. Therefore, a POPE can wholly own another POPE provided more than 20 per cent of the </w:t>
      </w:r>
      <w:r>
        <w:t xml:space="preserve">relevant </w:t>
      </w:r>
      <w:r w:rsidRPr="004E0D0F">
        <w:t xml:space="preserve">indirect Ownership Interests in the second POPE are held by owners outside the MNE Group. Where a POPE wholly owns another POPE, the Top-down Ordering Rule applies such that the </w:t>
      </w:r>
      <w:r w:rsidRPr="0013622E">
        <w:t>top-up tax</w:t>
      </w:r>
      <w:r w:rsidRPr="004E0D0F">
        <w:t xml:space="preserve"> liability is imposed on the POPE higher in the ownership chain provided it is required to apply a QIIR in that Fiscal Year. </w:t>
      </w:r>
      <w:r w:rsidRPr="004E0D0F">
        <w:br/>
      </w:r>
      <w:r w:rsidRPr="004E0D0F">
        <w:rPr>
          <w:rStyle w:val="References"/>
        </w:rPr>
        <w:t xml:space="preserve">[Chapter 2, </w:t>
      </w:r>
      <w:r>
        <w:rPr>
          <w:rStyle w:val="References"/>
        </w:rPr>
        <w:t>paragraph</w:t>
      </w:r>
      <w:r w:rsidRPr="004E0D0F">
        <w:rPr>
          <w:rStyle w:val="References"/>
        </w:rPr>
        <w:t xml:space="preserve"> 2-</w:t>
      </w:r>
      <w:r>
        <w:rPr>
          <w:rStyle w:val="References"/>
        </w:rPr>
        <w:t>5(5</w:t>
      </w:r>
      <w:r w:rsidRPr="004E0D0F">
        <w:rPr>
          <w:rStyle w:val="References"/>
        </w:rPr>
        <w:t>)(b)</w:t>
      </w:r>
      <w:r>
        <w:rPr>
          <w:rStyle w:val="References"/>
        </w:rPr>
        <w:t xml:space="preserve"> of the Rules</w:t>
      </w:r>
      <w:r w:rsidRPr="004E0D0F">
        <w:rPr>
          <w:rStyle w:val="References"/>
        </w:rPr>
        <w:t>]</w:t>
      </w:r>
      <w:r w:rsidRPr="004E0D0F">
        <w:t xml:space="preserve"> </w:t>
      </w:r>
    </w:p>
    <w:p w14:paraId="0AB03500" w14:textId="77777777" w:rsidR="00D25378" w:rsidRDefault="00D25378" w:rsidP="00D25378">
      <w:pPr>
        <w:pStyle w:val="DiagramHeading"/>
      </w:pPr>
      <w:r w:rsidRPr="002C5223">
        <w:t>IPE Interest outside of Australia</w:t>
      </w:r>
    </w:p>
    <w:p w14:paraId="7BD1A2D7" w14:textId="6FA4CFF8" w:rsidR="00D25378" w:rsidRPr="000159E2" w:rsidRDefault="00871600" w:rsidP="000159E2">
      <w:pPr>
        <w:pStyle w:val="DiagramHeading"/>
        <w:numPr>
          <w:ilvl w:val="0"/>
          <w:numId w:val="0"/>
        </w:numPr>
        <w:jc w:val="center"/>
      </w:pPr>
      <w:r w:rsidRPr="00167665">
        <w:rPr>
          <w:noProof/>
        </w:rPr>
        <w:drawing>
          <wp:inline distT="0" distB="0" distL="0" distR="0" wp14:anchorId="6A16C60F" wp14:editId="04CBCDFD">
            <wp:extent cx="1308100" cy="1645285"/>
            <wp:effectExtent l="0" t="0" r="6350" b="0"/>
            <wp:docPr id="18" name="Picture 18" descr="Diagram showing a box with the letters UPE over the top of a picture of Australia and an arrow pointing down to a box with the letters IPE and another arrow pointing down to a box with the letters LT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 showing a box with the letters UPE over the top of a picture of Australia and an arrow pointing down to a box with the letters IPE and another arrow pointing down to a box with the letters LTCE."/>
                    <pic:cNvPicPr>
                      <a:picLocks noChangeAspect="1" noChangeArrowheads="1"/>
                    </pic:cNvPicPr>
                  </pic:nvPicPr>
                  <pic:blipFill>
                    <a:blip r:embed="rId33" cstate="print">
                      <a:biLevel thresh="50000"/>
                      <a:extLst>
                        <a:ext uri="{28A0092B-C50C-407E-A947-70E740481C1C}">
                          <a14:useLocalDpi xmlns:a14="http://schemas.microsoft.com/office/drawing/2010/main" val="0"/>
                        </a:ext>
                      </a:extLst>
                    </a:blip>
                    <a:srcRect/>
                    <a:stretch>
                      <a:fillRect/>
                    </a:stretch>
                  </pic:blipFill>
                  <pic:spPr bwMode="auto">
                    <a:xfrm>
                      <a:off x="0" y="0"/>
                      <a:ext cx="1308100" cy="1645285"/>
                    </a:xfrm>
                    <a:prstGeom prst="rect">
                      <a:avLst/>
                    </a:prstGeom>
                    <a:noFill/>
                  </pic:spPr>
                </pic:pic>
              </a:graphicData>
            </a:graphic>
          </wp:inline>
        </w:drawing>
      </w:r>
    </w:p>
    <w:p w14:paraId="60ED7B31" w14:textId="646B718B" w:rsidR="00871600" w:rsidRPr="002C5223" w:rsidRDefault="00871600" w:rsidP="00871600">
      <w:pPr>
        <w:pStyle w:val="Exampletext"/>
      </w:pPr>
      <w:r w:rsidRPr="002C5223">
        <w:rPr>
          <w:b/>
        </w:rPr>
        <w:t>Example 2.</w:t>
      </w:r>
      <w:r>
        <w:rPr>
          <w:b/>
        </w:rPr>
        <w:t>1</w:t>
      </w:r>
      <w:r w:rsidRPr="002C5223">
        <w:rPr>
          <w:b/>
        </w:rPr>
        <w:t xml:space="preserve">: </w:t>
      </w:r>
      <w:r w:rsidRPr="002C5223">
        <w:t xml:space="preserve">The UPE is in Australia, with the other two entities overseas. Australia has a QIIR </w:t>
      </w:r>
      <w:r w:rsidR="0053425A">
        <w:t xml:space="preserve">therefore, </w:t>
      </w:r>
      <w:r w:rsidRPr="002C5223">
        <w:t>Top-</w:t>
      </w:r>
      <w:r w:rsidR="00367002">
        <w:t>u</w:t>
      </w:r>
      <w:r w:rsidRPr="002C5223">
        <w:t xml:space="preserve">p Tax is imposed on the UPE (Australia has primary taxing right). The LTCE will not be subject to another IIR. </w:t>
      </w:r>
    </w:p>
    <w:p w14:paraId="119BECA2" w14:textId="77777777" w:rsidR="00871600" w:rsidRPr="002C5223" w:rsidRDefault="00871600" w:rsidP="00367002">
      <w:pPr>
        <w:pStyle w:val="DiagramHeading"/>
      </w:pPr>
      <w:r w:rsidRPr="002C5223">
        <w:t xml:space="preserve">Ownership interests outside the group </w:t>
      </w:r>
    </w:p>
    <w:p w14:paraId="25D1B08F" w14:textId="77777777" w:rsidR="00871600" w:rsidRPr="002C5223" w:rsidRDefault="00871600" w:rsidP="00871600">
      <w:pPr>
        <w:pStyle w:val="Normalparatextwithnumbers"/>
        <w:numPr>
          <w:ilvl w:val="0"/>
          <w:numId w:val="0"/>
        </w:numPr>
        <w:tabs>
          <w:tab w:val="left" w:pos="3261"/>
        </w:tabs>
        <w:ind w:left="567"/>
      </w:pPr>
      <w:r w:rsidRPr="002C5223">
        <w:t>Example 2.2a</w:t>
      </w:r>
      <w:r w:rsidRPr="002C5223">
        <w:tab/>
        <w:t>Example 2.2b</w:t>
      </w:r>
      <w:r w:rsidRPr="002C5223">
        <w:tab/>
      </w:r>
      <w:r w:rsidRPr="002C5223">
        <w:tab/>
        <w:t>Example 2.2c</w:t>
      </w:r>
    </w:p>
    <w:p w14:paraId="786F3024" w14:textId="14597175" w:rsidR="00871600" w:rsidRPr="00167665" w:rsidRDefault="00B17AD5" w:rsidP="00871600">
      <w:pPr>
        <w:pStyle w:val="Exampletext"/>
        <w:ind w:left="0"/>
      </w:pPr>
      <w:r>
        <w:rPr>
          <w:noProof/>
        </w:rPr>
        <w:drawing>
          <wp:inline distT="0" distB="0" distL="0" distR="0" wp14:anchorId="687F2942" wp14:editId="20BE3B0A">
            <wp:extent cx="4896485" cy="1751965"/>
            <wp:effectExtent l="0" t="0" r="0" b="635"/>
            <wp:docPr id="1224514345" name="Picture 1" descr="Three diagrams illustrating the ownership interests of members of an MNE Group outside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14345" name="Picture 1" descr="Three diagrams illustrating the ownership interests of members of an MNE Group outside of Australia."/>
                    <pic:cNvPicPr/>
                  </pic:nvPicPr>
                  <pic:blipFill>
                    <a:blip r:embed="rId34"/>
                    <a:stretch>
                      <a:fillRect/>
                    </a:stretch>
                  </pic:blipFill>
                  <pic:spPr>
                    <a:xfrm>
                      <a:off x="0" y="0"/>
                      <a:ext cx="4896485" cy="1751965"/>
                    </a:xfrm>
                    <a:prstGeom prst="rect">
                      <a:avLst/>
                    </a:prstGeom>
                  </pic:spPr>
                </pic:pic>
              </a:graphicData>
            </a:graphic>
          </wp:inline>
        </w:drawing>
      </w:r>
    </w:p>
    <w:p w14:paraId="5C96DF3F" w14:textId="4AD2621F" w:rsidR="00871600" w:rsidRPr="002C5223" w:rsidRDefault="00871600" w:rsidP="00871600">
      <w:pPr>
        <w:pStyle w:val="Exampletext"/>
      </w:pPr>
      <w:r w:rsidRPr="002C5223">
        <w:rPr>
          <w:b/>
        </w:rPr>
        <w:t>Example</w:t>
      </w:r>
      <w:r w:rsidRPr="002C5223">
        <w:t xml:space="preserve"> </w:t>
      </w:r>
      <w:r w:rsidRPr="002C5223">
        <w:rPr>
          <w:b/>
        </w:rPr>
        <w:t>2.2a</w:t>
      </w:r>
      <w:r w:rsidRPr="002C5223">
        <w:t xml:space="preserve">: The UPE is in a foreign jurisdiction, the POPE is in Australia, and the LTCE is in a low-taxed jurisdiction. The Australian POPE’s Allocable Share of </w:t>
      </w:r>
      <w:r>
        <w:t>t</w:t>
      </w:r>
      <w:r w:rsidRPr="002C5223">
        <w:t>op-</w:t>
      </w:r>
      <w:r>
        <w:t>u</w:t>
      </w:r>
      <w:r w:rsidRPr="002C5223">
        <w:t xml:space="preserve">p </w:t>
      </w:r>
      <w:r>
        <w:t>t</w:t>
      </w:r>
      <w:r w:rsidRPr="002C5223">
        <w:t xml:space="preserve">ax of the LTCE is allocated to the POPE. The UPE and the POPE apply the IIR based </w:t>
      </w:r>
      <w:r w:rsidRPr="002C5223">
        <w:lastRenderedPageBreak/>
        <w:t xml:space="preserve">on their ownership interests in the LTCE and, under the IIR </w:t>
      </w:r>
      <w:r w:rsidR="00CD69C7">
        <w:t>o</w:t>
      </w:r>
      <w:r w:rsidRPr="002C5223">
        <w:t xml:space="preserve">ffset </w:t>
      </w:r>
      <w:r w:rsidR="00CD69C7">
        <w:t>m</w:t>
      </w:r>
      <w:r w:rsidRPr="002C5223">
        <w:t xml:space="preserve">echanism, the UPE’s </w:t>
      </w:r>
      <w:r>
        <w:t>t</w:t>
      </w:r>
      <w:r w:rsidRPr="002C5223">
        <w:t>op-</w:t>
      </w:r>
      <w:r>
        <w:t>u</w:t>
      </w:r>
      <w:r w:rsidRPr="002C5223">
        <w:t xml:space="preserve">p </w:t>
      </w:r>
      <w:r>
        <w:t>t</w:t>
      </w:r>
      <w:r w:rsidRPr="002C5223">
        <w:t>ax liability is reduced by the portion that is brought into charge by the POPE.</w:t>
      </w:r>
    </w:p>
    <w:p w14:paraId="22FF4BA1" w14:textId="6BFD48D6" w:rsidR="00871600" w:rsidRPr="002C5223" w:rsidRDefault="00871600" w:rsidP="00871600">
      <w:pPr>
        <w:pStyle w:val="Exampletext"/>
      </w:pPr>
      <w:r w:rsidRPr="002C5223">
        <w:rPr>
          <w:b/>
        </w:rPr>
        <w:t>Example</w:t>
      </w:r>
      <w:r w:rsidRPr="002C5223">
        <w:t xml:space="preserve"> </w:t>
      </w:r>
      <w:r w:rsidRPr="002C5223">
        <w:rPr>
          <w:b/>
        </w:rPr>
        <w:t>2.2b:</w:t>
      </w:r>
      <w:r w:rsidRPr="002C5223">
        <w:t xml:space="preserve"> The UPE is in Australia, the POPE is overseas and the LTCE is overseas. The Allocable Share of </w:t>
      </w:r>
      <w:r>
        <w:t>t</w:t>
      </w:r>
      <w:r w:rsidRPr="002C5223">
        <w:t>op-</w:t>
      </w:r>
      <w:r>
        <w:t>u</w:t>
      </w:r>
      <w:r w:rsidRPr="002C5223">
        <w:t xml:space="preserve">p </w:t>
      </w:r>
      <w:r>
        <w:t>t</w:t>
      </w:r>
      <w:r w:rsidRPr="002C5223">
        <w:t xml:space="preserve">ax of the LTCE is allocated to the Australian UPE and the POPE. Both Parent Entities apply the IIR but the UPE </w:t>
      </w:r>
      <w:r>
        <w:t>t</w:t>
      </w:r>
      <w:r w:rsidRPr="002C5223">
        <w:t>op-</w:t>
      </w:r>
      <w:r>
        <w:t>u</w:t>
      </w:r>
      <w:r w:rsidRPr="002C5223">
        <w:t xml:space="preserve">p </w:t>
      </w:r>
      <w:r>
        <w:t>t</w:t>
      </w:r>
      <w:r w:rsidRPr="002C5223">
        <w:t xml:space="preserve">ax liability is reduced by the POPE’s </w:t>
      </w:r>
      <w:r>
        <w:t>t</w:t>
      </w:r>
      <w:r w:rsidRPr="002C5223">
        <w:t>op-</w:t>
      </w:r>
      <w:r>
        <w:t>u</w:t>
      </w:r>
      <w:r w:rsidRPr="002C5223">
        <w:t xml:space="preserve">p </w:t>
      </w:r>
      <w:r>
        <w:t>t</w:t>
      </w:r>
      <w:r w:rsidRPr="002C5223">
        <w:t xml:space="preserve">ax liability (in this example all the </w:t>
      </w:r>
      <w:r w:rsidR="00E44E87">
        <w:t>Top-up Tax</w:t>
      </w:r>
      <w:r w:rsidRPr="002C5223">
        <w:t xml:space="preserve"> of the LTCE). The rule applies even though Australia applies a Qualified IIR. </w:t>
      </w:r>
    </w:p>
    <w:p w14:paraId="37052DDD" w14:textId="49DC4300" w:rsidR="00871600" w:rsidRPr="00F2043E" w:rsidRDefault="00871600" w:rsidP="00871600">
      <w:pPr>
        <w:pStyle w:val="Exampletext"/>
      </w:pPr>
      <w:r w:rsidRPr="00F2043E">
        <w:rPr>
          <w:b/>
        </w:rPr>
        <w:t>Example</w:t>
      </w:r>
      <w:r w:rsidRPr="00F2043E">
        <w:t xml:space="preserve"> </w:t>
      </w:r>
      <w:r w:rsidRPr="00F2043E">
        <w:rPr>
          <w:b/>
        </w:rPr>
        <w:t>2.2c</w:t>
      </w:r>
      <w:r w:rsidRPr="00F2043E">
        <w:t xml:space="preserve">: The UPE is in Australia and applies an IIR. Both POPEs also apply an IIR (as the lower POPE is not wholly owned by the upper POPE). The IIR </w:t>
      </w:r>
      <w:r w:rsidR="00CD69C7">
        <w:t>o</w:t>
      </w:r>
      <w:r w:rsidRPr="00F2043E">
        <w:t xml:space="preserve">ffset </w:t>
      </w:r>
      <w:r w:rsidR="00CD69C7">
        <w:t>m</w:t>
      </w:r>
      <w:r w:rsidRPr="00F2043E">
        <w:t xml:space="preserve">echanism will reduce the </w:t>
      </w:r>
      <w:r w:rsidR="00E44E87">
        <w:t>Top-up Tax</w:t>
      </w:r>
      <w:r w:rsidRPr="00F2043E">
        <w:t xml:space="preserve"> liability of the UPE and the POPE higher in the ownership structure. </w:t>
      </w:r>
    </w:p>
    <w:p w14:paraId="2513BF2C" w14:textId="77777777" w:rsidR="00FC331D" w:rsidRDefault="00871600" w:rsidP="00367002">
      <w:pPr>
        <w:pStyle w:val="DiagramHeading"/>
      </w:pPr>
      <w:r w:rsidRPr="007E62FB">
        <w:t xml:space="preserve">Complex </w:t>
      </w:r>
      <w:r w:rsidR="002330EF">
        <w:t>MNE Group</w:t>
      </w:r>
    </w:p>
    <w:p w14:paraId="4AED9796" w14:textId="0E2B7068" w:rsidR="00802077" w:rsidRDefault="00BD1189" w:rsidP="00FC331D">
      <w:pPr>
        <w:pStyle w:val="Normalparatextnonumbers"/>
        <w:jc w:val="center"/>
        <w:rPr>
          <w:color w:val="000000" w:themeColor="text1"/>
          <w:sz w:val="21"/>
        </w:rPr>
      </w:pPr>
      <w:r>
        <w:rPr>
          <w:color w:val="000000" w:themeColor="text1"/>
          <w:sz w:val="21"/>
        </w:rPr>
        <w:t>Example 2.3a</w:t>
      </w:r>
    </w:p>
    <w:p w14:paraId="7D41967F" w14:textId="330E6962" w:rsidR="00FC331D" w:rsidRDefault="00B918DC" w:rsidP="00FC331D">
      <w:pPr>
        <w:pStyle w:val="Normalparatextnonumbers"/>
        <w:jc w:val="center"/>
        <w:rPr>
          <w:color w:val="000000" w:themeColor="text1"/>
          <w:sz w:val="21"/>
        </w:rPr>
      </w:pPr>
      <w:r>
        <w:rPr>
          <w:noProof/>
        </w:rPr>
        <w:drawing>
          <wp:inline distT="0" distB="0" distL="0" distR="0" wp14:anchorId="6675880C" wp14:editId="7303EFFA">
            <wp:extent cx="3114040" cy="2260600"/>
            <wp:effectExtent l="0" t="0" r="0" b="6350"/>
            <wp:docPr id="1803836733" name="Picture 1" descr="Flowchart illustrating the complex structure of an MNE Group where the UPE is located insid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836733" name="Picture 1" descr="Flowchart illustrating the complex structure of an MNE Group where the UPE is located inside Australia"/>
                    <pic:cNvPicPr/>
                  </pic:nvPicPr>
                  <pic:blipFill>
                    <a:blip r:embed="rId35" cstate="print">
                      <a:biLevel thresh="75000"/>
                      <a:extLst>
                        <a:ext uri="{28A0092B-C50C-407E-A947-70E740481C1C}">
                          <a14:useLocalDpi xmlns:a14="http://schemas.microsoft.com/office/drawing/2010/main" val="0"/>
                        </a:ext>
                      </a:extLst>
                    </a:blip>
                    <a:stretch>
                      <a:fillRect/>
                    </a:stretch>
                  </pic:blipFill>
                  <pic:spPr>
                    <a:xfrm>
                      <a:off x="0" y="0"/>
                      <a:ext cx="3114040" cy="2260600"/>
                    </a:xfrm>
                    <a:prstGeom prst="rect">
                      <a:avLst/>
                    </a:prstGeom>
                  </pic:spPr>
                </pic:pic>
              </a:graphicData>
            </a:graphic>
          </wp:inline>
        </w:drawing>
      </w:r>
    </w:p>
    <w:p w14:paraId="541CE0AF" w14:textId="77777777" w:rsidR="00BD1189" w:rsidRDefault="00BD1189" w:rsidP="00FC331D">
      <w:pPr>
        <w:pStyle w:val="Normalparatextnonumbers"/>
        <w:jc w:val="center"/>
        <w:rPr>
          <w:color w:val="000000" w:themeColor="text1"/>
          <w:sz w:val="21"/>
        </w:rPr>
      </w:pPr>
    </w:p>
    <w:p w14:paraId="18EEB922" w14:textId="77777777" w:rsidR="00BD1189" w:rsidRDefault="00BD1189" w:rsidP="00FC331D">
      <w:pPr>
        <w:pStyle w:val="Normalparatextnonumbers"/>
        <w:jc w:val="center"/>
        <w:rPr>
          <w:color w:val="000000" w:themeColor="text1"/>
          <w:sz w:val="21"/>
        </w:rPr>
      </w:pPr>
    </w:p>
    <w:p w14:paraId="2D3E5DB5" w14:textId="77777777" w:rsidR="00BD1189" w:rsidRDefault="00BD1189" w:rsidP="00FC331D">
      <w:pPr>
        <w:pStyle w:val="Normalparatextnonumbers"/>
        <w:jc w:val="center"/>
        <w:rPr>
          <w:color w:val="000000" w:themeColor="text1"/>
          <w:sz w:val="21"/>
        </w:rPr>
      </w:pPr>
    </w:p>
    <w:p w14:paraId="26F62DD6" w14:textId="77777777" w:rsidR="00BD1189" w:rsidRDefault="00BD1189" w:rsidP="00FC331D">
      <w:pPr>
        <w:pStyle w:val="Normalparatextnonumbers"/>
        <w:jc w:val="center"/>
        <w:rPr>
          <w:color w:val="000000" w:themeColor="text1"/>
          <w:sz w:val="21"/>
        </w:rPr>
      </w:pPr>
    </w:p>
    <w:p w14:paraId="2F7885F5" w14:textId="77777777" w:rsidR="00BD1189" w:rsidRDefault="00BD1189" w:rsidP="00FC331D">
      <w:pPr>
        <w:pStyle w:val="Normalparatextnonumbers"/>
        <w:jc w:val="center"/>
        <w:rPr>
          <w:color w:val="000000" w:themeColor="text1"/>
          <w:sz w:val="21"/>
        </w:rPr>
      </w:pPr>
    </w:p>
    <w:p w14:paraId="33DDB370" w14:textId="77777777" w:rsidR="00BD1189" w:rsidRDefault="00BD1189" w:rsidP="00FC331D">
      <w:pPr>
        <w:pStyle w:val="Normalparatextnonumbers"/>
        <w:jc w:val="center"/>
        <w:rPr>
          <w:color w:val="000000" w:themeColor="text1"/>
          <w:sz w:val="21"/>
        </w:rPr>
      </w:pPr>
    </w:p>
    <w:p w14:paraId="48C60B7C" w14:textId="77777777" w:rsidR="00BD1189" w:rsidRDefault="00BD1189" w:rsidP="00FC331D">
      <w:pPr>
        <w:pStyle w:val="Normalparatextnonumbers"/>
        <w:jc w:val="center"/>
        <w:rPr>
          <w:color w:val="000000" w:themeColor="text1"/>
          <w:sz w:val="21"/>
        </w:rPr>
      </w:pPr>
    </w:p>
    <w:p w14:paraId="0946FA6C" w14:textId="77777777" w:rsidR="00B903FC" w:rsidRDefault="00B903FC" w:rsidP="00FC331D">
      <w:pPr>
        <w:pStyle w:val="Normalparatextnonumbers"/>
        <w:jc w:val="center"/>
        <w:rPr>
          <w:color w:val="000000" w:themeColor="text1"/>
          <w:sz w:val="21"/>
        </w:rPr>
      </w:pPr>
    </w:p>
    <w:p w14:paraId="52708074" w14:textId="52ABA3B4" w:rsidR="00BD1189" w:rsidRDefault="00BD1189" w:rsidP="00FC331D">
      <w:pPr>
        <w:pStyle w:val="Normalparatextnonumbers"/>
        <w:jc w:val="center"/>
        <w:rPr>
          <w:color w:val="000000" w:themeColor="text1"/>
          <w:sz w:val="21"/>
        </w:rPr>
      </w:pPr>
      <w:r>
        <w:rPr>
          <w:color w:val="000000" w:themeColor="text1"/>
          <w:sz w:val="21"/>
        </w:rPr>
        <w:lastRenderedPageBreak/>
        <w:t>Example 2.3b</w:t>
      </w:r>
    </w:p>
    <w:p w14:paraId="0AA382FF" w14:textId="128DB1B2" w:rsidR="004A019B" w:rsidRDefault="00B918DC" w:rsidP="00FC331D">
      <w:pPr>
        <w:pStyle w:val="Normalparatextnonumbers"/>
        <w:jc w:val="center"/>
        <w:rPr>
          <w:color w:val="000000" w:themeColor="text1"/>
          <w:sz w:val="21"/>
        </w:rPr>
      </w:pPr>
      <w:r>
        <w:rPr>
          <w:noProof/>
        </w:rPr>
        <w:drawing>
          <wp:inline distT="0" distB="0" distL="0" distR="0" wp14:anchorId="5FC8F954" wp14:editId="3E0E3DD8">
            <wp:extent cx="2970530" cy="2332990"/>
            <wp:effectExtent l="0" t="0" r="1270" b="0"/>
            <wp:docPr id="1816629561" name="Picture 1" descr="Flowchart illustrating the complex structure of an MNE Group where a POPE is located insid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629561" name="Picture 1" descr="Flowchart illustrating the complex structure of an MNE Group where a POPE is located inside Australia"/>
                    <pic:cNvPicPr/>
                  </pic:nvPicPr>
                  <pic:blipFill>
                    <a:blip r:embed="rId36" cstate="print">
                      <a:biLevel thresh="75000"/>
                      <a:extLst>
                        <a:ext uri="{28A0092B-C50C-407E-A947-70E740481C1C}">
                          <a14:useLocalDpi xmlns:a14="http://schemas.microsoft.com/office/drawing/2010/main" val="0"/>
                        </a:ext>
                      </a:extLst>
                    </a:blip>
                    <a:stretch>
                      <a:fillRect/>
                    </a:stretch>
                  </pic:blipFill>
                  <pic:spPr>
                    <a:xfrm>
                      <a:off x="0" y="0"/>
                      <a:ext cx="2970530" cy="2332990"/>
                    </a:xfrm>
                    <a:prstGeom prst="rect">
                      <a:avLst/>
                    </a:prstGeom>
                  </pic:spPr>
                </pic:pic>
              </a:graphicData>
            </a:graphic>
          </wp:inline>
        </w:drawing>
      </w:r>
      <w:r w:rsidR="00871600">
        <w:rPr>
          <w:color w:val="000000" w:themeColor="text1"/>
          <w:sz w:val="21"/>
        </w:rPr>
        <w:t xml:space="preserve"> </w:t>
      </w:r>
    </w:p>
    <w:p w14:paraId="078364CB" w14:textId="79D78F46" w:rsidR="00FC331D" w:rsidRDefault="00FC331D" w:rsidP="00FC331D">
      <w:pPr>
        <w:pStyle w:val="Normalparatextnonumbers"/>
        <w:tabs>
          <w:tab w:val="left" w:pos="1205"/>
        </w:tabs>
        <w:rPr>
          <w:color w:val="000000" w:themeColor="text1"/>
          <w:sz w:val="21"/>
        </w:rPr>
      </w:pPr>
    </w:p>
    <w:p w14:paraId="15619B49" w14:textId="77777777" w:rsidR="00FC331D" w:rsidRDefault="00FC331D" w:rsidP="00F20AE0">
      <w:pPr>
        <w:pStyle w:val="Normalparatextnonumbers"/>
        <w:jc w:val="center"/>
        <w:rPr>
          <w:color w:val="000000" w:themeColor="text1"/>
          <w:sz w:val="21"/>
        </w:rPr>
      </w:pPr>
    </w:p>
    <w:p w14:paraId="65D84A8E" w14:textId="622A8C9F" w:rsidR="00871600" w:rsidRDefault="00871600" w:rsidP="00F20AE0">
      <w:pPr>
        <w:pStyle w:val="Normalparatextnonumbers"/>
        <w:jc w:val="center"/>
        <w:rPr>
          <w:noProof/>
        </w:rPr>
      </w:pPr>
      <w:r>
        <w:rPr>
          <w:color w:val="000000" w:themeColor="text1"/>
          <w:sz w:val="21"/>
        </w:rPr>
        <w:t>Example 2.3c</w:t>
      </w:r>
    </w:p>
    <w:p w14:paraId="61500CB4" w14:textId="6CF45708" w:rsidR="00216837" w:rsidRDefault="00213C15" w:rsidP="00FC331D">
      <w:pPr>
        <w:pStyle w:val="Normalparatextnonumbers"/>
        <w:jc w:val="center"/>
        <w:rPr>
          <w:noProof/>
        </w:rPr>
      </w:pPr>
      <w:r>
        <w:rPr>
          <w:noProof/>
        </w:rPr>
        <w:drawing>
          <wp:inline distT="0" distB="0" distL="0" distR="0" wp14:anchorId="677CDD9D" wp14:editId="65017AAB">
            <wp:extent cx="4064635" cy="2437765"/>
            <wp:effectExtent l="0" t="0" r="0" b="635"/>
            <wp:docPr id="1198423709" name="Picture 1" descr="Flowchart illustrating the complex structure of an MNE Group where an IPE is located insid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23709" name="Picture 1" descr="Flowchart illustrating the complex structure of an MNE Group where an IPE is located inside Australia"/>
                    <pic:cNvPicPr/>
                  </pic:nvPicPr>
                  <pic:blipFill>
                    <a:blip r:embed="rId37" cstate="print">
                      <a:biLevel thresh="75000"/>
                      <a:extLst>
                        <a:ext uri="{28A0092B-C50C-407E-A947-70E740481C1C}">
                          <a14:useLocalDpi xmlns:a14="http://schemas.microsoft.com/office/drawing/2010/main" val="0"/>
                        </a:ext>
                      </a:extLst>
                    </a:blip>
                    <a:stretch>
                      <a:fillRect/>
                    </a:stretch>
                  </pic:blipFill>
                  <pic:spPr>
                    <a:xfrm>
                      <a:off x="0" y="0"/>
                      <a:ext cx="4064635" cy="2437765"/>
                    </a:xfrm>
                    <a:prstGeom prst="rect">
                      <a:avLst/>
                    </a:prstGeom>
                  </pic:spPr>
                </pic:pic>
              </a:graphicData>
            </a:graphic>
          </wp:inline>
        </w:drawing>
      </w:r>
    </w:p>
    <w:p w14:paraId="6E9A5EA8" w14:textId="3F2AEDDF" w:rsidR="00216837" w:rsidRDefault="00213C15" w:rsidP="00213C15">
      <w:pPr>
        <w:pStyle w:val="Normalparatextnonumbers"/>
        <w:tabs>
          <w:tab w:val="left" w:pos="3289"/>
        </w:tabs>
        <w:rPr>
          <w:noProof/>
        </w:rPr>
      </w:pPr>
      <w:r>
        <w:rPr>
          <w:noProof/>
        </w:rPr>
        <w:tab/>
      </w:r>
    </w:p>
    <w:p w14:paraId="0ECC898E" w14:textId="77777777" w:rsidR="00216837" w:rsidRDefault="00216837" w:rsidP="00871600">
      <w:pPr>
        <w:pStyle w:val="Normalparatextnonumbers"/>
        <w:rPr>
          <w:noProof/>
        </w:rPr>
      </w:pPr>
    </w:p>
    <w:p w14:paraId="413F9493" w14:textId="77777777" w:rsidR="00216837" w:rsidRDefault="00216837" w:rsidP="00871600">
      <w:pPr>
        <w:pStyle w:val="Normalparatextnonumbers"/>
        <w:rPr>
          <w:noProof/>
        </w:rPr>
      </w:pPr>
    </w:p>
    <w:p w14:paraId="4561039D" w14:textId="77777777" w:rsidR="00216837" w:rsidRDefault="00216837" w:rsidP="00871600">
      <w:pPr>
        <w:pStyle w:val="Normalparatextnonumbers"/>
        <w:rPr>
          <w:noProof/>
        </w:rPr>
      </w:pPr>
    </w:p>
    <w:p w14:paraId="45467632" w14:textId="77777777" w:rsidR="00216837" w:rsidRDefault="00216837" w:rsidP="00871600">
      <w:pPr>
        <w:pStyle w:val="Normalparatextnonumbers"/>
        <w:rPr>
          <w:noProof/>
        </w:rPr>
      </w:pPr>
    </w:p>
    <w:p w14:paraId="2FA3E408" w14:textId="77777777" w:rsidR="00216837" w:rsidRDefault="00216837" w:rsidP="00871600">
      <w:pPr>
        <w:pStyle w:val="Normalparatextnonumbers"/>
        <w:rPr>
          <w:noProof/>
        </w:rPr>
      </w:pPr>
    </w:p>
    <w:p w14:paraId="7DA0CBA4" w14:textId="77777777" w:rsidR="00216837" w:rsidRPr="00167665" w:rsidRDefault="00216837" w:rsidP="00871600">
      <w:pPr>
        <w:pStyle w:val="Normalparatextnonumbers"/>
      </w:pPr>
    </w:p>
    <w:p w14:paraId="35B10B38" w14:textId="77777777" w:rsidR="00871600" w:rsidRPr="00015E21" w:rsidRDefault="00871600" w:rsidP="00871600">
      <w:pPr>
        <w:pStyle w:val="Exampletext"/>
      </w:pPr>
      <w:r w:rsidRPr="00015E21">
        <w:rPr>
          <w:b/>
        </w:rPr>
        <w:lastRenderedPageBreak/>
        <w:t>Example 2.3a</w:t>
      </w:r>
      <w:r w:rsidRPr="00015E21">
        <w:t xml:space="preserve">: All </w:t>
      </w:r>
      <w:r>
        <w:t>t</w:t>
      </w:r>
      <w:r w:rsidRPr="00015E21">
        <w:t>op-</w:t>
      </w:r>
      <w:r>
        <w:t>u</w:t>
      </w:r>
      <w:r w:rsidRPr="00015E21">
        <w:t xml:space="preserve">p </w:t>
      </w:r>
      <w:r>
        <w:t>t</w:t>
      </w:r>
      <w:r w:rsidRPr="00015E21">
        <w:t xml:space="preserve">ax is collected by Australia from the UPE, except some portion of </w:t>
      </w:r>
      <w:r>
        <w:t>t</w:t>
      </w:r>
      <w:r w:rsidRPr="00015E21">
        <w:t>op-</w:t>
      </w:r>
      <w:r>
        <w:t>u</w:t>
      </w:r>
      <w:r w:rsidRPr="00015E21">
        <w:t xml:space="preserve">p </w:t>
      </w:r>
      <w:r>
        <w:t>t</w:t>
      </w:r>
      <w:r w:rsidRPr="00015E21">
        <w:t xml:space="preserve">ax of LTCE 1 and LTCE 2, which is payable by POPE 1 and POPE 2. No other IIRs can be applied by another jurisdiction. </w:t>
      </w:r>
    </w:p>
    <w:p w14:paraId="640830D1" w14:textId="4FAB0730" w:rsidR="00871600" w:rsidRPr="00015E21" w:rsidRDefault="00871600" w:rsidP="00871600">
      <w:pPr>
        <w:pStyle w:val="Exampletext"/>
      </w:pPr>
      <w:r w:rsidRPr="00015E21">
        <w:rPr>
          <w:b/>
        </w:rPr>
        <w:t>Example 2.3b</w:t>
      </w:r>
      <w:r w:rsidRPr="00015E21">
        <w:t xml:space="preserve">: The UPE applies a qualified QIIR and has an allocable share of the top-up tax for all low taxed constituent entities. The Australian POPE has an allocable share of the </w:t>
      </w:r>
      <w:r>
        <w:t>t</w:t>
      </w:r>
      <w:r w:rsidRPr="00015E21">
        <w:t>op</w:t>
      </w:r>
      <w:r>
        <w:noBreakHyphen/>
        <w:t>u</w:t>
      </w:r>
      <w:r w:rsidRPr="00015E21">
        <w:t xml:space="preserve">p </w:t>
      </w:r>
      <w:r>
        <w:t>t</w:t>
      </w:r>
      <w:r w:rsidRPr="00015E21">
        <w:t xml:space="preserve">ax of LTCE 1 and LTCE 2. However, the Australian POPE’s allocable share of the top-up tax of LTCE 2 is reduced by POPE 2’s allocable share of the top-up tax of LTCE 2 under the IIR </w:t>
      </w:r>
      <w:r w:rsidR="00CD69C7">
        <w:t>o</w:t>
      </w:r>
      <w:r w:rsidRPr="00015E21">
        <w:t>ffset mechanism (i.e.</w:t>
      </w:r>
      <w:r>
        <w:t> </w:t>
      </w:r>
      <w:r w:rsidRPr="00015E21">
        <w:t>POPE 2 still applies an IIR).</w:t>
      </w:r>
    </w:p>
    <w:p w14:paraId="2945BB16" w14:textId="389A5CBB" w:rsidR="00871600" w:rsidRDefault="00871600" w:rsidP="00871600">
      <w:pPr>
        <w:pStyle w:val="Exampletext"/>
      </w:pPr>
      <w:r w:rsidRPr="00015E21">
        <w:rPr>
          <w:b/>
        </w:rPr>
        <w:t>Example 2.3c:</w:t>
      </w:r>
      <w:r w:rsidRPr="00015E21">
        <w:t xml:space="preserve"> Assume that the UPE is not applying an IIR and that all other jurisdictions impose a QIIR (as opposed to a domestic IIR). The Australian IPE has a 100 per cent Allocable Share of the </w:t>
      </w:r>
      <w:r w:rsidR="00E44E87">
        <w:t>Top-up Tax</w:t>
      </w:r>
      <w:r w:rsidRPr="00015E21">
        <w:t xml:space="preserve"> of LTCE 3. The Australian IPE will not have an Allocable Share of the </w:t>
      </w:r>
      <w:r w:rsidR="00E44E87">
        <w:t>Top-up Tax</w:t>
      </w:r>
      <w:r w:rsidRPr="00015E21">
        <w:t xml:space="preserve"> of LTCE 2 because of the IIR applied by POPE 2. POPE 1 has a 100% Allocable Share of the </w:t>
      </w:r>
      <w:r w:rsidR="00E44E87">
        <w:t>Top-up Tax</w:t>
      </w:r>
      <w:r w:rsidRPr="00015E21">
        <w:t xml:space="preserve"> of LTCE 1. POPE 2 will have a 100</w:t>
      </w:r>
      <w:r>
        <w:t>%</w:t>
      </w:r>
      <w:r w:rsidRPr="00015E21">
        <w:t xml:space="preserve"> Allocable Share of LTCE 2’s </w:t>
      </w:r>
      <w:r>
        <w:t>t</w:t>
      </w:r>
      <w:r w:rsidRPr="003817EB">
        <w:t>op-</w:t>
      </w:r>
      <w:r>
        <w:t>u</w:t>
      </w:r>
      <w:r w:rsidRPr="003817EB">
        <w:t xml:space="preserve">p </w:t>
      </w:r>
      <w:r>
        <w:t>t</w:t>
      </w:r>
      <w:r w:rsidRPr="003817EB">
        <w:t>ax</w:t>
      </w:r>
      <w:r w:rsidRPr="00015E21">
        <w:t xml:space="preserve"> as it is not a wholly owned POPE.</w:t>
      </w:r>
    </w:p>
    <w:p w14:paraId="732709D0" w14:textId="77777777" w:rsidR="00871600" w:rsidRPr="00015E21" w:rsidRDefault="00871600" w:rsidP="00AB22A5">
      <w:pPr>
        <w:pStyle w:val="Heading3"/>
        <w:rPr>
          <w:rFonts w:hint="eastAsia"/>
        </w:rPr>
      </w:pPr>
      <w:bookmarkStart w:id="83" w:name="_Toc181720706"/>
      <w:bookmarkStart w:id="84" w:name="_Toc183786634"/>
      <w:bookmarkStart w:id="85" w:name="_Toc185614894"/>
      <w:r>
        <w:t>Top-up Tax</w:t>
      </w:r>
      <w:bookmarkEnd w:id="83"/>
      <w:r>
        <w:t xml:space="preserve"> arising under the DMT</w:t>
      </w:r>
      <w:bookmarkEnd w:id="84"/>
      <w:bookmarkEnd w:id="85"/>
    </w:p>
    <w:p w14:paraId="3BB07410" w14:textId="77777777" w:rsidR="00871600" w:rsidRDefault="00871600" w:rsidP="00871600">
      <w:pPr>
        <w:pStyle w:val="Normalparatextwithnumbers"/>
        <w:numPr>
          <w:ilvl w:val="1"/>
          <w:numId w:val="17"/>
        </w:numPr>
      </w:pPr>
      <w:r w:rsidRPr="00005B6B">
        <w:rPr>
          <w:rStyle w:val="normaltextrun"/>
        </w:rPr>
        <w:t>Domestic Top</w:t>
      </w:r>
      <w:r w:rsidRPr="00005B6B">
        <w:rPr>
          <w:rStyle w:val="normaltextrun"/>
        </w:rPr>
        <w:noBreakHyphen/>
        <w:t xml:space="preserve">up Tax applies in a similar manner to the IIR, </w:t>
      </w:r>
      <w:r>
        <w:rPr>
          <w:rStyle w:val="normaltextrun"/>
        </w:rPr>
        <w:t>but only to entities in the implementing jurisdiction</w:t>
      </w:r>
      <w:r w:rsidRPr="00005B6B">
        <w:rPr>
          <w:rStyle w:val="normaltextrun"/>
        </w:rPr>
        <w:t>. In terms of the rule order, a QDMTT preserves the first right of taxation to the source country and takes precedence over</w:t>
      </w:r>
      <w:r>
        <w:rPr>
          <w:rStyle w:val="normaltextrun"/>
        </w:rPr>
        <w:t xml:space="preserve"> another jurisdiction’s </w:t>
      </w:r>
      <w:r w:rsidRPr="00005B6B">
        <w:rPr>
          <w:rStyle w:val="normaltextrun"/>
        </w:rPr>
        <w:t>QIIR and UTPR.</w:t>
      </w:r>
    </w:p>
    <w:p w14:paraId="7B615B42" w14:textId="4A769FC7" w:rsidR="00871600" w:rsidRPr="00005B6B" w:rsidRDefault="00871600" w:rsidP="00871600">
      <w:pPr>
        <w:pStyle w:val="Normalparatextwithnumbers"/>
        <w:numPr>
          <w:ilvl w:val="1"/>
          <w:numId w:val="18"/>
        </w:numPr>
      </w:pPr>
      <w:r>
        <w:t xml:space="preserve">Section 8 of the Assessment Act imposes DMT Top-up Tax on an Entity if it has one or more </w:t>
      </w:r>
      <w:bookmarkStart w:id="86" w:name="_Hlk181959376"/>
      <w:r>
        <w:t xml:space="preserve">Domestic </w:t>
      </w:r>
      <w:bookmarkEnd w:id="86"/>
      <w:r>
        <w:t xml:space="preserve">Top-up Tax </w:t>
      </w:r>
      <w:r w:rsidR="00847D31">
        <w:t>A</w:t>
      </w:r>
      <w:r>
        <w:t xml:space="preserve">mounts. The amount of the liability for top-up tax will be the sum of the Domestic Top-up Tax </w:t>
      </w:r>
      <w:r w:rsidR="00847D31">
        <w:t>A</w:t>
      </w:r>
      <w:r>
        <w:t>mounts. Section 9 of th</w:t>
      </w:r>
      <w:r w:rsidR="008403A7">
        <w:t>e Assessment Act</w:t>
      </w:r>
      <w:r>
        <w:t xml:space="preserve"> </w:t>
      </w:r>
      <w:r w:rsidR="007C3C0E">
        <w:t>prescribes</w:t>
      </w:r>
      <w:r>
        <w:t xml:space="preserve"> th</w:t>
      </w:r>
      <w:r w:rsidR="007C3C0E">
        <w:t xml:space="preserve">e </w:t>
      </w:r>
      <w:r w:rsidR="00847D31">
        <w:t xml:space="preserve">Rules to provide the </w:t>
      </w:r>
      <w:r w:rsidR="007C3C0E">
        <w:t>meaning of</w:t>
      </w:r>
      <w:r>
        <w:t xml:space="preserve"> Domestic Top-up Tax </w:t>
      </w:r>
      <w:r w:rsidR="00847D31">
        <w:t>A</w:t>
      </w:r>
      <w:r>
        <w:t>mount.</w:t>
      </w:r>
    </w:p>
    <w:p w14:paraId="60F6DDD3" w14:textId="21A2F295" w:rsidR="00871600" w:rsidRDefault="00871600" w:rsidP="00871600">
      <w:pPr>
        <w:pStyle w:val="Normalparatextwithnumbers"/>
        <w:numPr>
          <w:ilvl w:val="1"/>
          <w:numId w:val="17"/>
        </w:numPr>
      </w:pPr>
      <w:r>
        <w:t xml:space="preserve">Entities which may have a Domestic Top-up Tax </w:t>
      </w:r>
      <w:r w:rsidR="0084700B">
        <w:t>A</w:t>
      </w:r>
      <w:r>
        <w:t xml:space="preserve">mount (and consequently have a DMT tax liability) are: </w:t>
      </w:r>
    </w:p>
    <w:p w14:paraId="79A8C263" w14:textId="77777777" w:rsidR="00871600" w:rsidRDefault="00871600" w:rsidP="00B07214">
      <w:pPr>
        <w:pStyle w:val="Dotpoint1"/>
      </w:pPr>
      <w:r>
        <w:t>Constituent Entities</w:t>
      </w:r>
      <w:r w:rsidRPr="006D4717">
        <w:t xml:space="preserve"> </w:t>
      </w:r>
      <w:r>
        <w:t>located in Australia; or</w:t>
      </w:r>
    </w:p>
    <w:p w14:paraId="5A364EE4" w14:textId="77777777" w:rsidR="00871600" w:rsidRDefault="00871600" w:rsidP="00B07214">
      <w:pPr>
        <w:pStyle w:val="Dotpoint1"/>
      </w:pPr>
      <w:r>
        <w:t>Stateless Constituent Entities created in Australia; or</w:t>
      </w:r>
    </w:p>
    <w:p w14:paraId="707D75A4" w14:textId="4BA7CBF2" w:rsidR="00871600" w:rsidRDefault="00871600" w:rsidP="00B07214">
      <w:pPr>
        <w:pStyle w:val="Dotpoint1"/>
      </w:pPr>
      <w:r>
        <w:t>A</w:t>
      </w:r>
      <w:r w:rsidRPr="00E67CCC">
        <w:t xml:space="preserve"> Main Entity not located in Australia with a </w:t>
      </w:r>
      <w:r w:rsidR="00C21710">
        <w:t>Permanent Establishment</w:t>
      </w:r>
      <w:r w:rsidRPr="00E67CCC">
        <w:t xml:space="preserve"> located in Australia which is a LTCE</w:t>
      </w:r>
      <w:r>
        <w:t>; or</w:t>
      </w:r>
      <w:r w:rsidRPr="00A8487E">
        <w:t xml:space="preserve"> </w:t>
      </w:r>
    </w:p>
    <w:p w14:paraId="1816F53D" w14:textId="4B0FCDC1" w:rsidR="00871600" w:rsidRPr="00523918" w:rsidRDefault="0053425A" w:rsidP="00B07214">
      <w:pPr>
        <w:pStyle w:val="Dotpoint1"/>
      </w:pPr>
      <w:r>
        <w:t>JV</w:t>
      </w:r>
      <w:r w:rsidR="00871600">
        <w:t>s, or JV Subsidiaries located in Australia.</w:t>
      </w:r>
      <w:r w:rsidR="00871600">
        <w:br/>
      </w:r>
      <w:r w:rsidR="00871600" w:rsidRPr="0013497F">
        <w:rPr>
          <w:rStyle w:val="References"/>
        </w:rPr>
        <w:t xml:space="preserve">[Chapter 2, </w:t>
      </w:r>
      <w:r w:rsidR="00871600">
        <w:rPr>
          <w:rStyle w:val="References"/>
        </w:rPr>
        <w:t>sub</w:t>
      </w:r>
      <w:r w:rsidR="00871600" w:rsidRPr="0013497F">
        <w:rPr>
          <w:rStyle w:val="References"/>
        </w:rPr>
        <w:t>section</w:t>
      </w:r>
      <w:r w:rsidR="00871600">
        <w:rPr>
          <w:rStyle w:val="References"/>
        </w:rPr>
        <w:t>s</w:t>
      </w:r>
      <w:r w:rsidR="00871600" w:rsidRPr="0013497F">
        <w:rPr>
          <w:rStyle w:val="References"/>
        </w:rPr>
        <w:t xml:space="preserve"> 2-25(1), (</w:t>
      </w:r>
      <w:r w:rsidR="00C811CC">
        <w:rPr>
          <w:rStyle w:val="References"/>
        </w:rPr>
        <w:t>3</w:t>
      </w:r>
      <w:r w:rsidR="00871600" w:rsidRPr="0013497F">
        <w:rPr>
          <w:rStyle w:val="References"/>
        </w:rPr>
        <w:t>), (</w:t>
      </w:r>
      <w:r w:rsidR="00245131">
        <w:rPr>
          <w:rStyle w:val="References"/>
        </w:rPr>
        <w:t>4</w:t>
      </w:r>
      <w:r w:rsidR="00871600" w:rsidRPr="0013497F">
        <w:rPr>
          <w:rStyle w:val="References"/>
        </w:rPr>
        <w:t>) and (</w:t>
      </w:r>
      <w:r w:rsidR="00245131">
        <w:rPr>
          <w:rStyle w:val="References"/>
        </w:rPr>
        <w:t>7</w:t>
      </w:r>
      <w:r w:rsidR="00871600" w:rsidRPr="0013497F">
        <w:rPr>
          <w:rStyle w:val="References"/>
        </w:rPr>
        <w:t>) of the Rules]</w:t>
      </w:r>
      <w:r w:rsidR="00871600" w:rsidRPr="00523918">
        <w:rPr>
          <w:rStyle w:val="References"/>
        </w:rPr>
        <w:t xml:space="preserve"> </w:t>
      </w:r>
      <w:r w:rsidR="00871600" w:rsidRPr="00523918">
        <w:t xml:space="preserve"> </w:t>
      </w:r>
    </w:p>
    <w:p w14:paraId="59BD21AD" w14:textId="5F14047F" w:rsidR="00871600" w:rsidRPr="00AB22A5" w:rsidRDefault="00871600" w:rsidP="00AB22A5">
      <w:pPr>
        <w:pStyle w:val="Normalparatextwithnumbers"/>
        <w:keepNext/>
        <w:numPr>
          <w:ilvl w:val="1"/>
          <w:numId w:val="17"/>
        </w:numPr>
        <w:rPr>
          <w:rStyle w:val="References"/>
          <w:b w:val="0"/>
          <w:bCs w:val="0"/>
          <w:i w:val="0"/>
          <w:iCs w:val="0"/>
        </w:rPr>
      </w:pPr>
      <w:r>
        <w:t xml:space="preserve">However, an entity which is a Securitisation Entity will only have a Domestic Top-up </w:t>
      </w:r>
      <w:r w:rsidR="005A0B77">
        <w:t>T</w:t>
      </w:r>
      <w:r>
        <w:t xml:space="preserve">ax </w:t>
      </w:r>
      <w:r w:rsidR="005A0B77">
        <w:t>A</w:t>
      </w:r>
      <w:r>
        <w:t xml:space="preserve">mount (and consequently have a DMT tax liability) if all the </w:t>
      </w:r>
      <w:r>
        <w:lastRenderedPageBreak/>
        <w:t>entities located in Australia are Securitisation Entities</w:t>
      </w:r>
      <w:r w:rsidR="00AB22A5">
        <w:br/>
      </w:r>
      <w:r w:rsidRPr="0013497F">
        <w:rPr>
          <w:rStyle w:val="References"/>
        </w:rPr>
        <w:t xml:space="preserve">[Chapter 2, </w:t>
      </w:r>
      <w:r>
        <w:rPr>
          <w:rStyle w:val="References"/>
        </w:rPr>
        <w:t>sub</w:t>
      </w:r>
      <w:r w:rsidRPr="0013497F">
        <w:rPr>
          <w:rStyle w:val="References"/>
        </w:rPr>
        <w:t>section</w:t>
      </w:r>
      <w:r>
        <w:rPr>
          <w:rStyle w:val="References"/>
        </w:rPr>
        <w:t>s</w:t>
      </w:r>
      <w:r w:rsidRPr="0013497F">
        <w:rPr>
          <w:rStyle w:val="References"/>
        </w:rPr>
        <w:t xml:space="preserve"> 2-</w:t>
      </w:r>
      <w:r>
        <w:rPr>
          <w:rStyle w:val="References"/>
        </w:rPr>
        <w:t>3</w:t>
      </w:r>
      <w:r w:rsidR="00717BED">
        <w:rPr>
          <w:rStyle w:val="References"/>
        </w:rPr>
        <w:t>5</w:t>
      </w:r>
      <w:r w:rsidRPr="0013497F">
        <w:rPr>
          <w:rStyle w:val="References"/>
        </w:rPr>
        <w:t>(</w:t>
      </w:r>
      <w:r w:rsidR="00717BED">
        <w:rPr>
          <w:rStyle w:val="References"/>
        </w:rPr>
        <w:t>3</w:t>
      </w:r>
      <w:r w:rsidRPr="0013497F">
        <w:rPr>
          <w:rStyle w:val="References"/>
        </w:rPr>
        <w:t>), (</w:t>
      </w:r>
      <w:r w:rsidR="00717BED">
        <w:rPr>
          <w:rStyle w:val="References"/>
        </w:rPr>
        <w:t>4),</w:t>
      </w:r>
      <w:r>
        <w:rPr>
          <w:rStyle w:val="References"/>
        </w:rPr>
        <w:t xml:space="preserve"> (</w:t>
      </w:r>
      <w:r w:rsidR="00717BED">
        <w:rPr>
          <w:rStyle w:val="References"/>
        </w:rPr>
        <w:t>5</w:t>
      </w:r>
      <w:r w:rsidRPr="0013497F">
        <w:rPr>
          <w:rStyle w:val="References"/>
        </w:rPr>
        <w:t>) and (</w:t>
      </w:r>
      <w:r w:rsidR="00717BED">
        <w:rPr>
          <w:rStyle w:val="References"/>
        </w:rPr>
        <w:t>6</w:t>
      </w:r>
      <w:r w:rsidRPr="0013497F">
        <w:rPr>
          <w:rStyle w:val="References"/>
        </w:rPr>
        <w:t>) of the Rules]</w:t>
      </w:r>
      <w:r w:rsidRPr="00AB22A5">
        <w:rPr>
          <w:rStyle w:val="References"/>
          <w:i w:val="0"/>
          <w:iCs w:val="0"/>
        </w:rPr>
        <w:t xml:space="preserve">  </w:t>
      </w:r>
    </w:p>
    <w:p w14:paraId="47C1D1EC" w14:textId="6C28D54A" w:rsidR="00871600" w:rsidRDefault="00871600" w:rsidP="00871600">
      <w:pPr>
        <w:pStyle w:val="Normalparatextwithnumbers"/>
        <w:numPr>
          <w:ilvl w:val="1"/>
          <w:numId w:val="17"/>
        </w:numPr>
      </w:pPr>
      <w:r>
        <w:t>In most cases a JV will be a JV only in respect of a single Applicable MNE Group. In such cases the Domestic Top</w:t>
      </w:r>
      <w:r>
        <w:noBreakHyphen/>
        <w:t>up Tax of the JV or of a JV Subsidiary will be computed as normal. However, a JV a may be a JV in respect of two Applicable MNE Groups. In such a case, the JV or a JV Subsidiary has an amount of Domestic Top-up Tax Amount, each Applicable MNE Group will be liable for half of the total Domestic Top-up Tax Amount. This is to avoid double taxation where both MNE Groups would otherwise be liable for 100 per cent of the JV or JV subsidiary’s Domestic Top</w:t>
      </w:r>
      <w:r>
        <w:noBreakHyphen/>
        <w:t>up Tax Amount.</w:t>
      </w:r>
      <w:r>
        <w:br/>
      </w:r>
      <w:r w:rsidRPr="006A025F">
        <w:rPr>
          <w:rStyle w:val="References"/>
        </w:rPr>
        <w:t>[Chapter 2, subsections 2-</w:t>
      </w:r>
      <w:r w:rsidR="00717BED">
        <w:rPr>
          <w:rStyle w:val="References"/>
        </w:rPr>
        <w:t>3</w:t>
      </w:r>
      <w:r w:rsidR="009A17BC">
        <w:rPr>
          <w:rStyle w:val="References"/>
        </w:rPr>
        <w:t>0</w:t>
      </w:r>
      <w:r w:rsidRPr="006A025F">
        <w:rPr>
          <w:rStyle w:val="References"/>
        </w:rPr>
        <w:t>(</w:t>
      </w:r>
      <w:r w:rsidR="009D091A">
        <w:rPr>
          <w:rStyle w:val="References"/>
        </w:rPr>
        <w:t>2</w:t>
      </w:r>
      <w:r w:rsidRPr="006A025F">
        <w:rPr>
          <w:rStyle w:val="References"/>
        </w:rPr>
        <w:t>) to (</w:t>
      </w:r>
      <w:r w:rsidR="009D091A">
        <w:rPr>
          <w:rStyle w:val="References"/>
        </w:rPr>
        <w:t>4</w:t>
      </w:r>
      <w:r w:rsidRPr="006A025F">
        <w:rPr>
          <w:rStyle w:val="References"/>
        </w:rPr>
        <w:t>) of the Rules]</w:t>
      </w:r>
    </w:p>
    <w:p w14:paraId="719F3009" w14:textId="4F9DA272" w:rsidR="00871600" w:rsidRDefault="00871600" w:rsidP="00871600">
      <w:pPr>
        <w:pStyle w:val="Normalparatextwithnumbers"/>
        <w:numPr>
          <w:ilvl w:val="1"/>
          <w:numId w:val="17"/>
        </w:numPr>
      </w:pPr>
      <w:r>
        <w:t>For the purposes of computing the Domestic Top</w:t>
      </w:r>
      <w:r>
        <w:noBreakHyphen/>
        <w:t>up Tax amount payable, minor modifications are required to the Chapter 5 Top</w:t>
      </w:r>
      <w:r>
        <w:noBreakHyphen/>
        <w:t>up Tax calculations to ensure the correct outcomes. The ETR and Jurisdictional Top-up Tax formulas are still used under sections 5-5 and 5-30, respectively, however, in calculating the Jurisdictional Top-up Tax Amount, the Domestic Top-up Tax in that formula is taken to be zero. This is necessary as the calculation is being undertaken for the purpose of determining the Domestic Top-up Tax Amount and ensures that the correct amount of Domestic Top-up Tax Amount is calculated.</w:t>
      </w:r>
      <w:r>
        <w:br/>
      </w:r>
      <w:r w:rsidRPr="0013497F">
        <w:rPr>
          <w:rStyle w:val="References"/>
        </w:rPr>
        <w:t>[Chapter 2, section 2-</w:t>
      </w:r>
      <w:r w:rsidR="009A17BC">
        <w:rPr>
          <w:rStyle w:val="References"/>
        </w:rPr>
        <w:t xml:space="preserve">40 </w:t>
      </w:r>
      <w:r w:rsidRPr="0013497F">
        <w:rPr>
          <w:rStyle w:val="References"/>
        </w:rPr>
        <w:t>of the Rules]</w:t>
      </w:r>
      <w:r>
        <w:t xml:space="preserve"> </w:t>
      </w:r>
    </w:p>
    <w:p w14:paraId="0302B94B" w14:textId="77777777" w:rsidR="00871600" w:rsidRDefault="00871600" w:rsidP="00871600">
      <w:pPr>
        <w:pStyle w:val="Normalparatextwithnumbers"/>
        <w:numPr>
          <w:ilvl w:val="1"/>
          <w:numId w:val="17"/>
        </w:numPr>
      </w:pPr>
      <w:r>
        <w:t xml:space="preserve">This means the Jurisdictional Top-up Tax for the purposes of computing Domestic Top-up Tax Amount is as follows: </w:t>
      </w:r>
    </w:p>
    <w:p w14:paraId="0C7A7291" w14:textId="71A4A84A" w:rsidR="00F07B1F" w:rsidRDefault="00F07B1F" w:rsidP="00F07B1F">
      <w:pPr>
        <w:pStyle w:val="Normalparatextwithnumbers"/>
        <w:numPr>
          <w:ilvl w:val="0"/>
          <w:numId w:val="0"/>
        </w:numPr>
        <w:ind w:left="709"/>
      </w:pPr>
      <w:r w:rsidRPr="00F07B1F">
        <w:rPr>
          <w:noProof/>
        </w:rPr>
        <w:drawing>
          <wp:inline distT="0" distB="0" distL="0" distR="0" wp14:anchorId="5E5A3297" wp14:editId="78C44A3B">
            <wp:extent cx="4896485" cy="553085"/>
            <wp:effectExtent l="0" t="0" r="0" b="0"/>
            <wp:docPr id="257803459" name="Picture 18" descr="Formula for the Jurisdictional Top-up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03459" name="Picture 18" descr="Formula for the Jurisdictional Top-up Tax"/>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96485" cy="553085"/>
                    </a:xfrm>
                    <a:prstGeom prst="rect">
                      <a:avLst/>
                    </a:prstGeom>
                    <a:noFill/>
                    <a:ln>
                      <a:noFill/>
                    </a:ln>
                  </pic:spPr>
                </pic:pic>
              </a:graphicData>
            </a:graphic>
          </wp:inline>
        </w:drawing>
      </w:r>
    </w:p>
    <w:p w14:paraId="733F880F" w14:textId="7C710F57" w:rsidR="00871600" w:rsidRDefault="00871600">
      <w:pPr>
        <w:pStyle w:val="Normalparatextwithnumbers"/>
        <w:numPr>
          <w:ilvl w:val="1"/>
          <w:numId w:val="17"/>
        </w:numPr>
      </w:pPr>
      <w:r>
        <w:t>To be treated as a QDMT, a DMT must be functionally equivalent to the GloBE Rules</w:t>
      </w:r>
      <w:r w:rsidR="00367002">
        <w:t xml:space="preserve">, consistent with paragraph 118 on page 256 of the Consolidated Commentary. The </w:t>
      </w:r>
      <w:r>
        <w:t xml:space="preserve">requirement to being functionally equivalent is that the determination of Adjusted Covered Taxes needs to be </w:t>
      </w:r>
      <w:r w:rsidR="00367002">
        <w:t xml:space="preserve">at least as </w:t>
      </w:r>
      <w:r>
        <w:t>restrictive as the GloBE Rules</w:t>
      </w:r>
      <w:r w:rsidR="00367002">
        <w:t xml:space="preserve">, consistent with </w:t>
      </w:r>
      <w:r w:rsidR="00367002" w:rsidRPr="00367002">
        <w:t>paragraph 118</w:t>
      </w:r>
      <w:r w:rsidR="00367002">
        <w:t>.26</w:t>
      </w:r>
      <w:r w:rsidR="00367002" w:rsidRPr="00367002">
        <w:t xml:space="preserve"> on page 256 of the Consolidated Commentary</w:t>
      </w:r>
      <w:r w:rsidR="00367002">
        <w:t xml:space="preserve">. </w:t>
      </w:r>
    </w:p>
    <w:p w14:paraId="361334BA" w14:textId="2D1B06A0" w:rsidR="00871600" w:rsidRDefault="00871600">
      <w:pPr>
        <w:pStyle w:val="Normalparatextwithnumbers"/>
        <w:numPr>
          <w:ilvl w:val="1"/>
          <w:numId w:val="17"/>
        </w:numPr>
        <w:spacing w:before="0"/>
      </w:pPr>
      <w:r>
        <w:t>For the purpose of the IIR</w:t>
      </w:r>
      <w:r w:rsidR="005F6713">
        <w:t>,</w:t>
      </w:r>
      <w:r>
        <w:t xml:space="preserve"> some amounts of covered taxes accrued in the financial accounts of a </w:t>
      </w:r>
      <w:bookmarkStart w:id="87" w:name="_Hlk182309314"/>
      <w:r w:rsidR="00F347E1">
        <w:t>Constituent Entity</w:t>
      </w:r>
      <w:r>
        <w:t xml:space="preserve"> </w:t>
      </w:r>
      <w:bookmarkEnd w:id="87"/>
      <w:r>
        <w:t>may be allocated to another constituent</w:t>
      </w:r>
      <w:r w:rsidR="00946F2C">
        <w:t xml:space="preserve"> under Part 4-3 of the Rules</w:t>
      </w:r>
      <w:r>
        <w:t>.</w:t>
      </w:r>
      <w:r w:rsidR="00946F2C">
        <w:t xml:space="preserve"> </w:t>
      </w:r>
      <w:r>
        <w:t>However, for the purposes of calculating a Domestic Top</w:t>
      </w:r>
      <w:r>
        <w:noBreakHyphen/>
        <w:t>up Tax</w:t>
      </w:r>
      <w:r w:rsidR="009A17BC">
        <w:t xml:space="preserve"> Amount</w:t>
      </w:r>
      <w:r>
        <w:t>, Adjusted Covered Taxes are not allocated from:</w:t>
      </w:r>
      <w:r w:rsidDel="00343FB9">
        <w:t xml:space="preserve"> </w:t>
      </w:r>
    </w:p>
    <w:p w14:paraId="19DA9445" w14:textId="77777777" w:rsidR="00871600" w:rsidRDefault="00871600" w:rsidP="00B07214">
      <w:pPr>
        <w:pStyle w:val="Dotpoint1"/>
      </w:pPr>
      <w:r>
        <w:t>a</w:t>
      </w:r>
      <w:r w:rsidRPr="00BA5472">
        <w:t xml:space="preserve"> Constituent Entity to Permanent Establishment</w:t>
      </w:r>
      <w:r>
        <w:t>;</w:t>
      </w:r>
    </w:p>
    <w:p w14:paraId="7176E697" w14:textId="77777777" w:rsidR="00871600" w:rsidRDefault="00871600" w:rsidP="00B07214">
      <w:pPr>
        <w:pStyle w:val="Dotpoint1"/>
      </w:pPr>
      <w:r>
        <w:t>a</w:t>
      </w:r>
      <w:r w:rsidRPr="00450708">
        <w:t xml:space="preserve"> Tax Transparent Entity to a Constituent Entity-owner of the Tax Transparent Entity</w:t>
      </w:r>
      <w:r>
        <w:t>;</w:t>
      </w:r>
    </w:p>
    <w:p w14:paraId="797932A7" w14:textId="77777777" w:rsidR="00871600" w:rsidRDefault="00871600" w:rsidP="00B07214">
      <w:pPr>
        <w:pStyle w:val="Dotpoint1"/>
      </w:pPr>
      <w:r>
        <w:lastRenderedPageBreak/>
        <w:t>a</w:t>
      </w:r>
      <w:r w:rsidRPr="00B4148B">
        <w:t xml:space="preserve"> Constituent Entity-owner of Constituent Entity that is CFC to the Constituent Entit</w:t>
      </w:r>
      <w:r>
        <w:t>y;</w:t>
      </w:r>
    </w:p>
    <w:p w14:paraId="39991DFD" w14:textId="6C231BBF" w:rsidR="00871600" w:rsidRDefault="00871600" w:rsidP="00B07214">
      <w:pPr>
        <w:pStyle w:val="Dotpoint1"/>
      </w:pPr>
      <w:r>
        <w:t>a</w:t>
      </w:r>
      <w:r w:rsidRPr="00450708">
        <w:t xml:space="preserve"> Constituent Entity-owner of a Constituent Entity that is a Hybrid Entity to the Hybrid Entity</w:t>
      </w:r>
      <w:r>
        <w:t>.</w:t>
      </w:r>
    </w:p>
    <w:p w14:paraId="42204D59" w14:textId="77777777" w:rsidR="00871600" w:rsidRDefault="00871600" w:rsidP="00AB22A5">
      <w:pPr>
        <w:pStyle w:val="Heading3"/>
        <w:rPr>
          <w:rFonts w:hint="eastAsia"/>
        </w:rPr>
      </w:pPr>
      <w:bookmarkStart w:id="88" w:name="_Toc181720707"/>
      <w:bookmarkStart w:id="89" w:name="_Toc183786635"/>
      <w:bookmarkStart w:id="90" w:name="_Toc185614895"/>
      <w:r>
        <w:t>Top</w:t>
      </w:r>
      <w:r>
        <w:noBreakHyphen/>
        <w:t>up Tax arising under the UTPR</w:t>
      </w:r>
      <w:bookmarkEnd w:id="88"/>
      <w:bookmarkEnd w:id="89"/>
      <w:bookmarkEnd w:id="90"/>
      <w:r>
        <w:t xml:space="preserve"> </w:t>
      </w:r>
    </w:p>
    <w:p w14:paraId="6C443263" w14:textId="77777777" w:rsidR="00871600" w:rsidRDefault="00871600" w:rsidP="00871600">
      <w:pPr>
        <w:pStyle w:val="Normalparatextwithnumbers"/>
        <w:numPr>
          <w:ilvl w:val="1"/>
          <w:numId w:val="17"/>
        </w:numPr>
      </w:pPr>
      <w:r>
        <w:t xml:space="preserve">The UTPR aims to impose a minimum tax on undertaxed profits to the extent that a Qualified IIR has not been imposed in respect of such profits. Where Qualified IIR of a parent jurisdiction has not been imposed in respect of such profits, that amount is allocated to other jurisdictions in proportion to the location of the group’s tangible assets and employees. </w:t>
      </w:r>
    </w:p>
    <w:p w14:paraId="0F4DDEC1" w14:textId="1134295D" w:rsidR="00871600" w:rsidRDefault="00871600" w:rsidP="00871600">
      <w:pPr>
        <w:pStyle w:val="Normalparatextwithnumbers"/>
        <w:numPr>
          <w:ilvl w:val="1"/>
          <w:numId w:val="18"/>
        </w:numPr>
      </w:pPr>
      <w:r>
        <w:t xml:space="preserve">The UTPR operates as a ‘backstop’ to reduce the incentives for MNEs to locate Parent Entities in jurisdictions which do not implement an IIR, thus avoiding the imposition of any IIR </w:t>
      </w:r>
      <w:r w:rsidR="00E44E87">
        <w:t>T</w:t>
      </w:r>
      <w:r>
        <w:t xml:space="preserve">op-up </w:t>
      </w:r>
      <w:r w:rsidR="00E44E87">
        <w:t>T</w:t>
      </w:r>
      <w:r>
        <w:t xml:space="preserve">ax. </w:t>
      </w:r>
    </w:p>
    <w:p w14:paraId="39673D0C" w14:textId="77777777" w:rsidR="00871600" w:rsidRDefault="00871600" w:rsidP="00871600">
      <w:pPr>
        <w:pStyle w:val="Normalparatextwithnumbers"/>
        <w:numPr>
          <w:ilvl w:val="1"/>
          <w:numId w:val="18"/>
        </w:numPr>
      </w:pPr>
      <w:r>
        <w:t>Section 10 of the Assessment Act imposes UTPR Top-up Tax on an Entity if it has one or more UTPR Top-up Tax amounts. The amount of the liability for top up tax will be the sum of the UTPR Top-up Tax amounts.</w:t>
      </w:r>
    </w:p>
    <w:p w14:paraId="489DD245" w14:textId="77777777" w:rsidR="00871600" w:rsidRDefault="00871600" w:rsidP="00871600">
      <w:pPr>
        <w:pStyle w:val="Normalparatextwithnumbers"/>
        <w:numPr>
          <w:ilvl w:val="1"/>
          <w:numId w:val="18"/>
        </w:numPr>
      </w:pPr>
      <w:r>
        <w:t xml:space="preserve">An Entity will have a UTPR Top-up Tax Amount, if  </w:t>
      </w:r>
    </w:p>
    <w:p w14:paraId="699883E5" w14:textId="6C37E245" w:rsidR="00871600" w:rsidRDefault="00871600" w:rsidP="00B07214">
      <w:pPr>
        <w:pStyle w:val="Dotpoint1"/>
      </w:pPr>
      <w:r>
        <w:t>the Entity is a Constituent Entity located in Australia</w:t>
      </w:r>
      <w:r w:rsidR="00946F2C">
        <w:t xml:space="preserve">; </w:t>
      </w:r>
    </w:p>
    <w:p w14:paraId="1B08D870" w14:textId="77777777" w:rsidR="00871600" w:rsidRDefault="00871600" w:rsidP="00B07214">
      <w:pPr>
        <w:pStyle w:val="Dotpoint1"/>
      </w:pPr>
      <w:r>
        <w:t xml:space="preserve">the MNE Group has a Total UTPR Top up Tax Amount greater than zero; and </w:t>
      </w:r>
    </w:p>
    <w:p w14:paraId="3F2A7A77" w14:textId="095506C9" w:rsidR="00871600" w:rsidRDefault="00871600" w:rsidP="00B07214">
      <w:pPr>
        <w:pStyle w:val="Dotpoint1"/>
      </w:pPr>
      <w:r>
        <w:t>all or part of that Total UTPR Top up Tax Amount is distributed to the En</w:t>
      </w:r>
      <w:r w:rsidR="00946F2C">
        <w:t>t</w:t>
      </w:r>
      <w:r>
        <w:t>ity</w:t>
      </w:r>
      <w:r w:rsidR="00F535E2">
        <w:t xml:space="preserve">. </w:t>
      </w:r>
      <w:r>
        <w:t xml:space="preserve"> </w:t>
      </w:r>
      <w:r w:rsidR="00F535E2">
        <w:br/>
      </w:r>
      <w:r w:rsidRPr="004D2516">
        <w:rPr>
          <w:rStyle w:val="References"/>
        </w:rPr>
        <w:t>[</w:t>
      </w:r>
      <w:r w:rsidRPr="004E0D0F">
        <w:rPr>
          <w:rStyle w:val="References"/>
        </w:rPr>
        <w:t>Chapter 2, subsection 2-</w:t>
      </w:r>
      <w:r w:rsidR="00DA6BD4">
        <w:rPr>
          <w:rStyle w:val="References"/>
        </w:rPr>
        <w:t>4</w:t>
      </w:r>
      <w:r>
        <w:rPr>
          <w:rStyle w:val="References"/>
        </w:rPr>
        <w:t>5 of the Rules</w:t>
      </w:r>
      <w:r w:rsidRPr="004D2516">
        <w:rPr>
          <w:rStyle w:val="References"/>
        </w:rPr>
        <w:t xml:space="preserve">] </w:t>
      </w:r>
      <w:r>
        <w:t xml:space="preserve"> </w:t>
      </w:r>
    </w:p>
    <w:p w14:paraId="5BA8F262" w14:textId="21A0A458" w:rsidR="00871600" w:rsidRDefault="00871600" w:rsidP="00871600">
      <w:pPr>
        <w:pStyle w:val="Normalparatextwithnumbers"/>
        <w:numPr>
          <w:ilvl w:val="1"/>
          <w:numId w:val="18"/>
        </w:numPr>
      </w:pPr>
      <w:r w:rsidRPr="00EA6EEC">
        <w:t xml:space="preserve">Pursuant to the steps below, an MNE Group’s </w:t>
      </w:r>
      <w:r>
        <w:t xml:space="preserve">Total </w:t>
      </w:r>
      <w:r w:rsidRPr="00EA6EEC">
        <w:t xml:space="preserve">UTPR Top-up Tax </w:t>
      </w:r>
      <w:r>
        <w:t>A</w:t>
      </w:r>
      <w:r w:rsidRPr="00EA6EEC">
        <w:t xml:space="preserve">mount is calculated and allocated to certain Constituent Entities in the MNE </w:t>
      </w:r>
      <w:r w:rsidR="002330EF">
        <w:t>G</w:t>
      </w:r>
      <w:r w:rsidRPr="00EA6EEC">
        <w:t>roup.</w:t>
      </w:r>
    </w:p>
    <w:p w14:paraId="7B677A8E" w14:textId="2EDE1290" w:rsidR="00871600" w:rsidRDefault="00871600" w:rsidP="00871600">
      <w:pPr>
        <w:pStyle w:val="Heading6"/>
        <w:rPr>
          <w:rFonts w:hint="eastAsia"/>
        </w:rPr>
      </w:pPr>
      <w:r>
        <w:t xml:space="preserve">Step 1 – Calculate a Constituent Entity’s UTPR Top-up Tax and the Allocable Share of the Top-up tax of any </w:t>
      </w:r>
      <w:r w:rsidR="0053425A">
        <w:t>JV</w:t>
      </w:r>
    </w:p>
    <w:p w14:paraId="480346EF" w14:textId="7F516CAB" w:rsidR="00613939" w:rsidRPr="00AB22A5" w:rsidRDefault="00871600">
      <w:pPr>
        <w:pStyle w:val="Normalparatextwithnumbers"/>
      </w:pPr>
      <w:r>
        <w:t xml:space="preserve">The starting point for the computation of the UTPR Top-up Tax Amount is the Top up tax </w:t>
      </w:r>
      <w:r w:rsidRPr="00AB22A5">
        <w:t xml:space="preserve">of each LTCE and the UPE’s Allocable </w:t>
      </w:r>
      <w:r w:rsidR="0063551D">
        <w:t>S</w:t>
      </w:r>
      <w:r w:rsidRPr="00AB22A5">
        <w:t xml:space="preserve">hare of </w:t>
      </w:r>
      <w:r w:rsidR="000252A4">
        <w:t>T</w:t>
      </w:r>
      <w:r w:rsidRPr="00AB22A5">
        <w:t>op</w:t>
      </w:r>
      <w:r w:rsidR="00C0485C" w:rsidRPr="00AB22A5">
        <w:noBreakHyphen/>
      </w:r>
      <w:r w:rsidRPr="00AB22A5">
        <w:t xml:space="preserve">up </w:t>
      </w:r>
      <w:r w:rsidR="000252A4">
        <w:t>T</w:t>
      </w:r>
      <w:r w:rsidRPr="00AB22A5">
        <w:t xml:space="preserve">ax of </w:t>
      </w:r>
      <w:r w:rsidR="00D833EE">
        <w:t xml:space="preserve">each </w:t>
      </w:r>
      <w:r w:rsidR="0053425A" w:rsidRPr="00AB22A5">
        <w:t>JV</w:t>
      </w:r>
      <w:r w:rsidRPr="00AB22A5">
        <w:t>.  The Top</w:t>
      </w:r>
      <w:r w:rsidR="00D833EE">
        <w:noBreakHyphen/>
      </w:r>
      <w:r w:rsidRPr="00AB22A5">
        <w:t xml:space="preserve">up </w:t>
      </w:r>
      <w:r w:rsidR="00D833EE">
        <w:t>T</w:t>
      </w:r>
      <w:r w:rsidRPr="00AB22A5">
        <w:t xml:space="preserve">ax of a LTCE is calculated under Chapter 5 of the Rules while a UPE’s Allocable </w:t>
      </w:r>
      <w:r w:rsidR="0063551D">
        <w:t>S</w:t>
      </w:r>
      <w:r w:rsidRPr="00AB22A5">
        <w:t xml:space="preserve">hare of </w:t>
      </w:r>
      <w:r w:rsidR="0063551D">
        <w:t>T</w:t>
      </w:r>
      <w:r w:rsidRPr="00AB22A5">
        <w:t>op</w:t>
      </w:r>
      <w:r w:rsidR="00BE7881" w:rsidRPr="00AB22A5">
        <w:noBreakHyphen/>
      </w:r>
      <w:r w:rsidRPr="00AB22A5">
        <w:t xml:space="preserve">up </w:t>
      </w:r>
      <w:r w:rsidR="0063551D">
        <w:t>T</w:t>
      </w:r>
      <w:r w:rsidRPr="00AB22A5">
        <w:t xml:space="preserve">ax of </w:t>
      </w:r>
      <w:r w:rsidR="0063551D">
        <w:t xml:space="preserve">each </w:t>
      </w:r>
      <w:r w:rsidR="0053425A" w:rsidRPr="00AB22A5">
        <w:t>JV</w:t>
      </w:r>
      <w:r w:rsidRPr="00AB22A5">
        <w:t xml:space="preserve"> is calculated under </w:t>
      </w:r>
      <w:r w:rsidR="00FB136C" w:rsidRPr="00AB22A5">
        <w:t xml:space="preserve">Part 6-4 with reference to the formulas under </w:t>
      </w:r>
      <w:r w:rsidR="004B416F" w:rsidRPr="00AB22A5">
        <w:t>Chapter 2</w:t>
      </w:r>
      <w:r w:rsidRPr="00AB22A5">
        <w:t>.</w:t>
      </w:r>
      <w:r w:rsidR="00613939" w:rsidRPr="00AB22A5">
        <w:br/>
      </w:r>
      <w:r w:rsidRPr="00AB22A5">
        <w:rPr>
          <w:rStyle w:val="References"/>
        </w:rPr>
        <w:t>[Chapter 2, section 2-55</w:t>
      </w:r>
      <w:r w:rsidR="00DA6BD4">
        <w:rPr>
          <w:rStyle w:val="References"/>
        </w:rPr>
        <w:t xml:space="preserve"> </w:t>
      </w:r>
      <w:r w:rsidR="00613939" w:rsidRPr="00AB22A5">
        <w:rPr>
          <w:b/>
          <w:bCs/>
          <w:i/>
          <w:iCs/>
        </w:rPr>
        <w:t>of the Rules]</w:t>
      </w:r>
    </w:p>
    <w:p w14:paraId="3CDA67F1" w14:textId="77777777" w:rsidR="00871600" w:rsidRPr="00AB22A5" w:rsidRDefault="00871600" w:rsidP="00871600">
      <w:pPr>
        <w:pStyle w:val="Heading6"/>
        <w:rPr>
          <w:rFonts w:hint="eastAsia"/>
        </w:rPr>
      </w:pPr>
      <w:r w:rsidRPr="00AB22A5">
        <w:t>Step 2 – Calculate the Total UTPR Top-up Tax Amount for an MNE Group</w:t>
      </w:r>
    </w:p>
    <w:p w14:paraId="21D25AE6" w14:textId="6C0F103D" w:rsidR="00871600" w:rsidRPr="00AB22A5" w:rsidRDefault="00871600" w:rsidP="00871600">
      <w:pPr>
        <w:pStyle w:val="Normalparatextwithnumbers"/>
        <w:numPr>
          <w:ilvl w:val="1"/>
          <w:numId w:val="18"/>
        </w:numPr>
      </w:pPr>
      <w:r w:rsidRPr="00AB22A5">
        <w:t xml:space="preserve">The next step involves calculating the Total UTPR Top-up Tax Amount for the entire MNE Group. The Total UTPR Top-up Tax Amount is used to allocate a </w:t>
      </w:r>
      <w:r w:rsidRPr="00AB22A5">
        <w:lastRenderedPageBreak/>
        <w:t>top-up tax amount to each UTPR jurisdiction on the basis of the substance</w:t>
      </w:r>
      <w:r w:rsidR="00182328">
        <w:noBreakHyphen/>
      </w:r>
      <w:r w:rsidRPr="00AB22A5">
        <w:t xml:space="preserve">based allocation key. </w:t>
      </w:r>
    </w:p>
    <w:p w14:paraId="1DF5F4EF" w14:textId="777158FC" w:rsidR="00871600" w:rsidRPr="00AB22A5" w:rsidRDefault="00871600" w:rsidP="00871600">
      <w:pPr>
        <w:pStyle w:val="Normalparatextwithnumbers"/>
        <w:numPr>
          <w:ilvl w:val="1"/>
          <w:numId w:val="17"/>
        </w:numPr>
      </w:pPr>
      <w:r w:rsidRPr="00AB22A5">
        <w:t xml:space="preserve">The Total UTPR Top-up Tax </w:t>
      </w:r>
      <w:r w:rsidR="00801BA3">
        <w:t>A</w:t>
      </w:r>
      <w:r w:rsidRPr="00AB22A5">
        <w:t xml:space="preserve">mount under section 2-55 of the Rules for a Fiscal Year equals the sum of the Top-up Tax calculated for each LTCE of an MNE Group and the UPE’s Allocable </w:t>
      </w:r>
      <w:r w:rsidR="00976C97">
        <w:t>S</w:t>
      </w:r>
      <w:r w:rsidRPr="00AB22A5">
        <w:t xml:space="preserve">hare of </w:t>
      </w:r>
      <w:r w:rsidR="00976C97">
        <w:t>T</w:t>
      </w:r>
      <w:r w:rsidRPr="00AB22A5">
        <w:t>op</w:t>
      </w:r>
      <w:r w:rsidR="003C31CE" w:rsidRPr="00AB22A5">
        <w:noBreakHyphen/>
      </w:r>
      <w:r w:rsidRPr="00AB22A5">
        <w:t xml:space="preserve">up </w:t>
      </w:r>
      <w:r w:rsidR="00976C97">
        <w:t>T</w:t>
      </w:r>
      <w:r w:rsidRPr="00AB22A5">
        <w:t xml:space="preserve">ax of a </w:t>
      </w:r>
      <w:r w:rsidR="0053425A" w:rsidRPr="00AB22A5">
        <w:t>JV</w:t>
      </w:r>
      <w:r w:rsidRPr="00AB22A5">
        <w:t xml:space="preserve"> subject to a number of adjustments. Adjustments that may affect the calculation of the Total UTPR Top-up Tax Amount include whether the LTCE is a UPE and is required to apply a Qualified IIR, in which case the Top-up Tax of that LTCE is zero. Further, only the UPE’s </w:t>
      </w:r>
      <w:r w:rsidR="00F911E8">
        <w:t>A</w:t>
      </w:r>
      <w:r w:rsidRPr="00AB22A5">
        <w:t xml:space="preserve">llocable </w:t>
      </w:r>
      <w:r w:rsidR="00F911E8">
        <w:t>S</w:t>
      </w:r>
      <w:r w:rsidRPr="00AB22A5">
        <w:t xml:space="preserve">hare of Top-up Tax for a JV or JV subsidiary will be included and any </w:t>
      </w:r>
      <w:r w:rsidR="00F911E8">
        <w:t>P</w:t>
      </w:r>
      <w:r w:rsidRPr="00AB22A5">
        <w:t xml:space="preserve">arent </w:t>
      </w:r>
      <w:r w:rsidR="00F911E8">
        <w:t>E</w:t>
      </w:r>
      <w:r w:rsidRPr="00AB22A5">
        <w:t xml:space="preserve">ntity of the MNE Group that holds an interest in a JV or JV subsidiary is reduced to zero. </w:t>
      </w:r>
    </w:p>
    <w:p w14:paraId="7FC24452" w14:textId="066CB141" w:rsidR="00871600" w:rsidRDefault="00AE1BDE" w:rsidP="00871600">
      <w:pPr>
        <w:pStyle w:val="Normalparatextwithnumbers"/>
        <w:numPr>
          <w:ilvl w:val="1"/>
          <w:numId w:val="17"/>
        </w:numPr>
      </w:pPr>
      <w:r>
        <w:t>For the UTPR to operate effectively as a ‘backstop’, it is important that it is capable of being applied in respect of Top-up Tax of JVs that are located in Australia, that have not been brought into charge under a Qualified IIR. Therefore, f</w:t>
      </w:r>
      <w:r w:rsidR="00871600">
        <w:t xml:space="preserve">or the purposes of </w:t>
      </w:r>
      <w:r w:rsidR="00260DCA">
        <w:t xml:space="preserve">the </w:t>
      </w:r>
      <w:r w:rsidR="00871600">
        <w:t xml:space="preserve">UTPR Top-up Tax </w:t>
      </w:r>
      <w:r w:rsidR="00260DCA">
        <w:t xml:space="preserve">Amount </w:t>
      </w:r>
      <w:r>
        <w:t xml:space="preserve">for a JV </w:t>
      </w:r>
      <w:r w:rsidR="00871600">
        <w:t>under Part 6</w:t>
      </w:r>
      <w:r w:rsidR="00880A30">
        <w:noBreakHyphen/>
      </w:r>
      <w:r w:rsidR="00871600">
        <w:t xml:space="preserve">4 of the Rules, a JV Group includes a </w:t>
      </w:r>
      <w:r w:rsidR="0053425A">
        <w:t>JV</w:t>
      </w:r>
      <w:r w:rsidR="00871600">
        <w:t xml:space="preserve"> and any JV Subsidiaries as well as standalone JVs that do not have JV Subsidiaries. </w:t>
      </w:r>
    </w:p>
    <w:p w14:paraId="5AC3F346" w14:textId="0E346E0C" w:rsidR="00871600" w:rsidRDefault="00871600" w:rsidP="00871600">
      <w:pPr>
        <w:pStyle w:val="Normalparatextwithnumbers"/>
        <w:numPr>
          <w:ilvl w:val="1"/>
          <w:numId w:val="17"/>
        </w:numPr>
      </w:pPr>
      <w:r w:rsidRPr="007524D6">
        <w:t xml:space="preserve">For the purposes of the </w:t>
      </w:r>
      <w:r>
        <w:t xml:space="preserve">Total </w:t>
      </w:r>
      <w:r w:rsidRPr="007524D6">
        <w:t xml:space="preserve">UTPR </w:t>
      </w:r>
      <w:r>
        <w:t xml:space="preserve">Top-up Tax </w:t>
      </w:r>
      <w:r w:rsidRPr="007524D6">
        <w:t xml:space="preserve">the </w:t>
      </w:r>
      <w:r w:rsidR="00826D41" w:rsidRPr="007524D6">
        <w:t>top</w:t>
      </w:r>
      <w:r w:rsidRPr="007524D6">
        <w:t xml:space="preserve">-up </w:t>
      </w:r>
      <w:r w:rsidR="00826D41" w:rsidRPr="007524D6">
        <w:t>tax</w:t>
      </w:r>
      <w:r w:rsidRPr="007524D6">
        <w:t xml:space="preserve"> for each LTCE (including JVs, MOCEs, POPEs, and IPEs) of an Applicable MNE Group, including any located in Australia, </w:t>
      </w:r>
      <w:r>
        <w:t>i</w:t>
      </w:r>
      <w:r w:rsidRPr="007524D6">
        <w:t>s reduced by a Parent Entity’s Allocable Share of that LTCE’s Top-up Tax that is brought to charge under a Q</w:t>
      </w:r>
      <w:r>
        <w:t xml:space="preserve">ualified </w:t>
      </w:r>
      <w:r w:rsidRPr="007524D6">
        <w:t>IIR (including Australia’s IIR).</w:t>
      </w:r>
      <w:r>
        <w:t xml:space="preserve"> Not</w:t>
      </w:r>
      <w:r w:rsidRPr="006023CD">
        <w:t xml:space="preserve"> all Parent Entities </w:t>
      </w:r>
      <w:r>
        <w:t>that hold an indirect ownership interest</w:t>
      </w:r>
      <w:r w:rsidRPr="006023CD">
        <w:t xml:space="preserve"> need to apply a Qualified IIR for that Fiscal Year</w:t>
      </w:r>
      <w:r>
        <w:t xml:space="preserve">, rather, a </w:t>
      </w:r>
      <w:r w:rsidRPr="006023CD">
        <w:t xml:space="preserve">Qualified IIR </w:t>
      </w:r>
      <w:r>
        <w:t xml:space="preserve">only </w:t>
      </w:r>
      <w:r w:rsidRPr="006023CD">
        <w:t>needs to be applied in relation to all the UPE’s interests in the LTCE.</w:t>
      </w:r>
      <w:r>
        <w:br/>
      </w:r>
      <w:r w:rsidRPr="004D2516">
        <w:rPr>
          <w:rStyle w:val="References"/>
        </w:rPr>
        <w:t>[</w:t>
      </w:r>
      <w:r w:rsidRPr="004E0D0F">
        <w:rPr>
          <w:rStyle w:val="References"/>
        </w:rPr>
        <w:t xml:space="preserve">Chapter 2, </w:t>
      </w:r>
      <w:r>
        <w:rPr>
          <w:rStyle w:val="References"/>
        </w:rPr>
        <w:t>section 2-55 of the Rules</w:t>
      </w:r>
      <w:r w:rsidRPr="004D2516">
        <w:rPr>
          <w:rStyle w:val="References"/>
        </w:rPr>
        <w:t>]</w:t>
      </w:r>
      <w:r>
        <w:t xml:space="preserve"> </w:t>
      </w:r>
    </w:p>
    <w:p w14:paraId="2A58BD71" w14:textId="1F0F0F1B" w:rsidR="00871600" w:rsidRDefault="00871600" w:rsidP="00871600">
      <w:pPr>
        <w:pStyle w:val="Normalparatextwithnumbers"/>
        <w:numPr>
          <w:ilvl w:val="1"/>
          <w:numId w:val="18"/>
        </w:numPr>
      </w:pPr>
      <w:r>
        <w:t>The Total UTPR Top-up Tax Amount, taking into account those adjustments, is then allocated amongst the UTPR Jurisdictions in accordance with the mechanism set out in Part 2</w:t>
      </w:r>
      <w:r>
        <w:noBreakHyphen/>
        <w:t>6</w:t>
      </w:r>
      <w:r w:rsidR="002134B4">
        <w:t xml:space="preserve"> of the Rules</w:t>
      </w:r>
      <w:r>
        <w:t xml:space="preserve">. </w:t>
      </w:r>
    </w:p>
    <w:p w14:paraId="296858F1" w14:textId="77777777" w:rsidR="00871600" w:rsidRDefault="00871600" w:rsidP="00871600">
      <w:pPr>
        <w:pStyle w:val="Heading6"/>
        <w:rPr>
          <w:rFonts w:hint="eastAsia"/>
        </w:rPr>
      </w:pPr>
      <w:r>
        <w:t xml:space="preserve">Step 3 – Allocate UTPR Top-up Tax to Australia </w:t>
      </w:r>
    </w:p>
    <w:p w14:paraId="2328D491" w14:textId="6CBABC12" w:rsidR="00871600" w:rsidRDefault="00871600" w:rsidP="00871600">
      <w:pPr>
        <w:pStyle w:val="Normalparatextwithnumbers"/>
        <w:numPr>
          <w:ilvl w:val="1"/>
          <w:numId w:val="17"/>
        </w:numPr>
      </w:pPr>
      <w:r>
        <w:t xml:space="preserve">Australia’s share of the Total UTPR Top-up Tax Amount is calculated using the UTPR Percentage. The UTPR Percentage is calculated based on location of employees and assets of the </w:t>
      </w:r>
      <w:r w:rsidR="002330EF">
        <w:t>MNE Group</w:t>
      </w:r>
      <w:r>
        <w:t xml:space="preserve"> as a whole. This means the allocation of the </w:t>
      </w:r>
      <w:r w:rsidR="006340C6">
        <w:t xml:space="preserve">UTPR </w:t>
      </w:r>
      <w:r>
        <w:t xml:space="preserve">Top-up Tax </w:t>
      </w:r>
      <w:r w:rsidR="006340C6">
        <w:t xml:space="preserve">Amount </w:t>
      </w:r>
      <w:r>
        <w:t xml:space="preserve">is not focused on the structure of the </w:t>
      </w:r>
      <w:r w:rsidR="006340C6">
        <w:t>MNE G</w:t>
      </w:r>
      <w:r>
        <w:t xml:space="preserve">roup or chains of corporate ownership like the IIR. </w:t>
      </w:r>
      <w:r w:rsidR="006340C6">
        <w:t>Instead</w:t>
      </w:r>
      <w:r w:rsidR="005456B3">
        <w:t>,</w:t>
      </w:r>
      <w:r w:rsidR="006340C6">
        <w:t xml:space="preserve"> </w:t>
      </w:r>
      <w:r>
        <w:t xml:space="preserve">the UTPR Percentage </w:t>
      </w:r>
      <w:r w:rsidR="005456B3">
        <w:t xml:space="preserve">focuses on employees and tangible assets in the jurisdiction </w:t>
      </w:r>
      <w:r w:rsidR="00606467">
        <w:t xml:space="preserve">and is calculated </w:t>
      </w:r>
      <w:r>
        <w:t>as follows:</w:t>
      </w:r>
    </w:p>
    <w:p w14:paraId="1C20AF73" w14:textId="4B878655" w:rsidR="00464185" w:rsidRPr="00464185" w:rsidRDefault="00AD4DE9" w:rsidP="00AD4DE9">
      <w:pPr>
        <w:spacing w:line="480" w:lineRule="auto"/>
        <w:ind w:left="709"/>
        <w:jc w:val="center"/>
        <w:rPr>
          <w:rFonts w:eastAsiaTheme="minorEastAsia"/>
          <w:i/>
        </w:rPr>
      </w:pPr>
      <w:r w:rsidRPr="00AD4DE9">
        <w:rPr>
          <w:noProof/>
        </w:rPr>
        <w:drawing>
          <wp:inline distT="0" distB="0" distL="0" distR="0" wp14:anchorId="7BE8763A" wp14:editId="5721FA37">
            <wp:extent cx="4896485" cy="862330"/>
            <wp:effectExtent l="0" t="0" r="0" b="0"/>
            <wp:docPr id="963537180" name="Picture 2" descr="Calculation for UTPR Perce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37180" name="Picture 2" descr="Calculation for UTPR Percentag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96485" cy="862330"/>
                    </a:xfrm>
                    <a:prstGeom prst="rect">
                      <a:avLst/>
                    </a:prstGeom>
                    <a:noFill/>
                    <a:ln>
                      <a:noFill/>
                    </a:ln>
                  </pic:spPr>
                </pic:pic>
              </a:graphicData>
            </a:graphic>
          </wp:inline>
        </w:drawing>
      </w:r>
    </w:p>
    <w:p w14:paraId="706F8F4C" w14:textId="5D74E2ED" w:rsidR="00871600" w:rsidRDefault="00871600" w:rsidP="00871600">
      <w:pPr>
        <w:pStyle w:val="Normalparatextwithnumbers"/>
        <w:numPr>
          <w:ilvl w:val="0"/>
          <w:numId w:val="0"/>
        </w:numPr>
        <w:ind w:left="709"/>
      </w:pPr>
      <w:r w:rsidRPr="004D2516">
        <w:rPr>
          <w:rStyle w:val="References"/>
        </w:rPr>
        <w:lastRenderedPageBreak/>
        <w:t>[</w:t>
      </w:r>
      <w:r w:rsidRPr="004E0D0F">
        <w:rPr>
          <w:rStyle w:val="References"/>
        </w:rPr>
        <w:t>Chapter 2, subsection</w:t>
      </w:r>
      <w:r>
        <w:rPr>
          <w:rStyle w:val="References"/>
        </w:rPr>
        <w:t>s 2-</w:t>
      </w:r>
      <w:r w:rsidR="00276A35">
        <w:rPr>
          <w:rStyle w:val="References"/>
        </w:rPr>
        <w:t>6</w:t>
      </w:r>
      <w:r>
        <w:rPr>
          <w:rStyle w:val="References"/>
        </w:rPr>
        <w:t>0 and 2-</w:t>
      </w:r>
      <w:r w:rsidR="00276A35">
        <w:rPr>
          <w:rStyle w:val="References"/>
        </w:rPr>
        <w:t>6</w:t>
      </w:r>
      <w:r>
        <w:rPr>
          <w:rStyle w:val="References"/>
        </w:rPr>
        <w:t>5 of the Rules</w:t>
      </w:r>
      <w:r w:rsidRPr="004D2516">
        <w:rPr>
          <w:rStyle w:val="References"/>
        </w:rPr>
        <w:t>]</w:t>
      </w:r>
    </w:p>
    <w:p w14:paraId="02D94189" w14:textId="139FBB70" w:rsidR="00871600" w:rsidRPr="00EE1FC6" w:rsidRDefault="00871600" w:rsidP="00871600">
      <w:pPr>
        <w:pStyle w:val="Normalparatextwithnumbers"/>
        <w:numPr>
          <w:ilvl w:val="1"/>
          <w:numId w:val="18"/>
        </w:numPr>
        <w:rPr>
          <w:rFonts w:eastAsiaTheme="minorEastAsia"/>
        </w:rPr>
      </w:pPr>
      <w:r w:rsidRPr="00EE1FC6">
        <w:rPr>
          <w:rFonts w:eastAsiaTheme="minorEastAsia"/>
        </w:rPr>
        <w:t xml:space="preserve">‘Number of employees’ </w:t>
      </w:r>
      <w:r>
        <w:rPr>
          <w:rFonts w:eastAsiaTheme="minorEastAsia"/>
        </w:rPr>
        <w:t xml:space="preserve">in a jurisdiction </w:t>
      </w:r>
      <w:r w:rsidRPr="00EE1FC6">
        <w:rPr>
          <w:rFonts w:eastAsiaTheme="minorEastAsia"/>
        </w:rPr>
        <w:t xml:space="preserve">means the total number of employees on a full-time equivalent basis of all the Constituent Entities </w:t>
      </w:r>
      <w:r>
        <w:rPr>
          <w:rFonts w:eastAsiaTheme="minorEastAsia"/>
        </w:rPr>
        <w:t>located</w:t>
      </w:r>
      <w:r w:rsidRPr="00EE1FC6">
        <w:rPr>
          <w:rFonts w:eastAsiaTheme="minorEastAsia"/>
        </w:rPr>
        <w:t xml:space="preserve"> in the relevant jurisdiction. For this purpose, independent contractors participating in the ordinary operating activities of the Constituent Entity are reported as employees.</w:t>
      </w:r>
      <w:r>
        <w:rPr>
          <w:rFonts w:eastAsiaTheme="minorEastAsia"/>
        </w:rPr>
        <w:br/>
      </w:r>
      <w:r w:rsidRPr="004D2516">
        <w:rPr>
          <w:rStyle w:val="References"/>
        </w:rPr>
        <w:t>[</w:t>
      </w:r>
      <w:r w:rsidRPr="004E0D0F">
        <w:rPr>
          <w:rStyle w:val="References"/>
        </w:rPr>
        <w:t>Chapter 2, section</w:t>
      </w:r>
      <w:r>
        <w:rPr>
          <w:rStyle w:val="References"/>
        </w:rPr>
        <w:t xml:space="preserve"> 2-</w:t>
      </w:r>
      <w:r w:rsidR="00276A35">
        <w:rPr>
          <w:rStyle w:val="References"/>
        </w:rPr>
        <w:t>9</w:t>
      </w:r>
      <w:r>
        <w:rPr>
          <w:rStyle w:val="References"/>
        </w:rPr>
        <w:t>5 of the Rules</w:t>
      </w:r>
      <w:r w:rsidRPr="004D2516">
        <w:rPr>
          <w:rStyle w:val="References"/>
        </w:rPr>
        <w:t>]</w:t>
      </w:r>
    </w:p>
    <w:p w14:paraId="63B3E009" w14:textId="77777777" w:rsidR="00871600" w:rsidRPr="00EE1FC6" w:rsidRDefault="00871600" w:rsidP="00871600">
      <w:pPr>
        <w:pStyle w:val="Normalparatextwithnumbers"/>
        <w:numPr>
          <w:ilvl w:val="1"/>
          <w:numId w:val="18"/>
        </w:numPr>
        <w:rPr>
          <w:rFonts w:eastAsiaTheme="minorEastAsia"/>
        </w:rPr>
      </w:pPr>
      <w:r w:rsidRPr="00EE1FC6">
        <w:rPr>
          <w:rFonts w:eastAsiaTheme="minorEastAsia"/>
        </w:rPr>
        <w:t>‘Tangible Assets’ means the Tangible Assets of all the Constituent Entities in the relevant tax jurisdiction. Tangible Assets do not include cash or cash equivalents, intangibles, or financial assets.</w:t>
      </w:r>
    </w:p>
    <w:p w14:paraId="06A6AD1D" w14:textId="297617ED" w:rsidR="00871600" w:rsidRPr="00EE1FC6" w:rsidRDefault="00871600" w:rsidP="00871600">
      <w:pPr>
        <w:pStyle w:val="Normalparatextwithnumbers"/>
        <w:numPr>
          <w:ilvl w:val="1"/>
          <w:numId w:val="18"/>
        </w:numPr>
        <w:rPr>
          <w:rFonts w:eastAsiaTheme="minorEastAsia"/>
        </w:rPr>
      </w:pPr>
      <w:r w:rsidRPr="00EE1FC6">
        <w:rPr>
          <w:rFonts w:eastAsiaTheme="minorEastAsia"/>
        </w:rPr>
        <w:t>‘Net Book Value of Tangible Assets’ means the average of the beginning and end values of Tangible Assets after taking into account accumulated depreciation, depletion, and impairment, as recorded in the financial statements.</w:t>
      </w:r>
      <w:r>
        <w:rPr>
          <w:rFonts w:eastAsiaTheme="minorEastAsia"/>
        </w:rPr>
        <w:br/>
      </w:r>
      <w:r w:rsidRPr="004D2516">
        <w:rPr>
          <w:rStyle w:val="References"/>
        </w:rPr>
        <w:t>[</w:t>
      </w:r>
      <w:r w:rsidRPr="004E0D0F">
        <w:rPr>
          <w:rStyle w:val="References"/>
        </w:rPr>
        <w:t>Chapter 2, section</w:t>
      </w:r>
      <w:r>
        <w:rPr>
          <w:rStyle w:val="References"/>
        </w:rPr>
        <w:t xml:space="preserve"> 2-</w:t>
      </w:r>
      <w:r w:rsidR="00D3431F">
        <w:rPr>
          <w:rStyle w:val="References"/>
        </w:rPr>
        <w:t>8</w:t>
      </w:r>
      <w:r>
        <w:rPr>
          <w:rStyle w:val="References"/>
        </w:rPr>
        <w:t>0 of the Rules</w:t>
      </w:r>
      <w:r w:rsidRPr="004D2516">
        <w:rPr>
          <w:rStyle w:val="References"/>
        </w:rPr>
        <w:t>]</w:t>
      </w:r>
    </w:p>
    <w:p w14:paraId="434BF4F9" w14:textId="6075CF53" w:rsidR="00871600" w:rsidRDefault="00871600" w:rsidP="00871600">
      <w:pPr>
        <w:pStyle w:val="Normalparatextwithnumbers"/>
        <w:numPr>
          <w:ilvl w:val="1"/>
          <w:numId w:val="18"/>
        </w:numPr>
        <w:rPr>
          <w:rFonts w:eastAsiaTheme="minorEastAsia"/>
        </w:rPr>
      </w:pPr>
      <w:r>
        <w:rPr>
          <w:rFonts w:eastAsiaTheme="minorEastAsia"/>
        </w:rPr>
        <w:t>For the purposes of avoiding double counting, treat the employees and tangible assets of a Permanent Establishment as separate from that of the Main Entity.</w:t>
      </w:r>
      <w:r>
        <w:rPr>
          <w:rFonts w:eastAsiaTheme="minorEastAsia"/>
        </w:rPr>
        <w:br/>
      </w:r>
      <w:r w:rsidRPr="004D2516">
        <w:rPr>
          <w:rStyle w:val="References"/>
        </w:rPr>
        <w:t>[</w:t>
      </w:r>
      <w:r w:rsidRPr="004E0D0F">
        <w:rPr>
          <w:rStyle w:val="References"/>
        </w:rPr>
        <w:t>Chapter 2, section</w:t>
      </w:r>
      <w:r>
        <w:rPr>
          <w:rStyle w:val="References"/>
        </w:rPr>
        <w:t xml:space="preserve"> 2-</w:t>
      </w:r>
      <w:r w:rsidR="00D3431F">
        <w:rPr>
          <w:rStyle w:val="References"/>
        </w:rPr>
        <w:t>90</w:t>
      </w:r>
      <w:r>
        <w:rPr>
          <w:rStyle w:val="References"/>
        </w:rPr>
        <w:t xml:space="preserve"> of the Rules</w:t>
      </w:r>
      <w:r w:rsidRPr="004D2516">
        <w:rPr>
          <w:rStyle w:val="References"/>
        </w:rPr>
        <w:t>]</w:t>
      </w:r>
    </w:p>
    <w:p w14:paraId="5401BA37" w14:textId="1DDAE114" w:rsidR="00871600" w:rsidRPr="00A817BE" w:rsidRDefault="00871600" w:rsidP="00871600">
      <w:pPr>
        <w:pStyle w:val="Normalparatextwithnumbers"/>
        <w:numPr>
          <w:ilvl w:val="1"/>
          <w:numId w:val="18"/>
        </w:numPr>
        <w:rPr>
          <w:rStyle w:val="References"/>
          <w:rFonts w:eastAsiaTheme="minorEastAsia"/>
          <w:b w:val="0"/>
          <w:bCs w:val="0"/>
          <w:i w:val="0"/>
          <w:iCs w:val="0"/>
        </w:rPr>
      </w:pPr>
      <w:r w:rsidRPr="00EF4817">
        <w:rPr>
          <w:rFonts w:eastAsiaTheme="minorEastAsia"/>
        </w:rPr>
        <w:t xml:space="preserve">The Number of Employees and the Net Book Value of Tangible Assets held by a Flow-through Entity that are not allocated to Permanent Establishments shall be allocated to the Constituent Entities (if any) that are located in the jurisdiction where the Flow-through Entity was created (regardless of whether they are the Constituent Entity-owners of the Entity). The Number of Employees and the Net Book Value of Tangible Assets held by a Flow-through Entity that are not allocated to Permanent Establishments </w:t>
      </w:r>
      <w:r w:rsidR="00284296">
        <w:rPr>
          <w:rFonts w:eastAsiaTheme="minorEastAsia"/>
        </w:rPr>
        <w:t xml:space="preserve">and are </w:t>
      </w:r>
      <w:r w:rsidRPr="00EF4817">
        <w:rPr>
          <w:rFonts w:eastAsiaTheme="minorEastAsia"/>
        </w:rPr>
        <w:t xml:space="preserve">excluded from the formula for allocating the </w:t>
      </w:r>
      <w:r w:rsidR="007E61F2">
        <w:rPr>
          <w:rFonts w:eastAsiaTheme="minorEastAsia"/>
        </w:rPr>
        <w:t>t</w:t>
      </w:r>
      <w:r w:rsidRPr="00EF4817">
        <w:rPr>
          <w:rFonts w:eastAsiaTheme="minorEastAsia"/>
        </w:rPr>
        <w:t>otal UTPR Top-up Tax amount.</w:t>
      </w:r>
      <w:r w:rsidRPr="00EF4817">
        <w:rPr>
          <w:rFonts w:eastAsiaTheme="minorEastAsia"/>
        </w:rPr>
        <w:br/>
      </w:r>
      <w:r w:rsidRPr="004D2516">
        <w:rPr>
          <w:rStyle w:val="References"/>
        </w:rPr>
        <w:t>[</w:t>
      </w:r>
      <w:r w:rsidRPr="004E0D0F">
        <w:rPr>
          <w:rStyle w:val="References"/>
        </w:rPr>
        <w:t>Chapter 2, subsection</w:t>
      </w:r>
      <w:r>
        <w:rPr>
          <w:rStyle w:val="References"/>
        </w:rPr>
        <w:t xml:space="preserve"> 2-</w:t>
      </w:r>
      <w:r w:rsidR="00D3431F">
        <w:rPr>
          <w:rStyle w:val="References"/>
        </w:rPr>
        <w:t>9</w:t>
      </w:r>
      <w:r>
        <w:rPr>
          <w:rStyle w:val="References"/>
        </w:rPr>
        <w:t>5 of the Rules</w:t>
      </w:r>
      <w:r w:rsidRPr="004D2516">
        <w:rPr>
          <w:rStyle w:val="References"/>
        </w:rPr>
        <w:t>]</w:t>
      </w:r>
    </w:p>
    <w:p w14:paraId="6151ADF0" w14:textId="20FF1056" w:rsidR="00871600" w:rsidRPr="00EF4817" w:rsidRDefault="00871600" w:rsidP="00946F2C">
      <w:pPr>
        <w:pStyle w:val="Normalparatextwithnumbers"/>
        <w:rPr>
          <w:rFonts w:eastAsiaTheme="minorEastAsia"/>
        </w:rPr>
      </w:pPr>
      <w:r w:rsidRPr="00946F2C">
        <w:rPr>
          <w:rStyle w:val="References"/>
          <w:b w:val="0"/>
          <w:bCs w:val="0"/>
          <w:i w:val="0"/>
          <w:iCs w:val="0"/>
        </w:rPr>
        <w:t>In completing step 3, all employees or tangible assets belonging to Investment Entities and Insurance Investment Entities must be excluded from calculations.</w:t>
      </w:r>
      <w:r>
        <w:rPr>
          <w:rStyle w:val="References"/>
        </w:rPr>
        <w:br/>
      </w:r>
      <w:r w:rsidRPr="004D2516">
        <w:rPr>
          <w:rStyle w:val="References"/>
        </w:rPr>
        <w:t>[</w:t>
      </w:r>
      <w:r w:rsidRPr="004E0D0F">
        <w:rPr>
          <w:rStyle w:val="References"/>
        </w:rPr>
        <w:t>Chapter 2, section</w:t>
      </w:r>
      <w:r>
        <w:rPr>
          <w:rStyle w:val="References"/>
        </w:rPr>
        <w:t xml:space="preserve"> 2-</w:t>
      </w:r>
      <w:r w:rsidR="003066A5">
        <w:rPr>
          <w:rStyle w:val="References"/>
        </w:rPr>
        <w:t>8</w:t>
      </w:r>
      <w:r>
        <w:rPr>
          <w:rStyle w:val="References"/>
        </w:rPr>
        <w:t>5 of the Rules</w:t>
      </w:r>
      <w:r w:rsidRPr="004D2516">
        <w:rPr>
          <w:rStyle w:val="References"/>
        </w:rPr>
        <w:t>]</w:t>
      </w:r>
    </w:p>
    <w:p w14:paraId="158AC7DA" w14:textId="77777777" w:rsidR="00871600" w:rsidRPr="00756526" w:rsidRDefault="00871600" w:rsidP="00871600">
      <w:pPr>
        <w:pStyle w:val="Heading6"/>
        <w:rPr>
          <w:rFonts w:hint="eastAsia"/>
        </w:rPr>
      </w:pPr>
      <w:r w:rsidRPr="00756526">
        <w:t>Step 4</w:t>
      </w:r>
      <w:r>
        <w:t xml:space="preserve"> - Allocate UTPR Top-up Tax to individual Constituent Entities in Australia</w:t>
      </w:r>
    </w:p>
    <w:p w14:paraId="0821ACBF" w14:textId="1B702836" w:rsidR="00871600" w:rsidRPr="00AB22A5" w:rsidRDefault="00871600" w:rsidP="00871600">
      <w:pPr>
        <w:pStyle w:val="Normalparatextwithnumbers"/>
        <w:numPr>
          <w:ilvl w:val="1"/>
          <w:numId w:val="18"/>
        </w:numPr>
        <w:rPr>
          <w:i/>
        </w:rPr>
      </w:pPr>
      <w:r w:rsidRPr="00756526">
        <w:t xml:space="preserve">The portion of the total UTPR </w:t>
      </w:r>
      <w:r>
        <w:t>Top-up Tax A</w:t>
      </w:r>
      <w:r w:rsidRPr="00756526">
        <w:t xml:space="preserve">mount allocated to Australia from step </w:t>
      </w:r>
      <w:r>
        <w:t>3</w:t>
      </w:r>
      <w:r w:rsidRPr="00756526">
        <w:t xml:space="preserve"> is then allocated among Constituent Entities of the MNE Group that are located in Australia. </w:t>
      </w:r>
      <w:r>
        <w:t xml:space="preserve">The </w:t>
      </w:r>
      <w:r w:rsidR="003D252A">
        <w:t>amount</w:t>
      </w:r>
      <w:r w:rsidRPr="00756526">
        <w:t xml:space="preserve"> is distributed in proportion to each Constituent Entity’s share of employees and fixed assets in Australia aligned with the </w:t>
      </w:r>
      <w:r>
        <w:t xml:space="preserve">following </w:t>
      </w:r>
      <w:r w:rsidRPr="00756526">
        <w:t>calculat</w:t>
      </w:r>
      <w:r w:rsidRPr="00AB22A5">
        <w:t xml:space="preserve">ion: </w:t>
      </w:r>
    </w:p>
    <w:p w14:paraId="0EECD7DB" w14:textId="1D0535A0" w:rsidR="00871600" w:rsidRPr="008C7AB8" w:rsidRDefault="007838D6" w:rsidP="00871600">
      <w:pPr>
        <w:pStyle w:val="Normalparatextwithnumbers"/>
        <w:numPr>
          <w:ilvl w:val="0"/>
          <w:numId w:val="0"/>
        </w:numPr>
        <w:spacing w:line="480" w:lineRule="auto"/>
        <w:ind w:left="709"/>
        <w:rPr>
          <w:rFonts w:eastAsiaTheme="minorEastAsia"/>
          <w:i/>
          <w:sz w:val="20"/>
          <w:szCs w:val="20"/>
        </w:rPr>
      </w:pPr>
      <w:r w:rsidRPr="007838D6">
        <w:rPr>
          <w:noProof/>
        </w:rPr>
        <w:lastRenderedPageBreak/>
        <w:drawing>
          <wp:inline distT="0" distB="0" distL="0" distR="0" wp14:anchorId="1EE57137" wp14:editId="04341625">
            <wp:extent cx="4896485" cy="894715"/>
            <wp:effectExtent l="0" t="0" r="0" b="0"/>
            <wp:docPr id="919061151" name="Picture 3" descr="Calculation for the proportion of Total UTPR Top-up Tax amount liability for an Australian 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61151" name="Picture 3" descr="Calculation for the proportion of Total UTPR Top-up Tax amount liability for an Australian C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96485" cy="894715"/>
                    </a:xfrm>
                    <a:prstGeom prst="rect">
                      <a:avLst/>
                    </a:prstGeom>
                    <a:noFill/>
                    <a:ln>
                      <a:noFill/>
                    </a:ln>
                  </pic:spPr>
                </pic:pic>
              </a:graphicData>
            </a:graphic>
          </wp:inline>
        </w:drawing>
      </w:r>
    </w:p>
    <w:p w14:paraId="2F21B670" w14:textId="6D9D0772" w:rsidR="00871600" w:rsidRPr="00AB22A5" w:rsidRDefault="00871600" w:rsidP="00871600">
      <w:pPr>
        <w:pStyle w:val="Normalparatextnonumbers"/>
        <w:ind w:firstLine="709"/>
        <w:rPr>
          <w:rStyle w:val="References"/>
        </w:rPr>
      </w:pPr>
      <w:r w:rsidRPr="00AB22A5">
        <w:rPr>
          <w:rStyle w:val="References"/>
        </w:rPr>
        <w:t>[Chapter 2, section 2-</w:t>
      </w:r>
      <w:r w:rsidR="00567CA2">
        <w:rPr>
          <w:rStyle w:val="References"/>
        </w:rPr>
        <w:t>7</w:t>
      </w:r>
      <w:r w:rsidRPr="00AB22A5">
        <w:rPr>
          <w:rStyle w:val="References"/>
        </w:rPr>
        <w:t>0 of the Rules]</w:t>
      </w:r>
    </w:p>
    <w:p w14:paraId="100BC79E" w14:textId="6C951CBA" w:rsidR="00163C78" w:rsidRPr="00AB22A5" w:rsidRDefault="00871600" w:rsidP="00FE1552">
      <w:pPr>
        <w:pStyle w:val="Normalparatextwithnumbers"/>
        <w:numPr>
          <w:ilvl w:val="1"/>
          <w:numId w:val="18"/>
        </w:numPr>
        <w:rPr>
          <w:rFonts w:eastAsiaTheme="minorEastAsia"/>
        </w:rPr>
      </w:pPr>
      <w:r w:rsidRPr="00AB22A5">
        <w:rPr>
          <w:rStyle w:val="References"/>
          <w:b w:val="0"/>
          <w:bCs w:val="0"/>
          <w:i w:val="0"/>
          <w:iCs w:val="0"/>
        </w:rPr>
        <w:t>In comp</w:t>
      </w:r>
      <w:r w:rsidR="00D85716" w:rsidRPr="00AB22A5">
        <w:rPr>
          <w:rStyle w:val="References"/>
          <w:b w:val="0"/>
          <w:bCs w:val="0"/>
          <w:i w:val="0"/>
          <w:iCs w:val="0"/>
        </w:rPr>
        <w:t>u</w:t>
      </w:r>
      <w:r w:rsidRPr="00AB22A5">
        <w:rPr>
          <w:rStyle w:val="References"/>
          <w:b w:val="0"/>
          <w:bCs w:val="0"/>
          <w:i w:val="0"/>
          <w:iCs w:val="0"/>
        </w:rPr>
        <w:t xml:space="preserve">ting step 4, all employees or tangible assets belonging to Investment Entities, Insurance Investment Entities and Securitisation Entities </w:t>
      </w:r>
      <w:r w:rsidR="00D85716" w:rsidRPr="00AB22A5">
        <w:rPr>
          <w:rStyle w:val="References"/>
          <w:b w:val="0"/>
          <w:bCs w:val="0"/>
          <w:i w:val="0"/>
          <w:iCs w:val="0"/>
        </w:rPr>
        <w:t>i</w:t>
      </w:r>
      <w:r w:rsidRPr="00AB22A5">
        <w:rPr>
          <w:rStyle w:val="References"/>
          <w:b w:val="0"/>
          <w:bCs w:val="0"/>
          <w:i w:val="0"/>
          <w:iCs w:val="0"/>
        </w:rPr>
        <w:t xml:space="preserve">s excluded from </w:t>
      </w:r>
      <w:r w:rsidR="00D85716" w:rsidRPr="00AB22A5">
        <w:rPr>
          <w:rStyle w:val="References"/>
          <w:b w:val="0"/>
          <w:bCs w:val="0"/>
          <w:i w:val="0"/>
          <w:iCs w:val="0"/>
        </w:rPr>
        <w:t xml:space="preserve">the </w:t>
      </w:r>
      <w:r w:rsidRPr="00AB22A5">
        <w:rPr>
          <w:rStyle w:val="References"/>
          <w:b w:val="0"/>
          <w:bCs w:val="0"/>
          <w:i w:val="0"/>
          <w:iCs w:val="0"/>
        </w:rPr>
        <w:t>calculation. However, if the only Constituent Entity in the MNE Group located in Australi</w:t>
      </w:r>
      <w:r w:rsidR="00F02AE8" w:rsidRPr="00AB22A5">
        <w:rPr>
          <w:rStyle w:val="References"/>
          <w:b w:val="0"/>
          <w:bCs w:val="0"/>
          <w:i w:val="0"/>
          <w:iCs w:val="0"/>
        </w:rPr>
        <w:t>a is</w:t>
      </w:r>
      <w:r w:rsidR="00CE7F97" w:rsidRPr="00AB22A5">
        <w:rPr>
          <w:rStyle w:val="References"/>
          <w:b w:val="0"/>
          <w:bCs w:val="0"/>
          <w:i w:val="0"/>
          <w:iCs w:val="0"/>
        </w:rPr>
        <w:t xml:space="preserve"> </w:t>
      </w:r>
      <w:r w:rsidRPr="00AB22A5">
        <w:rPr>
          <w:rStyle w:val="References"/>
          <w:b w:val="0"/>
          <w:bCs w:val="0"/>
          <w:i w:val="0"/>
          <w:iCs w:val="0"/>
        </w:rPr>
        <w:t>a</w:t>
      </w:r>
      <w:r w:rsidRPr="00AB22A5">
        <w:rPr>
          <w:rStyle w:val="References"/>
        </w:rPr>
        <w:t xml:space="preserve"> </w:t>
      </w:r>
      <w:r w:rsidR="00326E1D" w:rsidRPr="00AB22A5">
        <w:rPr>
          <w:rStyle w:val="References"/>
        </w:rPr>
        <w:t>S</w:t>
      </w:r>
      <w:r w:rsidRPr="00AB22A5">
        <w:rPr>
          <w:rStyle w:val="References"/>
        </w:rPr>
        <w:t>ecuritisation Entit</w:t>
      </w:r>
      <w:r w:rsidR="004B239C" w:rsidRPr="00AB22A5">
        <w:rPr>
          <w:rStyle w:val="References"/>
        </w:rPr>
        <w:t xml:space="preserve">y </w:t>
      </w:r>
      <w:r w:rsidR="00326E1D" w:rsidRPr="00AB22A5">
        <w:rPr>
          <w:rStyle w:val="References"/>
          <w:b w:val="0"/>
          <w:bCs w:val="0"/>
          <w:i w:val="0"/>
          <w:iCs w:val="0"/>
        </w:rPr>
        <w:t xml:space="preserve">then </w:t>
      </w:r>
      <w:r w:rsidR="00D46527" w:rsidRPr="00AB22A5">
        <w:rPr>
          <w:rStyle w:val="References"/>
          <w:b w:val="0"/>
          <w:bCs w:val="0"/>
          <w:i w:val="0"/>
          <w:iCs w:val="0"/>
        </w:rPr>
        <w:t xml:space="preserve">the </w:t>
      </w:r>
      <w:r w:rsidR="004B239C" w:rsidRPr="00AB22A5">
        <w:rPr>
          <w:rStyle w:val="References"/>
          <w:b w:val="0"/>
          <w:bCs w:val="0"/>
          <w:i w:val="0"/>
          <w:iCs w:val="0"/>
        </w:rPr>
        <w:t>UTPR Top</w:t>
      </w:r>
      <w:r w:rsidR="004B239C" w:rsidRPr="00AB22A5">
        <w:rPr>
          <w:rStyle w:val="References"/>
          <w:b w:val="0"/>
          <w:bCs w:val="0"/>
          <w:i w:val="0"/>
          <w:iCs w:val="0"/>
        </w:rPr>
        <w:noBreakHyphen/>
        <w:t xml:space="preserve">up Tax </w:t>
      </w:r>
      <w:r w:rsidR="00192BB0" w:rsidRPr="00AB22A5">
        <w:rPr>
          <w:rStyle w:val="References"/>
          <w:b w:val="0"/>
          <w:bCs w:val="0"/>
          <w:i w:val="0"/>
          <w:iCs w:val="0"/>
        </w:rPr>
        <w:t>A</w:t>
      </w:r>
      <w:r w:rsidR="004B239C" w:rsidRPr="00AB22A5">
        <w:rPr>
          <w:rStyle w:val="References"/>
          <w:b w:val="0"/>
          <w:bCs w:val="0"/>
          <w:i w:val="0"/>
          <w:iCs w:val="0"/>
        </w:rPr>
        <w:t>mount</w:t>
      </w:r>
      <w:r w:rsidR="00192BB0" w:rsidRPr="00AB22A5">
        <w:rPr>
          <w:rStyle w:val="References"/>
          <w:b w:val="0"/>
          <w:bCs w:val="0"/>
          <w:i w:val="0"/>
          <w:iCs w:val="0"/>
        </w:rPr>
        <w:t xml:space="preserve"> will inc</w:t>
      </w:r>
      <w:r w:rsidR="00537226" w:rsidRPr="00AB22A5">
        <w:rPr>
          <w:rStyle w:val="References"/>
          <w:b w:val="0"/>
          <w:bCs w:val="0"/>
          <w:i w:val="0"/>
          <w:iCs w:val="0"/>
        </w:rPr>
        <w:t>l</w:t>
      </w:r>
      <w:r w:rsidR="00192BB0" w:rsidRPr="00AB22A5">
        <w:rPr>
          <w:rStyle w:val="References"/>
          <w:b w:val="0"/>
          <w:bCs w:val="0"/>
          <w:i w:val="0"/>
          <w:iCs w:val="0"/>
        </w:rPr>
        <w:t xml:space="preserve">ude the employees and tangible assets of that Entity to ensure </w:t>
      </w:r>
      <w:r w:rsidR="009B5AFD" w:rsidRPr="00AB22A5">
        <w:rPr>
          <w:rStyle w:val="References"/>
          <w:b w:val="0"/>
          <w:bCs w:val="0"/>
          <w:i w:val="0"/>
          <w:iCs w:val="0"/>
        </w:rPr>
        <w:t>appropriate allocation</w:t>
      </w:r>
      <w:r w:rsidR="004B239C" w:rsidRPr="00AB22A5">
        <w:rPr>
          <w:rStyle w:val="References"/>
          <w:b w:val="0"/>
          <w:bCs w:val="0"/>
          <w:i w:val="0"/>
          <w:iCs w:val="0"/>
        </w:rPr>
        <w:t xml:space="preserve">. </w:t>
      </w:r>
      <w:r w:rsidRPr="00AB22A5">
        <w:rPr>
          <w:rStyle w:val="References"/>
        </w:rPr>
        <w:br/>
      </w:r>
      <w:r w:rsidRPr="00AB22A5">
        <w:rPr>
          <w:b/>
          <w:bCs/>
          <w:i/>
          <w:iCs/>
        </w:rPr>
        <w:t>[Chapter 2, subsections 2-</w:t>
      </w:r>
      <w:r w:rsidR="00567CA2">
        <w:rPr>
          <w:b/>
          <w:bCs/>
          <w:i/>
          <w:iCs/>
        </w:rPr>
        <w:t>8</w:t>
      </w:r>
      <w:r w:rsidRPr="00AB22A5">
        <w:rPr>
          <w:b/>
          <w:bCs/>
          <w:i/>
          <w:iCs/>
        </w:rPr>
        <w:t>5(2) and (3) of the Rules]</w:t>
      </w:r>
    </w:p>
    <w:p w14:paraId="0A568641" w14:textId="1405AF4C" w:rsidR="00871600" w:rsidRPr="00AB22A5" w:rsidRDefault="00871600" w:rsidP="00FE1552">
      <w:pPr>
        <w:pStyle w:val="Normalparatextwithnumbers"/>
        <w:numPr>
          <w:ilvl w:val="1"/>
          <w:numId w:val="18"/>
        </w:numPr>
        <w:rPr>
          <w:rFonts w:eastAsiaTheme="minorEastAsia"/>
        </w:rPr>
      </w:pPr>
      <w:r w:rsidRPr="00AB22A5">
        <w:rPr>
          <w:rFonts w:eastAsiaTheme="minorEastAsia"/>
        </w:rPr>
        <w:t>A</w:t>
      </w:r>
      <w:r w:rsidR="0088694B" w:rsidRPr="00AB22A5">
        <w:rPr>
          <w:rFonts w:eastAsiaTheme="minorEastAsia"/>
        </w:rPr>
        <w:t xml:space="preserve"> Co</w:t>
      </w:r>
      <w:r w:rsidRPr="00AB22A5">
        <w:rPr>
          <w:rFonts w:eastAsiaTheme="minorEastAsia"/>
        </w:rPr>
        <w:t>n</w:t>
      </w:r>
      <w:r w:rsidR="0088694B" w:rsidRPr="00AB22A5">
        <w:rPr>
          <w:rFonts w:eastAsiaTheme="minorEastAsia"/>
        </w:rPr>
        <w:t>stituent</w:t>
      </w:r>
      <w:r w:rsidRPr="00AB22A5">
        <w:rPr>
          <w:rFonts w:eastAsiaTheme="minorEastAsia"/>
        </w:rPr>
        <w:t xml:space="preserve"> Entity in an Applicable </w:t>
      </w:r>
      <w:r w:rsidR="002330EF">
        <w:rPr>
          <w:rFonts w:eastAsiaTheme="minorEastAsia"/>
        </w:rPr>
        <w:t>MNE Group</w:t>
      </w:r>
      <w:r w:rsidRPr="00AB22A5">
        <w:rPr>
          <w:rFonts w:eastAsiaTheme="minorEastAsia"/>
        </w:rPr>
        <w:t xml:space="preserve"> located in Australia </w:t>
      </w:r>
      <w:r w:rsidR="007605F5" w:rsidRPr="00AB22A5">
        <w:rPr>
          <w:rFonts w:eastAsiaTheme="minorEastAsia"/>
        </w:rPr>
        <w:t>that is allocated</w:t>
      </w:r>
      <w:r w:rsidR="00AD243D" w:rsidRPr="00AB22A5">
        <w:rPr>
          <w:rFonts w:eastAsiaTheme="minorEastAsia"/>
        </w:rPr>
        <w:t xml:space="preserve"> </w:t>
      </w:r>
      <w:r w:rsidRPr="00AB22A5">
        <w:rPr>
          <w:rFonts w:eastAsiaTheme="minorEastAsia"/>
        </w:rPr>
        <w:t xml:space="preserve">a UTPR Top-up Tax </w:t>
      </w:r>
      <w:r w:rsidR="00D85716" w:rsidRPr="00AB22A5">
        <w:t>A</w:t>
      </w:r>
      <w:r w:rsidRPr="00AB22A5">
        <w:t>mount</w:t>
      </w:r>
      <w:r w:rsidRPr="00AB22A5">
        <w:rPr>
          <w:rFonts w:eastAsiaTheme="minorEastAsia"/>
        </w:rPr>
        <w:t xml:space="preserve"> (an amount allocated under Step 4)</w:t>
      </w:r>
      <w:r w:rsidR="00BC57E8">
        <w:rPr>
          <w:rFonts w:eastAsiaTheme="minorEastAsia"/>
        </w:rPr>
        <w:t xml:space="preserve"> </w:t>
      </w:r>
      <w:r w:rsidR="00AD243D" w:rsidRPr="00AB22A5">
        <w:rPr>
          <w:rFonts w:eastAsiaTheme="minorEastAsia"/>
        </w:rPr>
        <w:t xml:space="preserve">is </w:t>
      </w:r>
      <w:r w:rsidRPr="00AB22A5">
        <w:rPr>
          <w:rFonts w:eastAsiaTheme="minorEastAsia"/>
        </w:rPr>
        <w:t xml:space="preserve">liable to pay </w:t>
      </w:r>
      <w:r w:rsidR="00AD243D" w:rsidRPr="00AB22A5">
        <w:rPr>
          <w:rFonts w:eastAsiaTheme="minorEastAsia"/>
        </w:rPr>
        <w:t>that amount</w:t>
      </w:r>
      <w:r w:rsidRPr="00AB22A5">
        <w:rPr>
          <w:rFonts w:eastAsiaTheme="minorEastAsia"/>
        </w:rPr>
        <w:t xml:space="preserve">. </w:t>
      </w:r>
      <w:r w:rsidR="002520F7" w:rsidRPr="00AB22A5">
        <w:rPr>
          <w:rFonts w:eastAsiaTheme="minorEastAsia"/>
        </w:rPr>
        <w:t xml:space="preserve">This </w:t>
      </w:r>
      <w:r w:rsidR="00725606" w:rsidRPr="00AB22A5">
        <w:rPr>
          <w:rFonts w:eastAsiaTheme="minorEastAsia"/>
        </w:rPr>
        <w:t xml:space="preserve">extends to </w:t>
      </w:r>
      <w:r w:rsidRPr="00AB22A5">
        <w:rPr>
          <w:rFonts w:eastAsiaTheme="minorEastAsia"/>
        </w:rPr>
        <w:t>a foreign Main Entity in respect of its Permanent Establishment located in Australia, where the Permanent Establishment is allocated a UTPR Top-up Tax Amount.</w:t>
      </w:r>
      <w:r w:rsidRPr="00AB22A5">
        <w:br/>
      </w:r>
      <w:r w:rsidRPr="00AB22A5">
        <w:rPr>
          <w:b/>
          <w:bCs/>
          <w:i/>
          <w:iCs/>
        </w:rPr>
        <w:t>[Chapter 2, section 2-</w:t>
      </w:r>
      <w:r w:rsidR="00567CA2">
        <w:rPr>
          <w:b/>
          <w:bCs/>
          <w:i/>
          <w:iCs/>
        </w:rPr>
        <w:t>9</w:t>
      </w:r>
      <w:r w:rsidRPr="00AB22A5">
        <w:rPr>
          <w:b/>
          <w:bCs/>
          <w:i/>
          <w:iCs/>
        </w:rPr>
        <w:t>0 of the Rules]</w:t>
      </w:r>
    </w:p>
    <w:p w14:paraId="34691067" w14:textId="77777777" w:rsidR="00871600" w:rsidRPr="00AB22A5" w:rsidRDefault="00871600" w:rsidP="00871600">
      <w:pPr>
        <w:pStyle w:val="Heading5"/>
        <w:numPr>
          <w:ilvl w:val="4"/>
          <w:numId w:val="2"/>
        </w:numPr>
      </w:pPr>
      <w:r w:rsidRPr="00AB22A5">
        <w:t xml:space="preserve">Application </w:t>
      </w:r>
    </w:p>
    <w:p w14:paraId="3DA72060" w14:textId="2FCB89A0" w:rsidR="00871600" w:rsidRPr="00AB22A5" w:rsidRDefault="00871600" w:rsidP="00FE1552">
      <w:pPr>
        <w:pStyle w:val="Normalparatextwithnumbers"/>
      </w:pPr>
      <w:r w:rsidRPr="00AB22A5">
        <w:t>The UTPR applies to Fiscal Years beginning on or after 1 January 2025. Safe Harbour and Transitional rules also apply to the UTPR and are explained in Chapter 8 and 9.</w:t>
      </w:r>
    </w:p>
    <w:p w14:paraId="4F91DE5D" w14:textId="00306882" w:rsidR="00871600" w:rsidRPr="00AB22A5" w:rsidRDefault="00871600" w:rsidP="00AB22A5">
      <w:pPr>
        <w:pStyle w:val="Heading4"/>
      </w:pPr>
      <w:bookmarkStart w:id="91" w:name="_Toc181720708"/>
      <w:bookmarkStart w:id="92" w:name="_Toc183786636"/>
      <w:r w:rsidRPr="00AB22A5">
        <w:t xml:space="preserve">UTPR and DMT </w:t>
      </w:r>
      <w:r w:rsidR="009423B3" w:rsidRPr="00AB22A5">
        <w:t xml:space="preserve">allocation </w:t>
      </w:r>
      <w:r w:rsidRPr="00AB22A5">
        <w:t>mechanism for consolidated groups</w:t>
      </w:r>
      <w:bookmarkEnd w:id="91"/>
      <w:bookmarkEnd w:id="92"/>
      <w:r w:rsidRPr="00AB22A5">
        <w:t xml:space="preserve"> </w:t>
      </w:r>
    </w:p>
    <w:p w14:paraId="2A0C674F" w14:textId="4F83E650" w:rsidR="00871600" w:rsidRPr="00AB22A5" w:rsidRDefault="00871600" w:rsidP="00FE1552">
      <w:pPr>
        <w:pStyle w:val="Normalparatextwithnumbers"/>
      </w:pPr>
      <w:r w:rsidRPr="00AB22A5">
        <w:t xml:space="preserve">Special rules apply for allocating </w:t>
      </w:r>
      <w:r w:rsidR="00433511">
        <w:t>D</w:t>
      </w:r>
      <w:r w:rsidRPr="00AB22A5">
        <w:t xml:space="preserve">omestic </w:t>
      </w:r>
      <w:r w:rsidR="00433511">
        <w:t>Top-up Tax Amount</w:t>
      </w:r>
      <w:r w:rsidRPr="00AB22A5">
        <w:t xml:space="preserve">s </w:t>
      </w:r>
      <w:r w:rsidR="009423B3" w:rsidRPr="00AB22A5">
        <w:t xml:space="preserve">to LTCEs </w:t>
      </w:r>
      <w:r w:rsidRPr="00AB22A5">
        <w:t xml:space="preserve">and UTPR </w:t>
      </w:r>
      <w:r w:rsidR="001743AB">
        <w:t>T</w:t>
      </w:r>
      <w:r w:rsidRPr="00AB22A5">
        <w:t>op</w:t>
      </w:r>
      <w:r w:rsidRPr="00AB22A5">
        <w:noBreakHyphen/>
        <w:t xml:space="preserve">up </w:t>
      </w:r>
      <w:r w:rsidR="001743AB">
        <w:t>T</w:t>
      </w:r>
      <w:r w:rsidRPr="00AB22A5">
        <w:t xml:space="preserve">ax </w:t>
      </w:r>
      <w:r w:rsidR="00835C96">
        <w:t>a</w:t>
      </w:r>
      <w:r w:rsidRPr="00AB22A5">
        <w:t xml:space="preserve">mounts </w:t>
      </w:r>
      <w:r w:rsidR="00343B4D" w:rsidRPr="00AB22A5">
        <w:t xml:space="preserve">to </w:t>
      </w:r>
      <w:r w:rsidR="003C4099" w:rsidRPr="00AB22A5">
        <w:t>P</w:t>
      </w:r>
      <w:r w:rsidR="00343B4D" w:rsidRPr="00AB22A5">
        <w:t xml:space="preserve">arent </w:t>
      </w:r>
      <w:r w:rsidR="003C4099" w:rsidRPr="00AB22A5">
        <w:t>E</w:t>
      </w:r>
      <w:r w:rsidR="00343B4D" w:rsidRPr="00AB22A5">
        <w:t xml:space="preserve">ntities </w:t>
      </w:r>
      <w:r w:rsidRPr="00AB22A5">
        <w:t xml:space="preserve">that are part of an Applicable MNE Group located in Australia and are subsidiaries of a TCG or MEC Group. In respect of these special rules the terms consolidated group, head company, MEC Group and subsidiary member have the same meaning as in the ITAA 1997. </w:t>
      </w:r>
    </w:p>
    <w:p w14:paraId="38E40D27" w14:textId="436DFC2E" w:rsidR="00871600" w:rsidRPr="00602D85" w:rsidRDefault="00871600" w:rsidP="00871600">
      <w:pPr>
        <w:numPr>
          <w:ilvl w:val="1"/>
          <w:numId w:val="18"/>
        </w:numPr>
        <w:rPr>
          <w:b/>
          <w:i/>
        </w:rPr>
      </w:pPr>
      <w:r w:rsidRPr="00AB22A5">
        <w:t xml:space="preserve">If a LTCE has an amount of UTPR or </w:t>
      </w:r>
      <w:r w:rsidR="00895B6F">
        <w:t>D</w:t>
      </w:r>
      <w:r w:rsidRPr="00AB22A5">
        <w:t xml:space="preserve">omestic </w:t>
      </w:r>
      <w:r w:rsidR="00895B6F">
        <w:t>T</w:t>
      </w:r>
      <w:r w:rsidRPr="00AB22A5">
        <w:t>op</w:t>
      </w:r>
      <w:r w:rsidRPr="00AB22A5">
        <w:noBreakHyphen/>
        <w:t xml:space="preserve">up </w:t>
      </w:r>
      <w:r w:rsidR="00895B6F">
        <w:t>T</w:t>
      </w:r>
      <w:r w:rsidRPr="00AB22A5">
        <w:t xml:space="preserve">ax and is a subsidiary, TCG or MEC, the head company will be liable to pay the </w:t>
      </w:r>
      <w:r w:rsidR="00895B6F">
        <w:t>T</w:t>
      </w:r>
      <w:r w:rsidRPr="00AB22A5">
        <w:t>op</w:t>
      </w:r>
      <w:r w:rsidRPr="00AB22A5">
        <w:noBreakHyphen/>
        <w:t xml:space="preserve">up </w:t>
      </w:r>
      <w:r w:rsidR="00895B6F">
        <w:t>T</w:t>
      </w:r>
      <w:r w:rsidRPr="00AB22A5">
        <w:t xml:space="preserve">ax </w:t>
      </w:r>
      <w:r w:rsidR="00895B6F">
        <w:t>A</w:t>
      </w:r>
      <w:r w:rsidRPr="00AB22A5">
        <w:t xml:space="preserve">mount. The LTCE will not have any </w:t>
      </w:r>
      <w:r w:rsidR="00A65EED">
        <w:t>T</w:t>
      </w:r>
      <w:r w:rsidRPr="00AB22A5">
        <w:t>op</w:t>
      </w:r>
      <w:r w:rsidRPr="00AB22A5">
        <w:noBreakHyphen/>
        <w:t xml:space="preserve">up </w:t>
      </w:r>
      <w:r w:rsidR="00A65EED">
        <w:t>T</w:t>
      </w:r>
      <w:r w:rsidRPr="00AB22A5">
        <w:t xml:space="preserve">ax liability, as the entire </w:t>
      </w:r>
      <w:r w:rsidR="00895B6F">
        <w:t>T</w:t>
      </w:r>
      <w:r w:rsidRPr="00AB22A5">
        <w:t>op</w:t>
      </w:r>
      <w:r w:rsidRPr="00AB22A5">
        <w:noBreakHyphen/>
        <w:t xml:space="preserve">up </w:t>
      </w:r>
      <w:r w:rsidR="00895B6F">
        <w:t>T</w:t>
      </w:r>
      <w:r w:rsidRPr="00AB22A5">
        <w:t xml:space="preserve">ax </w:t>
      </w:r>
      <w:r w:rsidR="00895B6F">
        <w:t>A</w:t>
      </w:r>
      <w:r w:rsidRPr="00AB22A5">
        <w:t xml:space="preserve">mount will be allocated to the head </w:t>
      </w:r>
      <w:r w:rsidR="00E41C31">
        <w:t>company</w:t>
      </w:r>
      <w:r w:rsidRPr="00AB22A5">
        <w:t xml:space="preserve">. This is required to preserve the ordinary operation of a TCG or MEC Group being treated as a single entity for Australian taxation purposes, with the head company being </w:t>
      </w:r>
      <w:r w:rsidRPr="00AB22A5">
        <w:lastRenderedPageBreak/>
        <w:t>responsible for the payment of tax liabilities.</w:t>
      </w:r>
      <w:r>
        <w:t xml:space="preserve">  </w:t>
      </w:r>
      <w:r w:rsidRPr="00602D85">
        <w:br/>
      </w:r>
      <w:r w:rsidRPr="00706898">
        <w:rPr>
          <w:rStyle w:val="References"/>
        </w:rPr>
        <w:t>[Chapter 2, sections 2-</w:t>
      </w:r>
      <w:r w:rsidR="00AB1C2D">
        <w:rPr>
          <w:rStyle w:val="References"/>
        </w:rPr>
        <w:t>30</w:t>
      </w:r>
      <w:r w:rsidRPr="00706898">
        <w:rPr>
          <w:rStyle w:val="References"/>
        </w:rPr>
        <w:t xml:space="preserve"> and 2</w:t>
      </w:r>
      <w:r w:rsidR="003F5BD6">
        <w:rPr>
          <w:rStyle w:val="References"/>
        </w:rPr>
        <w:noBreakHyphen/>
      </w:r>
      <w:r>
        <w:rPr>
          <w:rStyle w:val="References"/>
        </w:rPr>
        <w:t>5</w:t>
      </w:r>
      <w:r w:rsidR="00F0747F">
        <w:rPr>
          <w:rStyle w:val="References"/>
        </w:rPr>
        <w:t>0</w:t>
      </w:r>
      <w:r w:rsidRPr="00706898">
        <w:rPr>
          <w:rStyle w:val="References"/>
        </w:rPr>
        <w:t xml:space="preserve"> of the Rules]</w:t>
      </w:r>
      <w:r w:rsidRPr="00602D85">
        <w:rPr>
          <w:b/>
          <w:bCs/>
          <w:i/>
          <w:iCs/>
        </w:rPr>
        <w:t xml:space="preserve"> </w:t>
      </w:r>
    </w:p>
    <w:p w14:paraId="1FD967A3" w14:textId="4B7AB784" w:rsidR="00871600" w:rsidRDefault="00871600" w:rsidP="00871600">
      <w:pPr>
        <w:pStyle w:val="Heading5"/>
        <w:numPr>
          <w:ilvl w:val="4"/>
          <w:numId w:val="2"/>
        </w:numPr>
      </w:pPr>
      <w:r>
        <w:t xml:space="preserve">Securitisation entities </w:t>
      </w:r>
    </w:p>
    <w:p w14:paraId="7269A337" w14:textId="4FC3DAE3" w:rsidR="00871600" w:rsidRPr="003B2F11" w:rsidRDefault="00871600" w:rsidP="00871600">
      <w:pPr>
        <w:pStyle w:val="Normalparatextwithnumbers"/>
        <w:numPr>
          <w:ilvl w:val="1"/>
          <w:numId w:val="18"/>
        </w:numPr>
        <w:rPr>
          <w:rFonts w:eastAsiaTheme="majorEastAsia" w:cstheme="majorBidi"/>
          <w:b/>
          <w:bCs/>
          <w:i/>
          <w:iCs/>
        </w:rPr>
      </w:pPr>
      <w:r>
        <w:t>Securitisation entities are unlikely to be a Parent Entity and therefore will generally not be liable to any amounts of IIR or Domestic Top</w:t>
      </w:r>
      <w:r>
        <w:noBreakHyphen/>
        <w:t xml:space="preserve">up Tax. If there are other Constituent Entities in the jurisdiction with GloBE Income or Loss, the </w:t>
      </w:r>
      <w:r w:rsidR="0063105D">
        <w:t>T</w:t>
      </w:r>
      <w:r>
        <w:t>op</w:t>
      </w:r>
      <w:r>
        <w:noBreakHyphen/>
        <w:t xml:space="preserve">up </w:t>
      </w:r>
      <w:r w:rsidR="0063105D">
        <w:t>T</w:t>
      </w:r>
      <w:r>
        <w:t xml:space="preserve">ax liability of the securitisation entity will be allocated to the Constituent Entities with GloBE Income or Loss, consistent with the application of Chapter 5 of the Rules. </w:t>
      </w:r>
    </w:p>
    <w:p w14:paraId="59A76E5D" w14:textId="65A1B875" w:rsidR="00871600" w:rsidRDefault="00871600" w:rsidP="00871600">
      <w:pPr>
        <w:pStyle w:val="Normalparatextwithnumbers"/>
        <w:numPr>
          <w:ilvl w:val="1"/>
          <w:numId w:val="18"/>
        </w:numPr>
        <w:rPr>
          <w:rStyle w:val="References"/>
        </w:rPr>
      </w:pPr>
      <w:r>
        <w:t>If the Constituent Entities in the jurisdiction do not have GloBE Income or Loss, the securitisation entity’s top</w:t>
      </w:r>
      <w:r>
        <w:noBreakHyphen/>
        <w:t>up tax liability will be allocated equally to all Constituent Entity’s in the jurisdiction. The only instance in which the securitisation entity will be liable to pay a Top</w:t>
      </w:r>
      <w:r>
        <w:noBreakHyphen/>
        <w:t xml:space="preserve">up Tax </w:t>
      </w:r>
      <w:r w:rsidR="00493C3C">
        <w:t>A</w:t>
      </w:r>
      <w:r>
        <w:t xml:space="preserve">mount is if the securitisation entity is the only Constituent Entity in the jurisdiction. This is because there is no other Constituent Entity that can be allocated the </w:t>
      </w:r>
      <w:r w:rsidR="00493C3C">
        <w:t>T</w:t>
      </w:r>
      <w:r>
        <w:t>op</w:t>
      </w:r>
      <w:r>
        <w:noBreakHyphen/>
        <w:t xml:space="preserve">up </w:t>
      </w:r>
      <w:r w:rsidR="00493C3C">
        <w:t>T</w:t>
      </w:r>
      <w:r>
        <w:t xml:space="preserve">ax </w:t>
      </w:r>
      <w:r w:rsidR="00493C3C">
        <w:t>A</w:t>
      </w:r>
      <w:r>
        <w:t xml:space="preserve">mount. </w:t>
      </w:r>
      <w:r>
        <w:br/>
      </w:r>
      <w:r w:rsidRPr="00706898">
        <w:rPr>
          <w:rStyle w:val="References"/>
        </w:rPr>
        <w:t>[Chapter 2, sections 2-3</w:t>
      </w:r>
      <w:r w:rsidR="00AB1C2D">
        <w:rPr>
          <w:rStyle w:val="References"/>
        </w:rPr>
        <w:t>5</w:t>
      </w:r>
      <w:r w:rsidRPr="00706898">
        <w:rPr>
          <w:rStyle w:val="References"/>
        </w:rPr>
        <w:t xml:space="preserve"> and 2-</w:t>
      </w:r>
      <w:r w:rsidR="00AB1C2D">
        <w:rPr>
          <w:rStyle w:val="References"/>
        </w:rPr>
        <w:t>8</w:t>
      </w:r>
      <w:r w:rsidRPr="00706898">
        <w:rPr>
          <w:rStyle w:val="References"/>
        </w:rPr>
        <w:t>5 of the Rules]</w:t>
      </w:r>
    </w:p>
    <w:p w14:paraId="0741C985" w14:textId="77777777" w:rsidR="00871600" w:rsidRDefault="00871600" w:rsidP="00871600">
      <w:pPr>
        <w:pStyle w:val="Heading4"/>
        <w:numPr>
          <w:ilvl w:val="3"/>
          <w:numId w:val="2"/>
        </w:numPr>
      </w:pPr>
      <w:r>
        <w:t xml:space="preserve">Aggregated reporting election </w:t>
      </w:r>
    </w:p>
    <w:p w14:paraId="01DC9DBB" w14:textId="7790AB4F" w:rsidR="00871600" w:rsidRDefault="00871600" w:rsidP="00871600">
      <w:pPr>
        <w:pStyle w:val="Normalparatextwithnumbers"/>
        <w:numPr>
          <w:ilvl w:val="1"/>
          <w:numId w:val="17"/>
        </w:numPr>
      </w:pPr>
      <w:r>
        <w:t xml:space="preserve">An </w:t>
      </w:r>
      <w:r w:rsidR="002330EF">
        <w:t>MNE Group</w:t>
      </w:r>
      <w:r>
        <w:t xml:space="preserve"> that has Constituent Entities that are in a TCG may elect to be treated as a single Constituent Entity for the purposes of reporting Domestic Top</w:t>
      </w:r>
      <w:r>
        <w:noBreakHyphen/>
        <w:t xml:space="preserve">up Tax Amounts in the GloBE Information Return. To make an annual election, a Filing Constituent Entity must meet all of the following conditions: </w:t>
      </w:r>
    </w:p>
    <w:p w14:paraId="079BBB12" w14:textId="77777777" w:rsidR="00871600" w:rsidRDefault="00871600" w:rsidP="00B07214">
      <w:pPr>
        <w:pStyle w:val="Dotpoint1"/>
      </w:pPr>
      <w:r>
        <w:t xml:space="preserve">the taxable profits and losses of the consolidated entities are aggregated for the purposes of computing a single tax liability (regardless of whether the consolidated entities might be jointly and severally liable for the tax charge on behalf of the group); </w:t>
      </w:r>
    </w:p>
    <w:p w14:paraId="7C64547D" w14:textId="77777777" w:rsidR="00871600" w:rsidRDefault="00871600" w:rsidP="00B07214">
      <w:pPr>
        <w:pStyle w:val="Dotpoint1"/>
      </w:pPr>
      <w:r>
        <w:t xml:space="preserve">all consolidated entities are wholly owned by the consolidating entity; </w:t>
      </w:r>
    </w:p>
    <w:p w14:paraId="300A4406" w14:textId="77777777" w:rsidR="00871600" w:rsidRDefault="00871600" w:rsidP="00B07214">
      <w:pPr>
        <w:pStyle w:val="Dotpoint1"/>
      </w:pPr>
      <w:r>
        <w:t xml:space="preserve">Constituent Entities or members of a JV Group within the TCG are located in the same jurisdiction for GloBE purposes; and </w:t>
      </w:r>
    </w:p>
    <w:p w14:paraId="14E07838" w14:textId="77777777" w:rsidR="00871600" w:rsidRDefault="00871600" w:rsidP="00B07214">
      <w:pPr>
        <w:pStyle w:val="Dotpoint1"/>
      </w:pPr>
      <w:r>
        <w:t>the Filing Constituent Entity makes an election to apply the consolidated treatment under section 3</w:t>
      </w:r>
      <w:r>
        <w:noBreakHyphen/>
        <w:t xml:space="preserve">185 of the Rules.  </w:t>
      </w:r>
    </w:p>
    <w:p w14:paraId="0FB0E41B" w14:textId="1E7F6AF5" w:rsidR="0025163B" w:rsidRPr="006479AC" w:rsidRDefault="00871600" w:rsidP="006479AC">
      <w:pPr>
        <w:pStyle w:val="Normalparatextwithnumbers"/>
        <w:numPr>
          <w:ilvl w:val="1"/>
          <w:numId w:val="17"/>
        </w:numPr>
      </w:pPr>
      <w:r>
        <w:t xml:space="preserve">The election only applies to entities that share the same ETR calculation with the consolidating entity. For example, a Group that consists wholly of JVs to form a JV group, Investment Entities or Insurance Investment Entities, or only ordinary Constituent Entities. The reporting election does not apply to consolidated groups that consist of a combination of JV entities, Investment Entities and ordinary Constituent Entities.  </w:t>
      </w:r>
    </w:p>
    <w:bookmarkEnd w:id="67"/>
    <w:p w14:paraId="102B95AF" w14:textId="01ED28B0" w:rsidR="0025163B" w:rsidRDefault="0025163B" w:rsidP="006479AC">
      <w:pPr>
        <w:pStyle w:val="Normalparatextnonumbers"/>
      </w:pPr>
    </w:p>
    <w:p w14:paraId="14F74CA5" w14:textId="77777777" w:rsidR="0025163B" w:rsidRPr="00020288" w:rsidRDefault="0025163B" w:rsidP="00873094">
      <w:pPr>
        <w:spacing w:after="0" w:line="360" w:lineRule="auto"/>
        <w:contextualSpacing/>
        <w:sectPr w:rsidR="0025163B" w:rsidRPr="00020288" w:rsidSect="0025163B">
          <w:headerReference w:type="even" r:id="rId41"/>
          <w:headerReference w:type="default" r:id="rId42"/>
          <w:footerReference w:type="even" r:id="rId43"/>
          <w:footerReference w:type="default" r:id="rId44"/>
          <w:headerReference w:type="first" r:id="rId45"/>
          <w:footerReference w:type="first" r:id="rId46"/>
          <w:type w:val="oddPage"/>
          <w:pgSz w:w="9979" w:h="14175" w:code="9"/>
          <w:pgMar w:top="567" w:right="1134" w:bottom="567" w:left="1134" w:header="709" w:footer="709" w:gutter="0"/>
          <w:cols w:space="708"/>
          <w:titlePg/>
          <w:docGrid w:linePitch="360"/>
        </w:sectPr>
      </w:pPr>
    </w:p>
    <w:p w14:paraId="6E442553" w14:textId="7C1395F9" w:rsidR="0025163B" w:rsidRPr="0073326A" w:rsidRDefault="000C23B6" w:rsidP="00777A92">
      <w:pPr>
        <w:pStyle w:val="Chapterheading"/>
        <w:rPr>
          <w:rFonts w:hint="eastAsia"/>
        </w:rPr>
      </w:pPr>
      <w:bookmarkStart w:id="93" w:name="_Toc183417100"/>
      <w:bookmarkStart w:id="94" w:name="_Toc183786637"/>
      <w:r>
        <w:lastRenderedPageBreak/>
        <w:t>GloBE Income or Loss</w:t>
      </w:r>
      <w:bookmarkEnd w:id="93"/>
      <w:bookmarkEnd w:id="94"/>
    </w:p>
    <w:p w14:paraId="5A52EEC5" w14:textId="755F4C02" w:rsidR="0025163B" w:rsidRDefault="00AB22A5" w:rsidP="005D0844">
      <w:pPr>
        <w:pStyle w:val="Heading2"/>
        <w:rPr>
          <w:rFonts w:hint="eastAsia"/>
        </w:rPr>
      </w:pPr>
      <w:bookmarkStart w:id="95" w:name="_Toc185502985"/>
      <w:bookmarkStart w:id="96" w:name="_Toc183786638"/>
      <w:bookmarkStart w:id="97" w:name="Chapter3"/>
      <w:r>
        <w:rPr>
          <w:rFonts w:eastAsiaTheme="minorHAnsi" w:cstheme="minorBidi"/>
          <w:sz w:val="40"/>
          <w:szCs w:val="22"/>
        </w:rPr>
        <w:t>Table of Contents:</w:t>
      </w:r>
      <w:bookmarkEnd w:id="95"/>
      <w:r>
        <w:rPr>
          <w:rFonts w:eastAsiaTheme="minorHAnsi" w:cstheme="minorBidi"/>
          <w:sz w:val="40"/>
          <w:szCs w:val="22"/>
        </w:rPr>
        <w:t xml:space="preserve"> </w:t>
      </w:r>
      <w:bookmarkEnd w:id="96"/>
    </w:p>
    <w:p w14:paraId="253DAAB4" w14:textId="5A3A7F53" w:rsidR="0096460F" w:rsidRDefault="00AB22A5">
      <w:pPr>
        <w:pStyle w:val="TOC2"/>
        <w:rPr>
          <w:rFonts w:asciiTheme="minorHAnsi" w:eastAsiaTheme="minorEastAsia" w:hAnsiTheme="minorHAnsi"/>
          <w:kern w:val="2"/>
          <w:sz w:val="22"/>
          <w:lang w:eastAsia="en-AU"/>
          <w14:ligatures w14:val="standardContextual"/>
        </w:rPr>
      </w:pPr>
      <w:r>
        <w:fldChar w:fldCharType="begin"/>
      </w:r>
      <w:r>
        <w:instrText xml:space="preserve"> TOC \o "1-3" \z  \B Chapter3</w:instrText>
      </w:r>
      <w:r>
        <w:fldChar w:fldCharType="separate"/>
      </w:r>
      <w:r w:rsidR="0096460F" w:rsidRPr="00E92A47">
        <w:t>Table of Contents:</w:t>
      </w:r>
      <w:r w:rsidR="0096460F">
        <w:rPr>
          <w:webHidden/>
        </w:rPr>
        <w:tab/>
      </w:r>
      <w:r w:rsidR="0096460F">
        <w:rPr>
          <w:webHidden/>
        </w:rPr>
        <w:fldChar w:fldCharType="begin"/>
      </w:r>
      <w:r w:rsidR="0096460F">
        <w:rPr>
          <w:webHidden/>
        </w:rPr>
        <w:instrText xml:space="preserve"> PAGEREF _Toc185502985 \h </w:instrText>
      </w:r>
      <w:r w:rsidR="0096460F">
        <w:rPr>
          <w:webHidden/>
        </w:rPr>
      </w:r>
      <w:r w:rsidR="0096460F">
        <w:rPr>
          <w:webHidden/>
        </w:rPr>
        <w:fldChar w:fldCharType="separate"/>
      </w:r>
      <w:r w:rsidR="009D6D0D">
        <w:rPr>
          <w:webHidden/>
        </w:rPr>
        <w:t>29</w:t>
      </w:r>
      <w:r w:rsidR="0096460F">
        <w:rPr>
          <w:webHidden/>
        </w:rPr>
        <w:fldChar w:fldCharType="end"/>
      </w:r>
    </w:p>
    <w:p w14:paraId="49CA81AC" w14:textId="00449748" w:rsidR="0096460F" w:rsidRDefault="0096460F">
      <w:pPr>
        <w:pStyle w:val="TOC2"/>
        <w:rPr>
          <w:rFonts w:asciiTheme="minorHAnsi" w:eastAsiaTheme="minorEastAsia" w:hAnsiTheme="minorHAnsi"/>
          <w:kern w:val="2"/>
          <w:sz w:val="22"/>
          <w:lang w:eastAsia="en-AU"/>
          <w14:ligatures w14:val="standardContextual"/>
        </w:rPr>
      </w:pPr>
      <w:r>
        <w:t>Outline of Chapter</w:t>
      </w:r>
      <w:r>
        <w:rPr>
          <w:webHidden/>
        </w:rPr>
        <w:tab/>
      </w:r>
      <w:r>
        <w:rPr>
          <w:webHidden/>
        </w:rPr>
        <w:fldChar w:fldCharType="begin"/>
      </w:r>
      <w:r>
        <w:rPr>
          <w:webHidden/>
        </w:rPr>
        <w:instrText xml:space="preserve"> PAGEREF _Toc185502986 \h </w:instrText>
      </w:r>
      <w:r>
        <w:rPr>
          <w:webHidden/>
        </w:rPr>
      </w:r>
      <w:r>
        <w:rPr>
          <w:webHidden/>
        </w:rPr>
        <w:fldChar w:fldCharType="separate"/>
      </w:r>
      <w:r w:rsidR="009D6D0D">
        <w:rPr>
          <w:webHidden/>
        </w:rPr>
        <w:t>29</w:t>
      </w:r>
      <w:r>
        <w:rPr>
          <w:webHidden/>
        </w:rPr>
        <w:fldChar w:fldCharType="end"/>
      </w:r>
    </w:p>
    <w:p w14:paraId="78DD8BDB" w14:textId="70D07930" w:rsidR="0096460F" w:rsidRDefault="0096460F">
      <w:pPr>
        <w:pStyle w:val="TOC2"/>
        <w:rPr>
          <w:rFonts w:asciiTheme="minorHAnsi" w:eastAsiaTheme="minorEastAsia" w:hAnsiTheme="minorHAnsi"/>
          <w:kern w:val="2"/>
          <w:sz w:val="22"/>
          <w:lang w:eastAsia="en-AU"/>
          <w14:ligatures w14:val="standardContextual"/>
        </w:rPr>
      </w:pPr>
      <w:r>
        <w:t>Detailed explanation of new law</w:t>
      </w:r>
      <w:r>
        <w:rPr>
          <w:webHidden/>
        </w:rPr>
        <w:tab/>
      </w:r>
      <w:r>
        <w:rPr>
          <w:webHidden/>
        </w:rPr>
        <w:fldChar w:fldCharType="begin"/>
      </w:r>
      <w:r>
        <w:rPr>
          <w:webHidden/>
        </w:rPr>
        <w:instrText xml:space="preserve"> PAGEREF _Toc185502987 \h </w:instrText>
      </w:r>
      <w:r>
        <w:rPr>
          <w:webHidden/>
        </w:rPr>
      </w:r>
      <w:r>
        <w:rPr>
          <w:webHidden/>
        </w:rPr>
        <w:fldChar w:fldCharType="separate"/>
      </w:r>
      <w:r w:rsidR="009D6D0D">
        <w:rPr>
          <w:webHidden/>
        </w:rPr>
        <w:t>29</w:t>
      </w:r>
      <w:r>
        <w:rPr>
          <w:webHidden/>
        </w:rPr>
        <w:fldChar w:fldCharType="end"/>
      </w:r>
    </w:p>
    <w:p w14:paraId="664B51BC" w14:textId="323E7080"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Financial accounts</w:t>
      </w:r>
      <w:r>
        <w:rPr>
          <w:noProof/>
          <w:webHidden/>
        </w:rPr>
        <w:tab/>
      </w:r>
      <w:r>
        <w:rPr>
          <w:noProof/>
          <w:webHidden/>
        </w:rPr>
        <w:fldChar w:fldCharType="begin"/>
      </w:r>
      <w:r>
        <w:rPr>
          <w:noProof/>
          <w:webHidden/>
        </w:rPr>
        <w:instrText xml:space="preserve"> PAGEREF _Toc185502988 \h </w:instrText>
      </w:r>
      <w:r>
        <w:rPr>
          <w:noProof/>
          <w:webHidden/>
        </w:rPr>
      </w:r>
      <w:r>
        <w:rPr>
          <w:noProof/>
          <w:webHidden/>
        </w:rPr>
        <w:fldChar w:fldCharType="separate"/>
      </w:r>
      <w:r w:rsidR="009D6D0D">
        <w:rPr>
          <w:noProof/>
          <w:webHidden/>
        </w:rPr>
        <w:t>29</w:t>
      </w:r>
      <w:r>
        <w:rPr>
          <w:noProof/>
          <w:webHidden/>
        </w:rPr>
        <w:fldChar w:fldCharType="end"/>
      </w:r>
    </w:p>
    <w:p w14:paraId="728B78D4" w14:textId="4FE272F6"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Adjustments to determine GloBE Income or Loss</w:t>
      </w:r>
      <w:r>
        <w:rPr>
          <w:noProof/>
          <w:webHidden/>
        </w:rPr>
        <w:tab/>
      </w:r>
      <w:r>
        <w:rPr>
          <w:noProof/>
          <w:webHidden/>
        </w:rPr>
        <w:fldChar w:fldCharType="begin"/>
      </w:r>
      <w:r>
        <w:rPr>
          <w:noProof/>
          <w:webHidden/>
        </w:rPr>
        <w:instrText xml:space="preserve"> PAGEREF _Toc185502989 \h </w:instrText>
      </w:r>
      <w:r>
        <w:rPr>
          <w:noProof/>
          <w:webHidden/>
        </w:rPr>
      </w:r>
      <w:r>
        <w:rPr>
          <w:noProof/>
          <w:webHidden/>
        </w:rPr>
        <w:fldChar w:fldCharType="separate"/>
      </w:r>
      <w:r w:rsidR="009D6D0D">
        <w:rPr>
          <w:noProof/>
          <w:webHidden/>
        </w:rPr>
        <w:t>31</w:t>
      </w:r>
      <w:r>
        <w:rPr>
          <w:noProof/>
          <w:webHidden/>
        </w:rPr>
        <w:fldChar w:fldCharType="end"/>
      </w:r>
    </w:p>
    <w:p w14:paraId="6BA74D8E" w14:textId="54070B9F"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Inclusions</w:t>
      </w:r>
      <w:r>
        <w:rPr>
          <w:noProof/>
          <w:webHidden/>
        </w:rPr>
        <w:tab/>
      </w:r>
      <w:r>
        <w:rPr>
          <w:noProof/>
          <w:webHidden/>
        </w:rPr>
        <w:fldChar w:fldCharType="begin"/>
      </w:r>
      <w:r>
        <w:rPr>
          <w:noProof/>
          <w:webHidden/>
        </w:rPr>
        <w:instrText xml:space="preserve"> PAGEREF _Toc185502990 \h </w:instrText>
      </w:r>
      <w:r>
        <w:rPr>
          <w:noProof/>
          <w:webHidden/>
        </w:rPr>
      </w:r>
      <w:r>
        <w:rPr>
          <w:noProof/>
          <w:webHidden/>
        </w:rPr>
        <w:fldChar w:fldCharType="separate"/>
      </w:r>
      <w:r w:rsidR="009D6D0D">
        <w:rPr>
          <w:noProof/>
          <w:webHidden/>
        </w:rPr>
        <w:t>33</w:t>
      </w:r>
      <w:r>
        <w:rPr>
          <w:noProof/>
          <w:webHidden/>
        </w:rPr>
        <w:fldChar w:fldCharType="end"/>
      </w:r>
    </w:p>
    <w:p w14:paraId="0C573A33" w14:textId="4B807978"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Exclusions</w:t>
      </w:r>
      <w:r>
        <w:rPr>
          <w:noProof/>
          <w:webHidden/>
        </w:rPr>
        <w:tab/>
      </w:r>
      <w:r>
        <w:rPr>
          <w:noProof/>
          <w:webHidden/>
        </w:rPr>
        <w:fldChar w:fldCharType="begin"/>
      </w:r>
      <w:r>
        <w:rPr>
          <w:noProof/>
          <w:webHidden/>
        </w:rPr>
        <w:instrText xml:space="preserve"> PAGEREF _Toc185502991 \h </w:instrText>
      </w:r>
      <w:r>
        <w:rPr>
          <w:noProof/>
          <w:webHidden/>
        </w:rPr>
      </w:r>
      <w:r>
        <w:rPr>
          <w:noProof/>
          <w:webHidden/>
        </w:rPr>
        <w:fldChar w:fldCharType="separate"/>
      </w:r>
      <w:r w:rsidR="009D6D0D">
        <w:rPr>
          <w:noProof/>
          <w:webHidden/>
        </w:rPr>
        <w:t>41</w:t>
      </w:r>
      <w:r>
        <w:rPr>
          <w:noProof/>
          <w:webHidden/>
        </w:rPr>
        <w:fldChar w:fldCharType="end"/>
      </w:r>
    </w:p>
    <w:p w14:paraId="09606284" w14:textId="7267A761"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Elections</w:t>
      </w:r>
      <w:r>
        <w:rPr>
          <w:noProof/>
          <w:webHidden/>
        </w:rPr>
        <w:tab/>
      </w:r>
      <w:r>
        <w:rPr>
          <w:noProof/>
          <w:webHidden/>
        </w:rPr>
        <w:fldChar w:fldCharType="begin"/>
      </w:r>
      <w:r>
        <w:rPr>
          <w:noProof/>
          <w:webHidden/>
        </w:rPr>
        <w:instrText xml:space="preserve"> PAGEREF _Toc185502992 \h </w:instrText>
      </w:r>
      <w:r>
        <w:rPr>
          <w:noProof/>
          <w:webHidden/>
        </w:rPr>
      </w:r>
      <w:r>
        <w:rPr>
          <w:noProof/>
          <w:webHidden/>
        </w:rPr>
        <w:fldChar w:fldCharType="separate"/>
      </w:r>
      <w:r w:rsidR="009D6D0D">
        <w:rPr>
          <w:noProof/>
          <w:webHidden/>
        </w:rPr>
        <w:t>52</w:t>
      </w:r>
      <w:r>
        <w:rPr>
          <w:noProof/>
          <w:webHidden/>
        </w:rPr>
        <w:fldChar w:fldCharType="end"/>
      </w:r>
    </w:p>
    <w:p w14:paraId="51B006F8" w14:textId="7C444ED4"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Allocating income between entities</w:t>
      </w:r>
      <w:r>
        <w:rPr>
          <w:noProof/>
          <w:webHidden/>
        </w:rPr>
        <w:tab/>
      </w:r>
      <w:r>
        <w:rPr>
          <w:noProof/>
          <w:webHidden/>
        </w:rPr>
        <w:fldChar w:fldCharType="begin"/>
      </w:r>
      <w:r>
        <w:rPr>
          <w:noProof/>
          <w:webHidden/>
        </w:rPr>
        <w:instrText xml:space="preserve"> PAGEREF _Toc185502993 \h </w:instrText>
      </w:r>
      <w:r>
        <w:rPr>
          <w:noProof/>
          <w:webHidden/>
        </w:rPr>
      </w:r>
      <w:r>
        <w:rPr>
          <w:noProof/>
          <w:webHidden/>
        </w:rPr>
        <w:fldChar w:fldCharType="separate"/>
      </w:r>
      <w:r w:rsidR="009D6D0D">
        <w:rPr>
          <w:noProof/>
          <w:webHidden/>
        </w:rPr>
        <w:t>58</w:t>
      </w:r>
      <w:r>
        <w:rPr>
          <w:noProof/>
          <w:webHidden/>
        </w:rPr>
        <w:fldChar w:fldCharType="end"/>
      </w:r>
    </w:p>
    <w:p w14:paraId="64878151" w14:textId="00208841" w:rsidR="00AB22A5" w:rsidRPr="00AB22A5" w:rsidRDefault="00AB22A5" w:rsidP="00AB22A5">
      <w:r>
        <w:fldChar w:fldCharType="end"/>
      </w:r>
    </w:p>
    <w:p w14:paraId="2A5B9340" w14:textId="51B9ABFA" w:rsidR="00AB22A5" w:rsidRDefault="00AB22A5" w:rsidP="00AB22A5">
      <w:pPr>
        <w:pStyle w:val="Heading2"/>
        <w:rPr>
          <w:rFonts w:hint="eastAsia"/>
        </w:rPr>
      </w:pPr>
      <w:bookmarkStart w:id="98" w:name="_Toc185502986"/>
      <w:r>
        <w:t>Outline of Chapter</w:t>
      </w:r>
      <w:bookmarkEnd w:id="98"/>
      <w:r>
        <w:t xml:space="preserve"> </w:t>
      </w:r>
    </w:p>
    <w:p w14:paraId="501A8F37" w14:textId="403773A0" w:rsidR="002E1A85" w:rsidRPr="00167665" w:rsidRDefault="002E1A85" w:rsidP="002E1A85">
      <w:pPr>
        <w:pStyle w:val="Normalparatextwithnumbers"/>
      </w:pPr>
      <w:r w:rsidRPr="00167665">
        <w:t xml:space="preserve">Chapter </w:t>
      </w:r>
      <w:r>
        <w:t>3</w:t>
      </w:r>
      <w:r w:rsidRPr="00167665">
        <w:t xml:space="preserve"> </w:t>
      </w:r>
      <w:r>
        <w:t xml:space="preserve">of the Rules </w:t>
      </w:r>
      <w:r w:rsidRPr="00167665">
        <w:t>sets out the</w:t>
      </w:r>
      <w:r>
        <w:t xml:space="preserve"> method for calculating the</w:t>
      </w:r>
      <w:r w:rsidRPr="00167665">
        <w:t xml:space="preserve"> </w:t>
      </w:r>
      <w:r>
        <w:t>GloBE Income or Loss</w:t>
      </w:r>
      <w:r w:rsidRPr="00167665">
        <w:t xml:space="preserve">. </w:t>
      </w:r>
      <w:r>
        <w:t xml:space="preserve">The computation of GloBE Income or Loss begins with the FANIL of the Constituent Entity for the Fiscal Year, adjusted under the </w:t>
      </w:r>
      <w:r w:rsidR="00D77258">
        <w:t xml:space="preserve">relevant </w:t>
      </w:r>
      <w:r>
        <w:t>provisions to arrive at the GloBE Income or Loss amount.</w:t>
      </w:r>
    </w:p>
    <w:p w14:paraId="2BB86144" w14:textId="77777777" w:rsidR="0025163B" w:rsidRPr="00020288" w:rsidRDefault="0025163B" w:rsidP="0025163B">
      <w:pPr>
        <w:pStyle w:val="Heading2"/>
        <w:numPr>
          <w:ilvl w:val="1"/>
          <w:numId w:val="2"/>
        </w:numPr>
        <w:tabs>
          <w:tab w:val="num" w:pos="567"/>
        </w:tabs>
        <w:ind w:left="567" w:hanging="567"/>
        <w:rPr>
          <w:rFonts w:hint="eastAsia"/>
        </w:rPr>
      </w:pPr>
      <w:bookmarkStart w:id="99" w:name="_Toc183786639"/>
      <w:bookmarkStart w:id="100" w:name="_Toc185502987"/>
      <w:r w:rsidRPr="00020288">
        <w:t>Detailed explanation of new law</w:t>
      </w:r>
      <w:bookmarkEnd w:id="99"/>
      <w:bookmarkEnd w:id="100"/>
    </w:p>
    <w:p w14:paraId="47B56FA5" w14:textId="77777777" w:rsidR="00717937" w:rsidRDefault="00717937" w:rsidP="00717937">
      <w:pPr>
        <w:pStyle w:val="Heading3"/>
        <w:rPr>
          <w:rFonts w:hint="eastAsia"/>
        </w:rPr>
      </w:pPr>
      <w:bookmarkStart w:id="101" w:name="_Toc183003755"/>
      <w:bookmarkStart w:id="102" w:name="_Toc183786640"/>
      <w:bookmarkStart w:id="103" w:name="_Toc185502988"/>
      <w:r>
        <w:t>Financial accounts</w:t>
      </w:r>
      <w:bookmarkEnd w:id="101"/>
      <w:bookmarkEnd w:id="102"/>
      <w:bookmarkEnd w:id="103"/>
    </w:p>
    <w:p w14:paraId="1688F4FB" w14:textId="77777777" w:rsidR="00717937" w:rsidRPr="00D73022" w:rsidRDefault="00717937" w:rsidP="00717937">
      <w:pPr>
        <w:pStyle w:val="Normalparatextwithnumbers"/>
        <w:rPr>
          <w:rStyle w:val="References"/>
          <w:b w:val="0"/>
          <w:i w:val="0"/>
        </w:rPr>
      </w:pPr>
      <w:r>
        <w:t xml:space="preserve">The GloBE Income or Loss of a Constituent Entity within a MNE Group is calculated starting with the FANIL for a Constituent Entity for the Fiscal Year, as adjusted for the items of income, gain, loss and expense that are set out in these Rules. </w:t>
      </w:r>
      <w:r>
        <w:br/>
      </w:r>
      <w:r w:rsidRPr="001C7EE0">
        <w:rPr>
          <w:rStyle w:val="References"/>
        </w:rPr>
        <w:t>[</w:t>
      </w:r>
      <w:r>
        <w:rPr>
          <w:rStyle w:val="References"/>
        </w:rPr>
        <w:t>Chapter 3, section 3-5 of the Rules</w:t>
      </w:r>
      <w:r w:rsidRPr="001C7EE0">
        <w:rPr>
          <w:rStyle w:val="References"/>
        </w:rPr>
        <w:t>]</w:t>
      </w:r>
    </w:p>
    <w:p w14:paraId="1F2B0FDC" w14:textId="77777777" w:rsidR="00717937" w:rsidRDefault="00717937" w:rsidP="00717937">
      <w:pPr>
        <w:pStyle w:val="Normalparatextwithnumbers"/>
      </w:pPr>
      <w:r>
        <w:t xml:space="preserve">FANIL for a Constituent Entity of an MNE Group for the Fiscal Year is defined as the net income or loss determined for the Constituent Entity, before </w:t>
      </w:r>
      <w:r>
        <w:lastRenderedPageBreak/>
        <w:t>any consolidation adjustments eliminating intra-group transactions, in preparing the CFS of the UPE of the MNE Group for the Fiscal Year.</w:t>
      </w:r>
      <w:r>
        <w:br/>
      </w:r>
      <w:r w:rsidRPr="00E570F1">
        <w:rPr>
          <w:rStyle w:val="References"/>
        </w:rPr>
        <w:t>[</w:t>
      </w:r>
      <w:r>
        <w:rPr>
          <w:rStyle w:val="References"/>
        </w:rPr>
        <w:t>Chapter 3, subsection 3-10(1) of the Rules</w:t>
      </w:r>
      <w:r w:rsidRPr="00E570F1">
        <w:rPr>
          <w:rStyle w:val="References"/>
        </w:rPr>
        <w:t>]</w:t>
      </w:r>
    </w:p>
    <w:p w14:paraId="520C3A1F" w14:textId="6F7B194F" w:rsidR="00717937" w:rsidRPr="00F4525D" w:rsidRDefault="00501427" w:rsidP="00717937">
      <w:pPr>
        <w:pStyle w:val="Normalparatextwithnumbers"/>
        <w:rPr>
          <w:rStyle w:val="References"/>
          <w:b w:val="0"/>
          <w:bCs w:val="0"/>
          <w:i w:val="0"/>
          <w:iCs w:val="0"/>
        </w:rPr>
      </w:pPr>
      <w:r>
        <w:t>Certain a</w:t>
      </w:r>
      <w:r w:rsidR="00717937">
        <w:t xml:space="preserve">mounts </w:t>
      </w:r>
      <w:r w:rsidR="00E53D7C">
        <w:t xml:space="preserve">which are not </w:t>
      </w:r>
      <w:r w:rsidR="002377FC">
        <w:t>reflected</w:t>
      </w:r>
      <w:r w:rsidR="00E53D7C">
        <w:t xml:space="preserve"> in </w:t>
      </w:r>
      <w:r w:rsidR="00217F6E">
        <w:t>a</w:t>
      </w:r>
      <w:r w:rsidR="00E53D7C">
        <w:t xml:space="preserve"> </w:t>
      </w:r>
      <w:r w:rsidR="002377FC">
        <w:t>Constituent</w:t>
      </w:r>
      <w:r w:rsidR="00E53D7C">
        <w:t xml:space="preserve"> </w:t>
      </w:r>
      <w:r w:rsidR="00217F6E">
        <w:t>Entit</w:t>
      </w:r>
      <w:r>
        <w:t>y’</w:t>
      </w:r>
      <w:r w:rsidR="00217F6E">
        <w:t>s</w:t>
      </w:r>
      <w:r w:rsidR="002377FC">
        <w:t xml:space="preserve"> </w:t>
      </w:r>
      <w:r w:rsidR="00217F6E">
        <w:t xml:space="preserve">net income or loss but </w:t>
      </w:r>
      <w:r>
        <w:t>are reflected in</w:t>
      </w:r>
      <w:r w:rsidR="002377FC">
        <w:t xml:space="preserve"> </w:t>
      </w:r>
      <w:r w:rsidR="00717937">
        <w:t xml:space="preserve">CFS </w:t>
      </w:r>
      <w:r w:rsidR="00024CA2">
        <w:t xml:space="preserve">can be taken into account </w:t>
      </w:r>
      <w:r w:rsidR="00BA794C">
        <w:t xml:space="preserve">in calculating GloBE Income or Loss </w:t>
      </w:r>
      <w:r w:rsidR="00717937">
        <w:t xml:space="preserve">of </w:t>
      </w:r>
      <w:r w:rsidR="00B84508">
        <w:t xml:space="preserve">the </w:t>
      </w:r>
      <w:r w:rsidR="00717937">
        <w:t xml:space="preserve">Constituent Entity, where </w:t>
      </w:r>
      <w:r w:rsidR="00B84508">
        <w:t xml:space="preserve">it </w:t>
      </w:r>
      <w:r w:rsidR="00717937">
        <w:t xml:space="preserve">can be shown </w:t>
      </w:r>
      <w:r w:rsidR="00B84508">
        <w:t>the amounts</w:t>
      </w:r>
      <w:r w:rsidR="00717937">
        <w:t xml:space="preserve"> reflect the affairs of the Constituent Entity, see paragraph 3 on pages 54 and 55 of the Consolidated Commentary. </w:t>
      </w:r>
      <w:r w:rsidR="00717937">
        <w:br/>
      </w:r>
      <w:r w:rsidR="00717937" w:rsidRPr="00E570F1">
        <w:rPr>
          <w:rStyle w:val="References"/>
        </w:rPr>
        <w:t>[</w:t>
      </w:r>
      <w:r w:rsidR="00717937">
        <w:rPr>
          <w:rStyle w:val="References"/>
        </w:rPr>
        <w:t>Chapter 3, subsections 3-10(1) and (2) of the Rules</w:t>
      </w:r>
      <w:r w:rsidR="00717937" w:rsidRPr="00E570F1">
        <w:rPr>
          <w:rStyle w:val="References"/>
        </w:rPr>
        <w:t>]</w:t>
      </w:r>
    </w:p>
    <w:p w14:paraId="3A1E90E0" w14:textId="492198A7" w:rsidR="00717937" w:rsidRPr="00697219" w:rsidRDefault="00717937" w:rsidP="008A4978">
      <w:pPr>
        <w:pStyle w:val="Normalparatextwithnumbers"/>
        <w:rPr>
          <w:rStyle w:val="References"/>
        </w:rPr>
      </w:pPr>
      <w:r w:rsidRPr="008A4978">
        <w:rPr>
          <w:rStyle w:val="References"/>
          <w:b w:val="0"/>
          <w:bCs w:val="0"/>
          <w:i w:val="0"/>
          <w:iCs w:val="0"/>
        </w:rPr>
        <w:t xml:space="preserve">FANIL for the Constituent Entity for the Fiscal Year includes income, expenses, gains, and losses arising from transactions between the Constituent Entity and any other Constituent Entity of the MNE Group. However, if an election </w:t>
      </w:r>
      <w:r w:rsidR="00464125">
        <w:rPr>
          <w:rStyle w:val="References"/>
          <w:b w:val="0"/>
          <w:bCs w:val="0"/>
          <w:i w:val="0"/>
          <w:iCs w:val="0"/>
        </w:rPr>
        <w:t xml:space="preserve">to apply a consolidated treatment </w:t>
      </w:r>
      <w:r w:rsidRPr="008A4978">
        <w:rPr>
          <w:rStyle w:val="References"/>
          <w:b w:val="0"/>
          <w:bCs w:val="0"/>
          <w:i w:val="0"/>
          <w:iCs w:val="0"/>
        </w:rPr>
        <w:t>under subsection 3-</w:t>
      </w:r>
      <w:r w:rsidR="00E775EC">
        <w:rPr>
          <w:rStyle w:val="References"/>
          <w:b w:val="0"/>
          <w:bCs w:val="0"/>
          <w:i w:val="0"/>
          <w:iCs w:val="0"/>
        </w:rPr>
        <w:t>200</w:t>
      </w:r>
      <w:r w:rsidRPr="008A4978">
        <w:rPr>
          <w:rStyle w:val="References"/>
          <w:b w:val="0"/>
          <w:bCs w:val="0"/>
          <w:i w:val="0"/>
          <w:iCs w:val="0"/>
        </w:rPr>
        <w:t>(1)</w:t>
      </w:r>
      <w:r w:rsidR="00464125">
        <w:rPr>
          <w:rStyle w:val="References"/>
          <w:b w:val="0"/>
          <w:bCs w:val="0"/>
          <w:i w:val="0"/>
          <w:iCs w:val="0"/>
        </w:rPr>
        <w:t xml:space="preserve"> of the Rules</w:t>
      </w:r>
      <w:r w:rsidRPr="008A4978">
        <w:rPr>
          <w:rStyle w:val="References"/>
          <w:b w:val="0"/>
          <w:bCs w:val="0"/>
          <w:i w:val="0"/>
          <w:iCs w:val="0"/>
        </w:rPr>
        <w:t xml:space="preserve"> applies, FANIL is adjusted to exclude such income, expenses, gain and losses from transactions between Constituent Entities that are, include</w:t>
      </w:r>
      <w:r w:rsidR="00B87DDB">
        <w:rPr>
          <w:rStyle w:val="References"/>
          <w:b w:val="0"/>
          <w:bCs w:val="0"/>
          <w:i w:val="0"/>
          <w:iCs w:val="0"/>
        </w:rPr>
        <w:t>d</w:t>
      </w:r>
      <w:r w:rsidRPr="008A4978">
        <w:rPr>
          <w:rStyle w:val="References"/>
          <w:b w:val="0"/>
          <w:bCs w:val="0"/>
          <w:i w:val="0"/>
          <w:iCs w:val="0"/>
        </w:rPr>
        <w:t xml:space="preserve"> in a </w:t>
      </w:r>
      <w:r w:rsidR="001B58B0">
        <w:rPr>
          <w:rStyle w:val="References"/>
          <w:b w:val="0"/>
          <w:bCs w:val="0"/>
          <w:i w:val="0"/>
          <w:iCs w:val="0"/>
        </w:rPr>
        <w:t>TCG</w:t>
      </w:r>
      <w:r w:rsidRPr="008A4978">
        <w:rPr>
          <w:rStyle w:val="References"/>
          <w:b w:val="0"/>
          <w:bCs w:val="0"/>
          <w:i w:val="0"/>
          <w:iCs w:val="0"/>
        </w:rPr>
        <w:t xml:space="preserve">, </w:t>
      </w:r>
      <w:r w:rsidR="00B87DDB">
        <w:rPr>
          <w:rStyle w:val="References"/>
          <w:b w:val="0"/>
          <w:bCs w:val="0"/>
          <w:i w:val="0"/>
          <w:iCs w:val="0"/>
        </w:rPr>
        <w:t>and are</w:t>
      </w:r>
      <w:r w:rsidRPr="008A4978">
        <w:rPr>
          <w:rStyle w:val="References"/>
          <w:b w:val="0"/>
          <w:bCs w:val="0"/>
          <w:i w:val="0"/>
          <w:iCs w:val="0"/>
        </w:rPr>
        <w:t xml:space="preserve"> </w:t>
      </w:r>
      <w:r w:rsidR="00B87DDB" w:rsidRPr="008A4978">
        <w:rPr>
          <w:rStyle w:val="References"/>
          <w:b w:val="0"/>
          <w:bCs w:val="0"/>
          <w:i w:val="0"/>
          <w:iCs w:val="0"/>
        </w:rPr>
        <w:t xml:space="preserve">located </w:t>
      </w:r>
      <w:r w:rsidRPr="008A4978">
        <w:rPr>
          <w:rStyle w:val="References"/>
          <w:b w:val="0"/>
          <w:bCs w:val="0"/>
          <w:i w:val="0"/>
          <w:iCs w:val="0"/>
        </w:rPr>
        <w:t>in the same jurisdiction.</w:t>
      </w:r>
      <w:r w:rsidRPr="008A4978">
        <w:rPr>
          <w:rStyle w:val="References"/>
          <w:b w:val="0"/>
          <w:bCs w:val="0"/>
          <w:i w:val="0"/>
          <w:iCs w:val="0"/>
        </w:rPr>
        <w:br/>
      </w:r>
      <w:r w:rsidRPr="008A4978">
        <w:rPr>
          <w:rStyle w:val="References"/>
        </w:rPr>
        <w:t>[Chapter 3, subsection 3</w:t>
      </w:r>
      <w:r w:rsidRPr="00697219">
        <w:rPr>
          <w:rStyle w:val="References"/>
        </w:rPr>
        <w:t xml:space="preserve">-10(3) </w:t>
      </w:r>
      <w:r w:rsidR="00261C47" w:rsidRPr="00697219">
        <w:rPr>
          <w:rStyle w:val="References"/>
        </w:rPr>
        <w:t>and subsection 3-</w:t>
      </w:r>
      <w:r w:rsidR="00E775EC">
        <w:rPr>
          <w:rStyle w:val="References"/>
        </w:rPr>
        <w:t>200</w:t>
      </w:r>
      <w:r w:rsidR="00261C47" w:rsidRPr="00697219">
        <w:rPr>
          <w:rStyle w:val="References"/>
        </w:rPr>
        <w:t xml:space="preserve">(1) </w:t>
      </w:r>
      <w:r w:rsidRPr="00697219">
        <w:rPr>
          <w:rStyle w:val="References"/>
        </w:rPr>
        <w:t xml:space="preserve">of the Rules] </w:t>
      </w:r>
    </w:p>
    <w:p w14:paraId="41A8C481" w14:textId="479C5669" w:rsidR="00717937" w:rsidRPr="008A4978" w:rsidRDefault="00717937" w:rsidP="008A4978">
      <w:pPr>
        <w:pStyle w:val="Normalparatextwithnumbers"/>
        <w:rPr>
          <w:rStyle w:val="References"/>
          <w:b w:val="0"/>
          <w:bCs w:val="0"/>
          <w:i w:val="0"/>
          <w:iCs w:val="0"/>
        </w:rPr>
      </w:pPr>
      <w:r w:rsidRPr="008A4978">
        <w:rPr>
          <w:rStyle w:val="References"/>
          <w:b w:val="0"/>
          <w:bCs w:val="0"/>
          <w:i w:val="0"/>
          <w:iCs w:val="0"/>
        </w:rPr>
        <w:t xml:space="preserve">The FANIL </w:t>
      </w:r>
      <w:r w:rsidR="0073145B">
        <w:rPr>
          <w:rStyle w:val="References"/>
          <w:b w:val="0"/>
          <w:bCs w:val="0"/>
          <w:i w:val="0"/>
          <w:iCs w:val="0"/>
        </w:rPr>
        <w:t>generall</w:t>
      </w:r>
      <w:r w:rsidR="008B0444">
        <w:rPr>
          <w:rStyle w:val="References"/>
          <w:b w:val="0"/>
          <w:bCs w:val="0"/>
          <w:i w:val="0"/>
          <w:iCs w:val="0"/>
        </w:rPr>
        <w:t>y</w:t>
      </w:r>
      <w:r w:rsidRPr="008A4978">
        <w:rPr>
          <w:rStyle w:val="References"/>
          <w:b w:val="0"/>
          <w:bCs w:val="0"/>
          <w:i w:val="0"/>
          <w:iCs w:val="0"/>
        </w:rPr>
        <w:t xml:space="preserve"> does not include any purchase accounting adjustments that are reflected in the CFS of the UPE or the Constituent Entity’s Financial Accounts and are a result of a Constituent Entity acquiring an Entity. However, these adjustments are included in the FANIL if the Entity was acquired before 1 December 2021, and the MNE Group does not have sufficient records to determine the Constituent Entity’s FANIL for the Fiscal Year in the absence of the adjustment. Purchase accounting adjustments may be reflected in separate accounts of the Constituent Entity used in preparing CFS of the UPE if permitted as per the financial accounting standard used by the UPE or these may be reflected in the CFS of the UPE. These purchase accounting adjustments are not included for acquisitions of Ownership Interest that occur after 1 December 2021.</w:t>
      </w:r>
      <w:r w:rsidRPr="008A4978">
        <w:rPr>
          <w:b/>
          <w:bCs/>
          <w:i/>
          <w:iCs/>
        </w:rPr>
        <w:br/>
      </w:r>
      <w:r w:rsidRPr="008A4978">
        <w:rPr>
          <w:rStyle w:val="References"/>
        </w:rPr>
        <w:t>[Chapter 3, subsections 3-10(4) and (5) of the Rules]</w:t>
      </w:r>
      <w:r w:rsidRPr="008A4978">
        <w:rPr>
          <w:rStyle w:val="References"/>
          <w:b w:val="0"/>
          <w:bCs w:val="0"/>
          <w:i w:val="0"/>
          <w:iCs w:val="0"/>
        </w:rPr>
        <w:t xml:space="preserve"> </w:t>
      </w:r>
    </w:p>
    <w:p w14:paraId="02876E9F" w14:textId="7C9B5795" w:rsidR="00717937" w:rsidRPr="008A4978" w:rsidRDefault="00717937" w:rsidP="008A4978">
      <w:pPr>
        <w:pStyle w:val="Normalparatextwithnumbers"/>
        <w:rPr>
          <w:rStyle w:val="References"/>
          <w:b w:val="0"/>
          <w:bCs w:val="0"/>
          <w:i w:val="0"/>
          <w:iCs w:val="0"/>
        </w:rPr>
      </w:pPr>
      <w:r w:rsidRPr="008A4978">
        <w:rPr>
          <w:rStyle w:val="References"/>
          <w:b w:val="0"/>
          <w:bCs w:val="0"/>
          <w:i w:val="0"/>
          <w:iCs w:val="0"/>
        </w:rPr>
        <w:t xml:space="preserve">A special rule applies where it is not reasonably practicable to compute the Constituent Entity’s FANIL using the accounting standard of the UPE’s CFS. In this situation, FANIL for the Constituent Entity for the Fiscal Year may be computed using another Acceptable </w:t>
      </w:r>
      <w:r w:rsidR="00415AD6">
        <w:rPr>
          <w:rStyle w:val="References"/>
          <w:b w:val="0"/>
          <w:bCs w:val="0"/>
          <w:i w:val="0"/>
          <w:iCs w:val="0"/>
        </w:rPr>
        <w:t xml:space="preserve">FAS </w:t>
      </w:r>
      <w:r w:rsidRPr="008A4978">
        <w:rPr>
          <w:rStyle w:val="References"/>
          <w:b w:val="0"/>
          <w:bCs w:val="0"/>
          <w:i w:val="0"/>
          <w:iCs w:val="0"/>
        </w:rPr>
        <w:t xml:space="preserve">or Authorised </w:t>
      </w:r>
      <w:r w:rsidR="00746080">
        <w:rPr>
          <w:rStyle w:val="References"/>
          <w:b w:val="0"/>
          <w:bCs w:val="0"/>
          <w:i w:val="0"/>
          <w:iCs w:val="0"/>
        </w:rPr>
        <w:t xml:space="preserve">FAS </w:t>
      </w:r>
      <w:r w:rsidRPr="008A4978">
        <w:rPr>
          <w:rStyle w:val="References"/>
          <w:b w:val="0"/>
          <w:bCs w:val="0"/>
          <w:i w:val="0"/>
          <w:iCs w:val="0"/>
        </w:rPr>
        <w:t>(adjusted for Material Competitive Distortions) but only if:</w:t>
      </w:r>
    </w:p>
    <w:p w14:paraId="20AB7080" w14:textId="14727984" w:rsidR="00717937" w:rsidRPr="008A4978" w:rsidRDefault="00717937" w:rsidP="00B07214">
      <w:pPr>
        <w:pStyle w:val="Dotpoint1"/>
        <w:rPr>
          <w:rStyle w:val="References"/>
          <w:b w:val="0"/>
          <w:bCs w:val="0"/>
          <w:i w:val="0"/>
          <w:iCs w:val="0"/>
        </w:rPr>
      </w:pPr>
      <w:r w:rsidRPr="008A4978">
        <w:rPr>
          <w:rStyle w:val="References"/>
          <w:b w:val="0"/>
          <w:bCs w:val="0"/>
          <w:i w:val="0"/>
          <w:iCs w:val="0"/>
        </w:rPr>
        <w:t xml:space="preserve">the financial accounts of the Constituent Entity are maintained based on </w:t>
      </w:r>
      <w:r w:rsidR="00E95CF3">
        <w:rPr>
          <w:rStyle w:val="References"/>
          <w:b w:val="0"/>
          <w:bCs w:val="0"/>
          <w:i w:val="0"/>
          <w:iCs w:val="0"/>
        </w:rPr>
        <w:t>the other</w:t>
      </w:r>
      <w:r w:rsidR="00E95CF3" w:rsidRPr="008A4978">
        <w:rPr>
          <w:rStyle w:val="References"/>
          <w:b w:val="0"/>
          <w:bCs w:val="0"/>
          <w:i w:val="0"/>
          <w:iCs w:val="0"/>
        </w:rPr>
        <w:t xml:space="preserve"> </w:t>
      </w:r>
      <w:r w:rsidRPr="008A4978">
        <w:rPr>
          <w:rStyle w:val="References"/>
          <w:b w:val="0"/>
          <w:bCs w:val="0"/>
          <w:i w:val="0"/>
          <w:iCs w:val="0"/>
        </w:rPr>
        <w:t xml:space="preserve">Acceptable </w:t>
      </w:r>
      <w:r w:rsidR="00EE15C4">
        <w:rPr>
          <w:rStyle w:val="References"/>
          <w:b w:val="0"/>
          <w:bCs w:val="0"/>
          <w:i w:val="0"/>
          <w:iCs w:val="0"/>
        </w:rPr>
        <w:t xml:space="preserve">FAS </w:t>
      </w:r>
      <w:r w:rsidRPr="008A4978">
        <w:rPr>
          <w:rStyle w:val="References"/>
          <w:b w:val="0"/>
          <w:bCs w:val="0"/>
          <w:i w:val="0"/>
          <w:iCs w:val="0"/>
        </w:rPr>
        <w:t xml:space="preserve">or Authorised </w:t>
      </w:r>
      <w:r w:rsidR="00EE15C4">
        <w:rPr>
          <w:rStyle w:val="References"/>
          <w:b w:val="0"/>
          <w:bCs w:val="0"/>
          <w:i w:val="0"/>
          <w:iCs w:val="0"/>
        </w:rPr>
        <w:t>FAS</w:t>
      </w:r>
      <w:r w:rsidRPr="008A4978">
        <w:rPr>
          <w:rStyle w:val="References"/>
          <w:b w:val="0"/>
          <w:bCs w:val="0"/>
          <w:i w:val="0"/>
          <w:iCs w:val="0"/>
        </w:rPr>
        <w:t>; and</w:t>
      </w:r>
    </w:p>
    <w:p w14:paraId="6C07B4D1" w14:textId="77777777" w:rsidR="00717937" w:rsidRPr="008A4978" w:rsidRDefault="00717937" w:rsidP="00B07214">
      <w:pPr>
        <w:pStyle w:val="Dotpoint1"/>
        <w:rPr>
          <w:rStyle w:val="References"/>
          <w:b w:val="0"/>
          <w:bCs w:val="0"/>
          <w:i w:val="0"/>
          <w:iCs w:val="0"/>
        </w:rPr>
      </w:pPr>
      <w:r w:rsidRPr="008A4978">
        <w:rPr>
          <w:rStyle w:val="References"/>
          <w:b w:val="0"/>
          <w:bCs w:val="0"/>
          <w:i w:val="0"/>
          <w:iCs w:val="0"/>
        </w:rPr>
        <w:t>the information in the financial accounts is reliable; and</w:t>
      </w:r>
    </w:p>
    <w:p w14:paraId="72ED0DB7" w14:textId="60EBE56E" w:rsidR="009C1FA4" w:rsidRPr="009C1FA4" w:rsidRDefault="00717937" w:rsidP="00B07214">
      <w:pPr>
        <w:pStyle w:val="Dotpoint1"/>
        <w:rPr>
          <w:rStyle w:val="References"/>
        </w:rPr>
      </w:pPr>
      <w:r w:rsidRPr="008A4978">
        <w:rPr>
          <w:rStyle w:val="References"/>
          <w:b w:val="0"/>
          <w:bCs w:val="0"/>
          <w:i w:val="0"/>
          <w:iCs w:val="0"/>
        </w:rPr>
        <w:t xml:space="preserve">adjustments are made to eliminate any permanent </w:t>
      </w:r>
      <w:r w:rsidR="00D60EFA">
        <w:rPr>
          <w:rStyle w:val="References"/>
          <w:b w:val="0"/>
          <w:bCs w:val="0"/>
          <w:i w:val="0"/>
          <w:iCs w:val="0"/>
        </w:rPr>
        <w:t>difference</w:t>
      </w:r>
      <w:r w:rsidR="00D60EFA" w:rsidRPr="008A4978">
        <w:rPr>
          <w:rStyle w:val="References"/>
          <w:b w:val="0"/>
          <w:bCs w:val="0"/>
          <w:i w:val="0"/>
          <w:iCs w:val="0"/>
        </w:rPr>
        <w:t xml:space="preserve"> </w:t>
      </w:r>
      <w:r w:rsidRPr="008A4978">
        <w:rPr>
          <w:rStyle w:val="References"/>
          <w:b w:val="0"/>
          <w:bCs w:val="0"/>
          <w:i w:val="0"/>
          <w:iCs w:val="0"/>
        </w:rPr>
        <w:t xml:space="preserve">of more than EUR 1 million that arises for the Fiscal Year due to the use of another accounting standard to items of income or expense or transactions instead of applying the UPE’s financial accounting </w:t>
      </w:r>
      <w:r w:rsidRPr="008A4978">
        <w:rPr>
          <w:rStyle w:val="References"/>
          <w:b w:val="0"/>
          <w:bCs w:val="0"/>
          <w:i w:val="0"/>
          <w:iCs w:val="0"/>
        </w:rPr>
        <w:lastRenderedPageBreak/>
        <w:t xml:space="preserve">standard. </w:t>
      </w:r>
      <w:r w:rsidR="009C1FA4">
        <w:rPr>
          <w:rStyle w:val="References"/>
          <w:b w:val="0"/>
          <w:bCs w:val="0"/>
          <w:i w:val="0"/>
          <w:iCs w:val="0"/>
        </w:rPr>
        <w:br/>
      </w:r>
      <w:r w:rsidR="009C1FA4" w:rsidRPr="008A4978">
        <w:rPr>
          <w:rStyle w:val="References"/>
        </w:rPr>
        <w:t>[Chapter 3, subsections 3-10(6), and (7) of the Rules]</w:t>
      </w:r>
    </w:p>
    <w:p w14:paraId="7EB0B05B" w14:textId="4B30D4A7" w:rsidR="00717937" w:rsidRPr="009C1FA4" w:rsidRDefault="00717937" w:rsidP="009C1FA4">
      <w:pPr>
        <w:pStyle w:val="Normalparatextwithnumbers"/>
        <w:rPr>
          <w:rStyle w:val="References"/>
          <w:b w:val="0"/>
          <w:bCs w:val="0"/>
          <w:i w:val="0"/>
          <w:iCs w:val="0"/>
        </w:rPr>
      </w:pPr>
      <w:r w:rsidRPr="008A4978">
        <w:rPr>
          <w:rStyle w:val="References"/>
          <w:b w:val="0"/>
          <w:bCs w:val="0"/>
          <w:i w:val="0"/>
          <w:iCs w:val="0"/>
        </w:rPr>
        <w:t>Th</w:t>
      </w:r>
      <w:r w:rsidR="009C1FA4">
        <w:rPr>
          <w:rStyle w:val="References"/>
          <w:b w:val="0"/>
          <w:bCs w:val="0"/>
          <w:i w:val="0"/>
          <w:iCs w:val="0"/>
        </w:rPr>
        <w:t>e</w:t>
      </w:r>
      <w:r w:rsidRPr="008A4978">
        <w:rPr>
          <w:rStyle w:val="References"/>
          <w:b w:val="0"/>
          <w:bCs w:val="0"/>
          <w:i w:val="0"/>
          <w:iCs w:val="0"/>
        </w:rPr>
        <w:t xml:space="preserve"> condition </w:t>
      </w:r>
      <w:r w:rsidR="009C1FA4">
        <w:rPr>
          <w:rStyle w:val="References"/>
          <w:b w:val="0"/>
          <w:bCs w:val="0"/>
          <w:i w:val="0"/>
          <w:iCs w:val="0"/>
        </w:rPr>
        <w:t xml:space="preserve">to eliminate permanent differences </w:t>
      </w:r>
      <w:r w:rsidRPr="008A4978">
        <w:rPr>
          <w:rStyle w:val="References"/>
          <w:b w:val="0"/>
          <w:bCs w:val="0"/>
          <w:i w:val="0"/>
          <w:iCs w:val="0"/>
        </w:rPr>
        <w:t>only applies to permanent differences between the accounting standards. Timing differences, including differences in the financial accounting period used under the different accounting standards are not subject to this condition.</w:t>
      </w:r>
    </w:p>
    <w:p w14:paraId="5B6A8BC4" w14:textId="50487C87" w:rsidR="00717937" w:rsidRPr="008A4978" w:rsidRDefault="00717937" w:rsidP="008A4978">
      <w:pPr>
        <w:pStyle w:val="Normalparatextwithnumbers"/>
        <w:rPr>
          <w:rStyle w:val="References"/>
          <w:b w:val="0"/>
          <w:bCs w:val="0"/>
          <w:i w:val="0"/>
          <w:iCs w:val="0"/>
        </w:rPr>
      </w:pPr>
      <w:r w:rsidRPr="008A4978" w:rsidDel="00770074">
        <w:rPr>
          <w:rStyle w:val="References"/>
          <w:b w:val="0"/>
          <w:bCs w:val="0"/>
          <w:i w:val="0"/>
          <w:iCs w:val="0"/>
        </w:rPr>
        <w:t xml:space="preserve">This rule is not expected to apply in many cases because an MNE Group will typically have mechanisms in place to convert a subsidiary’s entity level accounts to the UPE’s accounting standard in connection with the preparation of the CFS. However, this rule could apply, for example, when the MNE Group has undertaken a recent acquisition </w:t>
      </w:r>
      <w:r w:rsidR="0066388A">
        <w:rPr>
          <w:rStyle w:val="References"/>
          <w:b w:val="0"/>
          <w:bCs w:val="0"/>
          <w:i w:val="0"/>
          <w:iCs w:val="0"/>
        </w:rPr>
        <w:t>of a</w:t>
      </w:r>
      <w:r w:rsidRPr="008A4978" w:rsidDel="00770074">
        <w:rPr>
          <w:rStyle w:val="References"/>
          <w:b w:val="0"/>
          <w:bCs w:val="0"/>
          <w:i w:val="0"/>
          <w:iCs w:val="0"/>
        </w:rPr>
        <w:t xml:space="preserve"> group of Entities that have historically used a different accounting standard to that of the acquiring MNE </w:t>
      </w:r>
      <w:r w:rsidRPr="008A4978">
        <w:rPr>
          <w:rStyle w:val="References"/>
          <w:b w:val="0"/>
          <w:bCs w:val="0"/>
          <w:i w:val="0"/>
          <w:iCs w:val="0"/>
        </w:rPr>
        <w:t>Group and it is not reasonably practicable for the</w:t>
      </w:r>
      <w:r w:rsidRPr="008A4978" w:rsidDel="00E775EC">
        <w:rPr>
          <w:rStyle w:val="References"/>
          <w:b w:val="0"/>
          <w:bCs w:val="0"/>
          <w:i w:val="0"/>
          <w:iCs w:val="0"/>
        </w:rPr>
        <w:t xml:space="preserve"> </w:t>
      </w:r>
      <w:r w:rsidR="00F131B7">
        <w:rPr>
          <w:rStyle w:val="References"/>
          <w:b w:val="0"/>
          <w:bCs w:val="0"/>
          <w:i w:val="0"/>
          <w:iCs w:val="0"/>
        </w:rPr>
        <w:t>recently acquired entities</w:t>
      </w:r>
      <w:r w:rsidRPr="008A4978">
        <w:rPr>
          <w:rStyle w:val="References"/>
          <w:b w:val="0"/>
          <w:bCs w:val="0"/>
          <w:i w:val="0"/>
          <w:iCs w:val="0"/>
        </w:rPr>
        <w:t xml:space="preserve"> to use the UPE’s accounting standard.</w:t>
      </w:r>
    </w:p>
    <w:p w14:paraId="2180D005" w14:textId="77777777" w:rsidR="00717937" w:rsidRPr="008A4978" w:rsidRDefault="00717937" w:rsidP="008A4978">
      <w:pPr>
        <w:pStyle w:val="Normalparatextwithnumbers"/>
        <w:rPr>
          <w:rStyle w:val="References"/>
          <w:b w:val="0"/>
          <w:bCs w:val="0"/>
          <w:i w:val="0"/>
          <w:iCs w:val="0"/>
        </w:rPr>
      </w:pPr>
      <w:r w:rsidRPr="008A4978">
        <w:rPr>
          <w:rStyle w:val="References"/>
          <w:b w:val="0"/>
          <w:bCs w:val="0"/>
          <w:i w:val="0"/>
          <w:iCs w:val="0"/>
        </w:rPr>
        <w:t>Where the special rule applies, the content of the GloBE Information Return for the MNE Group for the Fiscal Year relating to the FANIL for the Constituent Entity should be computed in accordance with the special rule.</w:t>
      </w:r>
      <w:r w:rsidRPr="008A4978">
        <w:rPr>
          <w:rStyle w:val="References"/>
          <w:b w:val="0"/>
          <w:bCs w:val="0"/>
          <w:i w:val="0"/>
          <w:iCs w:val="0"/>
        </w:rPr>
        <w:br/>
      </w:r>
      <w:r w:rsidRPr="008A4978">
        <w:rPr>
          <w:rStyle w:val="References"/>
        </w:rPr>
        <w:t>[Chapter 3, subsections 3-10(6), and (7) of the Rules]</w:t>
      </w:r>
      <w:r w:rsidRPr="008A4978">
        <w:rPr>
          <w:rStyle w:val="References"/>
          <w:b w:val="0"/>
          <w:bCs w:val="0"/>
          <w:i w:val="0"/>
          <w:iCs w:val="0"/>
        </w:rPr>
        <w:t xml:space="preserve"> </w:t>
      </w:r>
    </w:p>
    <w:p w14:paraId="65B92648" w14:textId="4731824A" w:rsidR="00717937" w:rsidRDefault="00717937" w:rsidP="00717937">
      <w:pPr>
        <w:pStyle w:val="Normalparatextwithnumbers"/>
      </w:pPr>
      <w:r>
        <w:t xml:space="preserve">As the rules for computing GloBE Income or Loss begins with FANIL, income or expense items that are reported under certain financial accounting standards in the Other Comprehensive Income part of the CFS (rather than in the profit and loss statement) are generally excluded from the computation of GloBE Income or Loss, see paragraph 9 on page 57 of the Consolidated Commentary. </w:t>
      </w:r>
      <w:r>
        <w:br/>
      </w:r>
      <w:r>
        <w:rPr>
          <w:b/>
          <w:bCs/>
          <w:i/>
          <w:iCs/>
        </w:rPr>
        <w:t>[Chapter 3, subsection 3-</w:t>
      </w:r>
      <w:r w:rsidR="00E775EC">
        <w:rPr>
          <w:b/>
          <w:bCs/>
          <w:i/>
          <w:iCs/>
        </w:rPr>
        <w:t>5</w:t>
      </w:r>
      <w:r>
        <w:rPr>
          <w:b/>
          <w:bCs/>
          <w:i/>
          <w:iCs/>
        </w:rPr>
        <w:t>0(2) of the Rules]</w:t>
      </w:r>
    </w:p>
    <w:p w14:paraId="0AFE8987" w14:textId="77777777" w:rsidR="00717937" w:rsidRDefault="00717937" w:rsidP="00717937">
      <w:pPr>
        <w:pStyle w:val="Heading3"/>
        <w:rPr>
          <w:rFonts w:hint="eastAsia"/>
        </w:rPr>
      </w:pPr>
      <w:bookmarkStart w:id="104" w:name="_Toc158373982"/>
      <w:bookmarkStart w:id="105" w:name="_Toc183003756"/>
      <w:bookmarkStart w:id="106" w:name="_Toc183786641"/>
      <w:bookmarkStart w:id="107" w:name="_Toc185502989"/>
      <w:r>
        <w:t>Adjustments to determine GloBE Income or Loss</w:t>
      </w:r>
      <w:bookmarkEnd w:id="104"/>
      <w:bookmarkEnd w:id="105"/>
      <w:bookmarkEnd w:id="106"/>
      <w:bookmarkEnd w:id="107"/>
    </w:p>
    <w:p w14:paraId="61EEACB3" w14:textId="7A7E04F5" w:rsidR="00717937" w:rsidRDefault="00717937" w:rsidP="00717937">
      <w:pPr>
        <w:pStyle w:val="Normalparatextwithnumbers"/>
      </w:pPr>
      <w:r>
        <w:t xml:space="preserve">A series of adjustments are applied to the FANIL to account for certain differences between financial accounting and taxable income that are common and material in many Inclusive Framework jurisdictions. </w:t>
      </w:r>
    </w:p>
    <w:p w14:paraId="1C6432C2" w14:textId="7C68F8E7" w:rsidR="00717937" w:rsidRDefault="00717937" w:rsidP="00717937">
      <w:pPr>
        <w:pStyle w:val="Normalparatextwithnumbers"/>
      </w:pPr>
      <w:r>
        <w:t>Adjustments are also made for</w:t>
      </w:r>
      <w:r w:rsidRPr="00561428">
        <w:t xml:space="preserve"> </w:t>
      </w:r>
      <w:r>
        <w:t>certain tax neutrality and distribution tax regimes (see Chapter 7)</w:t>
      </w:r>
      <w:r w:rsidR="000F7378">
        <w:t>,</w:t>
      </w:r>
      <w:r>
        <w:t xml:space="preserve"> to corporate restructuring (including mergers, acquisitions, and demergers) and certain holding structures, such as multi-parented MNE Groups and </w:t>
      </w:r>
      <w:r w:rsidR="0053425A">
        <w:t>JV</w:t>
      </w:r>
      <w:r>
        <w:t xml:space="preserve"> investments (see Chapter 6). </w:t>
      </w:r>
      <w:r w:rsidR="00F63291">
        <w:t>The</w:t>
      </w:r>
      <w:r>
        <w:t xml:space="preserve"> rules in Chapter</w:t>
      </w:r>
      <w:r w:rsidR="00F63291">
        <w:t>s</w:t>
      </w:r>
      <w:r>
        <w:t xml:space="preserve"> 6 and 7 must be considered in calculating GloBE Income or Loss and appropriate adjustments </w:t>
      </w:r>
      <w:r w:rsidR="00C867A3">
        <w:t xml:space="preserve">are </w:t>
      </w:r>
      <w:r>
        <w:t>be made to ensure that amounts calculated under Chapter 3, also reflect those calculated under Chapter</w:t>
      </w:r>
      <w:r w:rsidR="00F63291">
        <w:t>s</w:t>
      </w:r>
      <w:r>
        <w:t xml:space="preserve"> 6 and 7.</w:t>
      </w:r>
    </w:p>
    <w:p w14:paraId="4AFC0D40" w14:textId="77777777" w:rsidR="00717937" w:rsidRDefault="00717937" w:rsidP="00717937">
      <w:pPr>
        <w:pStyle w:val="Normalparatextwithnumbers"/>
      </w:pPr>
      <w:r w:rsidRPr="00330EAF">
        <w:t xml:space="preserve">The FANIL is adjusted through including, excluding or both including and excluding amounts for the purposes of computing the Constituent Entity’s GloBE </w:t>
      </w:r>
      <w:r w:rsidRPr="00330EAF" w:rsidDel="00660EFA">
        <w:t xml:space="preserve">Income </w:t>
      </w:r>
      <w:r w:rsidRPr="00330EAF">
        <w:t xml:space="preserve">or </w:t>
      </w:r>
      <w:r w:rsidRPr="00330EAF" w:rsidDel="00660EFA">
        <w:t>Loss</w:t>
      </w:r>
      <w:r w:rsidRPr="00330EAF">
        <w:t xml:space="preserve">. </w:t>
      </w:r>
    </w:p>
    <w:p w14:paraId="429522BF" w14:textId="77777777" w:rsidR="00717937" w:rsidRDefault="00717937" w:rsidP="00717937">
      <w:pPr>
        <w:pStyle w:val="Normalparatextwithnumbers"/>
      </w:pPr>
      <w:r>
        <w:t>In summary, following adjustments are included with FANIL to determine GloBE I</w:t>
      </w:r>
      <w:r w:rsidDel="00660EFA">
        <w:t xml:space="preserve">ncome </w:t>
      </w:r>
      <w:r>
        <w:t>or L</w:t>
      </w:r>
      <w:r w:rsidDel="00660EFA">
        <w:t xml:space="preserve">oss </w:t>
      </w:r>
      <w:r>
        <w:t xml:space="preserve">of a Constituent Entity: </w:t>
      </w:r>
    </w:p>
    <w:p w14:paraId="6E62D2B3" w14:textId="77777777" w:rsidR="00717937" w:rsidRDefault="00717937" w:rsidP="00B07214">
      <w:pPr>
        <w:pStyle w:val="Dotpoint1"/>
      </w:pPr>
      <w:r>
        <w:lastRenderedPageBreak/>
        <w:t>Net Taxes Expense (being the net amount of various tax-related expenses and credits);</w:t>
      </w:r>
    </w:p>
    <w:p w14:paraId="603A0AA5" w14:textId="77777777" w:rsidR="00717937" w:rsidRDefault="00717937" w:rsidP="00B07214">
      <w:pPr>
        <w:pStyle w:val="Dotpoint1"/>
      </w:pPr>
      <w:r>
        <w:t>Revaluation Method Gain or Loss (being gains or losses from included revaluation methods of adjusting the carrying value of property, plant and equipment to its fair value);</w:t>
      </w:r>
    </w:p>
    <w:p w14:paraId="2DB75241" w14:textId="0CA1D587" w:rsidR="00717937" w:rsidRDefault="00717937" w:rsidP="00B07214">
      <w:pPr>
        <w:pStyle w:val="Dotpoint1"/>
      </w:pPr>
      <w:r>
        <w:t>Gain or loss from disposition of assets and liabilities that are excluded under section 6-</w:t>
      </w:r>
      <w:r w:rsidR="005264DA">
        <w:t xml:space="preserve">55 </w:t>
      </w:r>
      <w:r>
        <w:t>of the Rules (being gains or losses from the transfer of assets and liabilities that are not taken into account under section 6</w:t>
      </w:r>
      <w:r w:rsidR="00E775EC">
        <w:noBreakHyphen/>
      </w:r>
      <w:r w:rsidR="00D56961">
        <w:t xml:space="preserve">55 </w:t>
      </w:r>
      <w:r>
        <w:t>that meet the criteria of GloBE Reorganisation);</w:t>
      </w:r>
    </w:p>
    <w:p w14:paraId="6CDB5A2F" w14:textId="77777777" w:rsidR="00717937" w:rsidRDefault="00717937" w:rsidP="00B07214">
      <w:pPr>
        <w:pStyle w:val="Dotpoint1"/>
      </w:pPr>
      <w:r>
        <w:t>Asymmetric Foreign Currency Gains or Losses (being differences in foreign currency gains or losses that arise due to asymmetries in tax and financial reporting);</w:t>
      </w:r>
    </w:p>
    <w:p w14:paraId="361F9D5C" w14:textId="77777777" w:rsidR="00717937" w:rsidRDefault="00717937" w:rsidP="00B07214">
      <w:pPr>
        <w:pStyle w:val="Dotpoint1"/>
      </w:pPr>
      <w:r>
        <w:t>Policy Disallowed Expenses (being expenses that are not allowed such as bribes, fines or penalties);</w:t>
      </w:r>
    </w:p>
    <w:p w14:paraId="75E495A1" w14:textId="77777777" w:rsidR="00717937" w:rsidRDefault="00717937" w:rsidP="00B07214">
      <w:pPr>
        <w:pStyle w:val="Dotpoint1"/>
      </w:pPr>
      <w:r>
        <w:t>Prior Period Errors and Changes in Accounting Principles (being adjustments made due to errors from previous periods or changes in accounting standards);</w:t>
      </w:r>
    </w:p>
    <w:p w14:paraId="5D4D3F11" w14:textId="77777777" w:rsidR="00717937" w:rsidRDefault="00717937" w:rsidP="00B07214">
      <w:pPr>
        <w:pStyle w:val="Dotpoint1"/>
      </w:pPr>
      <w:r>
        <w:t>Accrued Pension Expense (being expenses related to pension accruals);</w:t>
      </w:r>
    </w:p>
    <w:p w14:paraId="7779597F" w14:textId="59EFD048" w:rsidR="00717937" w:rsidRDefault="00717937" w:rsidP="00B07214">
      <w:pPr>
        <w:pStyle w:val="Dotpoint1"/>
      </w:pPr>
      <w:r>
        <w:t xml:space="preserve">Adjustments to reflect transactions between Constituent Entities consistent with the </w:t>
      </w:r>
      <w:r w:rsidR="002330EF">
        <w:t>Arm’s Length Principle</w:t>
      </w:r>
      <w:r>
        <w:t xml:space="preserve"> to address misallocation of income among entities located in different jurisdictions. For example, cross-border intra-group transactions must be computed at an arm’s length price in the computation of GloBE Income</w:t>
      </w:r>
      <w:r w:rsidDel="00660EFA">
        <w:t xml:space="preserve"> </w:t>
      </w:r>
      <w:r>
        <w:t>or Loss. The rationale of this adjustment is to protect the integrity of jurisdictional blending.</w:t>
      </w:r>
    </w:p>
    <w:p w14:paraId="056B53AD" w14:textId="37CAACDF" w:rsidR="00717937" w:rsidRPr="00EA22A4" w:rsidRDefault="00717937" w:rsidP="00717937">
      <w:pPr>
        <w:pStyle w:val="Normalparatextwithnumbers"/>
      </w:pPr>
      <w:r w:rsidRPr="00EA22A4">
        <w:t xml:space="preserve">For the purposes of calculating GloBE Income or Loss, the following </w:t>
      </w:r>
      <w:r w:rsidR="00B61908">
        <w:t xml:space="preserve">are excluded </w:t>
      </w:r>
      <w:r w:rsidRPr="00EA22A4">
        <w:t xml:space="preserve">from FANIL: </w:t>
      </w:r>
    </w:p>
    <w:p w14:paraId="0175D51D" w14:textId="77777777" w:rsidR="00717937" w:rsidRDefault="00717937" w:rsidP="00B07214">
      <w:pPr>
        <w:pStyle w:val="Dotpoint1"/>
      </w:pPr>
      <w:r>
        <w:t>Excluded Dividends (being certain dividends received or accrued, other dividends in respect of portfolio ownership interests that are held for less than 12 months and ownership interests in an Investment Entity that is subject to a taxable distribution method election);</w:t>
      </w:r>
    </w:p>
    <w:p w14:paraId="207D7508" w14:textId="77777777" w:rsidR="00717937" w:rsidRDefault="00717937" w:rsidP="00B07214">
      <w:pPr>
        <w:pStyle w:val="Dotpoint1"/>
      </w:pPr>
      <w:r>
        <w:t>Excluded Equity Gain or Loss (being and gains or losses from changes in fair value of ownership interests or any profit of loss in respect of an ownership interest that is included under the equity method of accounting);</w:t>
      </w:r>
    </w:p>
    <w:p w14:paraId="07FF6FEE" w14:textId="77777777" w:rsidR="00717937" w:rsidRDefault="00717937" w:rsidP="00B07214">
      <w:pPr>
        <w:pStyle w:val="Dotpoint1"/>
      </w:pPr>
      <w:r>
        <w:t>a gain or loss from the disposition of an ownership interest (other than a portfolio shareholding);</w:t>
      </w:r>
    </w:p>
    <w:p w14:paraId="6D75A907" w14:textId="77777777" w:rsidR="00717937" w:rsidRDefault="00717937" w:rsidP="00B07214">
      <w:pPr>
        <w:pStyle w:val="Dotpoint1"/>
      </w:pPr>
      <w:r>
        <w:t>insurance reserves;</w:t>
      </w:r>
    </w:p>
    <w:p w14:paraId="55E27681" w14:textId="77777777" w:rsidR="00717937" w:rsidRDefault="00717937" w:rsidP="00B07214">
      <w:pPr>
        <w:pStyle w:val="Dotpoint1"/>
      </w:pPr>
      <w:r>
        <w:t>policy disallowed expenses; and</w:t>
      </w:r>
    </w:p>
    <w:p w14:paraId="6BE905F5" w14:textId="77777777" w:rsidR="00717937" w:rsidRPr="00BB1471" w:rsidRDefault="00717937" w:rsidP="00B07214">
      <w:pPr>
        <w:pStyle w:val="Dotpoint1"/>
      </w:pPr>
      <w:r>
        <w:lastRenderedPageBreak/>
        <w:t>international shipping income, subject to meeting certain criteria.</w:t>
      </w:r>
    </w:p>
    <w:p w14:paraId="659672B3" w14:textId="122EB091" w:rsidR="00717937" w:rsidRPr="001048F9" w:rsidRDefault="00717937" w:rsidP="00717937">
      <w:pPr>
        <w:pStyle w:val="Normalparatextwithnumbers"/>
      </w:pPr>
      <w:r w:rsidRPr="001048F9">
        <w:t xml:space="preserve">Depending on the circumstances, must either include or exclude the following </w:t>
      </w:r>
      <w:r w:rsidR="000B141D">
        <w:t xml:space="preserve"> are either included or excluded </w:t>
      </w:r>
      <w:r w:rsidRPr="001048F9">
        <w:t xml:space="preserve">in calculating </w:t>
      </w:r>
      <w:r w:rsidR="000B141D">
        <w:t xml:space="preserve">the </w:t>
      </w:r>
      <w:r w:rsidRPr="001048F9">
        <w:t>GloBE Income</w:t>
      </w:r>
      <w:r>
        <w:t xml:space="preserve"> or Loss</w:t>
      </w:r>
      <w:r w:rsidRPr="001048F9">
        <w:t>:</w:t>
      </w:r>
    </w:p>
    <w:p w14:paraId="57BB300B" w14:textId="77777777" w:rsidR="00717937" w:rsidRDefault="00717937" w:rsidP="00B07214">
      <w:pPr>
        <w:pStyle w:val="Dotpoint1"/>
      </w:pPr>
      <w:r>
        <w:t>certain refundable tax credits and transferrable tax credits;</w:t>
      </w:r>
    </w:p>
    <w:p w14:paraId="432EE8DE" w14:textId="77777777" w:rsidR="00717937" w:rsidRDefault="00717937" w:rsidP="00B07214">
      <w:pPr>
        <w:pStyle w:val="Dotpoint1"/>
      </w:pPr>
      <w:r>
        <w:t xml:space="preserve">asymmetric foreign currency gains or losses; </w:t>
      </w:r>
    </w:p>
    <w:p w14:paraId="79A86270" w14:textId="77777777" w:rsidR="00717937" w:rsidRDefault="00717937" w:rsidP="00B07214">
      <w:pPr>
        <w:pStyle w:val="Dotpoint1"/>
      </w:pPr>
      <w:r>
        <w:t xml:space="preserve">adjustments for certain Intra-Group Financing Arrangements; </w:t>
      </w:r>
    </w:p>
    <w:p w14:paraId="4BD56211" w14:textId="5031C07D" w:rsidR="00717937" w:rsidRDefault="00717937" w:rsidP="00B07214">
      <w:pPr>
        <w:pStyle w:val="Dotpoint1"/>
      </w:pPr>
      <w:r>
        <w:t xml:space="preserve">adjustments for Additional </w:t>
      </w:r>
      <w:r w:rsidR="002E28F0">
        <w:t xml:space="preserve">or Restricted </w:t>
      </w:r>
      <w:r>
        <w:t>Tier One Capital; and</w:t>
      </w:r>
    </w:p>
    <w:p w14:paraId="541FF7EC" w14:textId="77777777" w:rsidR="00717937" w:rsidRDefault="00717937" w:rsidP="00B07214">
      <w:pPr>
        <w:pStyle w:val="Dotpoint1"/>
      </w:pPr>
      <w:r>
        <w:t>specific taxes relating to insurance reserves.</w:t>
      </w:r>
    </w:p>
    <w:p w14:paraId="6976F917" w14:textId="297EE3BE" w:rsidR="00717937" w:rsidRDefault="00717937" w:rsidP="00717937">
      <w:pPr>
        <w:pStyle w:val="Normalparatextwithnumbers"/>
      </w:pPr>
      <w:r>
        <w:t xml:space="preserve">An entity may make the following </w:t>
      </w:r>
      <w:r w:rsidR="002E28F0">
        <w:t>A</w:t>
      </w:r>
      <w:r>
        <w:t xml:space="preserve">nnual or </w:t>
      </w:r>
      <w:r w:rsidR="002E28F0">
        <w:t>F</w:t>
      </w:r>
      <w:r>
        <w:t>ive-</w:t>
      </w:r>
      <w:r w:rsidR="002E28F0">
        <w:t>Y</w:t>
      </w:r>
      <w:r>
        <w:t xml:space="preserve">ear elections to adjust their GloBE Income or Loss for the following: </w:t>
      </w:r>
    </w:p>
    <w:p w14:paraId="143ED7D3" w14:textId="77777777" w:rsidR="00717937" w:rsidRDefault="00717937" w:rsidP="00B07214">
      <w:pPr>
        <w:pStyle w:val="Dotpoint1"/>
      </w:pPr>
      <w:r>
        <w:t>qualified debt release amount;</w:t>
      </w:r>
    </w:p>
    <w:p w14:paraId="49EA85C7" w14:textId="77777777" w:rsidR="00717937" w:rsidRDefault="00717937" w:rsidP="00B07214">
      <w:pPr>
        <w:pStyle w:val="Dotpoint1"/>
      </w:pPr>
      <w:r>
        <w:t>stock-based compensation;</w:t>
      </w:r>
    </w:p>
    <w:p w14:paraId="451B121D" w14:textId="77777777" w:rsidR="00717937" w:rsidRDefault="00717937" w:rsidP="00B07214">
      <w:pPr>
        <w:pStyle w:val="Dotpoint1"/>
      </w:pPr>
      <w:r>
        <w:t xml:space="preserve">realisation method, assets and liabilities that are subject to fair value or impairment accounting;  </w:t>
      </w:r>
    </w:p>
    <w:p w14:paraId="3A92AED0" w14:textId="77777777" w:rsidR="00717937" w:rsidRDefault="00717937" w:rsidP="00B07214">
      <w:pPr>
        <w:pStyle w:val="Dotpoint1"/>
      </w:pPr>
      <w:r>
        <w:t xml:space="preserve">Aggregate Asset Gain; </w:t>
      </w:r>
    </w:p>
    <w:p w14:paraId="284937F5" w14:textId="344F2077" w:rsidR="00717937" w:rsidRDefault="00717937" w:rsidP="00B07214">
      <w:pPr>
        <w:pStyle w:val="Dotpoint1"/>
      </w:pPr>
      <w:r w:rsidRPr="0060654D">
        <w:t xml:space="preserve">applying consolidated accounting treatment to eliminate income, expense, gain and losses from transactions between </w:t>
      </w:r>
      <w:r>
        <w:t>Constituent Entities</w:t>
      </w:r>
      <w:r w:rsidRPr="0060654D">
        <w:t xml:space="preserve"> that are located and included in a </w:t>
      </w:r>
      <w:r w:rsidR="001B58B0">
        <w:t>TCG</w:t>
      </w:r>
      <w:r>
        <w:t>;</w:t>
      </w:r>
      <w:r w:rsidRPr="008A24C1">
        <w:t xml:space="preserve"> </w:t>
      </w:r>
      <w:r>
        <w:t>or</w:t>
      </w:r>
    </w:p>
    <w:p w14:paraId="1BF4760B" w14:textId="77777777" w:rsidR="00717937" w:rsidRDefault="00717937" w:rsidP="00B07214">
      <w:pPr>
        <w:pStyle w:val="Dotpoint1"/>
      </w:pPr>
      <w:r>
        <w:t xml:space="preserve">gains and losses on hedging instruments that are considered effective hedges. </w:t>
      </w:r>
    </w:p>
    <w:p w14:paraId="0C6134C7" w14:textId="77777777" w:rsidR="00717937" w:rsidRDefault="00717937" w:rsidP="00717937">
      <w:pPr>
        <w:pStyle w:val="Heading3"/>
        <w:rPr>
          <w:rFonts w:hint="eastAsia"/>
        </w:rPr>
      </w:pPr>
      <w:bookmarkStart w:id="108" w:name="_Toc183003757"/>
      <w:bookmarkStart w:id="109" w:name="_Toc183786642"/>
      <w:bookmarkStart w:id="110" w:name="_Toc185502990"/>
      <w:r>
        <w:t>Inclusions</w:t>
      </w:r>
      <w:bookmarkEnd w:id="108"/>
      <w:bookmarkEnd w:id="109"/>
      <w:bookmarkEnd w:id="110"/>
    </w:p>
    <w:p w14:paraId="127D8BD1" w14:textId="77777777" w:rsidR="00717937" w:rsidRDefault="00717937" w:rsidP="000E4506">
      <w:pPr>
        <w:pStyle w:val="Heading5"/>
      </w:pPr>
      <w:r>
        <w:t>Net taxes expense</w:t>
      </w:r>
    </w:p>
    <w:p w14:paraId="756991A9" w14:textId="41AD677F" w:rsidR="00717937" w:rsidRDefault="007D50D4" w:rsidP="00717937">
      <w:pPr>
        <w:pStyle w:val="Normalparatextwithnumbers"/>
      </w:pPr>
      <w:r>
        <w:t>T</w:t>
      </w:r>
      <w:r w:rsidR="00717937">
        <w:t xml:space="preserve">ax expenses would ordinarily be </w:t>
      </w:r>
      <w:r w:rsidR="001D39C9">
        <w:t>included</w:t>
      </w:r>
      <w:r w:rsidR="00717937">
        <w:t xml:space="preserve"> in the calculation of the FANIL but must be added back </w:t>
      </w:r>
      <w:r w:rsidR="008E46EF">
        <w:t xml:space="preserve">in calculating the </w:t>
      </w:r>
      <w:r w:rsidR="00717937">
        <w:t xml:space="preserve">GloBE </w:t>
      </w:r>
      <w:r w:rsidR="00717937" w:rsidDel="00660EFA">
        <w:t xml:space="preserve">Income </w:t>
      </w:r>
      <w:r w:rsidR="00717937">
        <w:t xml:space="preserve">or </w:t>
      </w:r>
      <w:r w:rsidR="00717937" w:rsidDel="00660EFA">
        <w:t>Loss</w:t>
      </w:r>
      <w:r w:rsidR="00717937">
        <w:t xml:space="preserve"> in order to produce appropriate ETR calculation. This is because income taxes and other </w:t>
      </w:r>
      <w:r w:rsidR="004F2639">
        <w:t>C</w:t>
      </w:r>
      <w:r w:rsidR="00717937">
        <w:t xml:space="preserve">overed </w:t>
      </w:r>
      <w:r w:rsidR="004F2639">
        <w:t>T</w:t>
      </w:r>
      <w:r w:rsidR="00717937">
        <w:t>ax</w:t>
      </w:r>
      <w:r w:rsidR="004F2639">
        <w:t>es</w:t>
      </w:r>
      <w:r w:rsidR="00717937">
        <w:t xml:space="preserve"> liabilities that accrue in a Fiscal Year generally reduce FANIL for financial reporting purposes, which is the starting point for calculation of the GloBE Income or Loss. These taxes must be added back to income to accurately calculate the tax on total income for the Fiscal Year.</w:t>
      </w:r>
    </w:p>
    <w:p w14:paraId="6E05FE32" w14:textId="77777777" w:rsidR="00717937" w:rsidRDefault="00717937" w:rsidP="00717937">
      <w:pPr>
        <w:pStyle w:val="Normalparatextwithnumbers"/>
      </w:pPr>
      <w:r>
        <w:t xml:space="preserve">Net taxes expense is the sum of the following amounts: </w:t>
      </w:r>
    </w:p>
    <w:p w14:paraId="76F5C377" w14:textId="77777777" w:rsidR="00717937" w:rsidRDefault="00717937" w:rsidP="00B07214">
      <w:pPr>
        <w:pStyle w:val="Dotpoint1"/>
      </w:pPr>
      <w:r>
        <w:t xml:space="preserve">any Covered Taxes accrued as an expense and any current and deferred covered taxes included in the income tax expense, including covered taxes on income that is excluded from the GloBE Income or Loss computation; </w:t>
      </w:r>
    </w:p>
    <w:p w14:paraId="4D589D72" w14:textId="77777777" w:rsidR="00717937" w:rsidRDefault="00717937" w:rsidP="00B07214">
      <w:pPr>
        <w:pStyle w:val="Dotpoint1"/>
      </w:pPr>
      <w:r>
        <w:lastRenderedPageBreak/>
        <w:t>any deferred tax asset attributed to a loss for the fiscal year (this is recorded as a negative amount that arises from a GloBE loss election);</w:t>
      </w:r>
    </w:p>
    <w:p w14:paraId="5B9D09EF" w14:textId="108D6DE4" w:rsidR="00717937" w:rsidRDefault="00717937" w:rsidP="00B07214">
      <w:pPr>
        <w:pStyle w:val="Dotpoint1"/>
      </w:pPr>
      <w:r>
        <w:t xml:space="preserve">any </w:t>
      </w:r>
      <w:r w:rsidR="00B232B2">
        <w:t>QDMTT</w:t>
      </w:r>
      <w:r>
        <w:t>;</w:t>
      </w:r>
    </w:p>
    <w:p w14:paraId="329308C4" w14:textId="77777777" w:rsidR="00717937" w:rsidRDefault="00717937" w:rsidP="00B07214">
      <w:pPr>
        <w:pStyle w:val="Dotpoint1"/>
      </w:pPr>
      <w:r>
        <w:t xml:space="preserve">any taxes arising under the GloBE Rules; </w:t>
      </w:r>
    </w:p>
    <w:p w14:paraId="4DC4131B" w14:textId="77777777" w:rsidR="00717937" w:rsidRDefault="00717937" w:rsidP="00B07214">
      <w:pPr>
        <w:pStyle w:val="Dotpoint1"/>
      </w:pPr>
      <w:r>
        <w:t>any Disqualified Refundable Imputation Tax; and</w:t>
      </w:r>
    </w:p>
    <w:p w14:paraId="761DCCB8" w14:textId="77777777" w:rsidR="00717937" w:rsidRDefault="00717937" w:rsidP="00B07214">
      <w:pPr>
        <w:pStyle w:val="Dotpoint1"/>
      </w:pPr>
      <w:r>
        <w:t xml:space="preserve">tax paid by an insurance company in respect of returns to policyholders. </w:t>
      </w:r>
    </w:p>
    <w:p w14:paraId="7043ADD8" w14:textId="653A18CB" w:rsidR="00717937" w:rsidRDefault="00717937" w:rsidP="00717937">
      <w:pPr>
        <w:pStyle w:val="Normalparatextwithnumbers"/>
      </w:pPr>
      <w:r>
        <w:t xml:space="preserve">Importantly, </w:t>
      </w:r>
      <w:r w:rsidR="00D62734">
        <w:t xml:space="preserve">to </w:t>
      </w:r>
      <w:r w:rsidR="007623B5">
        <w:t xml:space="preserve">mitigate </w:t>
      </w:r>
      <w:r w:rsidR="00D62734">
        <w:t xml:space="preserve">potential anomalous outcomes, </w:t>
      </w:r>
      <w:r>
        <w:t xml:space="preserve">the income from the charge </w:t>
      </w:r>
      <w:r w:rsidRPr="00EC0DDB">
        <w:t xml:space="preserve">to </w:t>
      </w:r>
      <w:r>
        <w:t xml:space="preserve">insurance </w:t>
      </w:r>
      <w:r w:rsidRPr="00EC0DDB">
        <w:t xml:space="preserve">policy holders for </w:t>
      </w:r>
      <w:r>
        <w:t>tax</w:t>
      </w:r>
      <w:r w:rsidRPr="00EC0DDB">
        <w:t xml:space="preserve"> paid in respect of their returns</w:t>
      </w:r>
      <w:r>
        <w:t xml:space="preserve"> is removed</w:t>
      </w:r>
      <w:r w:rsidR="007623B5">
        <w:t>,</w:t>
      </w:r>
      <w:r w:rsidR="005664EF">
        <w:t xml:space="preserve"> to the extent section 3</w:t>
      </w:r>
      <w:r w:rsidR="005664EF">
        <w:noBreakHyphen/>
      </w:r>
      <w:r w:rsidR="002E28F0">
        <w:t>2</w:t>
      </w:r>
      <w:r w:rsidR="005664EF">
        <w:t>0</w:t>
      </w:r>
      <w:r w:rsidR="002E28F0">
        <w:t>5</w:t>
      </w:r>
      <w:r w:rsidR="005664EF">
        <w:t xml:space="preserve"> of the Rules applies</w:t>
      </w:r>
      <w:r w:rsidR="001D39C9">
        <w:t>.</w:t>
      </w:r>
      <w:r>
        <w:t xml:space="preserve"> </w:t>
      </w:r>
      <w:r>
        <w:br/>
      </w:r>
      <w:r w:rsidRPr="007B6DA0">
        <w:rPr>
          <w:rStyle w:val="References"/>
        </w:rPr>
        <w:t xml:space="preserve">[Chapter 3, </w:t>
      </w:r>
      <w:r w:rsidR="00FC55C1">
        <w:rPr>
          <w:rStyle w:val="References"/>
        </w:rPr>
        <w:t>section</w:t>
      </w:r>
      <w:r w:rsidRPr="007B6DA0">
        <w:rPr>
          <w:rStyle w:val="References"/>
        </w:rPr>
        <w:t xml:space="preserve"> 3-</w:t>
      </w:r>
      <w:r w:rsidR="00FC55C1">
        <w:rPr>
          <w:rStyle w:val="References"/>
        </w:rPr>
        <w:t>15</w:t>
      </w:r>
      <w:r>
        <w:rPr>
          <w:rStyle w:val="References"/>
        </w:rPr>
        <w:t xml:space="preserve"> of the Rules</w:t>
      </w:r>
      <w:r w:rsidRPr="007B6DA0">
        <w:rPr>
          <w:rStyle w:val="References"/>
        </w:rPr>
        <w:t>]</w:t>
      </w:r>
    </w:p>
    <w:p w14:paraId="64C51AFD" w14:textId="77777777" w:rsidR="00717937" w:rsidRDefault="00717937" w:rsidP="00717937">
      <w:pPr>
        <w:pStyle w:val="Normalparatextwithnumbers"/>
      </w:pPr>
      <w:r>
        <w:t xml:space="preserve">The adjustment for Net Tax Expenses will typically be a positive amount. However, where the Constituent Entity incurs a net loss that results in a deferred tax asset, then, adjustments will be a negative amount, see paragraph 23 on page 60 of the Consolidated Commentary. </w:t>
      </w:r>
    </w:p>
    <w:p w14:paraId="78A94D6C" w14:textId="731F7F65" w:rsidR="00717937" w:rsidRDefault="00717937" w:rsidP="00717937">
      <w:pPr>
        <w:pStyle w:val="Normalparatextwithnumbers"/>
      </w:pPr>
      <w:r>
        <w:t xml:space="preserve">Top-up Taxes arising under the GloBE Rules that have been accrued in the financial accounts must also be added back to the FANIL. The same adjustment is also required for </w:t>
      </w:r>
      <w:r w:rsidR="00B232B2">
        <w:t>QDMTT</w:t>
      </w:r>
      <w:r>
        <w:t xml:space="preserve"> because it also reduces the MNE Group</w:t>
      </w:r>
      <w:r w:rsidR="002E28F0">
        <w:t>’</w:t>
      </w:r>
      <w:r>
        <w:t xml:space="preserve">s Top-up Tax. </w:t>
      </w:r>
    </w:p>
    <w:p w14:paraId="120C2F8F" w14:textId="77777777" w:rsidR="00717937" w:rsidRPr="009A3C97" w:rsidRDefault="00717937" w:rsidP="000E4506">
      <w:pPr>
        <w:pStyle w:val="Heading6"/>
        <w:rPr>
          <w:rFonts w:hint="eastAsia"/>
        </w:rPr>
      </w:pPr>
      <w:r w:rsidRPr="009A3C97">
        <w:t xml:space="preserve">Distinction between refundable tax and imputation tax </w:t>
      </w:r>
    </w:p>
    <w:p w14:paraId="78893638" w14:textId="277B590B" w:rsidR="00717937" w:rsidRPr="0060654D" w:rsidRDefault="00717937" w:rsidP="00717937">
      <w:pPr>
        <w:pStyle w:val="Normalparatextwithnumbers"/>
        <w:numPr>
          <w:ilvl w:val="1"/>
          <w:numId w:val="27"/>
        </w:numPr>
      </w:pPr>
      <w:r w:rsidRPr="0060654D">
        <w:t>Qualified Imputation Tax is distinguished from a Disqualified Refundable Imputation Tax</w:t>
      </w:r>
      <w:r>
        <w:t>.</w:t>
      </w:r>
      <w:r w:rsidRPr="0060654D">
        <w:t xml:space="preserve"> </w:t>
      </w:r>
      <w:r>
        <w:t>B</w:t>
      </w:r>
      <w:r w:rsidRPr="0060654D">
        <w:t xml:space="preserve">oth taxes </w:t>
      </w:r>
      <w:r>
        <w:t xml:space="preserve">are </w:t>
      </w:r>
      <w:r w:rsidRPr="0060654D">
        <w:t xml:space="preserve">imputation taxes, as they allow either the company or the shareholder to claim a full or partial credit or refund of the corporate income tax previously paid by the company when that income is subsequently distributed to the shareholder in the form of a dividend. </w:t>
      </w:r>
      <w:r w:rsidR="00415E5A">
        <w:t>Disqualified Refundable Imputation Tax is also defined in paragraphs 9 to 11 on page 238 of the Consolidated Commentary.</w:t>
      </w:r>
    </w:p>
    <w:p w14:paraId="42F2082A" w14:textId="77777777" w:rsidR="00717937" w:rsidRPr="0060654D" w:rsidRDefault="00717937" w:rsidP="00717937">
      <w:pPr>
        <w:pStyle w:val="Normalparatextwithnumbers"/>
        <w:numPr>
          <w:ilvl w:val="1"/>
          <w:numId w:val="27"/>
        </w:numPr>
      </w:pPr>
      <w:r w:rsidRPr="0060654D">
        <w:t>However, under a Disqualified Refundable Imputation Tax regime, the corporate tax previously paid may be refunded without subjecting the shareholders to tax on the dividend.</w:t>
      </w:r>
      <w:r>
        <w:t xml:space="preserve"> </w:t>
      </w:r>
      <w:r w:rsidRPr="00524CB7">
        <w:t xml:space="preserve">Disqualified Refundable Imputation Taxes are not Covered Taxes. Disqualified Refundable Imputation Taxes paid or accrued must be added back to FANIL. These taxes are essentially deposits </w:t>
      </w:r>
      <w:r>
        <w:t>that the</w:t>
      </w:r>
      <w:r w:rsidRPr="00524CB7">
        <w:t xml:space="preserve"> MNE Group can have refunded at the time of distribution of dividend</w:t>
      </w:r>
      <w:r>
        <w:t>s</w:t>
      </w:r>
      <w:r w:rsidRPr="00524CB7">
        <w:t>. When Disqualified Refundable Imputation Taxes that are refunded or credited to the MNE Group in a Fiscal Year, they must be removed from income or added back to the tax expense</w:t>
      </w:r>
      <w:r>
        <w:t>, see paragraph 25 on page 60, paragraph 33 on page 62 and paragraph 9 on page 238 of the Consolidated Commentary</w:t>
      </w:r>
      <w:r w:rsidRPr="00524CB7">
        <w:t>.</w:t>
      </w:r>
    </w:p>
    <w:p w14:paraId="5A301CFB" w14:textId="45122797" w:rsidR="00717937" w:rsidRPr="0060654D" w:rsidRDefault="00717937" w:rsidP="00717937">
      <w:pPr>
        <w:pStyle w:val="Normalparatextwithnumbers"/>
        <w:numPr>
          <w:ilvl w:val="1"/>
          <w:numId w:val="27"/>
        </w:numPr>
        <w:rPr>
          <w:sz w:val="20"/>
          <w:szCs w:val="20"/>
        </w:rPr>
      </w:pPr>
      <w:r w:rsidRPr="0060654D">
        <w:t xml:space="preserve">The definition of a Qualified Imputation Tax has specific requirements with respect to the taxation of the dividend recipients. The refund or credit must arise in connection with a dividend to a beneficial owner that is either subject </w:t>
      </w:r>
      <w:r w:rsidRPr="0060654D">
        <w:lastRenderedPageBreak/>
        <w:t>to tax that is at least 15</w:t>
      </w:r>
      <w:r w:rsidR="00433F44">
        <w:t xml:space="preserve"> per cent</w:t>
      </w:r>
      <w:r w:rsidRPr="0060654D">
        <w:t xml:space="preserve"> or is a</w:t>
      </w:r>
      <w:r>
        <w:t>n individual beneficial owner who is a tax</w:t>
      </w:r>
      <w:r w:rsidRPr="0060654D">
        <w:t xml:space="preserve"> resident in the jurisdiction of the distributing corporation and is subject to tax on the dividend as ordinary income. </w:t>
      </w:r>
      <w:r w:rsidRPr="0060654D">
        <w:rPr>
          <w:rFonts w:cs="Times New Roman"/>
          <w:szCs w:val="18"/>
        </w:rPr>
        <w:t>The requirements in the definition of a Qualified Imputation Tax are descriptive of the corporate tax regimes of countries such as Australia and New Zealand</w:t>
      </w:r>
      <w:r w:rsidRPr="0060654D">
        <w:rPr>
          <w:sz w:val="20"/>
          <w:szCs w:val="20"/>
        </w:rPr>
        <w:t>.</w:t>
      </w:r>
    </w:p>
    <w:p w14:paraId="3430FB53" w14:textId="77777777" w:rsidR="00717937" w:rsidRPr="009049BF" w:rsidRDefault="00717937" w:rsidP="00717937">
      <w:pPr>
        <w:pStyle w:val="Normalparatextwithnumbers"/>
        <w:numPr>
          <w:ilvl w:val="1"/>
          <w:numId w:val="27"/>
        </w:numPr>
      </w:pPr>
      <w:r w:rsidRPr="0060654D">
        <w:t>A Q</w:t>
      </w:r>
      <w:r>
        <w:t>ualified Refundable Tax Credit</w:t>
      </w:r>
      <w:r w:rsidRPr="0060654D">
        <w:t xml:space="preserve"> does not include any amount of tax that is creditable or refundable pursuant to either a Qualified Imputation Tax or a Disqualified Refundable Imputation Tax.</w:t>
      </w:r>
    </w:p>
    <w:p w14:paraId="56267014" w14:textId="77777777" w:rsidR="00717937" w:rsidRDefault="00717937" w:rsidP="000E4506">
      <w:pPr>
        <w:pStyle w:val="Heading5"/>
      </w:pPr>
      <w:r>
        <w:t xml:space="preserve">Revaluation method </w:t>
      </w:r>
    </w:p>
    <w:p w14:paraId="1BA68057" w14:textId="211F8131" w:rsidR="00717937" w:rsidRDefault="00717937" w:rsidP="00717937">
      <w:pPr>
        <w:pStyle w:val="Normalparatextwithnumbers"/>
      </w:pPr>
      <w:r>
        <w:t>Under financial accounting standards, Constituent Entities can elect the cost model or revaluation model, as its accounting policy for property, plant and equipment</w:t>
      </w:r>
      <w:r w:rsidR="00361665">
        <w:t>, see paragraph</w:t>
      </w:r>
      <w:r w:rsidR="00892342">
        <w:t>s</w:t>
      </w:r>
      <w:r w:rsidR="00361665">
        <w:t xml:space="preserve"> 58</w:t>
      </w:r>
      <w:r w:rsidR="00892342">
        <w:t xml:space="preserve"> to 62 on page 72 of the Consolidated Commentary</w:t>
      </w:r>
      <w:r>
        <w:t xml:space="preserve">. </w:t>
      </w:r>
    </w:p>
    <w:p w14:paraId="5D96519C" w14:textId="4E2051B2" w:rsidR="00717937" w:rsidRDefault="00717937" w:rsidP="00717937">
      <w:pPr>
        <w:pStyle w:val="Normalparatextwithnumbers"/>
      </w:pPr>
      <w:r>
        <w:t>Revaluation increases are generally recognised in O</w:t>
      </w:r>
      <w:r w:rsidR="0073251F">
        <w:t xml:space="preserve">ther </w:t>
      </w:r>
      <w:r>
        <w:t>C</w:t>
      </w:r>
      <w:r w:rsidR="0073251F">
        <w:t xml:space="preserve">omprehensive </w:t>
      </w:r>
      <w:r>
        <w:t>I</w:t>
      </w:r>
      <w:r w:rsidR="0073251F">
        <w:t>ncome</w:t>
      </w:r>
      <w:r>
        <w:t xml:space="preserve">, rather than profit or loss. Revaluation decreases, on the other hand, are generally (but not always) recognised in profit and loss. </w:t>
      </w:r>
      <w:r w:rsidRPr="0060654D">
        <w:t xml:space="preserve">Absent a corrective measure, the revaluation model would impact the computation of GloBE Income </w:t>
      </w:r>
      <w:r>
        <w:t xml:space="preserve">or Loss </w:t>
      </w:r>
      <w:r w:rsidRPr="0060654D">
        <w:t>because revaluation gains are generally excluded from FANIL, but then depreciation expense is determined based on the revalued amount</w:t>
      </w:r>
      <w:r>
        <w:t xml:space="preserve">. </w:t>
      </w:r>
    </w:p>
    <w:p w14:paraId="6AC5BCDD" w14:textId="2AE9A64E" w:rsidR="00717937" w:rsidRPr="007B6DA0" w:rsidRDefault="00717937" w:rsidP="00717937">
      <w:pPr>
        <w:pStyle w:val="Normalparatextwithnumbers"/>
        <w:rPr>
          <w:rStyle w:val="References"/>
          <w:b w:val="0"/>
          <w:i w:val="0"/>
        </w:rPr>
      </w:pPr>
      <w:r>
        <w:t>The effect of this adjustment is to require</w:t>
      </w:r>
      <w:r w:rsidDel="008440C7">
        <w:t xml:space="preserve"> </w:t>
      </w:r>
      <w:r>
        <w:t>any revaluation to be included in the GloBE Income or Loss computation. Any revaluation losses or subsequent incremental increases in depreciation are to be included in the GloBE Income or Loss, only if they are attributable to revaluation increases included in the GloBE Income or Loss computation pursuant to section 3-</w:t>
      </w:r>
      <w:r w:rsidR="002E28F0">
        <w:t>4</w:t>
      </w:r>
      <w:r w:rsidDel="002E28F0">
        <w:t>5</w:t>
      </w:r>
      <w:r>
        <w:t xml:space="preserve"> of the Rules. </w:t>
      </w:r>
      <w:r>
        <w:br/>
      </w:r>
      <w:r w:rsidRPr="00E138D2">
        <w:rPr>
          <w:rStyle w:val="References"/>
        </w:rPr>
        <w:t>[</w:t>
      </w:r>
      <w:r>
        <w:rPr>
          <w:rStyle w:val="References"/>
        </w:rPr>
        <w:t>Chapter 3, sections 3-</w:t>
      </w:r>
      <w:r w:rsidR="002E28F0">
        <w:rPr>
          <w:rStyle w:val="References"/>
        </w:rPr>
        <w:t>4</w:t>
      </w:r>
      <w:r w:rsidDel="002E28F0">
        <w:rPr>
          <w:rStyle w:val="References"/>
        </w:rPr>
        <w:t>5</w:t>
      </w:r>
      <w:r>
        <w:rPr>
          <w:rStyle w:val="References"/>
        </w:rPr>
        <w:t xml:space="preserve"> and 3-</w:t>
      </w:r>
      <w:r w:rsidR="002E28F0">
        <w:rPr>
          <w:rStyle w:val="References"/>
        </w:rPr>
        <w:t>5</w:t>
      </w:r>
      <w:r>
        <w:rPr>
          <w:rStyle w:val="References"/>
        </w:rPr>
        <w:t>0 of the Rules</w:t>
      </w:r>
      <w:r w:rsidRPr="00E138D2">
        <w:rPr>
          <w:rStyle w:val="References"/>
        </w:rPr>
        <w:t xml:space="preserve">] </w:t>
      </w:r>
    </w:p>
    <w:p w14:paraId="3EEB5967" w14:textId="77777777" w:rsidR="00717937" w:rsidRDefault="00717937" w:rsidP="00717937">
      <w:pPr>
        <w:pStyle w:val="Normalparatextwithnumbers"/>
      </w:pPr>
      <w:r>
        <w:t xml:space="preserve">Any current or deferred Covered Taxes associated with an Included Revaluation Method Gain or Loss are taken into account in the computation of Adjusted Covered Taxes in Chapter 4, if they are subject to Covered Tax in the local tax jurisdiction. </w:t>
      </w:r>
    </w:p>
    <w:p w14:paraId="1EBC32F7" w14:textId="77777777" w:rsidR="00717937" w:rsidRDefault="00717937" w:rsidP="00A51861">
      <w:pPr>
        <w:pStyle w:val="Heading5"/>
      </w:pPr>
      <w:r>
        <w:t>Prior period errors and changes in accounting principles or policy</w:t>
      </w:r>
    </w:p>
    <w:p w14:paraId="34FBE315" w14:textId="77777777" w:rsidR="00717937" w:rsidRDefault="00717937" w:rsidP="00717937">
      <w:pPr>
        <w:pStyle w:val="Normalparatextwithnumbers"/>
      </w:pPr>
      <w:r>
        <w:t xml:space="preserve">An adjustment is required where there are prior period errors or changes in accounting principles or policy that changes the opening equity at the beginning of the Fiscal Year that affects income or expenses that are included in the computation of GloBE Income or Loss, see paragraphs 79 to 84 on pages 75 and 76 of the Consolidated Commentary. </w:t>
      </w:r>
    </w:p>
    <w:p w14:paraId="3E435CB1" w14:textId="46E507E0" w:rsidR="00717937" w:rsidRDefault="00717937" w:rsidP="00717937">
      <w:pPr>
        <w:pStyle w:val="Normalparatextwithnumbers"/>
      </w:pPr>
      <w:r>
        <w:t xml:space="preserve">When an MNE Group corrects an error in the FANIL of a Constituent Entity for a Fiscal Year, the MNE Group must re-determine the opening equity of the Entity in the Fiscal Year in which the error was identified. For GloBE purposes, the adjustment to the opening equity must be taken into account in </w:t>
      </w:r>
      <w:r>
        <w:lastRenderedPageBreak/>
        <w:t>determining the GloBE Income or Loss for the Fiscal Year.</w:t>
      </w:r>
      <w:r>
        <w:br/>
      </w:r>
      <w:r w:rsidRPr="00CB596B">
        <w:rPr>
          <w:rStyle w:val="References"/>
        </w:rPr>
        <w:t>[</w:t>
      </w:r>
      <w:r>
        <w:rPr>
          <w:rStyle w:val="References"/>
        </w:rPr>
        <w:t>Chapter 3, section 3-</w:t>
      </w:r>
      <w:r w:rsidR="002E28F0">
        <w:rPr>
          <w:rStyle w:val="References"/>
        </w:rPr>
        <w:t>70</w:t>
      </w:r>
      <w:r>
        <w:rPr>
          <w:rStyle w:val="References"/>
        </w:rPr>
        <w:t xml:space="preserve"> </w:t>
      </w:r>
      <w:r w:rsidRPr="004D4019">
        <w:rPr>
          <w:rStyle w:val="References"/>
        </w:rPr>
        <w:t>of the Rules</w:t>
      </w:r>
      <w:r w:rsidRPr="00CB596B">
        <w:rPr>
          <w:rStyle w:val="References"/>
        </w:rPr>
        <w:t xml:space="preserve">] </w:t>
      </w:r>
    </w:p>
    <w:p w14:paraId="3947D7C1" w14:textId="728B5FE8" w:rsidR="00717937" w:rsidRDefault="00717937" w:rsidP="00717937">
      <w:pPr>
        <w:pStyle w:val="Normalparatextwithnumbers"/>
      </w:pPr>
      <w:r>
        <w:t xml:space="preserve">When an MNE Group changes an accounting principle or policy used in the determination of its FANIL, it may be required to re-determine its opening equity as if it had used the new accounting principle or policy in the Fiscal Year, this could be </w:t>
      </w:r>
      <w:r w:rsidRPr="00D158E1">
        <w:t>prior or future</w:t>
      </w:r>
      <w:r>
        <w:t xml:space="preserve"> Fiscal Year/s (future year impacts could include, for example, deferred items). This adjustment may be necessary under the accounting standards to prevent the amount from being double counted or omitted from the MNE Group’s income or equity in a Fiscal Year as a result in the change of principle or policy. The change in accounting principle or policy may require either an increase or decrease in the opening equity. The adjustment under section 3-</w:t>
      </w:r>
      <w:r w:rsidR="002E28F0">
        <w:t>70</w:t>
      </w:r>
      <w:r>
        <w:t xml:space="preserve"> of the Rules should correspond directly to the adjustment in the opening equity.</w:t>
      </w:r>
      <w:r>
        <w:br/>
      </w:r>
      <w:r w:rsidRPr="00CB596B">
        <w:rPr>
          <w:rStyle w:val="References"/>
        </w:rPr>
        <w:t>[</w:t>
      </w:r>
      <w:r>
        <w:rPr>
          <w:rStyle w:val="References"/>
        </w:rPr>
        <w:t>Chapter 3, subsection 3-</w:t>
      </w:r>
      <w:r w:rsidR="002E28F0">
        <w:rPr>
          <w:rStyle w:val="References"/>
        </w:rPr>
        <w:t>70</w:t>
      </w:r>
      <w:r>
        <w:rPr>
          <w:rStyle w:val="References"/>
        </w:rPr>
        <w:t xml:space="preserve"> </w:t>
      </w:r>
      <w:r w:rsidRPr="004D4019">
        <w:rPr>
          <w:rStyle w:val="References"/>
        </w:rPr>
        <w:t>of the Rules</w:t>
      </w:r>
      <w:r w:rsidRPr="00CB596B">
        <w:rPr>
          <w:rStyle w:val="References"/>
        </w:rPr>
        <w:t>]</w:t>
      </w:r>
    </w:p>
    <w:p w14:paraId="142CDEB5" w14:textId="419539F1" w:rsidR="00717937" w:rsidRDefault="00717937" w:rsidP="00717937">
      <w:pPr>
        <w:pStyle w:val="Normalparatextwithnumbers"/>
      </w:pPr>
      <w:r>
        <w:t xml:space="preserve">Adjustments are only required to the extent the equity adjustment is attributable to items of income or expense that were or would have been included in the computation of the GloBE Income or Loss. To the extent that the adjustment relates to the Constituent Entity to Fiscal Years prior to the application of the </w:t>
      </w:r>
      <w:r w:rsidR="008E4E3A">
        <w:t xml:space="preserve">Imposition </w:t>
      </w:r>
      <w:r w:rsidR="000549AF">
        <w:t>Act</w:t>
      </w:r>
      <w:r w:rsidR="008E4E3A">
        <w:t>, Assessment Act</w:t>
      </w:r>
      <w:r w:rsidR="000549AF">
        <w:t xml:space="preserve"> </w:t>
      </w:r>
      <w:r>
        <w:t xml:space="preserve">and the Rules, it is excluded from the computation of GloBE Income or Loss. </w:t>
      </w:r>
      <w:r>
        <w:br/>
      </w:r>
      <w:r w:rsidRPr="00CB596B">
        <w:rPr>
          <w:rStyle w:val="References"/>
        </w:rPr>
        <w:t>[</w:t>
      </w:r>
      <w:r>
        <w:rPr>
          <w:rStyle w:val="References"/>
        </w:rPr>
        <w:t>Chapter 3, subsection 3-</w:t>
      </w:r>
      <w:r w:rsidR="002E28F0">
        <w:rPr>
          <w:rStyle w:val="References"/>
        </w:rPr>
        <w:t>70</w:t>
      </w:r>
      <w:r>
        <w:rPr>
          <w:rStyle w:val="References"/>
        </w:rPr>
        <w:t xml:space="preserve"> </w:t>
      </w:r>
      <w:r w:rsidRPr="004D4019">
        <w:rPr>
          <w:rStyle w:val="References"/>
        </w:rPr>
        <w:t>of the Rules</w:t>
      </w:r>
      <w:r w:rsidRPr="00CB596B">
        <w:rPr>
          <w:rStyle w:val="References"/>
        </w:rPr>
        <w:t>]</w:t>
      </w:r>
    </w:p>
    <w:p w14:paraId="18688632" w14:textId="14DCBB4E" w:rsidR="00717937" w:rsidRDefault="00717937" w:rsidP="00717937">
      <w:pPr>
        <w:pStyle w:val="Normalparatextwithnumbers"/>
      </w:pPr>
      <w:r>
        <w:t>An adjustment is not required where an error correction is a decrease that requires re-computation of the ETR and Top-up Tax for a previous Fiscal Year, as these adjustments are subject to post-filing adjustments and tax rate changes under Part 4-6</w:t>
      </w:r>
      <w:r w:rsidRPr="004D4019">
        <w:t xml:space="preserve"> of the Rules</w:t>
      </w:r>
      <w:r>
        <w:t xml:space="preserve">. </w:t>
      </w:r>
      <w:r>
        <w:br/>
      </w:r>
      <w:r w:rsidRPr="00186730">
        <w:rPr>
          <w:rStyle w:val="References"/>
        </w:rPr>
        <w:t>[</w:t>
      </w:r>
      <w:r>
        <w:rPr>
          <w:rStyle w:val="References"/>
        </w:rPr>
        <w:t xml:space="preserve">Chapter 3, </w:t>
      </w:r>
      <w:r w:rsidR="00D64A0F">
        <w:rPr>
          <w:rStyle w:val="References"/>
        </w:rPr>
        <w:t>paragraph</w:t>
      </w:r>
      <w:r>
        <w:rPr>
          <w:rStyle w:val="References"/>
        </w:rPr>
        <w:t xml:space="preserve"> 3-</w:t>
      </w:r>
      <w:r w:rsidR="007662E5">
        <w:rPr>
          <w:rStyle w:val="References"/>
        </w:rPr>
        <w:t>70</w:t>
      </w:r>
      <w:r>
        <w:rPr>
          <w:rStyle w:val="References"/>
        </w:rPr>
        <w:t>(a)</w:t>
      </w:r>
      <w:r w:rsidRPr="004D4019">
        <w:t xml:space="preserve"> </w:t>
      </w:r>
      <w:r w:rsidRPr="004D4019">
        <w:rPr>
          <w:rStyle w:val="References"/>
        </w:rPr>
        <w:t>of the Rules</w:t>
      </w:r>
      <w:r w:rsidRPr="00186730">
        <w:rPr>
          <w:rStyle w:val="References"/>
        </w:rPr>
        <w:t xml:space="preserve">] </w:t>
      </w:r>
    </w:p>
    <w:p w14:paraId="7CF0E7BB" w14:textId="77777777" w:rsidR="00717937" w:rsidRDefault="00717937" w:rsidP="00A51861">
      <w:pPr>
        <w:pStyle w:val="Heading5"/>
      </w:pPr>
      <w:r>
        <w:t>Accrued Pension Expense</w:t>
      </w:r>
    </w:p>
    <w:p w14:paraId="40F6DA48" w14:textId="77777777" w:rsidR="00717937" w:rsidRDefault="00717937" w:rsidP="00717937">
      <w:pPr>
        <w:pStyle w:val="Normalparatextwithnumbers"/>
      </w:pPr>
      <w:r>
        <w:t>Adjustments for accrued pension amounts apply regardless of whether the pension fund is in surplus, deficit, or liability position.</w:t>
      </w:r>
    </w:p>
    <w:p w14:paraId="5920E4FB" w14:textId="7A9D46B2" w:rsidR="00717937" w:rsidRDefault="00717937" w:rsidP="00717937">
      <w:pPr>
        <w:pStyle w:val="Normalparatextwithnumbers"/>
      </w:pPr>
      <w:r>
        <w:t>Adjustments only apply to amounts paid to a pension fund and does not include amounts that are accrued for direct pension payments to a former employee, see paragraph 85 on page 76 of the Consolidated Commentary.</w:t>
      </w:r>
      <w:r w:rsidR="001B1A57" w:rsidRPr="001B1A57">
        <w:t xml:space="preserve"> </w:t>
      </w:r>
      <w:r w:rsidR="001B1A57">
        <w:t xml:space="preserve">In Australia, a Pension Fund </w:t>
      </w:r>
      <w:r w:rsidR="00B11BD9">
        <w:t xml:space="preserve">captures </w:t>
      </w:r>
      <w:r w:rsidR="001B1A57">
        <w:t>complying self</w:t>
      </w:r>
      <w:r w:rsidR="001B1A57">
        <w:noBreakHyphen/>
        <w:t>managed superannuation fund, registrable superannuation entity</w:t>
      </w:r>
      <w:r w:rsidR="00B11BD9">
        <w:t xml:space="preserve"> and</w:t>
      </w:r>
      <w:r w:rsidR="001B1A57">
        <w:t xml:space="preserve"> retirement savings account</w:t>
      </w:r>
      <w:r w:rsidR="00B11BD9">
        <w:t xml:space="preserve">. </w:t>
      </w:r>
    </w:p>
    <w:p w14:paraId="5DFD4F71" w14:textId="77777777" w:rsidR="00717937" w:rsidRDefault="00717937" w:rsidP="00717937">
      <w:pPr>
        <w:pStyle w:val="Normalparatextwithnumbers"/>
      </w:pPr>
      <w:r>
        <w:t xml:space="preserve">Any difference in the accrued pension expense and the contribution is excluded from GloBE income, by using the following formula: </w:t>
      </w:r>
    </w:p>
    <w:p w14:paraId="59DD8F38" w14:textId="59B531C9" w:rsidR="00717937" w:rsidRDefault="00944F95" w:rsidP="00717937">
      <w:pPr>
        <w:pStyle w:val="Normalparatextnonumbers"/>
        <w:ind w:left="709"/>
      </w:pPr>
      <w:r w:rsidRPr="00944F95">
        <w:rPr>
          <w:rStyle w:val="References"/>
          <w:b w:val="0"/>
          <w:bCs w:val="0"/>
          <w:i w:val="0"/>
          <w:iCs w:val="0"/>
          <w:noProof/>
        </w:rPr>
        <w:drawing>
          <wp:inline distT="0" distB="0" distL="0" distR="0" wp14:anchorId="381D834A" wp14:editId="20AF7BF7">
            <wp:extent cx="4896485" cy="495935"/>
            <wp:effectExtent l="0" t="0" r="0" b="0"/>
            <wp:docPr id="1303216113" name="Picture 4" descr="Formula for any difference in the accrued pension expense and the contribution is excluded from GLOB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16113" name="Picture 4" descr="Formula for any difference in the accrued pension expense and the contribution is excluded from GLOBE incom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96485" cy="495935"/>
                    </a:xfrm>
                    <a:prstGeom prst="rect">
                      <a:avLst/>
                    </a:prstGeom>
                    <a:noFill/>
                    <a:ln>
                      <a:noFill/>
                    </a:ln>
                  </pic:spPr>
                </pic:pic>
              </a:graphicData>
            </a:graphic>
          </wp:inline>
        </w:drawing>
      </w:r>
      <w:r w:rsidRPr="000D3349">
        <w:rPr>
          <w:rStyle w:val="References"/>
        </w:rPr>
        <w:t xml:space="preserve"> </w:t>
      </w:r>
      <w:r w:rsidR="00717937" w:rsidRPr="000D3349">
        <w:rPr>
          <w:rStyle w:val="References"/>
        </w:rPr>
        <w:t>[</w:t>
      </w:r>
      <w:r w:rsidR="00717937">
        <w:rPr>
          <w:rStyle w:val="References"/>
        </w:rPr>
        <w:t>Chapter 3, section 3-</w:t>
      </w:r>
      <w:r w:rsidR="007662E5">
        <w:rPr>
          <w:rStyle w:val="References"/>
        </w:rPr>
        <w:t>75</w:t>
      </w:r>
      <w:r w:rsidR="00717937">
        <w:rPr>
          <w:rStyle w:val="References"/>
        </w:rPr>
        <w:t xml:space="preserve"> of the Rules</w:t>
      </w:r>
      <w:r w:rsidR="00717937" w:rsidRPr="000D3349">
        <w:rPr>
          <w:rStyle w:val="References"/>
        </w:rPr>
        <w:t xml:space="preserve">] </w:t>
      </w:r>
    </w:p>
    <w:p w14:paraId="23CC4A23" w14:textId="77777777" w:rsidR="00717937" w:rsidRDefault="00717937" w:rsidP="00717937">
      <w:pPr>
        <w:pStyle w:val="Normalparatextwithnumbers"/>
      </w:pPr>
      <w:r>
        <w:t xml:space="preserve">The formula ensures that these differences are cancelled out, by recording: </w:t>
      </w:r>
    </w:p>
    <w:p w14:paraId="6F44DEAE" w14:textId="77777777" w:rsidR="00717937" w:rsidRDefault="00717937" w:rsidP="00B7652D">
      <w:pPr>
        <w:pStyle w:val="Dotpoint1"/>
      </w:pPr>
      <w:r>
        <w:lastRenderedPageBreak/>
        <w:t>accrued income as a positive amount;</w:t>
      </w:r>
    </w:p>
    <w:p w14:paraId="401F9B5E" w14:textId="77777777" w:rsidR="00717937" w:rsidRDefault="00717937" w:rsidP="00B7652D">
      <w:pPr>
        <w:pStyle w:val="Dotpoint1"/>
      </w:pPr>
      <w:r>
        <w:t xml:space="preserve">accrued expense as negative; </w:t>
      </w:r>
    </w:p>
    <w:p w14:paraId="17983D31" w14:textId="77777777" w:rsidR="00717937" w:rsidRDefault="00717937" w:rsidP="00B7652D">
      <w:pPr>
        <w:pStyle w:val="Dotpoint1"/>
      </w:pPr>
      <w:r>
        <w:t>contribution amounts as positive;</w:t>
      </w:r>
    </w:p>
    <w:p w14:paraId="467044B0" w14:textId="77777777" w:rsidR="00717937" w:rsidRDefault="00717937" w:rsidP="00B7652D">
      <w:pPr>
        <w:pStyle w:val="Dotpoint1"/>
      </w:pPr>
      <w:r>
        <w:t xml:space="preserve">resulting adjustment may be positive or negative, depending if expense exceeds contributions (positive) or if contributions exceed expense (negative); </w:t>
      </w:r>
    </w:p>
    <w:p w14:paraId="5C07DD24" w14:textId="2ECADAB1" w:rsidR="00717937" w:rsidRDefault="00717937" w:rsidP="00B7652D">
      <w:pPr>
        <w:pStyle w:val="Dotpoint1"/>
      </w:pPr>
      <w:r>
        <w:t>in the case of pension income, adjustment is calculated as the sum of pension income and pension contributions resulting in negative adjustment</w:t>
      </w:r>
      <w:r w:rsidR="005236F9">
        <w:t>.</w:t>
      </w:r>
    </w:p>
    <w:p w14:paraId="34BB99AD" w14:textId="41C5F249" w:rsidR="00717937" w:rsidRDefault="00717937" w:rsidP="00717937">
      <w:pPr>
        <w:pStyle w:val="Normalparatextwithnumbers"/>
      </w:pPr>
      <w:r>
        <w:t>In cases where the Pension Fund is in surplus and the surplus (net income) is distributed to a Constituent Entity, that surplus will be included in the computation of the Constituent Entity’s GloBE Income or Loss in the Fiscal Year of the distribution</w:t>
      </w:r>
      <w:r w:rsidR="00D51D88">
        <w:t xml:space="preserve">, see paragraph 86 </w:t>
      </w:r>
      <w:r w:rsidR="002F261C">
        <w:t>on page 77 of the Consolidated Commentary</w:t>
      </w:r>
      <w:r>
        <w:t>.</w:t>
      </w:r>
    </w:p>
    <w:p w14:paraId="1C035565" w14:textId="73BE9EB6" w:rsidR="00717937" w:rsidRDefault="00717937" w:rsidP="00A51861">
      <w:pPr>
        <w:pStyle w:val="Heading5"/>
      </w:pPr>
      <w:r>
        <w:t>Arm’s Length requirement for cross border transactions</w:t>
      </w:r>
    </w:p>
    <w:p w14:paraId="46EFCB79" w14:textId="7C10BF11" w:rsidR="00717937" w:rsidRDefault="00717937" w:rsidP="00717937">
      <w:pPr>
        <w:pStyle w:val="Normalparatextwithnumbers"/>
      </w:pPr>
      <w:r>
        <w:t xml:space="preserve">Transactions between Constituent Entities of the MNE Group located in different jurisdictions must be recorded consistently with the Arm’s Length Principle in the computation of GloBE Income or Loss. This principle requires transactions to be recorded at the same price for all Constituent Entities that are parties to the transaction. The Arm’s Length Principle applies in situations where all the relevant tax authorities agree that a transfer price must be adjusted to the same price, resulting in the counterparties making the relevant adjustment for the purposes of computing their GloBE Income or Loss. </w:t>
      </w:r>
      <w:r>
        <w:br/>
        <w:t xml:space="preserve"> </w:t>
      </w:r>
      <w:r w:rsidRPr="00C04260">
        <w:rPr>
          <w:rStyle w:val="References"/>
        </w:rPr>
        <w:t>[Chapter 3, section 3</w:t>
      </w:r>
      <w:r w:rsidRPr="00C04260">
        <w:rPr>
          <w:rStyle w:val="References"/>
        </w:rPr>
        <w:noBreakHyphen/>
      </w:r>
      <w:r w:rsidR="007662E5">
        <w:rPr>
          <w:rStyle w:val="References"/>
        </w:rPr>
        <w:t>95</w:t>
      </w:r>
      <w:r w:rsidRPr="00C04260">
        <w:rPr>
          <w:rStyle w:val="References"/>
        </w:rPr>
        <w:t xml:space="preserve"> of the Rules]</w:t>
      </w:r>
    </w:p>
    <w:p w14:paraId="785DBB3E" w14:textId="77777777" w:rsidR="00717937" w:rsidRDefault="00717937" w:rsidP="00717937">
      <w:pPr>
        <w:pStyle w:val="Normalparatextwithnumbers"/>
      </w:pPr>
      <w:r>
        <w:t xml:space="preserve">In some cases, the transfer price used in the financial accounts of the counterparties may differ from the transfer price used to compute each counterparty’s taxable income. These differences may arise where: </w:t>
      </w:r>
    </w:p>
    <w:p w14:paraId="3EE53501" w14:textId="77777777" w:rsidR="00717937" w:rsidRDefault="00717937" w:rsidP="00B07214">
      <w:pPr>
        <w:pStyle w:val="Dotpoint1"/>
      </w:pPr>
      <w:r>
        <w:t xml:space="preserve">a unilateral Advanced Pricing Agreement has been agreed; </w:t>
      </w:r>
    </w:p>
    <w:p w14:paraId="7A2F4E63" w14:textId="77777777" w:rsidR="00717937" w:rsidRDefault="00717937" w:rsidP="00B07214">
      <w:pPr>
        <w:pStyle w:val="Dotpoint1"/>
      </w:pPr>
      <w:r>
        <w:t>a Constituent Entity files a tax return under a self-assessment system that includes book</w:t>
      </w:r>
      <w:r>
        <w:noBreakHyphen/>
        <w:t xml:space="preserve">to-tax adjustments, in order to comply with domestic transfer pricing rules; or </w:t>
      </w:r>
    </w:p>
    <w:p w14:paraId="03DF22CE" w14:textId="77777777" w:rsidR="00717937" w:rsidRDefault="00717937" w:rsidP="00B07214">
      <w:pPr>
        <w:pStyle w:val="Dotpoint1"/>
      </w:pPr>
      <w:r>
        <w:t>a tax authority challenges and adjusts the transfer price used in the local tax return of one of the Constituent Entities.</w:t>
      </w:r>
    </w:p>
    <w:p w14:paraId="6493742D" w14:textId="08CBD44B" w:rsidR="00F833B1" w:rsidRDefault="00717937">
      <w:pPr>
        <w:pStyle w:val="Normalparatextwithnumbers"/>
      </w:pPr>
      <w:r w:rsidRPr="003712EB">
        <w:t>Th</w:t>
      </w:r>
      <w:r>
        <w:t>e</w:t>
      </w:r>
      <w:r w:rsidRPr="003712EB">
        <w:t xml:space="preserve"> </w:t>
      </w:r>
      <w:r w:rsidRPr="006A61D9">
        <w:t>adjustment</w:t>
      </w:r>
      <w:r w:rsidRPr="003712EB">
        <w:t xml:space="preserve"> </w:t>
      </w:r>
      <w:r>
        <w:t xml:space="preserve">extends to </w:t>
      </w:r>
      <w:r w:rsidRPr="003712EB">
        <w:t>cases where the transfer price used in the financial accounts of the counterparties may differ from the transfer price used to compute a counterparty’s taxable income, but not the transfer price used to compute another counterparty’s taxable income in another jurisdiction</w:t>
      </w:r>
      <w:r>
        <w:t xml:space="preserve">. To align with the Arm’s Length Principle, the Constituent Entity’s FANIL is adjusted accordingly to reflect the transfer price used for taxable income </w:t>
      </w:r>
      <w:r>
        <w:lastRenderedPageBreak/>
        <w:t>purposes to prevent double taxation or double non-taxation under the GloBE Rules.</w:t>
      </w:r>
    </w:p>
    <w:p w14:paraId="1663050C" w14:textId="59B324FF" w:rsidR="00717937" w:rsidRDefault="00717937" w:rsidP="00717937">
      <w:pPr>
        <w:pStyle w:val="Normalparatextwithnumbers"/>
      </w:pPr>
      <w:r>
        <w:t>A unilateral transfer pricing adjustment will generally result in a corresponding adjustment to the GloBE Income or Loss of all counterparties. However, an adjustment to align with the Arm’s Length Principle is not required if the transfer pricing adjustment increases or decreases the MNE Group’s taxable income in a jurisdiction that has a nominal tax rate below 15 per cent or that was a Low-Tax Jurisdiction with respect to the MNE Group in each of the two Fiscal Years preceding the unilateral transfer pricing adjustment (an under</w:t>
      </w:r>
      <w:r w:rsidR="00EE7A50">
        <w:noBreakHyphen/>
      </w:r>
      <w:r>
        <w:t>taxed jurisdiction).</w:t>
      </w:r>
      <w:r w:rsidRPr="009E35FD">
        <w:t xml:space="preserve"> </w:t>
      </w:r>
    </w:p>
    <w:p w14:paraId="6FC55ADF" w14:textId="1212C763" w:rsidR="00717937" w:rsidRDefault="00717937" w:rsidP="00717937">
      <w:pPr>
        <w:pStyle w:val="Normalparatextwithnumbers"/>
      </w:pPr>
      <w:r>
        <w:t>Similarly, a unilateral transfer pricing adjustment that increases taxable income in an under-taxed jurisdiction is not an adjustment that is to be reflected in the GloBE Income or Loss because such adjustment would result in double taxation</w:t>
      </w:r>
      <w:r w:rsidR="00EE7A50">
        <w:t>, s</w:t>
      </w:r>
      <w:r>
        <w:t>ee paragraphs 80 to 82 on pages 96 to 105 of the Consolidated Commentary.</w:t>
      </w:r>
    </w:p>
    <w:p w14:paraId="6D3277EE" w14:textId="77777777" w:rsidR="005D6771" w:rsidRDefault="00717937" w:rsidP="00717937">
      <w:pPr>
        <w:pStyle w:val="Normalparatextwithnumbers"/>
      </w:pPr>
      <w:r>
        <w:t xml:space="preserve">The underlying intention of this rule is to avoid double taxation or double non-taxation under the GloBE Rules where the taxable income of one or more Constituent Entities that are parties to a controlled transaction (counterparties) is determined using a transfer price different from the one used in the financial accounts. These differences may arise in the local tax return as filed or later when the tax return is audited by the local tax authority of one or more counterparties. </w:t>
      </w:r>
    </w:p>
    <w:p w14:paraId="013C2217" w14:textId="272FBB55" w:rsidR="00717937" w:rsidRDefault="00717937" w:rsidP="00717937">
      <w:pPr>
        <w:pStyle w:val="Normalparatextwithnumbers"/>
      </w:pPr>
      <w:r>
        <w:t xml:space="preserve">For example, a unilateral transfer pricing adjustment that reduces taxable income in a jurisdiction that has a nominal tax rate above the Minimum Rate but that had an ETR below the Minimum Rate in the previous two years should not be reflected in the GloBE income or loss, because if the counterparties are located in a high-tax jurisdiction, such adjustment would produce double non-taxation under the GloBE Rules. </w:t>
      </w:r>
    </w:p>
    <w:p w14:paraId="7AF4703E" w14:textId="5368B040" w:rsidR="00717937" w:rsidRDefault="00717937" w:rsidP="00717937">
      <w:pPr>
        <w:pStyle w:val="Normalparatextwithnumbers"/>
      </w:pPr>
      <w:r>
        <w:t>Section 3-</w:t>
      </w:r>
      <w:r w:rsidR="007662E5">
        <w:t>95</w:t>
      </w:r>
      <w:r>
        <w:t xml:space="preserve"> of the Rules does not require the MNE Group to conform the timing of an item of income or expense for GloBE purposes to the timing of that item for local tax purposes</w:t>
      </w:r>
      <w:r w:rsidRPr="003712EB">
        <w:t>.</w:t>
      </w:r>
    </w:p>
    <w:p w14:paraId="0E82FAF4" w14:textId="77777777" w:rsidR="00717937" w:rsidRDefault="00717937" w:rsidP="00600DF8">
      <w:pPr>
        <w:pStyle w:val="Heading5"/>
      </w:pPr>
      <w:r>
        <w:t>Arm’s Length requirement for Constituent Entities located in the same jurisdiction</w:t>
      </w:r>
    </w:p>
    <w:p w14:paraId="51E22E64" w14:textId="408DB090" w:rsidR="00717937" w:rsidRDefault="00717937" w:rsidP="00717937">
      <w:pPr>
        <w:pStyle w:val="Normalparatextwithnumbers"/>
      </w:pPr>
      <w:r>
        <w:t>Losses from transactions between Constituent Entities in the same jurisdiction must apply the Arm’s Length Principle if the loss is factored into the computations for GloBE Income or Loss.</w:t>
      </w:r>
      <w:r>
        <w:br/>
      </w:r>
      <w:r w:rsidRPr="007B6DA0">
        <w:rPr>
          <w:rStyle w:val="References"/>
        </w:rPr>
        <w:t>[Chapter 3, section 3-</w:t>
      </w:r>
      <w:r>
        <w:rPr>
          <w:rStyle w:val="References"/>
        </w:rPr>
        <w:t>10</w:t>
      </w:r>
      <w:r w:rsidR="007662E5">
        <w:rPr>
          <w:rStyle w:val="References"/>
        </w:rPr>
        <w:t>0</w:t>
      </w:r>
      <w:r>
        <w:rPr>
          <w:rStyle w:val="References"/>
        </w:rPr>
        <w:t xml:space="preserve"> </w:t>
      </w:r>
      <w:r w:rsidRPr="004D4019">
        <w:rPr>
          <w:rStyle w:val="References"/>
        </w:rPr>
        <w:t>of the Rules</w:t>
      </w:r>
      <w:r w:rsidRPr="007B6DA0">
        <w:rPr>
          <w:rStyle w:val="References"/>
        </w:rPr>
        <w:t>]</w:t>
      </w:r>
    </w:p>
    <w:p w14:paraId="6D1AA4AB" w14:textId="77777777" w:rsidR="00717937" w:rsidRDefault="00717937" w:rsidP="00717937">
      <w:pPr>
        <w:pStyle w:val="Normalparatextwithnumbers"/>
      </w:pPr>
      <w:r>
        <w:t>An adjustment is required so transactions are consistent with the Arm’s Length Principle where either:</w:t>
      </w:r>
    </w:p>
    <w:p w14:paraId="322C1501" w14:textId="77777777" w:rsidR="00717937" w:rsidRDefault="00717937" w:rsidP="00B07214">
      <w:pPr>
        <w:pStyle w:val="Dotpoint1"/>
      </w:pPr>
      <w:r>
        <w:t xml:space="preserve">there are differences in the amounts in the financial accounts between entities located in different jurisdictions; or </w:t>
      </w:r>
    </w:p>
    <w:p w14:paraId="602E9BF5" w14:textId="18C87139" w:rsidR="00717937" w:rsidRDefault="00717937" w:rsidP="00B07214">
      <w:pPr>
        <w:pStyle w:val="Dotpoint1"/>
      </w:pPr>
      <w:r>
        <w:lastRenderedPageBreak/>
        <w:t>the amounts are inconsistent with the Arm’s Length Principle.</w:t>
      </w:r>
      <w:r>
        <w:br/>
      </w:r>
      <w:r w:rsidRPr="007B6DA0">
        <w:rPr>
          <w:rStyle w:val="References"/>
        </w:rPr>
        <w:t>[Chapter 3, section 3-</w:t>
      </w:r>
      <w:r w:rsidRPr="007B6174">
        <w:rPr>
          <w:rStyle w:val="References"/>
        </w:rPr>
        <w:t>10</w:t>
      </w:r>
      <w:r w:rsidR="007662E5" w:rsidRPr="007B6174">
        <w:rPr>
          <w:rStyle w:val="References"/>
        </w:rPr>
        <w:t>5</w:t>
      </w:r>
      <w:r>
        <w:rPr>
          <w:rStyle w:val="References"/>
        </w:rPr>
        <w:t xml:space="preserve"> </w:t>
      </w:r>
      <w:r w:rsidRPr="004D4019">
        <w:rPr>
          <w:rStyle w:val="References"/>
        </w:rPr>
        <w:t>of the Rules</w:t>
      </w:r>
      <w:r w:rsidRPr="007B6DA0">
        <w:rPr>
          <w:rStyle w:val="References"/>
        </w:rPr>
        <w:t>]</w:t>
      </w:r>
    </w:p>
    <w:p w14:paraId="7721E29D" w14:textId="7DF22954" w:rsidR="00717937" w:rsidRPr="006A61D9" w:rsidRDefault="00717937" w:rsidP="00717937">
      <w:pPr>
        <w:pStyle w:val="Normalparatextwithnumbers"/>
      </w:pPr>
      <w:r w:rsidRPr="006A61D9">
        <w:t>All relevant tax authorities must agree that a transfer price must be adjusted to the same price to reflect the Arm’s Length Principle. Entities are then required to adjust their GloBE Income or Loss based on the agreement between the tax authorities.</w:t>
      </w:r>
    </w:p>
    <w:p w14:paraId="69FF8E5A" w14:textId="77777777" w:rsidR="00717937" w:rsidRDefault="00717937" w:rsidP="00717937">
      <w:pPr>
        <w:pStyle w:val="Normalparatextwithnumbers"/>
      </w:pPr>
      <w:r w:rsidRPr="006A61D9">
        <w:t xml:space="preserve">The Arm’s Length Principle is only applicable to transactions between </w:t>
      </w:r>
      <w:r>
        <w:t>Constituent Entities of an MNE Group that are located in</w:t>
      </w:r>
      <w:r w:rsidRPr="006A61D9">
        <w:t xml:space="preserve"> the same jurisdiction </w:t>
      </w:r>
      <w:r>
        <w:t>if</w:t>
      </w:r>
      <w:r w:rsidRPr="006A61D9">
        <w:t xml:space="preserve"> there is a loss that is taken into account for the GloBE </w:t>
      </w:r>
      <w:r>
        <w:t>I</w:t>
      </w:r>
      <w:r w:rsidRPr="006A61D9">
        <w:t>ncome</w:t>
      </w:r>
      <w:r>
        <w:t xml:space="preserve"> or Loss</w:t>
      </w:r>
      <w:r w:rsidRPr="006A61D9">
        <w:t xml:space="preserve"> computation. If the loss is excluded from GloBE </w:t>
      </w:r>
      <w:r>
        <w:t>I</w:t>
      </w:r>
      <w:r w:rsidRPr="006A61D9">
        <w:t>ncome</w:t>
      </w:r>
      <w:r>
        <w:t xml:space="preserve"> or Loss calculations</w:t>
      </w:r>
      <w:r w:rsidRPr="006A61D9">
        <w:t xml:space="preserve">, the Arm’s Length Principle does not apply, because there is no amount to adjust. </w:t>
      </w:r>
    </w:p>
    <w:p w14:paraId="0C051380" w14:textId="45BF2A34" w:rsidR="00717937" w:rsidRPr="006A61D9" w:rsidRDefault="00717937" w:rsidP="00717937">
      <w:pPr>
        <w:pStyle w:val="Normalparatextwithnumbers"/>
      </w:pPr>
      <w:r>
        <w:t>If</w:t>
      </w:r>
      <w:r w:rsidRPr="006A61D9">
        <w:t xml:space="preserve"> a Filing Constituent Entity </w:t>
      </w:r>
      <w:r>
        <w:t>makes</w:t>
      </w:r>
      <w:r w:rsidRPr="006A61D9">
        <w:t xml:space="preserve"> an election to apply the consolidated accounting treatment</w:t>
      </w:r>
      <w:r w:rsidR="00522C5F">
        <w:t xml:space="preserve"> </w:t>
      </w:r>
      <w:r>
        <w:t xml:space="preserve">under </w:t>
      </w:r>
      <w:r w:rsidRPr="006A61D9">
        <w:t>section 3-</w:t>
      </w:r>
      <w:r w:rsidR="007662E5">
        <w:t>200</w:t>
      </w:r>
      <w:r w:rsidRPr="006A61D9">
        <w:t xml:space="preserve"> of the Rules</w:t>
      </w:r>
      <w:r w:rsidR="00522C5F">
        <w:t>,</w:t>
      </w:r>
      <w:r w:rsidRPr="006A61D9">
        <w:t xml:space="preserve"> the loss will be eliminated in the jurisdiction in which the loss arises, due to the Constituent Entities being members of the same </w:t>
      </w:r>
      <w:r w:rsidR="001B58B0">
        <w:t>TCG</w:t>
      </w:r>
      <w:r w:rsidRPr="006A61D9">
        <w:t xml:space="preserve"> such that the loss, being an intragroup transaction, is excluded from the computation of the Constituent Entity’s GloBE Income or Loss.</w:t>
      </w:r>
      <w:r>
        <w:t xml:space="preserve"> This rule is intended to prevent MNE Group’s from manufacturing losses in a jurisdiction through sales or other transfers between Constituent Entities of the same MNE Group at prices that are not consistent with the Arm’s Length Principle, see paragraph 107 on page 82 of the Consolidated Commentary.</w:t>
      </w:r>
    </w:p>
    <w:p w14:paraId="39C9D231" w14:textId="36247A80" w:rsidR="00717937" w:rsidRPr="006A61D9" w:rsidRDefault="00717937" w:rsidP="00717937">
      <w:pPr>
        <w:pStyle w:val="Normalparatextwithnumbers"/>
        <w:rPr>
          <w:rStyle w:val="References"/>
          <w:b w:val="0"/>
          <w:i w:val="0"/>
        </w:rPr>
      </w:pPr>
      <w:r w:rsidRPr="006A61D9">
        <w:t xml:space="preserve">Transactions between </w:t>
      </w:r>
      <w:r>
        <w:t>Constituent E</w:t>
      </w:r>
      <w:r w:rsidRPr="006A61D9">
        <w:t xml:space="preserve">ntities in the same jurisdiction who compute a separate ETR must </w:t>
      </w:r>
      <w:r>
        <w:t>also</w:t>
      </w:r>
      <w:r w:rsidRPr="006A61D9">
        <w:t xml:space="preserve"> adhere to the Arm’s Length Principle. This </w:t>
      </w:r>
      <w:r>
        <w:t>applies to</w:t>
      </w:r>
      <w:r w:rsidRPr="006A61D9">
        <w:t xml:space="preserve"> MOCEs and Investment Entities</w:t>
      </w:r>
      <w:r>
        <w:t xml:space="preserve"> because MOCEs are not included in the ETR and Top-up Tax computations for the jurisdiction, given MOCEs and Investment Entities compute their ETR separately. Thus, the income and expense of the parties to the transaction will not be eliminated in the jurisdictional blending computation and failure to reflect transactions based on the Arm’s Length Principle would distort the ETR and </w:t>
      </w:r>
      <w:r w:rsidR="005D6771">
        <w:t>t</w:t>
      </w:r>
      <w:r>
        <w:t xml:space="preserve">op-up </w:t>
      </w:r>
      <w:r w:rsidR="005D6771">
        <w:t>t</w:t>
      </w:r>
      <w:r>
        <w:t>ax calculations for the jurisdiction and the MOCEs, see paragraph 108 on pages 82</w:t>
      </w:r>
      <w:r w:rsidR="00AA6708">
        <w:t xml:space="preserve"> and </w:t>
      </w:r>
      <w:r>
        <w:t>83 of the Consolidated Commentary.</w:t>
      </w:r>
      <w:r w:rsidRPr="006A61D9">
        <w:br/>
      </w:r>
      <w:r w:rsidRPr="006A61D9">
        <w:rPr>
          <w:rStyle w:val="References"/>
        </w:rPr>
        <w:t>[</w:t>
      </w:r>
      <w:r>
        <w:rPr>
          <w:rStyle w:val="References"/>
        </w:rPr>
        <w:t xml:space="preserve">Chapter 3, </w:t>
      </w:r>
      <w:r w:rsidRPr="006A61D9">
        <w:rPr>
          <w:rStyle w:val="References"/>
        </w:rPr>
        <w:t>Section 3-</w:t>
      </w:r>
      <w:r>
        <w:rPr>
          <w:rStyle w:val="References"/>
        </w:rPr>
        <w:t>10</w:t>
      </w:r>
      <w:r w:rsidR="007662E5">
        <w:rPr>
          <w:rStyle w:val="References"/>
        </w:rPr>
        <w:t>0</w:t>
      </w:r>
      <w:r w:rsidRPr="006A61D9">
        <w:rPr>
          <w:rStyle w:val="References"/>
        </w:rPr>
        <w:t xml:space="preserve"> of the Rules]</w:t>
      </w:r>
    </w:p>
    <w:p w14:paraId="0E918097" w14:textId="77777777" w:rsidR="00717937" w:rsidRDefault="00717937" w:rsidP="00600DF8">
      <w:pPr>
        <w:pStyle w:val="Heading5"/>
      </w:pPr>
      <w:r>
        <w:t xml:space="preserve">Specific taxes relating to insurance companies </w:t>
      </w:r>
    </w:p>
    <w:p w14:paraId="597C74E4" w14:textId="77777777" w:rsidR="00652CA3" w:rsidRDefault="00717937" w:rsidP="00717937">
      <w:pPr>
        <w:pStyle w:val="Normalparatextwithnumbers"/>
      </w:pPr>
      <w:bookmarkStart w:id="111" w:name="_Ref183765649"/>
      <w:r>
        <w:t>Insurance companies are sometimes subject to current tax on returns that must be contractually paid to policyholders, see paragraphs 138 to 141 on pages 90 and 91 of the Consolidated Commentary.</w:t>
      </w:r>
      <w:bookmarkEnd w:id="111"/>
      <w:r>
        <w:t xml:space="preserve"> </w:t>
      </w:r>
    </w:p>
    <w:p w14:paraId="7EFECBB6" w14:textId="51F41411" w:rsidR="00717937" w:rsidRDefault="00717937" w:rsidP="00717937">
      <w:pPr>
        <w:pStyle w:val="Normalparatextwithnumbers"/>
      </w:pPr>
      <w:r>
        <w:t xml:space="preserve">The insurance company passes that tax along to the policyholders through a charge so that the company is in effect reimbursed for taxes paid on behalf of the policyholder. It is normally the case that the insurance company passes that tax along to the policyholders through a charge, specifically by way of a reduction in policy liabilities equivalent to the tax. The reduction is recognised </w:t>
      </w:r>
      <w:r>
        <w:lastRenderedPageBreak/>
        <w:t>as income and so the company is in effect reimbursed for taxes paid on behalf of the policyholder.</w:t>
      </w:r>
      <w:r>
        <w:br/>
      </w:r>
      <w:r w:rsidRPr="0074553D">
        <w:rPr>
          <w:rStyle w:val="References"/>
        </w:rPr>
        <w:t>[</w:t>
      </w:r>
      <w:r>
        <w:rPr>
          <w:rStyle w:val="References"/>
        </w:rPr>
        <w:t>Chapter 3, section 3-</w:t>
      </w:r>
      <w:r w:rsidR="007662E5">
        <w:rPr>
          <w:rStyle w:val="References"/>
        </w:rPr>
        <w:t>205</w:t>
      </w:r>
      <w:r>
        <w:rPr>
          <w:rStyle w:val="References"/>
        </w:rPr>
        <w:t xml:space="preserve"> </w:t>
      </w:r>
      <w:r w:rsidRPr="004D4019">
        <w:rPr>
          <w:rStyle w:val="References"/>
        </w:rPr>
        <w:t>of the Rules</w:t>
      </w:r>
      <w:r w:rsidRPr="0074553D">
        <w:rPr>
          <w:rStyle w:val="References"/>
        </w:rPr>
        <w:t>]</w:t>
      </w:r>
    </w:p>
    <w:p w14:paraId="0FDA016D" w14:textId="77777777" w:rsidR="00717937" w:rsidRDefault="00717937" w:rsidP="00717937">
      <w:pPr>
        <w:pStyle w:val="Normalparatextwithnumbers"/>
      </w:pPr>
      <w:r>
        <w:t>Financial accounting standards generally treat the returns that will be contractually paid over to the policyholder as income of the insurance company and the corresponding liability to pay the returns over to the policyholder as an expense resulting in a net zero effect on its income before tax. However, the tax paid on the policyholder returns may be treated as an income tax under some financial accounting standards.</w:t>
      </w:r>
    </w:p>
    <w:p w14:paraId="39757343" w14:textId="7B651A20" w:rsidR="00717937" w:rsidRPr="00D64A0F" w:rsidRDefault="00717937" w:rsidP="00717937">
      <w:pPr>
        <w:pStyle w:val="Normalparatextwithnumbers"/>
        <w:rPr>
          <w:rStyle w:val="References"/>
          <w:b w:val="0"/>
          <w:bCs w:val="0"/>
          <w:i w:val="0"/>
          <w:iCs w:val="0"/>
        </w:rPr>
      </w:pPr>
      <w:bookmarkStart w:id="112" w:name="_Ref183771862"/>
      <w:r>
        <w:t xml:space="preserve">To address this, any amount that is charged to policyholders for taxes paid by the Constituent Entity is excluded from the computation of GloBE Income or Loss under section 3-190 of the Rules and any taxes arising on the policyholder returns are excluded from the definition of Covered Taxes under </w:t>
      </w:r>
      <w:r w:rsidR="00AA6708">
        <w:t>paragraph</w:t>
      </w:r>
      <w:r>
        <w:t xml:space="preserve"> 4-35(e) of the Rules. However, amounts charged to policyholders for taxes paid by the insurance company in respect of returns to the policyholders are only to be excluded from the GloBE Income and Loss computation if that tax is not included as an expense within the profit or loss before tax in the financial accounts. </w:t>
      </w:r>
      <w:r>
        <w:br/>
      </w:r>
      <w:r w:rsidRPr="0074553D">
        <w:rPr>
          <w:rStyle w:val="References"/>
        </w:rPr>
        <w:t>[</w:t>
      </w:r>
      <w:r>
        <w:rPr>
          <w:rStyle w:val="References"/>
        </w:rPr>
        <w:t>Chapter 3, section 3-</w:t>
      </w:r>
      <w:r w:rsidR="007662E5">
        <w:rPr>
          <w:rStyle w:val="References"/>
        </w:rPr>
        <w:t>205</w:t>
      </w:r>
      <w:r>
        <w:rPr>
          <w:rStyle w:val="References"/>
        </w:rPr>
        <w:t xml:space="preserve"> </w:t>
      </w:r>
      <w:r w:rsidRPr="004D4019">
        <w:rPr>
          <w:rStyle w:val="References"/>
        </w:rPr>
        <w:t>of the Rules</w:t>
      </w:r>
      <w:r w:rsidRPr="0074553D">
        <w:rPr>
          <w:rStyle w:val="References"/>
        </w:rPr>
        <w:t>]</w:t>
      </w:r>
      <w:bookmarkEnd w:id="112"/>
      <w:r w:rsidRPr="0074553D">
        <w:rPr>
          <w:rStyle w:val="References"/>
        </w:rPr>
        <w:t xml:space="preserve"> </w:t>
      </w:r>
    </w:p>
    <w:p w14:paraId="69D3A1D0" w14:textId="77777777" w:rsidR="00717937" w:rsidRDefault="00717937" w:rsidP="00717937">
      <w:pPr>
        <w:pStyle w:val="Normalparatextwithnumbers"/>
      </w:pPr>
      <w:bookmarkStart w:id="113" w:name="_Ref183765660"/>
      <w:r>
        <w:t>If the tax on the policyholder returns is treated as an above</w:t>
      </w:r>
      <w:r>
        <w:noBreakHyphen/>
        <w:t>the</w:t>
      </w:r>
      <w:r>
        <w:noBreakHyphen/>
        <w:t>line expense under the accounting standard used in the CFS, it will offset the charge of tax (or reduction in policyholder liabilities equivalent to policyholder tax) and thus no adjustment is necessary.</w:t>
      </w:r>
      <w:bookmarkEnd w:id="113"/>
      <w:r>
        <w:t xml:space="preserve"> </w:t>
      </w:r>
    </w:p>
    <w:p w14:paraId="76F3858C" w14:textId="33D642BE" w:rsidR="00717937" w:rsidRDefault="00717937" w:rsidP="00600DF8">
      <w:pPr>
        <w:pStyle w:val="Heading5"/>
      </w:pPr>
      <w:r>
        <w:t xml:space="preserve">Specific adjustment for </w:t>
      </w:r>
      <w:r w:rsidR="00697219">
        <w:t>Additional and Restricted</w:t>
      </w:r>
      <w:r>
        <w:t xml:space="preserve"> Tier One Capital </w:t>
      </w:r>
    </w:p>
    <w:p w14:paraId="775735A8" w14:textId="0D345557" w:rsidR="00717937" w:rsidRDefault="00717937" w:rsidP="00717937">
      <w:pPr>
        <w:pStyle w:val="Normalparatextwithnumbers"/>
      </w:pPr>
      <w:r>
        <w:t xml:space="preserve">Additional Tier One Capital is generally treated as equity for financial accounting purposes. However, some jurisdictions may treat it as debt for tax purposes. Therefore, a permanent difference arises because payments of Additional Tier One Capital are deductible as interest expense by the issuer for tax purposes and included as interest income of the holder for tax purposes. </w:t>
      </w:r>
      <w:r w:rsidR="0089645E">
        <w:t xml:space="preserve">An adjustment is required to rectify </w:t>
      </w:r>
      <w:r>
        <w:t xml:space="preserve">a permanent difference between financial accounting and taxable income see paragraphs 142 to 144 on pages 91 and 92 of the Consolidated Commentary. </w:t>
      </w:r>
    </w:p>
    <w:p w14:paraId="67B25A27" w14:textId="77777777" w:rsidR="00717937" w:rsidRDefault="00717937" w:rsidP="00717937">
      <w:pPr>
        <w:pStyle w:val="Normalparatextwithnumbers"/>
      </w:pPr>
      <w:r>
        <w:t xml:space="preserve">Additional Tier One Capital is an instrument issued pursuant to prudential regulatory requirements in the banking sector that is convertible to equity or written down if a pre-specified trigger event occurs, and that has features which are designed to aid loss absorbency in the event of a financial crisis. </w:t>
      </w:r>
    </w:p>
    <w:p w14:paraId="40396834" w14:textId="45D4DD24" w:rsidR="00717937" w:rsidRPr="006A61D9" w:rsidRDefault="00717937" w:rsidP="00717937">
      <w:pPr>
        <w:pStyle w:val="Normalparatextwithnumbers"/>
      </w:pPr>
      <w:r>
        <w:t xml:space="preserve">Dividends that are paid in respect of preference shares that are treated as Additional Tier One Capital are subject to section 3-195 </w:t>
      </w:r>
      <w:r w:rsidRPr="004D4019">
        <w:t>of the Rules</w:t>
      </w:r>
      <w:r>
        <w:t xml:space="preserve"> rather than treated as an Excluded Dividend under section 3-30 </w:t>
      </w:r>
      <w:r w:rsidRPr="004D4019">
        <w:t>of the Rules</w:t>
      </w:r>
      <w:r>
        <w:t xml:space="preserve">. This is because Additional Tier One Capital includes preferred shares that are treated as debt for tax purposes. Therefore, dividends paid with respect to such shares would be treated as GloBE Income or Loss of the shareholder. The same </w:t>
      </w:r>
      <w:r>
        <w:lastRenderedPageBreak/>
        <w:t xml:space="preserve">dividend should have symmetrical treatment among Constituent Entities. </w:t>
      </w:r>
      <w:r w:rsidR="003E5F35">
        <w:t>Intragroup Financing Arrangements under s</w:t>
      </w:r>
      <w:r>
        <w:t>ection 3-165</w:t>
      </w:r>
      <w:r w:rsidR="003E5F35">
        <w:t xml:space="preserve"> of the Rules </w:t>
      </w:r>
      <w:r>
        <w:t xml:space="preserve">does not apply to deny a deduction for distributions treated as an expense </w:t>
      </w:r>
      <w:r w:rsidR="003E5F35">
        <w:t xml:space="preserve">under </w:t>
      </w:r>
      <w:r>
        <w:t>section 3-195 of the Rules, see paragraph 114 on page 92 of the Consolidated Commentary.</w:t>
      </w:r>
      <w:r>
        <w:br/>
      </w:r>
      <w:r w:rsidRPr="002F3B89">
        <w:rPr>
          <w:rStyle w:val="References"/>
        </w:rPr>
        <w:t>[</w:t>
      </w:r>
      <w:r>
        <w:rPr>
          <w:rStyle w:val="References"/>
        </w:rPr>
        <w:t>Chapter 3, section 3-</w:t>
      </w:r>
      <w:r w:rsidR="003033AE">
        <w:rPr>
          <w:rStyle w:val="References"/>
        </w:rPr>
        <w:t>210</w:t>
      </w:r>
      <w:r>
        <w:rPr>
          <w:rStyle w:val="References"/>
        </w:rPr>
        <w:t xml:space="preserve"> </w:t>
      </w:r>
      <w:r w:rsidRPr="004D4019">
        <w:rPr>
          <w:rStyle w:val="References"/>
        </w:rPr>
        <w:t>of the Rules</w:t>
      </w:r>
      <w:r w:rsidRPr="00C025A3">
        <w:rPr>
          <w:rStyle w:val="References"/>
        </w:rPr>
        <w:t xml:space="preserve">] </w:t>
      </w:r>
    </w:p>
    <w:p w14:paraId="755F6B27" w14:textId="01BFB189" w:rsidR="00717937" w:rsidRPr="006A61D9" w:rsidRDefault="00717937" w:rsidP="00717937">
      <w:pPr>
        <w:pStyle w:val="Normalparatextwithnumbers"/>
      </w:pPr>
      <w:r>
        <w:t xml:space="preserve">In the insurance sector, Restricted Tier One Capital is </w:t>
      </w:r>
      <w:r w:rsidRPr="009276EB">
        <w:t>an instrument issued by a Constituent Entity pursuant to prudential regulatory requirements that is convertible to equity or written down if a pre</w:t>
      </w:r>
      <w:r>
        <w:t>-</w:t>
      </w:r>
      <w:r w:rsidRPr="009276EB">
        <w:t>specified trigger event occurs and that has other features which are designed to aid loss absorbency in the event of a financial crisis.</w:t>
      </w:r>
      <w:r>
        <w:t xml:space="preserve"> </w:t>
      </w:r>
      <w:r w:rsidR="0089645E">
        <w:t xml:space="preserve">Therefore, </w:t>
      </w:r>
      <w:r w:rsidR="00B84088">
        <w:t>s</w:t>
      </w:r>
      <w:r>
        <w:t>ection 3-</w:t>
      </w:r>
      <w:r w:rsidR="003033AE">
        <w:t>210</w:t>
      </w:r>
      <w:r>
        <w:t xml:space="preserve"> </w:t>
      </w:r>
      <w:r w:rsidR="00481A9A">
        <w:t xml:space="preserve">of the Rules </w:t>
      </w:r>
      <w:r w:rsidR="00673A15">
        <w:t>requires an equivalent adjustment</w:t>
      </w:r>
      <w:r>
        <w:t xml:space="preserve"> to</w:t>
      </w:r>
      <w:r w:rsidR="000A155E">
        <w:t xml:space="preserve"> FANIL for </w:t>
      </w:r>
      <w:r>
        <w:t>Restricted Tier One Capital</w:t>
      </w:r>
      <w:r w:rsidR="00F330A9">
        <w:t xml:space="preserve"> that are applicable to the insurance sector</w:t>
      </w:r>
      <w:r>
        <w:t xml:space="preserve">. </w:t>
      </w:r>
      <w:r>
        <w:br/>
      </w:r>
      <w:r w:rsidRPr="002F3B89">
        <w:rPr>
          <w:rStyle w:val="References"/>
        </w:rPr>
        <w:t>[</w:t>
      </w:r>
      <w:r>
        <w:rPr>
          <w:rStyle w:val="References"/>
        </w:rPr>
        <w:t>Chapter 3, section 3-</w:t>
      </w:r>
      <w:r w:rsidR="003033AE">
        <w:rPr>
          <w:rStyle w:val="References"/>
        </w:rPr>
        <w:t>210</w:t>
      </w:r>
      <w:r>
        <w:rPr>
          <w:rStyle w:val="References"/>
        </w:rPr>
        <w:t xml:space="preserve"> </w:t>
      </w:r>
      <w:r w:rsidRPr="004D4019">
        <w:rPr>
          <w:rStyle w:val="References"/>
        </w:rPr>
        <w:t>of the Rules</w:t>
      </w:r>
      <w:r w:rsidRPr="002F3B89">
        <w:rPr>
          <w:rStyle w:val="References"/>
        </w:rPr>
        <w:t>]</w:t>
      </w:r>
    </w:p>
    <w:p w14:paraId="689EB652" w14:textId="77777777" w:rsidR="00717937" w:rsidRDefault="00717937" w:rsidP="00717937">
      <w:pPr>
        <w:pStyle w:val="Heading3"/>
        <w:rPr>
          <w:rFonts w:hint="eastAsia"/>
        </w:rPr>
      </w:pPr>
      <w:bookmarkStart w:id="114" w:name="_Toc183003758"/>
      <w:bookmarkStart w:id="115" w:name="_Toc183786643"/>
      <w:bookmarkStart w:id="116" w:name="_Toc185502991"/>
      <w:r>
        <w:t>Exclusions</w:t>
      </w:r>
      <w:bookmarkEnd w:id="114"/>
      <w:bookmarkEnd w:id="115"/>
      <w:bookmarkEnd w:id="116"/>
    </w:p>
    <w:p w14:paraId="2BC54B12" w14:textId="77777777" w:rsidR="00717937" w:rsidRDefault="00717937" w:rsidP="00600DF8">
      <w:pPr>
        <w:pStyle w:val="Heading5"/>
      </w:pPr>
      <w:r>
        <w:t>Dividends</w:t>
      </w:r>
    </w:p>
    <w:p w14:paraId="4ADDBEDD" w14:textId="77777777" w:rsidR="00717937" w:rsidRDefault="00717937" w:rsidP="00717937">
      <w:pPr>
        <w:pStyle w:val="Normalparatextwithnumbers"/>
      </w:pPr>
      <w:r>
        <w:t xml:space="preserve">Dividends and distributions from controlled Entities and Entities reported under the equity method will generally be excluded from the calculation of the group’s consolidated income. The underlying income or loss of Entities that are consolidated on a line-by-line basis and Entities that are accounted for under the equity method is included directly in the Group’s income. </w:t>
      </w:r>
    </w:p>
    <w:p w14:paraId="37F00F82" w14:textId="2EF10992" w:rsidR="00717937" w:rsidRDefault="00717937" w:rsidP="00717937">
      <w:pPr>
        <w:pStyle w:val="Normalparatextwithnumbers"/>
      </w:pPr>
      <w:r>
        <w:t>CFS exclude distributions from these Entities to avoid double-counting of the same income. The GloBE Rules, however, generally require the GloBE Income or Loss and Covered Taxes of Constituent Entities to be determined starting with the separate FANIL of the Constituent Entity. Accordingly, the starting point for a Constituent Entity’s income for financial accounting purposes is to include intragroup dividends, including distributions received or accrued in respect of an Ownership Interest held in a Flow-</w:t>
      </w:r>
      <w:r w:rsidR="003033AE">
        <w:t>t</w:t>
      </w:r>
      <w:r>
        <w:t>hrough Entity, as well as dividends received in respect of Ownership Interests in JVs, associated Entities, and other Entities, including dividends on Portfolio Shareholdings.</w:t>
      </w:r>
    </w:p>
    <w:p w14:paraId="0F8FC54C" w14:textId="77777777" w:rsidR="00717937" w:rsidRDefault="00717937" w:rsidP="00717937">
      <w:pPr>
        <w:pStyle w:val="Normalparatextwithnumbers"/>
      </w:pPr>
      <w:r>
        <w:t>Excluded Dividends are dividends or other distributions paid on shares or other equity interests where:</w:t>
      </w:r>
    </w:p>
    <w:p w14:paraId="1990AAA3" w14:textId="77777777" w:rsidR="00717937" w:rsidRDefault="00717937" w:rsidP="00B07214">
      <w:pPr>
        <w:pStyle w:val="Dotpoint1"/>
      </w:pPr>
      <w:r>
        <w:t>the MNE Group holds 10 per cent or more of the Ownership Interests in the issuer; or</w:t>
      </w:r>
    </w:p>
    <w:p w14:paraId="3044D46E" w14:textId="06B0AF5C" w:rsidR="00717937" w:rsidRDefault="00717937" w:rsidP="00B07214">
      <w:pPr>
        <w:pStyle w:val="Dotpoint1"/>
      </w:pPr>
      <w:r>
        <w:t xml:space="preserve">the Constituent Entity has held full economic ownership of the Ownership Interest for a period of 12 months or more. </w:t>
      </w:r>
      <w:r w:rsidR="00C72FD8">
        <w:br/>
      </w:r>
      <w:r w:rsidRPr="007B6DA0">
        <w:rPr>
          <w:rStyle w:val="References"/>
        </w:rPr>
        <w:t xml:space="preserve">[Chapter 3, </w:t>
      </w:r>
      <w:r w:rsidR="00C72FD8">
        <w:rPr>
          <w:rStyle w:val="References"/>
        </w:rPr>
        <w:t>paragraph</w:t>
      </w:r>
      <w:r w:rsidRPr="007B6DA0">
        <w:rPr>
          <w:rStyle w:val="References"/>
        </w:rPr>
        <w:t xml:space="preserve"> 3-</w:t>
      </w:r>
      <w:r w:rsidR="003033AE">
        <w:rPr>
          <w:rStyle w:val="References"/>
        </w:rPr>
        <w:t>2</w:t>
      </w:r>
      <w:r w:rsidRPr="007B6DA0">
        <w:rPr>
          <w:rStyle w:val="References"/>
        </w:rPr>
        <w:t>0(1)(b) and section 3-</w:t>
      </w:r>
      <w:r w:rsidR="003033AE">
        <w:rPr>
          <w:rStyle w:val="References"/>
        </w:rPr>
        <w:t>25</w:t>
      </w:r>
      <w:r>
        <w:rPr>
          <w:rStyle w:val="References"/>
        </w:rPr>
        <w:t xml:space="preserve"> </w:t>
      </w:r>
      <w:r w:rsidRPr="004D4019">
        <w:rPr>
          <w:rStyle w:val="References"/>
        </w:rPr>
        <w:t>of the Rules</w:t>
      </w:r>
      <w:r w:rsidRPr="007B6DA0">
        <w:rPr>
          <w:rStyle w:val="References"/>
        </w:rPr>
        <w:t>]</w:t>
      </w:r>
      <w:r>
        <w:t xml:space="preserve"> </w:t>
      </w:r>
    </w:p>
    <w:p w14:paraId="322AFD35" w14:textId="291560C0" w:rsidR="00717937" w:rsidRPr="00104259" w:rsidRDefault="00717937" w:rsidP="00717937">
      <w:pPr>
        <w:pStyle w:val="Normalparatextwithnumbers"/>
        <w:rPr>
          <w:rStyle w:val="References"/>
          <w:b w:val="0"/>
          <w:i w:val="0"/>
        </w:rPr>
      </w:pPr>
      <w:r>
        <w:t>This is intended to provide for a broad exemption for dividends that aligns with the operation and scope of participation exemptions in many Inclusive Framework jurisdictions. It covers both substantial and long-</w:t>
      </w:r>
      <w:r w:rsidRPr="00167665">
        <w:t>term</w:t>
      </w:r>
      <w:r>
        <w:t xml:space="preserve"> </w:t>
      </w:r>
      <w:r>
        <w:lastRenderedPageBreak/>
        <w:t>shareholdings while, at the same time, ensuring that the exclusion does not provide unintended benefits for dividend income received by a Constituent Entity as part of its trading activity.</w:t>
      </w:r>
    </w:p>
    <w:p w14:paraId="36409C31" w14:textId="354D74AF" w:rsidR="00717937" w:rsidRPr="004B4375" w:rsidRDefault="00C72FD8" w:rsidP="00600DF8">
      <w:pPr>
        <w:pStyle w:val="Heading6"/>
        <w:rPr>
          <w:rFonts w:eastAsiaTheme="minorHAnsi"/>
        </w:rPr>
      </w:pPr>
      <w:r>
        <w:rPr>
          <w:rFonts w:eastAsiaTheme="minorHAnsi"/>
        </w:rPr>
        <w:t>S</w:t>
      </w:r>
      <w:r w:rsidR="00717937" w:rsidRPr="004B4375">
        <w:rPr>
          <w:rFonts w:eastAsiaTheme="minorHAnsi"/>
        </w:rPr>
        <w:t>ymmetric treatment of dividends and distributions</w:t>
      </w:r>
    </w:p>
    <w:p w14:paraId="6466F011" w14:textId="08BA3D08" w:rsidR="00717937" w:rsidRPr="001B2287" w:rsidRDefault="001B2287">
      <w:pPr>
        <w:pStyle w:val="Normalparatextwithnumbers"/>
        <w:rPr>
          <w:bCs/>
          <w:iCs/>
        </w:rPr>
      </w:pPr>
      <w:r w:rsidRPr="001B2287">
        <w:rPr>
          <w:bCs/>
          <w:iCs/>
        </w:rPr>
        <w:t>A financial instrument is a compound financial instrument when it has both equity and liability components under the Acceptable FAS, see paragraph 37 on page 63 of the Consolidated Commentary.</w:t>
      </w:r>
      <w:r>
        <w:rPr>
          <w:bCs/>
          <w:iCs/>
        </w:rPr>
        <w:t xml:space="preserve"> </w:t>
      </w:r>
      <w:r w:rsidR="00717937" w:rsidRPr="001B2287">
        <w:rPr>
          <w:bCs/>
          <w:iCs/>
        </w:rPr>
        <w:t>To the extent the Constituent Entities have classified the instrument differently under the relevant accounting standards, the classification adopted by the issuer should also be applied by the holder. Aligning the classification of the instrument ensures that no amount in respect of a financial instrument shall be treated as an Excluded Dividend to the extent that another Constituent Entity in the same MNE Group that issued the instrument treats the payment as an expense in the computation of its GloBE Income or Loss. To the extent the issuer classifies the relevant instrument as a debt for accounting purposes, the MNE Group will still need to consider the application of intragroup payments under section 3-1</w:t>
      </w:r>
      <w:r w:rsidR="00D54E88">
        <w:rPr>
          <w:bCs/>
          <w:iCs/>
        </w:rPr>
        <w:t>80</w:t>
      </w:r>
      <w:r w:rsidR="00717937" w:rsidRPr="001B2287">
        <w:rPr>
          <w:bCs/>
          <w:iCs/>
        </w:rPr>
        <w:t xml:space="preserve"> of the Rules.</w:t>
      </w:r>
      <w:r>
        <w:rPr>
          <w:bCs/>
          <w:iCs/>
        </w:rPr>
        <w:t xml:space="preserve"> </w:t>
      </w:r>
    </w:p>
    <w:p w14:paraId="5C14AD51" w14:textId="77777777" w:rsidR="00717937" w:rsidRDefault="00717937" w:rsidP="00600DF8">
      <w:pPr>
        <w:pStyle w:val="Heading5"/>
      </w:pPr>
      <w:r>
        <w:t>Equity gain or loss</w:t>
      </w:r>
    </w:p>
    <w:p w14:paraId="2049EF4B" w14:textId="77777777" w:rsidR="00717937" w:rsidRDefault="00717937" w:rsidP="00717937">
      <w:pPr>
        <w:pStyle w:val="Normalparatextwithnumbers"/>
      </w:pPr>
      <w:r>
        <w:t xml:space="preserve">The following types of equity method gains, profit and losses that may be included in calculating FANIL are excluded from the GloBE Income computation: </w:t>
      </w:r>
    </w:p>
    <w:p w14:paraId="4F6DD52E" w14:textId="296A4BF2" w:rsidR="00717937" w:rsidRDefault="00717937" w:rsidP="00B07214">
      <w:pPr>
        <w:pStyle w:val="Dotpoint1"/>
      </w:pPr>
      <w:r w:rsidRPr="00A36A7D">
        <w:t xml:space="preserve">gains and losses from changes in fair value </w:t>
      </w:r>
      <w:r>
        <w:t>and impairment accounting</w:t>
      </w:r>
      <w:r w:rsidRPr="00A36A7D">
        <w:t xml:space="preserve"> of an Ownership Interest</w:t>
      </w:r>
      <w:r>
        <w:t xml:space="preserve"> where the </w:t>
      </w:r>
      <w:r w:rsidR="002330EF">
        <w:t>MNE Group</w:t>
      </w:r>
      <w:r>
        <w:t xml:space="preserve"> holds more than 10 per cent of the ownership interests at the time of transfer;</w:t>
      </w:r>
    </w:p>
    <w:p w14:paraId="439823BF" w14:textId="77777777" w:rsidR="00717937" w:rsidRDefault="00717937" w:rsidP="00B07214">
      <w:pPr>
        <w:pStyle w:val="Dotpoint1"/>
      </w:pPr>
      <w:r w:rsidRPr="004F5EBF">
        <w:t>profit or loss in respect of an Ownership Interest included under the equity method of accounting</w:t>
      </w:r>
      <w:r>
        <w:t>; and</w:t>
      </w:r>
    </w:p>
    <w:p w14:paraId="3EA02EA7" w14:textId="4A436C7C" w:rsidR="00717937" w:rsidRPr="00DF169F" w:rsidRDefault="00717937" w:rsidP="00B07214">
      <w:pPr>
        <w:pStyle w:val="Dotpoint1"/>
        <w:rPr>
          <w:rStyle w:val="References"/>
        </w:rPr>
      </w:pPr>
      <w:r>
        <w:t xml:space="preserve">gains </w:t>
      </w:r>
      <w:r w:rsidRPr="00157901">
        <w:t>and losses from</w:t>
      </w:r>
      <w:r>
        <w:t xml:space="preserve"> disposition of an </w:t>
      </w:r>
      <w:r w:rsidRPr="00157901">
        <w:t>Ownership Interest</w:t>
      </w:r>
      <w:r>
        <w:t xml:space="preserve"> where the </w:t>
      </w:r>
      <w:r w:rsidR="002330EF">
        <w:t>MNE Group</w:t>
      </w:r>
      <w:r>
        <w:t xml:space="preserve"> holds more than 10 per cent of the ownership interests at the time of transfer.</w:t>
      </w:r>
      <w:r>
        <w:br/>
      </w:r>
      <w:r w:rsidRPr="0072606F">
        <w:rPr>
          <w:rStyle w:val="References"/>
        </w:rPr>
        <w:t>[</w:t>
      </w:r>
      <w:r>
        <w:rPr>
          <w:rStyle w:val="References"/>
        </w:rPr>
        <w:t>Chapter 3, sections 3-</w:t>
      </w:r>
      <w:r w:rsidR="00D54E88">
        <w:rPr>
          <w:rStyle w:val="References"/>
        </w:rPr>
        <w:t>30</w:t>
      </w:r>
      <w:r>
        <w:rPr>
          <w:rStyle w:val="References"/>
        </w:rPr>
        <w:t xml:space="preserve"> and 3-</w:t>
      </w:r>
      <w:r w:rsidR="00D54E88">
        <w:rPr>
          <w:rStyle w:val="References"/>
        </w:rPr>
        <w:t>3</w:t>
      </w:r>
      <w:r>
        <w:rPr>
          <w:rStyle w:val="References"/>
        </w:rPr>
        <w:t xml:space="preserve">5 </w:t>
      </w:r>
      <w:r w:rsidRPr="00553D89">
        <w:rPr>
          <w:rStyle w:val="References"/>
        </w:rPr>
        <w:t>of the Rules</w:t>
      </w:r>
      <w:r w:rsidRPr="0072606F">
        <w:rPr>
          <w:rStyle w:val="References"/>
        </w:rPr>
        <w:t>]</w:t>
      </w:r>
    </w:p>
    <w:p w14:paraId="56B48CB5" w14:textId="77777777" w:rsidR="00717937" w:rsidRDefault="00717937" w:rsidP="00600DF8">
      <w:pPr>
        <w:pStyle w:val="Heading5"/>
      </w:pPr>
      <w:r>
        <w:t>Insurance reserves</w:t>
      </w:r>
    </w:p>
    <w:p w14:paraId="6786E879" w14:textId="4AFF1113" w:rsidR="00717937" w:rsidRDefault="00717937" w:rsidP="00717937">
      <w:pPr>
        <w:pStyle w:val="Normalparatextwithnumbers"/>
      </w:pPr>
      <w:r>
        <w:t>If a movement in an insurance company’s reserves economically matches an Excluded Dividend (net of the investment management fee) from a security held on behalf of a policyholder (for example, unit linked insurance), the movement in the insurance reserves is not allowed as an expense in the computation of GloBE Income or Loss.</w:t>
      </w:r>
      <w:r>
        <w:br/>
      </w:r>
      <w:r w:rsidRPr="004E329A">
        <w:rPr>
          <w:rStyle w:val="References"/>
        </w:rPr>
        <w:t>[</w:t>
      </w:r>
      <w:r>
        <w:rPr>
          <w:rStyle w:val="References"/>
        </w:rPr>
        <w:t>Chapter 3, section 3-</w:t>
      </w:r>
      <w:r w:rsidR="00D54E88">
        <w:rPr>
          <w:rStyle w:val="References"/>
        </w:rPr>
        <w:t>40</w:t>
      </w:r>
      <w:r>
        <w:rPr>
          <w:rStyle w:val="References"/>
        </w:rPr>
        <w:t xml:space="preserve"> of the Rules</w:t>
      </w:r>
      <w:r w:rsidRPr="004E329A">
        <w:rPr>
          <w:rStyle w:val="References"/>
        </w:rPr>
        <w:t xml:space="preserve">] </w:t>
      </w:r>
    </w:p>
    <w:p w14:paraId="3D91594D" w14:textId="77777777" w:rsidR="00717937" w:rsidRDefault="00717937" w:rsidP="00600DF8">
      <w:pPr>
        <w:pStyle w:val="Heading5"/>
      </w:pPr>
      <w:r>
        <w:lastRenderedPageBreak/>
        <w:t>Policy disallowed expenses</w:t>
      </w:r>
    </w:p>
    <w:p w14:paraId="0C1BB5AB" w14:textId="4FE4EE32" w:rsidR="00717937" w:rsidRDefault="00717937" w:rsidP="00717937">
      <w:pPr>
        <w:pStyle w:val="Normalparatextwithnumbers"/>
      </w:pPr>
      <w:r>
        <w:t xml:space="preserve">Bribes, kickbacks, and other illegal payments that may be allowed as expenses under financial accounting rules are not deductible for tax purposes. Therefore, for the GloBE Income or Loss computation, these types of expenses are excluded. </w:t>
      </w:r>
      <w:r>
        <w:br/>
      </w:r>
      <w:r w:rsidRPr="00585389">
        <w:rPr>
          <w:rStyle w:val="References"/>
        </w:rPr>
        <w:t>[</w:t>
      </w:r>
      <w:r>
        <w:rPr>
          <w:rStyle w:val="References"/>
        </w:rPr>
        <w:t>Chapter 3, subsection 3-</w:t>
      </w:r>
      <w:r w:rsidR="00D54E88">
        <w:rPr>
          <w:rStyle w:val="References"/>
        </w:rPr>
        <w:t>65</w:t>
      </w:r>
      <w:r>
        <w:rPr>
          <w:rStyle w:val="References"/>
        </w:rPr>
        <w:t xml:space="preserve">(1)(a) </w:t>
      </w:r>
      <w:r w:rsidRPr="00553D89">
        <w:rPr>
          <w:rStyle w:val="References"/>
        </w:rPr>
        <w:t>of the Rules</w:t>
      </w:r>
      <w:r w:rsidRPr="00585389">
        <w:rPr>
          <w:rStyle w:val="References"/>
        </w:rPr>
        <w:t xml:space="preserve">] </w:t>
      </w:r>
    </w:p>
    <w:p w14:paraId="1E151AAB" w14:textId="1C92E1B6" w:rsidR="00717937" w:rsidRPr="00817D29" w:rsidRDefault="00717937" w:rsidP="00717937">
      <w:pPr>
        <w:pStyle w:val="Normalparatextwithnumbers"/>
        <w:rPr>
          <w:rStyle w:val="References"/>
          <w:b w:val="0"/>
          <w:i w:val="0"/>
        </w:rPr>
      </w:pPr>
      <w:r>
        <w:t xml:space="preserve">Fines and penalties may also be expenses under financial accounting rules. These expenses are also excluded when calculating the GloBE Income. This exclusion only applies if the fine or penalty, or the total expenses accrued by the Constituent Entity for fines and penalties, exceeds EUR 50,000. </w:t>
      </w:r>
      <w:r>
        <w:br/>
      </w:r>
      <w:r w:rsidRPr="0072606F">
        <w:rPr>
          <w:rStyle w:val="References"/>
        </w:rPr>
        <w:t>[</w:t>
      </w:r>
      <w:r>
        <w:rPr>
          <w:rStyle w:val="References"/>
        </w:rPr>
        <w:t>Chapter 3, subsections 3-</w:t>
      </w:r>
      <w:r w:rsidR="00D54E88">
        <w:rPr>
          <w:rStyle w:val="References"/>
        </w:rPr>
        <w:t>65</w:t>
      </w:r>
      <w:r>
        <w:rPr>
          <w:rStyle w:val="References"/>
        </w:rPr>
        <w:t xml:space="preserve">(b) and (c) </w:t>
      </w:r>
      <w:r w:rsidRPr="00553D89">
        <w:rPr>
          <w:rStyle w:val="References"/>
        </w:rPr>
        <w:t>of the Rules</w:t>
      </w:r>
      <w:r w:rsidRPr="0072606F">
        <w:rPr>
          <w:rStyle w:val="References"/>
        </w:rPr>
        <w:t>]</w:t>
      </w:r>
    </w:p>
    <w:p w14:paraId="2AACD8C8" w14:textId="77777777" w:rsidR="00717937" w:rsidRDefault="00717937" w:rsidP="00717937">
      <w:pPr>
        <w:pStyle w:val="Normalparatextwithnumbers"/>
      </w:pPr>
      <w:r>
        <w:t>Interest charges for late payment of tax or other liabilities to a governmental unit are not fines or penalties and no adjustment to add them into the GloBE income or loss computation is required.</w:t>
      </w:r>
    </w:p>
    <w:p w14:paraId="44052F26" w14:textId="77777777" w:rsidR="00717937" w:rsidRDefault="00717937" w:rsidP="00600DF8">
      <w:pPr>
        <w:pStyle w:val="Heading5"/>
      </w:pPr>
      <w:r>
        <w:t>Intragroup financing arrangements</w:t>
      </w:r>
    </w:p>
    <w:p w14:paraId="15EE8B04" w14:textId="21C38A04" w:rsidR="00717937" w:rsidRDefault="00717937" w:rsidP="00717937">
      <w:pPr>
        <w:pStyle w:val="Normalparatextwithnumbers"/>
      </w:pPr>
      <w:r>
        <w:t>In calculating the GloBE Income or Loss of a Constituent Entity that is a LTCE, exclude any expenses from an intragroup financing arrangement that can reasonably be expected over the term of the arrangement to increase the amount of expenses taken into account when calculating the GloBE income or loss of the low-tax entity, without a corresponding increase in the taxable income of the high-tax counterparty. For completeness, section 3-1</w:t>
      </w:r>
      <w:r w:rsidR="00672672">
        <w:t>80</w:t>
      </w:r>
      <w:r>
        <w:t xml:space="preserve"> will not apply if the High-Tax Counterparty is eligible for a corresponding tax benefit in their jurisdiction. </w:t>
      </w:r>
      <w:r>
        <w:br/>
      </w:r>
      <w:r w:rsidRPr="001D61C9">
        <w:rPr>
          <w:rStyle w:val="References"/>
        </w:rPr>
        <w:t>[</w:t>
      </w:r>
      <w:r>
        <w:rPr>
          <w:rStyle w:val="References"/>
        </w:rPr>
        <w:t>Chapter</w:t>
      </w:r>
      <w:r w:rsidRPr="001D61C9">
        <w:rPr>
          <w:rStyle w:val="References"/>
        </w:rPr>
        <w:t xml:space="preserve"> 3</w:t>
      </w:r>
      <w:r>
        <w:rPr>
          <w:rStyle w:val="References"/>
        </w:rPr>
        <w:t>, section 3-1</w:t>
      </w:r>
      <w:r w:rsidR="00672672">
        <w:rPr>
          <w:rStyle w:val="References"/>
        </w:rPr>
        <w:t>80</w:t>
      </w:r>
      <w:r w:rsidRPr="00553D89">
        <w:t xml:space="preserve"> </w:t>
      </w:r>
      <w:r w:rsidRPr="00553D89">
        <w:rPr>
          <w:rStyle w:val="References"/>
        </w:rPr>
        <w:t>of the Rules</w:t>
      </w:r>
      <w:r w:rsidRPr="001D61C9">
        <w:rPr>
          <w:rStyle w:val="References"/>
        </w:rPr>
        <w:t>]</w:t>
      </w:r>
    </w:p>
    <w:p w14:paraId="7B57D37E" w14:textId="77777777" w:rsidR="00717937" w:rsidRDefault="00717937" w:rsidP="00717937">
      <w:pPr>
        <w:pStyle w:val="Normalparatextwithnumbers"/>
      </w:pPr>
      <w:r>
        <w:t xml:space="preserve">This rule acts to prevent MNE Groups from engaging in transactions that are intended to increase the ETR in a jurisdiction that is below the Min Rate by reducing the GloBE Income or Loss in such jurisdiction without increasing the taxable income of the High Tax Counterparty. </w:t>
      </w:r>
    </w:p>
    <w:p w14:paraId="73598E11" w14:textId="77777777" w:rsidR="00717937" w:rsidRDefault="00717937" w:rsidP="00717937">
      <w:pPr>
        <w:pStyle w:val="Normalparatextwithnumbers"/>
      </w:pPr>
      <w:r>
        <w:t xml:space="preserve">‘Intragroup Financing Arrangement’, ‘Low-Tax Entity, ‘High-Tax Counterparty’, and ‘Low-Tax Jurisdiction’ are defined terms: </w:t>
      </w:r>
    </w:p>
    <w:p w14:paraId="4DAC27C6" w14:textId="6F5A443F" w:rsidR="00717937" w:rsidRDefault="00717937" w:rsidP="00B7652D">
      <w:pPr>
        <w:pStyle w:val="Dotpoint1"/>
      </w:pPr>
      <w:r>
        <w:t xml:space="preserve">an Intragroup Financing Arrangement is defined as an arrangement entered into between two or more members of the </w:t>
      </w:r>
      <w:r w:rsidR="002330EF">
        <w:t>MNE Group</w:t>
      </w:r>
      <w:r>
        <w:t xml:space="preserve"> where a High-Tax Counterparty directly or indirectly provides credit or otherwise makes an investment in a </w:t>
      </w:r>
      <w:r w:rsidR="007119ED">
        <w:t>LTCE</w:t>
      </w:r>
      <w:r>
        <w:t xml:space="preserve">. </w:t>
      </w:r>
    </w:p>
    <w:p w14:paraId="607EABAC" w14:textId="7A5256DB" w:rsidR="00717937" w:rsidRDefault="00717937" w:rsidP="00B7652D">
      <w:pPr>
        <w:pStyle w:val="Dotpoint1"/>
      </w:pPr>
      <w:r>
        <w:t xml:space="preserve">a </w:t>
      </w:r>
      <w:r w:rsidR="00F62BD1">
        <w:t xml:space="preserve">LTCE </w:t>
      </w:r>
      <w:r>
        <w:t>is defined as a Constituent Entity located in a Low</w:t>
      </w:r>
      <w:r w:rsidR="00F62BD1">
        <w:noBreakHyphen/>
      </w:r>
      <w:r>
        <w:t xml:space="preserve">Tax Jurisdiction or a jurisdiction that would be a Low-Tax Jurisdiction if the ETR for the jurisdiction were determined without regard to any income or expense accrued by that Entity in respect of an intragroup Financing Arrangement. </w:t>
      </w:r>
    </w:p>
    <w:p w14:paraId="768CD008" w14:textId="77777777" w:rsidR="00717937" w:rsidRDefault="00717937" w:rsidP="00B7652D">
      <w:pPr>
        <w:pStyle w:val="Dotpoint1"/>
      </w:pPr>
      <w:r>
        <w:lastRenderedPageBreak/>
        <w:t xml:space="preserve">a High-Tax Counterparty is defined as a Constituent Entity that is located in a jurisdiction that is not a Low-Tax Jurisdiction or that is located in a jurisdiction that would not be a Low-Tax Jurisdiction if its ETR were determined without regard to any income or expense accrued by that Entity in respect of an Intragroup Financing Arrangement. </w:t>
      </w:r>
    </w:p>
    <w:p w14:paraId="1315A7FD" w14:textId="223CF4EC" w:rsidR="00717937" w:rsidRDefault="00717937" w:rsidP="00B7652D">
      <w:pPr>
        <w:pStyle w:val="Dotpoint1"/>
      </w:pPr>
      <w:r>
        <w:t>low</w:t>
      </w:r>
      <w:r>
        <w:noBreakHyphen/>
        <w:t xml:space="preserve">tax jurisdictions are jurisdictions with an ETR that is lower than the 15 per cent minimum tax rate. </w:t>
      </w:r>
      <w:r>
        <w:br/>
      </w:r>
      <w:r w:rsidRPr="007B6DA0">
        <w:rPr>
          <w:rStyle w:val="References"/>
        </w:rPr>
        <w:t>[</w:t>
      </w:r>
      <w:r>
        <w:rPr>
          <w:rStyle w:val="References"/>
        </w:rPr>
        <w:t>Chapter 3, sections 3-1</w:t>
      </w:r>
      <w:r w:rsidR="008C4591">
        <w:rPr>
          <w:rStyle w:val="References"/>
        </w:rPr>
        <w:t>85</w:t>
      </w:r>
      <w:r>
        <w:rPr>
          <w:rStyle w:val="References"/>
        </w:rPr>
        <w:t>, 3-1</w:t>
      </w:r>
      <w:r w:rsidR="008C4591">
        <w:rPr>
          <w:rStyle w:val="References"/>
        </w:rPr>
        <w:t>90</w:t>
      </w:r>
      <w:r>
        <w:rPr>
          <w:rStyle w:val="References"/>
        </w:rPr>
        <w:t xml:space="preserve"> and 3-1</w:t>
      </w:r>
      <w:r w:rsidR="008C4591">
        <w:rPr>
          <w:rStyle w:val="References"/>
        </w:rPr>
        <w:t>95</w:t>
      </w:r>
      <w:r>
        <w:rPr>
          <w:rStyle w:val="References"/>
        </w:rPr>
        <w:t xml:space="preserve"> </w:t>
      </w:r>
      <w:r w:rsidRPr="00553D89">
        <w:rPr>
          <w:rStyle w:val="References"/>
        </w:rPr>
        <w:t>of the Rules</w:t>
      </w:r>
      <w:r w:rsidRPr="007B6DA0">
        <w:rPr>
          <w:rStyle w:val="References"/>
        </w:rPr>
        <w:t xml:space="preserve">] </w:t>
      </w:r>
    </w:p>
    <w:p w14:paraId="40DA49BC" w14:textId="77777777" w:rsidR="00717937" w:rsidRDefault="00717937" w:rsidP="00600DF8">
      <w:pPr>
        <w:pStyle w:val="Heading5"/>
      </w:pPr>
      <w:r>
        <w:t>International Shipping Income Exclusion</w:t>
      </w:r>
    </w:p>
    <w:p w14:paraId="114B8D50" w14:textId="656A68D0" w:rsidR="00717937" w:rsidRPr="00582F6C" w:rsidRDefault="00717937" w:rsidP="00717937">
      <w:pPr>
        <w:pStyle w:val="Normalparatextwithnumbers"/>
        <w:rPr>
          <w:rStyle w:val="References"/>
          <w:b w:val="0"/>
          <w:i w:val="0"/>
        </w:rPr>
      </w:pPr>
      <w:r>
        <w:t xml:space="preserve">International Shipping Income and Qualified Ancillary International Shipping Income are excluded from computations of </w:t>
      </w:r>
      <w:r w:rsidDel="004B500E">
        <w:t>the</w:t>
      </w:r>
      <w:r>
        <w:t xml:space="preserve"> GloBE Income or Loss for a Fiscal Year. This exclusion does not apply if during the Fiscal Year the strategic or commercial management of the ships is not effectively carried on from within the jurisdiction in which the Constituent Entity is located.</w:t>
      </w:r>
      <w:r>
        <w:br/>
      </w:r>
      <w:r w:rsidRPr="00B44EA4">
        <w:rPr>
          <w:rStyle w:val="References"/>
        </w:rPr>
        <w:t>[</w:t>
      </w:r>
      <w:r>
        <w:rPr>
          <w:rStyle w:val="References"/>
        </w:rPr>
        <w:t>Chapter 3, section 3</w:t>
      </w:r>
      <w:r>
        <w:rPr>
          <w:rStyle w:val="References"/>
        </w:rPr>
        <w:noBreakHyphen/>
        <w:t>2</w:t>
      </w:r>
      <w:r w:rsidR="008C4591">
        <w:rPr>
          <w:rStyle w:val="References"/>
        </w:rPr>
        <w:t>2</w:t>
      </w:r>
      <w:r>
        <w:rPr>
          <w:rStyle w:val="References"/>
        </w:rPr>
        <w:t>0 of the Rules</w:t>
      </w:r>
      <w:r w:rsidRPr="00B44EA4">
        <w:rPr>
          <w:rStyle w:val="References"/>
        </w:rPr>
        <w:t>]</w:t>
      </w:r>
    </w:p>
    <w:p w14:paraId="50C75DB5" w14:textId="77777777" w:rsidR="004A4546" w:rsidRDefault="00717937" w:rsidP="004A4546">
      <w:pPr>
        <w:pStyle w:val="Normalparatextwithnumbers"/>
        <w:tabs>
          <w:tab w:val="clear" w:pos="709"/>
        </w:tabs>
      </w:pPr>
      <w:r>
        <w:t>T</w:t>
      </w:r>
      <w:r w:rsidRPr="0063171F">
        <w:t xml:space="preserve">he strategic or commercial management of the ships concerned is limited to those deployed in earning International Shipping Income and must be effectively carried out in the jurisdiction where the Constituent Entity is located in order to qualify for the exclusion. For this purpose, the ships deployed in earning International Shipping </w:t>
      </w:r>
      <w:r>
        <w:t>I</w:t>
      </w:r>
      <w:r w:rsidRPr="0063171F">
        <w:t>ncome are those that are engaged in the transportation of passengers or cargo in international traffic, whether owned, leased or otherwise at the disposal of the Constituent Entity</w:t>
      </w:r>
      <w:r>
        <w:t>, see paragraph 181 on page 98 of the Consolidated Commentary</w:t>
      </w:r>
      <w:r w:rsidRPr="0063171F">
        <w:t>.</w:t>
      </w:r>
    </w:p>
    <w:p w14:paraId="62D8612A" w14:textId="21583E44" w:rsidR="00717937" w:rsidRDefault="00717937" w:rsidP="004A4546">
      <w:pPr>
        <w:pStyle w:val="Normalparatextwithnumbers"/>
        <w:tabs>
          <w:tab w:val="clear" w:pos="709"/>
        </w:tabs>
      </w:pPr>
      <w:r>
        <w:t xml:space="preserve">It is intended that </w:t>
      </w:r>
      <w:r w:rsidRPr="007A48AF">
        <w:t xml:space="preserve">ships involved in activities giving rise to </w:t>
      </w:r>
      <w:r>
        <w:t>Qualified Ancillary International Shipping Income, as described in section 3-2</w:t>
      </w:r>
      <w:r w:rsidR="008C4591">
        <w:t>30</w:t>
      </w:r>
      <w:r>
        <w:t xml:space="preserve"> of the Rules, are not to be taken into account </w:t>
      </w:r>
      <w:r w:rsidRPr="007A48AF">
        <w:t>in the strategic or commercial management test.</w:t>
      </w:r>
      <w:r w:rsidR="004A4546">
        <w:br/>
      </w:r>
      <w:r w:rsidRPr="00B44EA4">
        <w:rPr>
          <w:rStyle w:val="References"/>
        </w:rPr>
        <w:t>[</w:t>
      </w:r>
      <w:r>
        <w:rPr>
          <w:rStyle w:val="References"/>
        </w:rPr>
        <w:t>Chapter 3, section 3</w:t>
      </w:r>
      <w:r>
        <w:rPr>
          <w:rStyle w:val="References"/>
        </w:rPr>
        <w:noBreakHyphen/>
        <w:t>2</w:t>
      </w:r>
      <w:r w:rsidR="008C4591">
        <w:rPr>
          <w:rStyle w:val="References"/>
        </w:rPr>
        <w:t>2</w:t>
      </w:r>
      <w:r>
        <w:rPr>
          <w:rStyle w:val="References"/>
        </w:rPr>
        <w:t>0 of the Rules</w:t>
      </w:r>
      <w:r w:rsidRPr="00B44EA4">
        <w:rPr>
          <w:rStyle w:val="References"/>
        </w:rPr>
        <w:t>]</w:t>
      </w:r>
    </w:p>
    <w:p w14:paraId="221460FA" w14:textId="533F8082" w:rsidR="00717937" w:rsidRDefault="00717937" w:rsidP="00717937">
      <w:pPr>
        <w:pStyle w:val="Normalparatextwithnumbers"/>
      </w:pPr>
      <w:r>
        <w:t xml:space="preserve">International traffic </w:t>
      </w:r>
      <w:r w:rsidRPr="00F660D0">
        <w:t xml:space="preserve">means any transport by ship, except when the ship is operated solely between places within </w:t>
      </w:r>
      <w:r>
        <w:t xml:space="preserve">the same </w:t>
      </w:r>
      <w:r w:rsidRPr="00F660D0">
        <w:t>jurisdiction</w:t>
      </w:r>
      <w:r>
        <w:t>, see paragraph 181 on page 98 of the</w:t>
      </w:r>
      <w:r w:rsidRPr="009C7CBD">
        <w:t xml:space="preserve"> </w:t>
      </w:r>
      <w:r>
        <w:t>Consolidated Commentary.</w:t>
      </w:r>
      <w:r>
        <w:br/>
      </w:r>
      <w:r w:rsidRPr="00B44EA4">
        <w:rPr>
          <w:rStyle w:val="References"/>
        </w:rPr>
        <w:t>[</w:t>
      </w:r>
      <w:r>
        <w:rPr>
          <w:rStyle w:val="References"/>
        </w:rPr>
        <w:t>Chapter 3, section 3-2</w:t>
      </w:r>
      <w:r w:rsidR="008C4591">
        <w:rPr>
          <w:rStyle w:val="References"/>
        </w:rPr>
        <w:t>35</w:t>
      </w:r>
      <w:r>
        <w:rPr>
          <w:rStyle w:val="References"/>
        </w:rPr>
        <w:t xml:space="preserve"> of the Rules</w:t>
      </w:r>
      <w:r w:rsidRPr="00B44EA4">
        <w:rPr>
          <w:rStyle w:val="References"/>
        </w:rPr>
        <w:t>]</w:t>
      </w:r>
    </w:p>
    <w:p w14:paraId="02D90CB3" w14:textId="4631EAA5" w:rsidR="00717937" w:rsidRDefault="00717937" w:rsidP="00717937">
      <w:pPr>
        <w:pStyle w:val="Normalparatextwithnumbers"/>
      </w:pPr>
      <w:r w:rsidRPr="00C47E63">
        <w:t>A Constituent Entity’s International Shipping Income for a Fiscal Year is determined by subtracting its International Shipping Income Costs from its International Shipping Income Revenue.</w:t>
      </w:r>
      <w:r>
        <w:br/>
      </w:r>
      <w:r w:rsidRPr="00B44EA4">
        <w:rPr>
          <w:rStyle w:val="References"/>
        </w:rPr>
        <w:t>[</w:t>
      </w:r>
      <w:r>
        <w:rPr>
          <w:rStyle w:val="References"/>
        </w:rPr>
        <w:t>Chapter 3, section 3-2</w:t>
      </w:r>
      <w:r w:rsidR="00D23E03">
        <w:rPr>
          <w:rStyle w:val="References"/>
        </w:rPr>
        <w:t>25</w:t>
      </w:r>
      <w:r>
        <w:rPr>
          <w:rStyle w:val="References"/>
        </w:rPr>
        <w:t xml:space="preserve"> of the Rules</w:t>
      </w:r>
      <w:r w:rsidRPr="00B44EA4">
        <w:rPr>
          <w:rStyle w:val="References"/>
        </w:rPr>
        <w:t>]</w:t>
      </w:r>
    </w:p>
    <w:p w14:paraId="684FBCFE" w14:textId="77777777" w:rsidR="005A4474" w:rsidRDefault="005A4474" w:rsidP="005A4474">
      <w:pPr>
        <w:pStyle w:val="Normalparatextwithnumbers"/>
      </w:pPr>
      <w:r>
        <w:t>International Shipping Income Revenue includes income from various activities:</w:t>
      </w:r>
    </w:p>
    <w:p w14:paraId="56124552" w14:textId="77777777" w:rsidR="005A4474" w:rsidRDefault="005A4474" w:rsidP="00B07214">
      <w:pPr>
        <w:pStyle w:val="Dotpoint1"/>
      </w:pPr>
      <w:r>
        <w:t>transporting passengers or cargo using a ship operated in international traffic, regardless of ownership;</w:t>
      </w:r>
    </w:p>
    <w:p w14:paraId="15FA4DF5" w14:textId="77777777" w:rsidR="005A4474" w:rsidRDefault="005A4474" w:rsidP="00B07214">
      <w:pPr>
        <w:pStyle w:val="Dotpoint1"/>
      </w:pPr>
      <w:r>
        <w:lastRenderedPageBreak/>
        <w:t>transporting passengers or cargo by a ship in international traffic under slot chartering arrangements;</w:t>
      </w:r>
    </w:p>
    <w:p w14:paraId="3E8D6A73" w14:textId="77777777" w:rsidR="005A4474" w:rsidRDefault="005A4474" w:rsidP="00B07214">
      <w:pPr>
        <w:pStyle w:val="Dotpoint1"/>
      </w:pPr>
      <w:r w:rsidRPr="006C1DFD">
        <w:t>leasing a fully equipped and crewed ship for transporting passengers or cargo in international traffic;</w:t>
      </w:r>
    </w:p>
    <w:p w14:paraId="52398B54" w14:textId="77777777" w:rsidR="005A4474" w:rsidRDefault="005A4474" w:rsidP="00B07214">
      <w:pPr>
        <w:pStyle w:val="Dotpoint1"/>
      </w:pPr>
      <w:r>
        <w:t>leasing a ship on a bareboat charter for transporting passengers or cargo in international traffic to another MNE Group entity;</w:t>
      </w:r>
    </w:p>
    <w:p w14:paraId="04A2EF49" w14:textId="77777777" w:rsidR="005A4474" w:rsidRDefault="005A4474" w:rsidP="00B07214">
      <w:pPr>
        <w:pStyle w:val="Dotpoint1"/>
      </w:pPr>
      <w:r>
        <w:t>participating in a pool, joint business, or international operating agency for transporting passengers or cargo in international traffic; and</w:t>
      </w:r>
    </w:p>
    <w:p w14:paraId="79C267DB" w14:textId="65A9C891" w:rsidR="005A4474" w:rsidRDefault="005A4474" w:rsidP="00B07214">
      <w:pPr>
        <w:pStyle w:val="Dotpoint1"/>
      </w:pPr>
      <w:r>
        <w:t>selling a ship used for transporting passengers or cargo in international traffic that has been held for at least one year.</w:t>
      </w:r>
      <w:r>
        <w:br/>
      </w:r>
      <w:r w:rsidRPr="00B44EA4">
        <w:rPr>
          <w:rStyle w:val="References"/>
        </w:rPr>
        <w:t>[</w:t>
      </w:r>
      <w:r>
        <w:rPr>
          <w:rStyle w:val="References"/>
        </w:rPr>
        <w:t>Chapter 3, subsection 3-2</w:t>
      </w:r>
      <w:r w:rsidR="00D23E03">
        <w:rPr>
          <w:rStyle w:val="References"/>
        </w:rPr>
        <w:t>25</w:t>
      </w:r>
      <w:r>
        <w:rPr>
          <w:rStyle w:val="References"/>
        </w:rPr>
        <w:t>(2) of the Rules</w:t>
      </w:r>
      <w:r w:rsidRPr="00B44EA4">
        <w:rPr>
          <w:rStyle w:val="References"/>
        </w:rPr>
        <w:t>]</w:t>
      </w:r>
    </w:p>
    <w:p w14:paraId="270258B0" w14:textId="184C1C9D" w:rsidR="00066E4D" w:rsidRDefault="00717937" w:rsidP="00717937">
      <w:pPr>
        <w:pStyle w:val="Normalparatextwithnumbers"/>
      </w:pPr>
      <w:r w:rsidRPr="00C52890">
        <w:t xml:space="preserve">International Shipping Income Costs arise from both direct and indirect </w:t>
      </w:r>
      <w:r>
        <w:t>costs</w:t>
      </w:r>
      <w:r w:rsidRPr="00C52890">
        <w:t xml:space="preserve"> related to shipping activities. </w:t>
      </w:r>
      <w:r w:rsidR="00F62BD1">
        <w:t xml:space="preserve">Which is computed by using a proportion of shipping revenue of the Constituent Entity for the fiscal year over total revenue of the Constituent Entity for the Fiscal Year, consistent with </w:t>
      </w:r>
      <w:r w:rsidR="00066E4D">
        <w:t xml:space="preserve">the following </w:t>
      </w:r>
      <w:r w:rsidRPr="00C52890">
        <w:t>formula</w:t>
      </w:r>
      <w:r w:rsidR="00066E4D">
        <w:t>:</w:t>
      </w:r>
      <w:r w:rsidRPr="00C52890">
        <w:t xml:space="preserve"> </w:t>
      </w:r>
    </w:p>
    <w:p w14:paraId="055A1B37" w14:textId="591044C5" w:rsidR="003774FE" w:rsidRDefault="003774FE" w:rsidP="003774FE">
      <w:pPr>
        <w:pStyle w:val="Normalparatextwithnumbers"/>
        <w:numPr>
          <w:ilvl w:val="0"/>
          <w:numId w:val="0"/>
        </w:numPr>
      </w:pPr>
      <w:r w:rsidRPr="003774FE">
        <w:rPr>
          <w:noProof/>
        </w:rPr>
        <w:drawing>
          <wp:inline distT="0" distB="0" distL="0" distR="0" wp14:anchorId="0E766FCA" wp14:editId="2B62EAF5">
            <wp:extent cx="4896485" cy="406400"/>
            <wp:effectExtent l="0" t="0" r="0" b="0"/>
            <wp:docPr id="766319254" name="Picture 19" descr="Formula for International Shipping Income Costs arise from both direct and indirect costs related to shipping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19254" name="Picture 19" descr="Formula for International Shipping Income Costs arise from both direct and indirect costs related to shipping activities"/>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896485" cy="406400"/>
                    </a:xfrm>
                    <a:prstGeom prst="rect">
                      <a:avLst/>
                    </a:prstGeom>
                    <a:noFill/>
                    <a:ln>
                      <a:noFill/>
                    </a:ln>
                  </pic:spPr>
                </pic:pic>
              </a:graphicData>
            </a:graphic>
          </wp:inline>
        </w:drawing>
      </w:r>
    </w:p>
    <w:p w14:paraId="6BA4449B" w14:textId="50134141" w:rsidR="00A100C1" w:rsidRDefault="00A100C1" w:rsidP="003774FE">
      <w:pPr>
        <w:pStyle w:val="Normalparatextwithnumbers"/>
        <w:numPr>
          <w:ilvl w:val="0"/>
          <w:numId w:val="0"/>
        </w:numPr>
      </w:pPr>
    </w:p>
    <w:p w14:paraId="34FBCF39" w14:textId="74F83EB1" w:rsidR="00066E4D" w:rsidRDefault="00246E75" w:rsidP="00066E4D">
      <w:pPr>
        <w:pStyle w:val="CommentText"/>
        <w:ind w:left="1120"/>
      </w:pPr>
      <w:r w:rsidRPr="007C4104">
        <w:rPr>
          <w:rStyle w:val="References"/>
        </w:rPr>
        <w:t>[</w:t>
      </w:r>
      <w:r>
        <w:rPr>
          <w:rStyle w:val="References"/>
        </w:rPr>
        <w:t>C</w:t>
      </w:r>
      <w:r w:rsidRPr="007C4104">
        <w:rPr>
          <w:rStyle w:val="References"/>
        </w:rPr>
        <w:t>hapter 3, section 3-2</w:t>
      </w:r>
      <w:r w:rsidR="00D23E03">
        <w:rPr>
          <w:rStyle w:val="References"/>
        </w:rPr>
        <w:t>25</w:t>
      </w:r>
      <w:r w:rsidRPr="007C4104">
        <w:rPr>
          <w:rStyle w:val="References"/>
        </w:rPr>
        <w:t xml:space="preserve"> of the Rules]</w:t>
      </w:r>
    </w:p>
    <w:p w14:paraId="5BC8D324" w14:textId="02F2CC73" w:rsidR="00717937" w:rsidRDefault="00A75B9B" w:rsidP="00A42518">
      <w:pPr>
        <w:pStyle w:val="Normalparatextwithnumbers"/>
      </w:pPr>
      <w:r>
        <w:t xml:space="preserve">The </w:t>
      </w:r>
      <w:r w:rsidR="005A4474">
        <w:t xml:space="preserve">direct International Shipping Costs are </w:t>
      </w:r>
      <w:r>
        <w:t>the total costs incurred by the Constituent Entity for the Fiscal Year that are directly attributable to the Constituent Entity’s International Shipping Activities</w:t>
      </w:r>
      <w:r w:rsidR="008D523A">
        <w:t xml:space="preserve">. Similarly, the Indirect costs includes expenditure indirectly attributable to International Shipping Activities. </w:t>
      </w:r>
    </w:p>
    <w:p w14:paraId="67C627AC" w14:textId="18B07DC1" w:rsidR="00717937" w:rsidRDefault="00717937" w:rsidP="00717937">
      <w:pPr>
        <w:pStyle w:val="Normalparatextwithnumbers"/>
      </w:pPr>
      <w:r>
        <w:t>Qualified Ancillary International Shipping Income of all Constituent Entities in a jurisdiction must be less than 51 per cent of those Constituent Entity’s International Shipping Income.</w:t>
      </w:r>
      <w:r>
        <w:br/>
      </w:r>
      <w:r>
        <w:rPr>
          <w:rStyle w:val="References"/>
        </w:rPr>
        <w:t xml:space="preserve">[Chapter 3, </w:t>
      </w:r>
      <w:r w:rsidR="002916B5">
        <w:rPr>
          <w:rStyle w:val="References"/>
        </w:rPr>
        <w:t>s</w:t>
      </w:r>
      <w:r>
        <w:rPr>
          <w:rStyle w:val="References"/>
        </w:rPr>
        <w:t>ection 3</w:t>
      </w:r>
      <w:r>
        <w:rPr>
          <w:rStyle w:val="References"/>
        </w:rPr>
        <w:noBreakHyphen/>
        <w:t>2</w:t>
      </w:r>
      <w:r w:rsidR="00D23E03">
        <w:rPr>
          <w:rStyle w:val="References"/>
        </w:rPr>
        <w:t>30</w:t>
      </w:r>
      <w:r>
        <w:rPr>
          <w:rStyle w:val="References"/>
        </w:rPr>
        <w:t xml:space="preserve"> of the Rules</w:t>
      </w:r>
      <w:r w:rsidRPr="00B44EA4">
        <w:rPr>
          <w:rStyle w:val="References"/>
        </w:rPr>
        <w:t>]</w:t>
      </w:r>
    </w:p>
    <w:p w14:paraId="37ECD24B" w14:textId="7D72E139" w:rsidR="00717937" w:rsidRPr="00694885" w:rsidRDefault="00717937" w:rsidP="00717937">
      <w:pPr>
        <w:pStyle w:val="Normalparatextwithnumbers"/>
        <w:rPr>
          <w:rStyle w:val="References"/>
          <w:b w:val="0"/>
          <w:i w:val="0"/>
        </w:rPr>
      </w:pPr>
      <w:r>
        <w:t>International Shipping Income does not include any profits from transportation of passengers or cargo by ships via inland waterways within the same jurisdiction.</w:t>
      </w:r>
      <w:r w:rsidDel="007E4DA9">
        <w:br/>
      </w:r>
      <w:r w:rsidDel="007E4DA9">
        <w:rPr>
          <w:rStyle w:val="References"/>
        </w:rPr>
        <w:t xml:space="preserve">[Chapter 3, </w:t>
      </w:r>
      <w:r w:rsidR="002916B5">
        <w:rPr>
          <w:rStyle w:val="References"/>
        </w:rPr>
        <w:t>s</w:t>
      </w:r>
      <w:r w:rsidDel="007E4DA9">
        <w:rPr>
          <w:rStyle w:val="References"/>
        </w:rPr>
        <w:t>ection 3</w:t>
      </w:r>
      <w:r w:rsidDel="007E4DA9">
        <w:rPr>
          <w:rStyle w:val="References"/>
        </w:rPr>
        <w:noBreakHyphen/>
      </w:r>
      <w:r>
        <w:rPr>
          <w:rStyle w:val="References"/>
        </w:rPr>
        <w:t>2</w:t>
      </w:r>
      <w:r w:rsidR="00D23E03">
        <w:rPr>
          <w:rStyle w:val="References"/>
        </w:rPr>
        <w:t>35</w:t>
      </w:r>
      <w:r>
        <w:rPr>
          <w:rStyle w:val="References"/>
        </w:rPr>
        <w:t xml:space="preserve"> of the Rules</w:t>
      </w:r>
      <w:r w:rsidRPr="00B44EA4">
        <w:rPr>
          <w:rStyle w:val="References"/>
        </w:rPr>
        <w:t>]</w:t>
      </w:r>
    </w:p>
    <w:p w14:paraId="134C54CD" w14:textId="77777777" w:rsidR="00717937" w:rsidRDefault="00717937" w:rsidP="00600DF8">
      <w:pPr>
        <w:pStyle w:val="Heading4"/>
      </w:pPr>
      <w:r>
        <w:lastRenderedPageBreak/>
        <w:t>Inclusions or exclusions, depending on circumstances</w:t>
      </w:r>
    </w:p>
    <w:p w14:paraId="725DEFDF" w14:textId="77777777" w:rsidR="00717937" w:rsidRDefault="00717937" w:rsidP="00BE7ED8">
      <w:pPr>
        <w:pStyle w:val="Heading5"/>
      </w:pPr>
      <w:r>
        <w:t>Asymmetric Foreign Currency Gains or Losses</w:t>
      </w:r>
    </w:p>
    <w:p w14:paraId="16DFD8AB" w14:textId="77777777" w:rsidR="00CC2A30" w:rsidRDefault="00CC2A30" w:rsidP="00CC2A30">
      <w:pPr>
        <w:pStyle w:val="Normalparatextwithnumbers"/>
      </w:pPr>
      <w:r>
        <w:t xml:space="preserve">Where the Constituent Entity’s accounting functional currency is different from its tax functional currency, then the FANIL must be adjusted to account for Asymmetric Foreign Currency Gain or Loss. </w:t>
      </w:r>
    </w:p>
    <w:p w14:paraId="18C82F15" w14:textId="1B2B83A0" w:rsidR="00CC2A30" w:rsidRDefault="00CC2A30" w:rsidP="00CC2A30">
      <w:pPr>
        <w:pStyle w:val="Normalparatextwithnumbers"/>
      </w:pPr>
      <w:r>
        <w:t xml:space="preserve">The FANIL must be adjusted to account for Asymmetric Foreign Currency Gain or Loss. </w:t>
      </w:r>
      <w:r w:rsidR="00C92030">
        <w:t xml:space="preserve">The </w:t>
      </w:r>
      <w:r w:rsidR="00C92030" w:rsidRPr="00AD42E7">
        <w:t>Asymmetric Foreign Currency Gain or Loss</w:t>
      </w:r>
      <w:r w:rsidR="00C92030">
        <w:t xml:space="preserve"> will generally arise from </w:t>
      </w:r>
      <w:r w:rsidR="00C92030" w:rsidRPr="001539EE">
        <w:t xml:space="preserve">foreign exchange gains or losses </w:t>
      </w:r>
      <w:r w:rsidR="00C92030">
        <w:t xml:space="preserve">due to differences between the functional currency for accounting purposes and the one used for local tax purposes, see paragraphs 66 to 71.1 on pages 73 and 74 of the Consolidated Commentary. </w:t>
      </w:r>
    </w:p>
    <w:p w14:paraId="2E2FF8F2" w14:textId="554B6E34" w:rsidR="00CC2A30" w:rsidRPr="00831734" w:rsidRDefault="00CC2A30" w:rsidP="00CC2A30">
      <w:pPr>
        <w:pStyle w:val="Normalparatextwithnumbers"/>
      </w:pPr>
      <w:r w:rsidRPr="00831734">
        <w:t>No adjustments are necessary if the functional currency is the same as the tax currency in the CFS.</w:t>
      </w:r>
      <w:r>
        <w:t xml:space="preserve"> </w:t>
      </w:r>
      <w:r w:rsidRPr="00831734">
        <w:t>However, an adjustment to include an amount in FANIL is needed where a Constituent Entity’s tax functional currency is different from its accounting functional currency to the extent that the particular amount of taxable income or loss is:</w:t>
      </w:r>
    </w:p>
    <w:p w14:paraId="016E1982" w14:textId="77777777" w:rsidR="00CC2A30" w:rsidRPr="00831734" w:rsidRDefault="00CC2A30" w:rsidP="00B07214">
      <w:pPr>
        <w:pStyle w:val="Dotpoint1"/>
      </w:pPr>
      <w:r w:rsidRPr="00831734">
        <w:t xml:space="preserve">not included in FANIL, and may or may not be included in taxable income; or  </w:t>
      </w:r>
    </w:p>
    <w:p w14:paraId="77D54F8A" w14:textId="77777777" w:rsidR="00CC2A30" w:rsidRPr="00831734" w:rsidRDefault="00CC2A30" w:rsidP="00B07214">
      <w:pPr>
        <w:pStyle w:val="Dotpoint1"/>
      </w:pPr>
      <w:r w:rsidRPr="00831734">
        <w:t>not included in FANIL but is included in the taxable income; and</w:t>
      </w:r>
    </w:p>
    <w:p w14:paraId="4D594DA1" w14:textId="77777777" w:rsidR="00CC2A30" w:rsidRPr="00831734" w:rsidRDefault="00CC2A30" w:rsidP="00B07214">
      <w:pPr>
        <w:pStyle w:val="Dotpoint1"/>
      </w:pPr>
      <w:r w:rsidRPr="00831734">
        <w:t xml:space="preserve">is attributable to fluctuations in the exchange rate between the accounting functional currency and either: </w:t>
      </w:r>
    </w:p>
    <w:p w14:paraId="7603FF76" w14:textId="77777777" w:rsidR="00CC2A30" w:rsidRPr="00831734" w:rsidRDefault="00CC2A30" w:rsidP="007B6495">
      <w:pPr>
        <w:pStyle w:val="dotpoint2"/>
        <w:tabs>
          <w:tab w:val="clear" w:pos="1513"/>
          <w:tab w:val="clear" w:pos="2127"/>
        </w:tabs>
        <w:ind w:left="2127" w:hanging="709"/>
      </w:pPr>
      <w:r w:rsidRPr="00831734">
        <w:t>tax functional currency; or</w:t>
      </w:r>
    </w:p>
    <w:p w14:paraId="61CEA01D" w14:textId="39BEC3B6" w:rsidR="00CC2A30" w:rsidRPr="00831734" w:rsidRDefault="00CC2A30" w:rsidP="007B6495">
      <w:pPr>
        <w:pStyle w:val="dotpoint2"/>
        <w:tabs>
          <w:tab w:val="clear" w:pos="1513"/>
          <w:tab w:val="clear" w:pos="2127"/>
        </w:tabs>
        <w:ind w:left="2127" w:hanging="709"/>
      </w:pPr>
      <w:r w:rsidRPr="00831734">
        <w:t>another currency that is not the tax functional currency.</w:t>
      </w:r>
      <w:r w:rsidRPr="00831734">
        <w:br/>
      </w:r>
      <w:r w:rsidRPr="00831734">
        <w:rPr>
          <w:b/>
          <w:bCs/>
          <w:i/>
          <w:iCs/>
        </w:rPr>
        <w:t>[Chapter 3, subsection 3-</w:t>
      </w:r>
      <w:r w:rsidR="00D23E03">
        <w:rPr>
          <w:b/>
          <w:bCs/>
          <w:i/>
          <w:iCs/>
        </w:rPr>
        <w:t>55</w:t>
      </w:r>
      <w:r w:rsidRPr="00831734">
        <w:rPr>
          <w:b/>
          <w:bCs/>
          <w:i/>
          <w:iCs/>
        </w:rPr>
        <w:t xml:space="preserve">(1) of the Rules] </w:t>
      </w:r>
    </w:p>
    <w:p w14:paraId="4EE15D17" w14:textId="3AF89A50" w:rsidR="00CC2A30" w:rsidRPr="00831734" w:rsidRDefault="00CC2A30" w:rsidP="00CC2A30">
      <w:pPr>
        <w:pStyle w:val="Normalparatextwithnumbers"/>
      </w:pPr>
      <w:r w:rsidRPr="00831734">
        <w:t>If a Constituent Entity’s accounting functional currency for the Fiscal Year is different from its tax functional currency for the Fiscal Year, to compute that Constituent Entity’s GloBE Income or Loss for a Fiscal Year, exclude a particular amount of income or loss to the extent that it is:</w:t>
      </w:r>
    </w:p>
    <w:p w14:paraId="36BD0C0E" w14:textId="77777777" w:rsidR="00CC2A30" w:rsidRPr="00831734" w:rsidRDefault="00CC2A30" w:rsidP="00B07214">
      <w:pPr>
        <w:pStyle w:val="Dotpoint1"/>
      </w:pPr>
      <w:r w:rsidRPr="00831734">
        <w:t xml:space="preserve">included in the Constituent Entity’s FANIL; and  </w:t>
      </w:r>
    </w:p>
    <w:p w14:paraId="0D84409E" w14:textId="77777777" w:rsidR="00CC2A30" w:rsidRPr="00831734" w:rsidRDefault="00CC2A30" w:rsidP="00B07214">
      <w:pPr>
        <w:pStyle w:val="Dotpoint1"/>
      </w:pPr>
      <w:r w:rsidRPr="00831734">
        <w:t xml:space="preserve">not included in taxable income or loss; and </w:t>
      </w:r>
    </w:p>
    <w:p w14:paraId="25AFA479" w14:textId="77777777" w:rsidR="00CC2A30" w:rsidRPr="00831734" w:rsidRDefault="00CC2A30" w:rsidP="00B07214">
      <w:pPr>
        <w:pStyle w:val="Dotpoint1"/>
      </w:pPr>
      <w:r w:rsidRPr="00831734">
        <w:t xml:space="preserve">attributable to fluctuations in the exchange rate between the accounting functional currency and either: </w:t>
      </w:r>
    </w:p>
    <w:p w14:paraId="5E457CD6" w14:textId="77777777" w:rsidR="00CC2A30" w:rsidRPr="00831734" w:rsidRDefault="00CC2A30" w:rsidP="00B7652D">
      <w:pPr>
        <w:pStyle w:val="dotpoint2"/>
        <w:tabs>
          <w:tab w:val="clear" w:pos="1513"/>
          <w:tab w:val="clear" w:pos="2127"/>
        </w:tabs>
        <w:ind w:left="2127" w:hanging="709"/>
      </w:pPr>
      <w:r w:rsidRPr="00831734">
        <w:t>tax functional currency; or</w:t>
      </w:r>
    </w:p>
    <w:p w14:paraId="2AD31781" w14:textId="6666F1C9" w:rsidR="00CC2A30" w:rsidRPr="00831734" w:rsidRDefault="00CC2A30" w:rsidP="00B7652D">
      <w:pPr>
        <w:pStyle w:val="dotpoint2"/>
        <w:tabs>
          <w:tab w:val="clear" w:pos="1513"/>
          <w:tab w:val="clear" w:pos="2127"/>
        </w:tabs>
        <w:ind w:left="2127" w:hanging="709"/>
      </w:pPr>
      <w:r w:rsidRPr="00831734">
        <w:t>another currency that is not the tax functional currency.</w:t>
      </w:r>
      <w:r w:rsidRPr="00831734">
        <w:br/>
      </w:r>
      <w:r w:rsidRPr="00831734">
        <w:rPr>
          <w:b/>
          <w:bCs/>
          <w:i/>
          <w:iCs/>
        </w:rPr>
        <w:t>[Chapter 3, subsection 3-</w:t>
      </w:r>
      <w:r w:rsidR="00D23E03">
        <w:rPr>
          <w:b/>
          <w:bCs/>
          <w:i/>
          <w:iCs/>
        </w:rPr>
        <w:t>55</w:t>
      </w:r>
      <w:r w:rsidRPr="00831734">
        <w:rPr>
          <w:b/>
          <w:bCs/>
          <w:i/>
          <w:iCs/>
        </w:rPr>
        <w:t xml:space="preserve">(2) of the Rules] </w:t>
      </w:r>
    </w:p>
    <w:p w14:paraId="2487DCE8" w14:textId="6B4AEFC4" w:rsidR="00CC2A30" w:rsidRDefault="00CC2A30" w:rsidP="00CC2A30">
      <w:pPr>
        <w:pStyle w:val="Normalparatextwithnumbers"/>
      </w:pPr>
      <w:r w:rsidRPr="00D9691C">
        <w:lastRenderedPageBreak/>
        <w:t xml:space="preserve">Accounting </w:t>
      </w:r>
      <w:r>
        <w:t>f</w:t>
      </w:r>
      <w:r w:rsidRPr="00D9691C">
        <w:t xml:space="preserve">unctional </w:t>
      </w:r>
      <w:r>
        <w:t>c</w:t>
      </w:r>
      <w:r w:rsidRPr="00D9691C">
        <w:t>urrency</w:t>
      </w:r>
      <w:r>
        <w:t xml:space="preserve"> is defined</w:t>
      </w:r>
      <w:r w:rsidRPr="00D9691C">
        <w:t xml:space="preserve"> </w:t>
      </w:r>
      <w:r>
        <w:t xml:space="preserve">as </w:t>
      </w:r>
      <w:r w:rsidRPr="00D9691C">
        <w:t xml:space="preserve">the functional currency used by the </w:t>
      </w:r>
      <w:r>
        <w:t>Constituent Entity</w:t>
      </w:r>
      <w:r w:rsidRPr="00D9691C">
        <w:t xml:space="preserve"> in its financial accounts</w:t>
      </w:r>
      <w:r>
        <w:t xml:space="preserve">. This is distinct from </w:t>
      </w:r>
      <w:r w:rsidRPr="00D9691C">
        <w:t>the presentation functional currency used in the CFS.</w:t>
      </w:r>
      <w:r>
        <w:t xml:space="preserve"> </w:t>
      </w:r>
    </w:p>
    <w:p w14:paraId="0B328062" w14:textId="20C32A79" w:rsidR="00CC2A30" w:rsidRDefault="00CC2A30" w:rsidP="00CC2A30">
      <w:pPr>
        <w:pStyle w:val="Normalparatextwithnumbers"/>
      </w:pPr>
      <w:r>
        <w:t>The tax functional currency is the functional currency used to determine the Constituent Entity’s taxable income or loss for a Covered Tax in the jurisdiction in which it is located. The accounting functional currency is the functional currency used to determine the Constituent Entity’s FANIL.</w:t>
      </w:r>
      <w:r>
        <w:br/>
      </w:r>
      <w:r w:rsidRPr="00916932">
        <w:rPr>
          <w:rStyle w:val="References"/>
        </w:rPr>
        <w:t>[</w:t>
      </w:r>
      <w:r>
        <w:rPr>
          <w:rStyle w:val="References"/>
        </w:rPr>
        <w:t>Chapter 3, section 3-</w:t>
      </w:r>
      <w:r w:rsidR="00D23E03">
        <w:rPr>
          <w:rStyle w:val="References"/>
        </w:rPr>
        <w:t>60</w:t>
      </w:r>
      <w:r>
        <w:rPr>
          <w:rStyle w:val="References"/>
        </w:rPr>
        <w:t xml:space="preserve"> of the Rules</w:t>
      </w:r>
      <w:r w:rsidRPr="00916932">
        <w:rPr>
          <w:rStyle w:val="References"/>
        </w:rPr>
        <w:t xml:space="preserve">] </w:t>
      </w:r>
    </w:p>
    <w:p w14:paraId="72158B9A" w14:textId="77777777" w:rsidR="00717937" w:rsidRPr="008534D3" w:rsidRDefault="00717937" w:rsidP="00BE7ED8">
      <w:pPr>
        <w:pStyle w:val="Heading5"/>
      </w:pPr>
      <w:r w:rsidRPr="008534D3">
        <w:t xml:space="preserve">Refundable </w:t>
      </w:r>
      <w:r>
        <w:t xml:space="preserve">and Transferable </w:t>
      </w:r>
      <w:r w:rsidRPr="008534D3">
        <w:t xml:space="preserve">Tax </w:t>
      </w:r>
      <w:r>
        <w:t>Credits</w:t>
      </w:r>
    </w:p>
    <w:p w14:paraId="3F999A44" w14:textId="7A4134F4" w:rsidR="00717937" w:rsidRPr="008534D3" w:rsidRDefault="00717937" w:rsidP="00717937">
      <w:pPr>
        <w:pStyle w:val="Normalparatextwithnumbers"/>
      </w:pPr>
      <w:bookmarkStart w:id="117" w:name="_Ref183772460"/>
      <w:r w:rsidRPr="008534D3">
        <w:t xml:space="preserve">Non-Qualified Refundable Tax Credits are not treated as income in the computation of GloBE Income or Loss of a </w:t>
      </w:r>
      <w:r>
        <w:t>Constituent Entity and so are excluded</w:t>
      </w:r>
      <w:r w:rsidRPr="008534D3">
        <w:t>. Only Qualified Refundable Tax Credits a</w:t>
      </w:r>
      <w:r>
        <w:t>nd Marketable Transferable Tax Credits a</w:t>
      </w:r>
      <w:r w:rsidRPr="008534D3">
        <w:t>re treated as income</w:t>
      </w:r>
      <w:r>
        <w:t>, and therefore included,</w:t>
      </w:r>
      <w:r w:rsidRPr="008534D3">
        <w:t xml:space="preserve"> in the computation of GloBE Income or Loss of a </w:t>
      </w:r>
      <w:r>
        <w:t>Constituent Entity</w:t>
      </w:r>
      <w:r w:rsidRPr="008534D3">
        <w:t xml:space="preserve">. </w:t>
      </w:r>
      <w:r>
        <w:br/>
      </w:r>
      <w:r w:rsidRPr="00422FEF">
        <w:rPr>
          <w:rStyle w:val="References"/>
        </w:rPr>
        <w:t>[</w:t>
      </w:r>
      <w:r>
        <w:rPr>
          <w:rStyle w:val="References"/>
        </w:rPr>
        <w:t xml:space="preserve">Chapter 3, </w:t>
      </w:r>
      <w:r w:rsidR="002916B5">
        <w:rPr>
          <w:rStyle w:val="References"/>
        </w:rPr>
        <w:t xml:space="preserve">paragraphs </w:t>
      </w:r>
      <w:r>
        <w:rPr>
          <w:rStyle w:val="References"/>
        </w:rPr>
        <w:t>3-11</w:t>
      </w:r>
      <w:r w:rsidR="00C603B2">
        <w:rPr>
          <w:rStyle w:val="References"/>
        </w:rPr>
        <w:t>0</w:t>
      </w:r>
      <w:r>
        <w:rPr>
          <w:rStyle w:val="References"/>
        </w:rPr>
        <w:t xml:space="preserve">(a) and (b) </w:t>
      </w:r>
      <w:r w:rsidRPr="00553D89">
        <w:rPr>
          <w:rStyle w:val="References"/>
        </w:rPr>
        <w:t>of the Rules</w:t>
      </w:r>
      <w:r w:rsidRPr="00422FEF">
        <w:rPr>
          <w:rStyle w:val="References"/>
        </w:rPr>
        <w:t>]</w:t>
      </w:r>
      <w:bookmarkEnd w:id="117"/>
      <w:r w:rsidRPr="00422FEF">
        <w:rPr>
          <w:rStyle w:val="References"/>
        </w:rPr>
        <w:t xml:space="preserve"> </w:t>
      </w:r>
    </w:p>
    <w:p w14:paraId="02BFFE58" w14:textId="77777777" w:rsidR="00717937" w:rsidRDefault="00717937" w:rsidP="00717937">
      <w:pPr>
        <w:pStyle w:val="Normalparatextwithnumbers"/>
      </w:pPr>
      <w:r w:rsidRPr="008534D3">
        <w:t>The addition to Covered Taxes has the effect of reversing the accounting entry that treated it as a tax reduction instead of income</w:t>
      </w:r>
      <w:r>
        <w:t>. Where a tax credit regime provides for tax credits that are partially refundable or transferable (i.e. tradeable), such that only a fixed percentage or portion of the credit is refundable or transferable, the credit shall be bifurcated and the part that is refundable or transferable shall be tested to determine whether it is a Qualified Refundable Tax Credit or Marketable Transferable Tax Credit.</w:t>
      </w:r>
    </w:p>
    <w:p w14:paraId="1A8D2F11" w14:textId="77777777" w:rsidR="00717937" w:rsidRDefault="00717937" w:rsidP="00717937">
      <w:pPr>
        <w:pStyle w:val="Normalparatextwithnumbers"/>
      </w:pPr>
      <w:r>
        <w:t>Marketable Transfer Tax Credits are included in GloBE Income or Loss, whereas Non-Marketable Tax Credits are excluded from GloBE Income or Loss. Other Tax Credits are excluded when calculating GloBE Income or Loss.</w:t>
      </w:r>
    </w:p>
    <w:p w14:paraId="35536264" w14:textId="77777777" w:rsidR="00717937" w:rsidRDefault="00717937" w:rsidP="00BE7ED8">
      <w:pPr>
        <w:pStyle w:val="Heading5"/>
      </w:pPr>
      <w:r>
        <w:t>Qualified Refundable Tax Credit</w:t>
      </w:r>
    </w:p>
    <w:p w14:paraId="5AF25E2F" w14:textId="77777777" w:rsidR="00717937" w:rsidRDefault="00717937" w:rsidP="00717937">
      <w:pPr>
        <w:pStyle w:val="Normalparatextwithnumbers"/>
      </w:pPr>
      <w:r>
        <w:t xml:space="preserve">The qualified refundable tax credits referred to in section 3-120 of the Rules are not ordinary refunds of tax paid in a prior period due to an error in the computation of tax liability or pursuant to an imputation system. </w:t>
      </w:r>
    </w:p>
    <w:p w14:paraId="1F141255" w14:textId="77777777" w:rsidR="00717937" w:rsidRDefault="00717937" w:rsidP="00717937">
      <w:pPr>
        <w:pStyle w:val="Normalparatextwithnumbers"/>
      </w:pPr>
      <w:r>
        <w:t xml:space="preserve">Rather, they are incentives to engage in certain activities, such as research and development, whereby the government allows the company to offset its taxes dollar-for-dollar for engaging in specified activities or incurring specified expenditures or the government will refund the amount of the unused credit if the company doesn’t have any tax liability. In this way, the government effectively pays for the activity or expenditure in a similar manner to a grant. </w:t>
      </w:r>
    </w:p>
    <w:p w14:paraId="601017E0" w14:textId="23FEC203" w:rsidR="00717937" w:rsidRDefault="00717937" w:rsidP="00717937">
      <w:pPr>
        <w:pStyle w:val="Normalparatextwithnumbers"/>
      </w:pPr>
      <w:r>
        <w:t xml:space="preserve">The intention is that the incentive or grant is delivered by a tax reduction to the extent possible because this is more efficient than having payments moving both from and to the government and taxpayer (see </w:t>
      </w:r>
      <w:r w:rsidR="00C25C17">
        <w:t xml:space="preserve">paragraph 110 on page 83 of the </w:t>
      </w:r>
      <w:r>
        <w:t xml:space="preserve">Consolidated Commentary). The tax credit regime that the Qualified Refundable Tax Credit operates in must be designed in a way so that a credit </w:t>
      </w:r>
      <w:r>
        <w:lastRenderedPageBreak/>
        <w:t>becomes refundable within four years from when the conditions under the laws of the jurisdiction granting the credit are met.</w:t>
      </w:r>
      <w:r>
        <w:br/>
      </w:r>
      <w:r w:rsidRPr="00422FEF">
        <w:rPr>
          <w:rStyle w:val="References"/>
        </w:rPr>
        <w:t>[</w:t>
      </w:r>
      <w:r>
        <w:rPr>
          <w:rStyle w:val="References"/>
        </w:rPr>
        <w:t>Chapter 3, subsections 3-12</w:t>
      </w:r>
      <w:r w:rsidR="00C603B2">
        <w:rPr>
          <w:rStyle w:val="References"/>
        </w:rPr>
        <w:t>5</w:t>
      </w:r>
      <w:r>
        <w:rPr>
          <w:rStyle w:val="References"/>
        </w:rPr>
        <w:t>(1</w:t>
      </w:r>
      <w:r w:rsidR="001A3FE3">
        <w:rPr>
          <w:rStyle w:val="References"/>
        </w:rPr>
        <w:t>) and (</w:t>
      </w:r>
      <w:r>
        <w:rPr>
          <w:rStyle w:val="References"/>
        </w:rPr>
        <w:t xml:space="preserve">2) </w:t>
      </w:r>
      <w:r w:rsidRPr="00553D89">
        <w:rPr>
          <w:rStyle w:val="References"/>
        </w:rPr>
        <w:t>of the Rules</w:t>
      </w:r>
      <w:r w:rsidRPr="00422FEF">
        <w:rPr>
          <w:rStyle w:val="References"/>
        </w:rPr>
        <w:t>]</w:t>
      </w:r>
    </w:p>
    <w:p w14:paraId="6470D3C6" w14:textId="4043101D" w:rsidR="00717937" w:rsidRDefault="00717937" w:rsidP="00717937">
      <w:pPr>
        <w:pStyle w:val="Normalparatextwithnumbers"/>
      </w:pPr>
      <w:r>
        <w:t>The face value of a Qualified Refundable Tax Credit will be treated as GloBE income of the recipient Constituent Entity in the year such entitlement accrues. However, if the Qualified Refundable Tax Credit is related to the acquisition or construction of assets and the Constituent Entity that engages in the activities that generate the credit (the Originator) has an accounting policy of reducing the carrying value of its assets in respect of such tax credits, or recognising the credit as deferred income such that the income from the tax credit is recogni</w:t>
      </w:r>
      <w:r w:rsidR="00C57914">
        <w:t>s</w:t>
      </w:r>
      <w:r>
        <w:t>ed over the productive life of the asset, the Originator may follow this same accounting policy for Qualified Refundable Tax Credits to determine its GloBE income or loss without changing the character of the credit.</w:t>
      </w:r>
      <w:r>
        <w:br/>
      </w:r>
      <w:r w:rsidRPr="00422FEF">
        <w:rPr>
          <w:rStyle w:val="References"/>
        </w:rPr>
        <w:t>[</w:t>
      </w:r>
      <w:r>
        <w:rPr>
          <w:rStyle w:val="References"/>
        </w:rPr>
        <w:t>Chapter 3, section 3-11</w:t>
      </w:r>
      <w:r w:rsidR="00C603B2">
        <w:rPr>
          <w:rStyle w:val="References"/>
        </w:rPr>
        <w:t>5</w:t>
      </w:r>
      <w:r>
        <w:rPr>
          <w:rStyle w:val="References"/>
        </w:rPr>
        <w:t xml:space="preserve"> </w:t>
      </w:r>
      <w:r w:rsidRPr="00553D89">
        <w:rPr>
          <w:rStyle w:val="References"/>
        </w:rPr>
        <w:t>of the Rules</w:t>
      </w:r>
      <w:r w:rsidRPr="00422FEF">
        <w:rPr>
          <w:rStyle w:val="References"/>
        </w:rPr>
        <w:t>]</w:t>
      </w:r>
    </w:p>
    <w:p w14:paraId="5779463E" w14:textId="77777777" w:rsidR="00717937" w:rsidRDefault="00717937" w:rsidP="00717937">
      <w:pPr>
        <w:pStyle w:val="Normalparatextwithnumbers"/>
      </w:pPr>
      <w:r>
        <w:t xml:space="preserve">This reflects that these types of refundable tax credits share features of, and should be treated in the same way as, government grants that form part of income, given that they are in effect government support for a certain type of activity that can ultimately be received in cash or cash equivalent, see paragraph 111 on page 83 of the Consolidated Commentary. </w:t>
      </w:r>
    </w:p>
    <w:p w14:paraId="6288A744" w14:textId="24DE3CDC" w:rsidR="00717937" w:rsidRPr="009C1042" w:rsidRDefault="00717937" w:rsidP="00717937">
      <w:pPr>
        <w:pStyle w:val="Normalparatextwithnumbers"/>
        <w:rPr>
          <w:rStyle w:val="References"/>
          <w:b w:val="0"/>
          <w:i w:val="0"/>
        </w:rPr>
      </w:pPr>
      <w:r>
        <w:t xml:space="preserve">In cases where an amount of a Qualified Refundable Tax Credit has been recorded as a reduction in current income tax expense (or other Covered Taxes) in the financial accounts of the Constituent Entity, that amount must be treated as an addition to covered taxes under </w:t>
      </w:r>
      <w:r w:rsidR="00CE23C1">
        <w:t>paragraph</w:t>
      </w:r>
      <w:r>
        <w:t xml:space="preserve"> 4-15(e)</w:t>
      </w:r>
      <w:r w:rsidR="00CE23C1">
        <w:t xml:space="preserve"> of the Rules</w:t>
      </w:r>
      <w:r>
        <w:t xml:space="preserve"> to fully reverse the accounting entry that treated it as a tax reduction instead of income. This ensures that the Qualified Refundable Tax Credit is treated as an item of income rather than a reduction of accrued taxes. No adjustment is required if a tax credit that meets the definition of Qualified Refundable Tax Credit was already treated as income in the financial accounts.</w:t>
      </w:r>
      <w:r>
        <w:br/>
      </w:r>
      <w:r w:rsidRPr="00422FEF">
        <w:rPr>
          <w:rStyle w:val="References"/>
        </w:rPr>
        <w:t>[</w:t>
      </w:r>
      <w:r>
        <w:rPr>
          <w:rStyle w:val="References"/>
        </w:rPr>
        <w:t xml:space="preserve">Chapter 4, subsection 4-15 </w:t>
      </w:r>
      <w:r w:rsidRPr="00553D89">
        <w:rPr>
          <w:rStyle w:val="References"/>
        </w:rPr>
        <w:t>of the Rules</w:t>
      </w:r>
      <w:r w:rsidRPr="00422FEF">
        <w:rPr>
          <w:rStyle w:val="References"/>
        </w:rPr>
        <w:t>]</w:t>
      </w:r>
    </w:p>
    <w:p w14:paraId="2F85C760" w14:textId="77777777" w:rsidR="00717937" w:rsidRPr="009C1042" w:rsidRDefault="00717937" w:rsidP="00BE7ED8">
      <w:pPr>
        <w:pStyle w:val="Heading5"/>
      </w:pPr>
      <w:r w:rsidRPr="009C1042">
        <w:t>Refundable Tax Credit</w:t>
      </w:r>
    </w:p>
    <w:p w14:paraId="3A3E8864" w14:textId="5AD5F401" w:rsidR="00717937" w:rsidRDefault="00717937" w:rsidP="00717937">
      <w:pPr>
        <w:pStyle w:val="Normalparatextwithnumbers"/>
      </w:pPr>
      <w:r w:rsidRPr="004A4546">
        <w:rPr>
          <w:rStyle w:val="References"/>
          <w:b w:val="0"/>
          <w:bCs w:val="0"/>
          <w:i w:val="0"/>
          <w:iCs w:val="0"/>
        </w:rPr>
        <w:t xml:space="preserve">A Refundable Tax Credit is defined in </w:t>
      </w:r>
      <w:r w:rsidR="00B112A7">
        <w:rPr>
          <w:rStyle w:val="References"/>
          <w:b w:val="0"/>
          <w:bCs w:val="0"/>
          <w:i w:val="0"/>
          <w:iCs w:val="0"/>
        </w:rPr>
        <w:t>sub</w:t>
      </w:r>
      <w:r w:rsidRPr="004A4546">
        <w:rPr>
          <w:rStyle w:val="References"/>
          <w:b w:val="0"/>
          <w:bCs w:val="0"/>
          <w:i w:val="0"/>
          <w:iCs w:val="0"/>
        </w:rPr>
        <w:t>section 3-12</w:t>
      </w:r>
      <w:r w:rsidR="00C603B2">
        <w:rPr>
          <w:rStyle w:val="References"/>
          <w:b w:val="0"/>
          <w:bCs w:val="0"/>
          <w:i w:val="0"/>
          <w:iCs w:val="0"/>
        </w:rPr>
        <w:t>5</w:t>
      </w:r>
      <w:r w:rsidRPr="004A4546">
        <w:rPr>
          <w:rStyle w:val="References"/>
          <w:b w:val="0"/>
          <w:bCs w:val="0"/>
          <w:i w:val="0"/>
          <w:iCs w:val="0"/>
        </w:rPr>
        <w:t>(4)</w:t>
      </w:r>
      <w:r w:rsidR="00B112A7">
        <w:rPr>
          <w:rStyle w:val="References"/>
          <w:b w:val="0"/>
          <w:bCs w:val="0"/>
          <w:i w:val="0"/>
          <w:iCs w:val="0"/>
        </w:rPr>
        <w:t xml:space="preserve"> of the Rules</w:t>
      </w:r>
      <w:r w:rsidRPr="004A4546">
        <w:rPr>
          <w:rStyle w:val="References"/>
          <w:b w:val="0"/>
          <w:bCs w:val="0"/>
          <w:i w:val="0"/>
          <w:iCs w:val="0"/>
        </w:rPr>
        <w:t xml:space="preserve">. It can be treated as a Qualified Refundable Tax Credit and therefore the face value of the Refundable Tax Credit can also be treated as the GloBE Income of the Constituent Entity. The Refundable Tax Credit would need to be operate within a </w:t>
      </w:r>
      <w:r w:rsidRPr="004A4546">
        <w:rPr>
          <w:b/>
          <w:bCs/>
          <w:i/>
          <w:iCs/>
        </w:rPr>
        <w:t xml:space="preserve">tax </w:t>
      </w:r>
      <w:r>
        <w:t xml:space="preserve">credit regime that is designed such that the refund mechanism has practical significance for those taxpayers that will be entitled to the credit. If the design of a tax credit regime is such that the credit will </w:t>
      </w:r>
      <w:r w:rsidR="00EF2D3C">
        <w:t xml:space="preserve">(or is intended to) </w:t>
      </w:r>
      <w:r>
        <w:t>never exceed any taxpayer’s tax liability then the refund mechanism will be of no practical significance to taxpayers and the tax credit will not treat the credit as a Qualified Refundable Tax Credit.</w:t>
      </w:r>
      <w:r>
        <w:br/>
        <w:t xml:space="preserve"> </w:t>
      </w:r>
      <w:r w:rsidRPr="00422FEF">
        <w:rPr>
          <w:rStyle w:val="References"/>
        </w:rPr>
        <w:t>[</w:t>
      </w:r>
      <w:r>
        <w:rPr>
          <w:rStyle w:val="References"/>
        </w:rPr>
        <w:t>Chapter 3, subsection 3-12</w:t>
      </w:r>
      <w:r w:rsidR="00C603B2">
        <w:rPr>
          <w:rStyle w:val="References"/>
        </w:rPr>
        <w:t>5</w:t>
      </w:r>
      <w:r>
        <w:rPr>
          <w:rStyle w:val="References"/>
        </w:rPr>
        <w:t xml:space="preserve">(2) </w:t>
      </w:r>
      <w:r w:rsidRPr="00553D89">
        <w:rPr>
          <w:rStyle w:val="References"/>
        </w:rPr>
        <w:t>of the Rules</w:t>
      </w:r>
      <w:r w:rsidRPr="00422FEF">
        <w:rPr>
          <w:rStyle w:val="References"/>
        </w:rPr>
        <w:t>]</w:t>
      </w:r>
    </w:p>
    <w:p w14:paraId="0C0327FE" w14:textId="122CE7E1" w:rsidR="00717937" w:rsidRPr="00AD2CBA" w:rsidRDefault="00717937" w:rsidP="00717937">
      <w:pPr>
        <w:pStyle w:val="Normalparatextwithnumbers"/>
        <w:rPr>
          <w:rStyle w:val="References"/>
          <w:b w:val="0"/>
          <w:i w:val="0"/>
        </w:rPr>
      </w:pPr>
      <w:r w:rsidRPr="008A5E7E">
        <w:lastRenderedPageBreak/>
        <w:t>A</w:t>
      </w:r>
      <w:r w:rsidRPr="008A5E7E">
        <w:rPr>
          <w:b/>
          <w:bCs/>
          <w:i/>
          <w:iCs/>
        </w:rPr>
        <w:t xml:space="preserve"> </w:t>
      </w:r>
      <w:r w:rsidRPr="008A5E7E">
        <w:rPr>
          <w:rStyle w:val="References"/>
          <w:b w:val="0"/>
          <w:bCs w:val="0"/>
          <w:i w:val="0"/>
          <w:iCs w:val="0"/>
        </w:rPr>
        <w:t>Refundable Tax Credit will also not be treated as a Qualified Refundable Tax Credit to the extent that it includes an amount of Tax creditable under a Qualified Imputation Tax or a Disqualified Refundable Imputation Tax - both</w:t>
      </w:r>
      <w:r w:rsidRPr="008A5E7E">
        <w:rPr>
          <w:b/>
          <w:bCs/>
          <w:i/>
          <w:iCs/>
        </w:rPr>
        <w:t xml:space="preserve"> </w:t>
      </w:r>
      <w:r>
        <w:t>are imputation taxes, in the sense that they allow either the company or the shareholder to claim a full or partial credit or refund of the corporate income tax previously paid by the company when that income is subsequently distributed to the shareholder in the form of a dividend.</w:t>
      </w:r>
      <w:r>
        <w:br/>
      </w:r>
      <w:r w:rsidRPr="00422FEF">
        <w:rPr>
          <w:rStyle w:val="References"/>
        </w:rPr>
        <w:t>[</w:t>
      </w:r>
      <w:r>
        <w:rPr>
          <w:rStyle w:val="References"/>
        </w:rPr>
        <w:t>Chapter 3, subsection 3-12</w:t>
      </w:r>
      <w:r w:rsidR="00C603B2">
        <w:rPr>
          <w:rStyle w:val="References"/>
        </w:rPr>
        <w:t>5</w:t>
      </w:r>
      <w:r>
        <w:rPr>
          <w:rStyle w:val="References"/>
        </w:rPr>
        <w:t xml:space="preserve">(2) </w:t>
      </w:r>
      <w:r w:rsidRPr="00553D89">
        <w:rPr>
          <w:rStyle w:val="References"/>
        </w:rPr>
        <w:t>of the Rules</w:t>
      </w:r>
      <w:r w:rsidRPr="00422FEF">
        <w:rPr>
          <w:rStyle w:val="References"/>
        </w:rPr>
        <w:t>]</w:t>
      </w:r>
    </w:p>
    <w:p w14:paraId="7021EF92" w14:textId="77777777" w:rsidR="00717937" w:rsidRPr="009C1042" w:rsidRDefault="00717937" w:rsidP="00BE7ED8">
      <w:pPr>
        <w:pStyle w:val="Heading5"/>
      </w:pPr>
      <w:r>
        <w:t>Non-Qualified Refundable Tax Credit</w:t>
      </w:r>
    </w:p>
    <w:p w14:paraId="60F0ABFF" w14:textId="77777777" w:rsidR="00717937" w:rsidRDefault="00717937" w:rsidP="00717937">
      <w:pPr>
        <w:pStyle w:val="Normalparatextwithnumbers"/>
      </w:pPr>
      <w:r>
        <w:t xml:space="preserve">The distinction between “Qualified” and “Non-Qualified” refundable tax credits, and their different treatment under specific rules in Chapters 3 and 4, ensure that refundable tax credits are properly accounted for in the computation of the GloBE income or loss and the determination of Adjusted Covered Taxes in a way that provides for transparent and predictable outcomes under the GloBE Rules. </w:t>
      </w:r>
    </w:p>
    <w:p w14:paraId="0C034E80" w14:textId="2F55BC14" w:rsidR="00717937" w:rsidRDefault="00717937" w:rsidP="00717937">
      <w:pPr>
        <w:pStyle w:val="Normalparatextwithnumbers"/>
      </w:pPr>
      <w:r>
        <w:t>A “Non-Qualified” credit is a credit that can be considered as meeting the definition of a Refundable Tax Credit but ultimately fails to meet the definition of a “Qualified” credit because it is not refundable within four years from when the conditions under the laws of the jurisdiction granting the credit are met, see paragraph 136 on page 274 of the Consolidated Commentary.</w:t>
      </w:r>
      <w:r>
        <w:br/>
      </w:r>
      <w:r w:rsidRPr="009C1042">
        <w:rPr>
          <w:rFonts w:hint="eastAsia"/>
          <w:b/>
          <w:i/>
        </w:rPr>
        <w:t>[Chapter 3, subsection 3-12</w:t>
      </w:r>
      <w:r w:rsidR="00C603B2">
        <w:rPr>
          <w:b/>
          <w:i/>
        </w:rPr>
        <w:t>5</w:t>
      </w:r>
      <w:r w:rsidRPr="009C1042">
        <w:rPr>
          <w:rFonts w:hint="eastAsia"/>
          <w:b/>
          <w:i/>
        </w:rPr>
        <w:t>(3) of the Rules]</w:t>
      </w:r>
    </w:p>
    <w:p w14:paraId="75E73773" w14:textId="77777777" w:rsidR="00717937" w:rsidRDefault="00717937" w:rsidP="00BE7ED8">
      <w:pPr>
        <w:pStyle w:val="Heading5"/>
      </w:pPr>
      <w:r>
        <w:t>Marketable Transferable Tax Credits</w:t>
      </w:r>
    </w:p>
    <w:p w14:paraId="42472466" w14:textId="77777777" w:rsidR="00717937" w:rsidRDefault="00717937" w:rsidP="00717937">
      <w:pPr>
        <w:pStyle w:val="Normalparatextwithnumbers"/>
      </w:pPr>
      <w:r>
        <w:t xml:space="preserve">Marketable Transferable Tax Credit means a tax credit that can be used by the holder of the credit to reduce its liability for a Covered Tax in the jurisdiction that issued the tax credit and that meets the legal transferability standard and the marketability standard in the hands of holder. </w:t>
      </w:r>
    </w:p>
    <w:p w14:paraId="3E4C2D01" w14:textId="77777777" w:rsidR="00717937" w:rsidRPr="008D0571" w:rsidRDefault="00717937" w:rsidP="00BE7ED8">
      <w:pPr>
        <w:pStyle w:val="Heading6"/>
        <w:rPr>
          <w:rFonts w:hint="eastAsia"/>
        </w:rPr>
      </w:pPr>
      <w:r w:rsidRPr="008D0571">
        <w:t>Legal transferability standard</w:t>
      </w:r>
    </w:p>
    <w:p w14:paraId="0B6751F0" w14:textId="77777777" w:rsidR="00717937" w:rsidRDefault="00717937" w:rsidP="00717937">
      <w:pPr>
        <w:pStyle w:val="Normalparatextwithnumbers"/>
      </w:pPr>
      <w:r w:rsidRPr="008D0571">
        <w:t>The legal transferability standard is met for the Originator of a tax credit if the tax credit regime is designed in a way that the Originator can transfer the credit to an unrelated party in the Fiscal Year in which it satisfies the eligibility criteria for the credit (Origination Year) or within 15 months of the end of the Origination Year</w:t>
      </w:r>
      <w:r>
        <w:t>.</w:t>
      </w:r>
    </w:p>
    <w:p w14:paraId="15BF1E1C" w14:textId="77777777" w:rsidR="00717937" w:rsidRDefault="00717937" w:rsidP="00717937">
      <w:pPr>
        <w:pStyle w:val="Normalparatextwithnumbers"/>
        <w:spacing w:before="0" w:after="0"/>
      </w:pPr>
      <w:r w:rsidRPr="008D0571">
        <w:t>The legal transferability standard is met for a purchaser of a tax credit if the tax credit regime is designed in a way that the purchaser can transfer the credit to an unrelated party in the Fiscal Year in which it purchased the tax credit. If under the legal framework that applies to the credit, a purchaser of the tax credit cannot legally transfer the tax credit to an unrelated party or is subject to more stringent legal restrictions on transfer of the credit than the Originator, the tax credit does not meet the legal transferability standard in the hands of the purchaser.</w:t>
      </w:r>
    </w:p>
    <w:p w14:paraId="5FF2DB4E" w14:textId="47CF3A5D" w:rsidR="00717937" w:rsidRPr="003332C5" w:rsidRDefault="00717937" w:rsidP="00B7652D">
      <w:pPr>
        <w:pStyle w:val="Dotpoint1"/>
        <w:numPr>
          <w:ilvl w:val="0"/>
          <w:numId w:val="0"/>
        </w:numPr>
        <w:ind w:left="1069"/>
        <w:rPr>
          <w:b/>
          <w:bCs/>
          <w:i/>
          <w:iCs/>
        </w:rPr>
      </w:pPr>
      <w:r w:rsidRPr="003332C5">
        <w:rPr>
          <w:b/>
          <w:bCs/>
          <w:i/>
          <w:iCs/>
        </w:rPr>
        <w:lastRenderedPageBreak/>
        <w:t>[Chapter 3, subsections 3-1</w:t>
      </w:r>
      <w:r w:rsidR="00C603B2" w:rsidRPr="003332C5">
        <w:rPr>
          <w:b/>
          <w:bCs/>
          <w:i/>
          <w:iCs/>
        </w:rPr>
        <w:t>30</w:t>
      </w:r>
      <w:r w:rsidRPr="003332C5">
        <w:rPr>
          <w:b/>
          <w:bCs/>
          <w:i/>
          <w:iCs/>
        </w:rPr>
        <w:t>(2)-(3) of the Rules]</w:t>
      </w:r>
    </w:p>
    <w:p w14:paraId="02D435F4" w14:textId="77777777" w:rsidR="00717937" w:rsidRPr="004E1D18" w:rsidRDefault="00717937" w:rsidP="00F80DAF">
      <w:pPr>
        <w:pStyle w:val="Heading6"/>
        <w:rPr>
          <w:rFonts w:hint="eastAsia"/>
        </w:rPr>
      </w:pPr>
      <w:r w:rsidRPr="004E1D18">
        <w:t>Marketability standard</w:t>
      </w:r>
    </w:p>
    <w:p w14:paraId="38246039" w14:textId="3059CEB2" w:rsidR="00717937" w:rsidRDefault="00717937" w:rsidP="005720CD">
      <w:pPr>
        <w:pStyle w:val="Normalparatextwithnumbers"/>
        <w:spacing w:before="0" w:after="0"/>
      </w:pPr>
      <w:r w:rsidRPr="005C364B">
        <w:t>The marketability standard is met for the Originator of a tax credit if it is transferred to an unrelated party within 15 months of the end of the Origination Year (or, if not transferred or transferred between related parties, similar tax credits trade between unrelated parties within 15 months of the end of the Origination Year) at a price that equals or exceeds the Marketable Price Floor. The marketability standard is met for a purchaser if that purchaser acquired the credit from an unrelated party at a price that equals or exceeds the Marketable Price Floor.</w:t>
      </w:r>
      <w:r w:rsidR="005720CD">
        <w:br/>
      </w:r>
      <w:r w:rsidRPr="005720CD">
        <w:rPr>
          <w:b/>
          <w:bCs/>
          <w:i/>
          <w:iCs/>
        </w:rPr>
        <w:t>[Chapter 3, subsections 3-1</w:t>
      </w:r>
      <w:r w:rsidR="00DA0FC7">
        <w:rPr>
          <w:b/>
          <w:bCs/>
          <w:i/>
          <w:iCs/>
        </w:rPr>
        <w:t>30</w:t>
      </w:r>
      <w:r w:rsidRPr="005720CD">
        <w:rPr>
          <w:b/>
          <w:bCs/>
          <w:i/>
          <w:iCs/>
        </w:rPr>
        <w:t>(4)-(5) of the Rules]</w:t>
      </w:r>
    </w:p>
    <w:p w14:paraId="668C4658" w14:textId="77777777" w:rsidR="00717937" w:rsidRPr="006D5A1B" w:rsidRDefault="00717937" w:rsidP="00F80DAF">
      <w:pPr>
        <w:pStyle w:val="Heading6"/>
        <w:rPr>
          <w:rFonts w:hint="eastAsia"/>
        </w:rPr>
      </w:pPr>
      <w:r w:rsidRPr="006D5A1B">
        <w:t>Marketable Floor Price</w:t>
      </w:r>
    </w:p>
    <w:p w14:paraId="2E737D6E" w14:textId="6980B536" w:rsidR="00717937" w:rsidRDefault="00717937" w:rsidP="00717937">
      <w:pPr>
        <w:pStyle w:val="Normalparatextwithnumbers"/>
      </w:pPr>
      <w:r>
        <w:t>Marketable Price Floor means 80</w:t>
      </w:r>
      <w:r w:rsidR="00983B65">
        <w:t xml:space="preserve"> per cent</w:t>
      </w:r>
      <w:r>
        <w:t xml:space="preserve"> of the net present value (NPV) of the tax credit if the NPV is determined based on the yield to maturity on a debt instrument issued by the government that issued the tax credit with equal or similar maturity (and up to 5-year maturity) issued in the same Fiscal Year as the tax credit is transferred (or if not transferred, the Origination Year). </w:t>
      </w:r>
    </w:p>
    <w:p w14:paraId="1F9FA82D" w14:textId="7A6A8BD3" w:rsidR="00717937" w:rsidRDefault="00717937" w:rsidP="00717937">
      <w:pPr>
        <w:pStyle w:val="Normalparatextwithnumbers"/>
      </w:pPr>
      <w:r>
        <w:t>For this purpose, the tax credit is the face value of the credit or the remaining creditable amount in relation to the tax credit. The cash flow projection to be factored in the NPV calculation shall be based on the maximum amount that can be used each year under the legal design of the credit. An Originator and purchaser are considered related parties if one owns, directly or indirectly, at least 50</w:t>
      </w:r>
      <w:r w:rsidR="00983B65">
        <w:t xml:space="preserve"> per cent</w:t>
      </w:r>
      <w:r>
        <w:t xml:space="preserve"> of the beneficial interest in the other (or, in the case of a company, at least 50</w:t>
      </w:r>
      <w:r w:rsidR="00983B65">
        <w:t xml:space="preserve"> per cent</w:t>
      </w:r>
      <w:r>
        <w:t xml:space="preserve"> of the aggregate vote and value of the company’s shares) or another person owns, directly or indirectly, at least 50</w:t>
      </w:r>
      <w:r w:rsidR="00983B65">
        <w:t xml:space="preserve"> per cent</w:t>
      </w:r>
      <w:r>
        <w:t xml:space="preserve"> of the beneficial interest (or, in the case of a company, at least 50</w:t>
      </w:r>
      <w:r w:rsidR="00983B65">
        <w:t xml:space="preserve"> per cent</w:t>
      </w:r>
      <w:r>
        <w:t xml:space="preserve"> of the aggregate vote and value of the company’s shares) in each of the Originator and purchaser. </w:t>
      </w:r>
    </w:p>
    <w:p w14:paraId="4B037733" w14:textId="6337E32A" w:rsidR="00717937" w:rsidRPr="006D5A1B" w:rsidRDefault="00717937" w:rsidP="00717937">
      <w:pPr>
        <w:pStyle w:val="Normalparatextwithnumbers"/>
      </w:pPr>
      <w:r>
        <w:t>In any case, an Originator and purchaser are considered related parties if, based on all the relevant facts and circumstances, one has control of the other or both are under the control of the same person or persons.</w:t>
      </w:r>
      <w:r>
        <w:br/>
      </w:r>
      <w:r w:rsidRPr="00A33A4F">
        <w:rPr>
          <w:b/>
          <w:bCs/>
          <w:i/>
          <w:iCs/>
        </w:rPr>
        <w:t>[Chapter 3, section 3-</w:t>
      </w:r>
      <w:r>
        <w:rPr>
          <w:b/>
          <w:bCs/>
          <w:i/>
          <w:iCs/>
        </w:rPr>
        <w:t>1</w:t>
      </w:r>
      <w:r w:rsidR="00DA0FC7">
        <w:rPr>
          <w:b/>
          <w:bCs/>
          <w:i/>
          <w:iCs/>
        </w:rPr>
        <w:t>35</w:t>
      </w:r>
      <w:r w:rsidRPr="00A33A4F">
        <w:rPr>
          <w:b/>
          <w:bCs/>
          <w:i/>
          <w:iCs/>
        </w:rPr>
        <w:t xml:space="preserve"> of the Rules]</w:t>
      </w:r>
    </w:p>
    <w:p w14:paraId="5F00C9D9" w14:textId="77777777" w:rsidR="00717937" w:rsidRDefault="00717937" w:rsidP="00717937">
      <w:pPr>
        <w:pStyle w:val="Normalparatextwithnumbers"/>
      </w:pPr>
      <w:r>
        <w:t xml:space="preserve">Generally, the Originator of a Marketable Transferable Tax Credit shall treat the face value of the tax credit as GloBE Income in the Origination Year. However, if the Marketable Transferable Tax Credit is related to the acquisition or construction of assets and the Originator has an accounting policy of reducing the carrying value of its assets in respect of such tax credits, or recognising the credit as deferred income such that the income from the tax credit is recognized over the productive life of the asset, the Originator shall follow this same accounting policy for GloBE purposes. </w:t>
      </w:r>
    </w:p>
    <w:p w14:paraId="3C4C805E" w14:textId="77777777" w:rsidR="00717937" w:rsidRDefault="00717937" w:rsidP="00717937">
      <w:pPr>
        <w:pStyle w:val="Normalparatextwithnumbers"/>
      </w:pPr>
      <w:r>
        <w:lastRenderedPageBreak/>
        <w:t xml:space="preserve">If all or part of a Marketable Transferable Tax Credit expires without use, the Originator treats the face value attributable to the expired portion of the credit as a loss (or increase to the carrying value of the asset) in the computation of GloBE Income or Loss in the Fiscal Year of the expiration. </w:t>
      </w:r>
    </w:p>
    <w:p w14:paraId="5DE57D9F" w14:textId="77777777" w:rsidR="00717937" w:rsidRDefault="00717937" w:rsidP="00717937">
      <w:pPr>
        <w:pStyle w:val="Normalparatextwithnumbers"/>
      </w:pPr>
      <w:r>
        <w:t>An Originator that transfers a Marketable Transferable Tax Credit within 15 months of the end of the Origination Year shall include the transfer price (in lieu of the face value of the credit) in its GloBE Income in the Origination Year. If the Originator transfers a Marketable Transferable Tax Credit after this period, any difference between the face value of the tax credit transferred that was included in GloBE Income or Loss for the Origination Year and the transfer price shall be treated as a loss in computing the Originator’s GloBE Income or Loss in the Fiscal Year of the transfer. Where the Originator includes the tax credit as income rateably over the productive life of the asset, for both accounting and GloBE purposes, the difference between the transfer price and the face value of the tax credit shall be included in the GloBE Income or Loss rateably over the remaining productive life of the asset.</w:t>
      </w:r>
    </w:p>
    <w:p w14:paraId="4811370B" w14:textId="77777777" w:rsidR="00717937" w:rsidRDefault="00717937" w:rsidP="00717937">
      <w:pPr>
        <w:pStyle w:val="Normalparatextwithnumbers"/>
      </w:pPr>
      <w:r>
        <w:t xml:space="preserve">A purchaser of a Marketable Transferable Tax Credit that uses the tax credit to satisfy its liability for a Covered Tax includes the difference between the purchase price and the face value of the tax credit in its GloBE Income when and in proportion to the amount of the tax credit used by the purchaser to satisfy its liability for a Covered Tax. A purchaser of a Marketable Transferable Tax Credit that sells the credit must include the gain or loss on the sale in its GloBE income or loss in the Fiscal Year of the sale. The gain or loss on sale is equal to the sale price minus the total of the purchase price and the gain recognized from use of the credit. If all or part of a Marketable Transferable Tax Credit expires without use, the purchaser treats the loss attributable to the expired portion of the credit as a loss in the computation of GloBE income or loss in the Fiscal Year of the expiration. The loss attributable to the expiration is equal to the excess of the purchase price and the gain recognized on use of the credit over the amount of the credit used. </w:t>
      </w:r>
    </w:p>
    <w:p w14:paraId="57798B9E" w14:textId="77777777" w:rsidR="00717937" w:rsidRDefault="00717937" w:rsidP="00717937">
      <w:pPr>
        <w:pStyle w:val="Normalparatextwithnumbers"/>
      </w:pPr>
      <w:r>
        <w:t xml:space="preserve">This treatment of a purchased Marketable Transferable Tax Credit applies to a purchased tax credit that also qualifies as a Qualified Refundable Tax Credit. A tax credit that does not meet the conditions for being a Qualified Refundable Tax Credit or a Marketable Transferable Tax Credit, but that was treated as income in the financial accounts, must be subtracted from the computation of GloBE Income or Loss. The conditions for a Marketable Transferable Tax Credit draw on the treatment in financial accounting standards (both for government grants and for income taxes), and are designed to identify tax credits that are, as a matter of substance and not merely form, transferable in a market. </w:t>
      </w:r>
    </w:p>
    <w:p w14:paraId="6CEE1871" w14:textId="4AD20988" w:rsidR="00717937" w:rsidRPr="00D92FD6" w:rsidRDefault="00717937" w:rsidP="00717937">
      <w:pPr>
        <w:pStyle w:val="Normalparatextwithnumbers"/>
      </w:pPr>
      <w:r>
        <w:t xml:space="preserve">To be treated as a Marketable Transferable Tax Credit under the GloBE Rules, there must be a market such that the legal right to transfer the credit has immediate practical and economic significance for those taxpayers that will be entitled to the credit. If there is no actual market for the transferable tax credits, then the transferability element will be of no practical significance to taxpayers </w:t>
      </w:r>
      <w:r>
        <w:lastRenderedPageBreak/>
        <w:t>and the GloBE Rules will not treat the tax credit as a Marketable Transferable Tax Credit, see pages 84 to 86 of the Consolidated Commentary.</w:t>
      </w:r>
      <w:r>
        <w:br/>
      </w:r>
      <w:r w:rsidRPr="00A33A4F">
        <w:rPr>
          <w:b/>
          <w:bCs/>
          <w:i/>
          <w:iCs/>
        </w:rPr>
        <w:t>[Chapter 3, section 3-</w:t>
      </w:r>
      <w:r>
        <w:rPr>
          <w:b/>
          <w:bCs/>
          <w:i/>
          <w:iCs/>
        </w:rPr>
        <w:t>1</w:t>
      </w:r>
      <w:r w:rsidR="00DA0FC7">
        <w:rPr>
          <w:b/>
          <w:bCs/>
          <w:i/>
          <w:iCs/>
        </w:rPr>
        <w:t>20</w:t>
      </w:r>
      <w:r w:rsidRPr="00A33A4F">
        <w:rPr>
          <w:b/>
          <w:bCs/>
          <w:i/>
          <w:iCs/>
        </w:rPr>
        <w:t xml:space="preserve"> of the Rules]</w:t>
      </w:r>
    </w:p>
    <w:p w14:paraId="052CA469" w14:textId="77777777" w:rsidR="00717937" w:rsidRPr="00D92FD6" w:rsidRDefault="00717937" w:rsidP="00717937">
      <w:pPr>
        <w:pStyle w:val="Heading6"/>
        <w:rPr>
          <w:rFonts w:hint="eastAsia"/>
          <w:i w:val="0"/>
        </w:rPr>
      </w:pPr>
      <w:r w:rsidRPr="00D92FD6">
        <w:t>Other Tax Credits</w:t>
      </w:r>
    </w:p>
    <w:p w14:paraId="1CABFF47" w14:textId="1C3BA367" w:rsidR="00717937" w:rsidRDefault="00E04A93" w:rsidP="00717937">
      <w:pPr>
        <w:pStyle w:val="Normalparatextwithnumbers"/>
      </w:pPr>
      <w:r>
        <w:t>O</w:t>
      </w:r>
      <w:r w:rsidR="00717937">
        <w:t xml:space="preserve">ther tax credits that do not fall into the categories </w:t>
      </w:r>
      <w:r>
        <w:t>of a qualified refundable tax credit, a marketable transferable tax credit or a non</w:t>
      </w:r>
      <w:r>
        <w:noBreakHyphen/>
        <w:t xml:space="preserve">marketable transferable </w:t>
      </w:r>
      <w:r w:rsidR="00CC1887">
        <w:t xml:space="preserve">tax credit </w:t>
      </w:r>
      <w:r w:rsidR="00717937">
        <w:t xml:space="preserve">credits cannot be included in the computation of the GloBE income or loss of a Constituent Entity. </w:t>
      </w:r>
      <w:r w:rsidR="00717937">
        <w:br/>
      </w:r>
      <w:r w:rsidR="00717937" w:rsidRPr="00D92FD6">
        <w:rPr>
          <w:b/>
          <w:bCs/>
          <w:i/>
          <w:iCs/>
        </w:rPr>
        <w:t>[Chapter 3,</w:t>
      </w:r>
      <w:r w:rsidR="00717937">
        <w:rPr>
          <w:b/>
          <w:bCs/>
          <w:i/>
          <w:iCs/>
        </w:rPr>
        <w:t xml:space="preserve"> </w:t>
      </w:r>
      <w:r w:rsidR="00717937" w:rsidRPr="00D92FD6">
        <w:rPr>
          <w:b/>
          <w:bCs/>
          <w:i/>
          <w:iCs/>
        </w:rPr>
        <w:t>sections 3-11</w:t>
      </w:r>
      <w:r w:rsidR="00DA0FC7">
        <w:rPr>
          <w:b/>
          <w:bCs/>
          <w:i/>
          <w:iCs/>
        </w:rPr>
        <w:t>0</w:t>
      </w:r>
      <w:r w:rsidR="00717937" w:rsidRPr="00D92FD6">
        <w:rPr>
          <w:b/>
          <w:bCs/>
          <w:i/>
          <w:iCs/>
        </w:rPr>
        <w:t xml:space="preserve"> and 3-11</w:t>
      </w:r>
      <w:r w:rsidR="00DA0FC7">
        <w:rPr>
          <w:b/>
          <w:bCs/>
          <w:i/>
          <w:iCs/>
        </w:rPr>
        <w:t>5</w:t>
      </w:r>
      <w:r w:rsidR="00717937" w:rsidRPr="00D92FD6">
        <w:rPr>
          <w:b/>
          <w:bCs/>
          <w:i/>
          <w:iCs/>
        </w:rPr>
        <w:t xml:space="preserve"> </w:t>
      </w:r>
      <w:r w:rsidR="00CC1887">
        <w:rPr>
          <w:b/>
          <w:bCs/>
          <w:i/>
          <w:iCs/>
        </w:rPr>
        <w:t>and subsection 3-1</w:t>
      </w:r>
      <w:r w:rsidR="00DA0FC7">
        <w:rPr>
          <w:b/>
          <w:bCs/>
          <w:i/>
          <w:iCs/>
        </w:rPr>
        <w:t>40</w:t>
      </w:r>
      <w:r w:rsidR="00CC1887">
        <w:rPr>
          <w:b/>
          <w:bCs/>
          <w:i/>
          <w:iCs/>
        </w:rPr>
        <w:t xml:space="preserve">(2) </w:t>
      </w:r>
      <w:r w:rsidR="00717937" w:rsidRPr="00D92FD6">
        <w:rPr>
          <w:b/>
          <w:bCs/>
          <w:i/>
          <w:iCs/>
        </w:rPr>
        <w:t>of the Rules]</w:t>
      </w:r>
    </w:p>
    <w:p w14:paraId="0D6D03F0" w14:textId="77777777" w:rsidR="00717937" w:rsidRDefault="00717937" w:rsidP="00717937">
      <w:pPr>
        <w:pStyle w:val="Heading3"/>
        <w:rPr>
          <w:rFonts w:hint="eastAsia"/>
        </w:rPr>
      </w:pPr>
      <w:bookmarkStart w:id="118" w:name="_Toc183003759"/>
      <w:bookmarkStart w:id="119" w:name="_Toc183786644"/>
      <w:bookmarkStart w:id="120" w:name="_Toc185502992"/>
      <w:r>
        <w:t>Elections</w:t>
      </w:r>
      <w:bookmarkEnd w:id="118"/>
      <w:bookmarkEnd w:id="119"/>
      <w:bookmarkEnd w:id="120"/>
      <w:r>
        <w:t xml:space="preserve"> </w:t>
      </w:r>
    </w:p>
    <w:p w14:paraId="2A3CCA0F" w14:textId="73DA52DB" w:rsidR="00717937" w:rsidRDefault="00717937" w:rsidP="00717937">
      <w:pPr>
        <w:pStyle w:val="Normalparatextwithnumbers"/>
      </w:pPr>
      <w:r>
        <w:t xml:space="preserve">A relevant entity may make </w:t>
      </w:r>
      <w:r w:rsidR="006B1AE8">
        <w:t>annual, five</w:t>
      </w:r>
      <w:r w:rsidR="006B1AE8">
        <w:noBreakHyphen/>
        <w:t xml:space="preserve">yearly or indefinite </w:t>
      </w:r>
      <w:r>
        <w:t xml:space="preserve">elections </w:t>
      </w:r>
      <w:r w:rsidR="006B1AE8">
        <w:t>as recorded in the GloBE Information Return</w:t>
      </w:r>
      <w:r>
        <w:t>.</w:t>
      </w:r>
    </w:p>
    <w:p w14:paraId="3ED18A31" w14:textId="0877B4F6" w:rsidR="00F430A5" w:rsidRDefault="00F430A5" w:rsidP="00AC6E86">
      <w:pPr>
        <w:pStyle w:val="Heading5"/>
      </w:pPr>
      <w:r>
        <w:t xml:space="preserve">Five-Year election: </w:t>
      </w:r>
      <w:r w:rsidR="006745A6">
        <w:t xml:space="preserve">Excluded Dividends </w:t>
      </w:r>
    </w:p>
    <w:p w14:paraId="2B095E4E" w14:textId="58D58AC3" w:rsidR="004B6A83" w:rsidRDefault="00313554" w:rsidP="008D1D76">
      <w:pPr>
        <w:pStyle w:val="Normalparatextwithnumbers"/>
      </w:pPr>
      <w:r>
        <w:t xml:space="preserve">A Filing Constituent Entity may make a Five-Year election for the MNE Group for any Constituent Entity to include all dividends from all portfolio shareholdings on the basis that it is burdensome to differentiate long-term and </w:t>
      </w:r>
      <w:r w:rsidR="00551A01">
        <w:t>S</w:t>
      </w:r>
      <w:r>
        <w:t>hort</w:t>
      </w:r>
      <w:r>
        <w:noBreakHyphen/>
        <w:t xml:space="preserve">term </w:t>
      </w:r>
      <w:r w:rsidR="00551A01">
        <w:t>P</w:t>
      </w:r>
      <w:r>
        <w:t xml:space="preserve">ortfolio </w:t>
      </w:r>
      <w:r w:rsidR="002D1E46">
        <w:t>S</w:t>
      </w:r>
      <w:r>
        <w:t>hareholdings.</w:t>
      </w:r>
      <w:r w:rsidR="00790F5F">
        <w:br/>
      </w:r>
      <w:r w:rsidR="00790F5F" w:rsidRPr="00D92FD6">
        <w:rPr>
          <w:b/>
          <w:bCs/>
          <w:i/>
          <w:iCs/>
        </w:rPr>
        <w:t>[Chapter 3,</w:t>
      </w:r>
      <w:r w:rsidR="00790F5F">
        <w:rPr>
          <w:b/>
          <w:bCs/>
          <w:i/>
          <w:iCs/>
        </w:rPr>
        <w:t xml:space="preserve"> </w:t>
      </w:r>
      <w:r w:rsidR="00790F5F" w:rsidRPr="00D92FD6">
        <w:rPr>
          <w:b/>
          <w:bCs/>
          <w:i/>
          <w:iCs/>
        </w:rPr>
        <w:t>sections 3-</w:t>
      </w:r>
      <w:r w:rsidR="00CE6BD5">
        <w:rPr>
          <w:b/>
          <w:bCs/>
          <w:i/>
          <w:iCs/>
        </w:rPr>
        <w:t xml:space="preserve">20(2) </w:t>
      </w:r>
      <w:r w:rsidR="00790F5F" w:rsidRPr="00D92FD6">
        <w:rPr>
          <w:b/>
          <w:bCs/>
          <w:i/>
          <w:iCs/>
        </w:rPr>
        <w:t>the Rules]</w:t>
      </w:r>
    </w:p>
    <w:p w14:paraId="2437A1DA" w14:textId="24D701D3" w:rsidR="008D1D76" w:rsidRPr="008D1D76" w:rsidRDefault="004B6A83" w:rsidP="009153D9">
      <w:pPr>
        <w:pStyle w:val="Normalparatextwithnumbers"/>
      </w:pPr>
      <w:r>
        <w:t xml:space="preserve">A Short-term Portfolio Shareholding </w:t>
      </w:r>
      <w:r w:rsidR="00C272A6">
        <w:t xml:space="preserve">exists </w:t>
      </w:r>
      <w:r w:rsidR="00313554">
        <w:t xml:space="preserve">in respect of </w:t>
      </w:r>
      <w:r w:rsidR="005431FA">
        <w:t xml:space="preserve">distributions </w:t>
      </w:r>
      <w:r w:rsidR="00313554">
        <w:t>that have been transferred</w:t>
      </w:r>
      <w:r w:rsidR="005431FA">
        <w:t xml:space="preserve"> to a Constituent Entity who then holds the distribution</w:t>
      </w:r>
      <w:r w:rsidR="00313554">
        <w:t>s</w:t>
      </w:r>
      <w:r w:rsidR="005431FA">
        <w:t xml:space="preserve"> for a period of less than a year.</w:t>
      </w:r>
      <w:r w:rsidR="009C4966">
        <w:br/>
      </w:r>
      <w:r w:rsidR="009C4966" w:rsidRPr="00D92FD6">
        <w:rPr>
          <w:b/>
          <w:bCs/>
          <w:i/>
          <w:iCs/>
        </w:rPr>
        <w:t>[Chapter 3,</w:t>
      </w:r>
      <w:r w:rsidR="009C4966">
        <w:rPr>
          <w:b/>
          <w:bCs/>
          <w:i/>
          <w:iCs/>
        </w:rPr>
        <w:t xml:space="preserve"> </w:t>
      </w:r>
      <w:r w:rsidR="009C4966" w:rsidRPr="00D92FD6">
        <w:rPr>
          <w:b/>
          <w:bCs/>
          <w:i/>
          <w:iCs/>
        </w:rPr>
        <w:t>sections 3-</w:t>
      </w:r>
      <w:r w:rsidR="009C4966">
        <w:rPr>
          <w:b/>
          <w:bCs/>
          <w:i/>
          <w:iCs/>
        </w:rPr>
        <w:t xml:space="preserve">25(3) </w:t>
      </w:r>
      <w:r w:rsidR="009C4966" w:rsidRPr="00D92FD6">
        <w:rPr>
          <w:b/>
          <w:bCs/>
          <w:i/>
          <w:iCs/>
        </w:rPr>
        <w:t>the Rules]</w:t>
      </w:r>
    </w:p>
    <w:p w14:paraId="792059F1" w14:textId="01AF580D" w:rsidR="00717937" w:rsidRDefault="00717937" w:rsidP="00AC6E86">
      <w:pPr>
        <w:pStyle w:val="Heading5"/>
      </w:pPr>
      <w:r>
        <w:t>Five-</w:t>
      </w:r>
      <w:r w:rsidR="00652D5C">
        <w:t>Y</w:t>
      </w:r>
      <w:r>
        <w:t xml:space="preserve">ear election: </w:t>
      </w:r>
      <w:r w:rsidR="00784418">
        <w:t xml:space="preserve">Excluded Equity Gains or Loss and Investment Hedges in Foreign Operations </w:t>
      </w:r>
    </w:p>
    <w:p w14:paraId="292AEAB5" w14:textId="778FFA48" w:rsidR="00717937" w:rsidRDefault="00717937" w:rsidP="00717937">
      <w:pPr>
        <w:pStyle w:val="Normalparatextwithnumbers"/>
      </w:pPr>
      <w:r>
        <w:t xml:space="preserve">A redeemable preference share </w:t>
      </w:r>
      <w:r w:rsidR="008B1513">
        <w:t xml:space="preserve">or convertible note </w:t>
      </w:r>
      <w:r>
        <w:t xml:space="preserve">is often treated </w:t>
      </w:r>
      <w:r w:rsidRPr="00BD7EBE">
        <w:t xml:space="preserve">as a liability for the issuer under Acceptable </w:t>
      </w:r>
      <w:r w:rsidR="00736FF5">
        <w:t>FAS</w:t>
      </w:r>
      <w:r w:rsidRPr="00BD7EBE">
        <w:t>, while the same accounting standard allows for a different classification</w:t>
      </w:r>
      <w:r w:rsidR="00D736F0">
        <w:t xml:space="preserve"> </w:t>
      </w:r>
      <w:r w:rsidR="00D9608B">
        <w:t xml:space="preserve">to </w:t>
      </w:r>
      <w:r w:rsidR="00A93564">
        <w:t xml:space="preserve">treat the </w:t>
      </w:r>
      <w:r w:rsidRPr="00BD7EBE">
        <w:t xml:space="preserve">instrument </w:t>
      </w:r>
      <w:r w:rsidR="00A93564">
        <w:t xml:space="preserve">as equity </w:t>
      </w:r>
      <w:r w:rsidRPr="00BD7EBE">
        <w:t>from the holder’s perspective. A similar outcome could potentially apply in circumstances where a Constituent Entity issues a compound financial instrument. Compound financial instruments are non-derivative financial instruments that, from the issuer’s perspective, contain both a liability and an equity component, such as a convertible bond</w:t>
      </w:r>
      <w:r w:rsidR="006B7DE5">
        <w:t>, see paragraph</w:t>
      </w:r>
      <w:r w:rsidR="009B38F2">
        <w:t>s</w:t>
      </w:r>
      <w:r w:rsidR="006B7DE5">
        <w:t xml:space="preserve"> 57.1</w:t>
      </w:r>
      <w:r w:rsidR="009B38F2">
        <w:t xml:space="preserve"> to 57.3</w:t>
      </w:r>
      <w:r w:rsidR="006B7DE5">
        <w:t xml:space="preserve"> on page</w:t>
      </w:r>
      <w:r w:rsidR="009C10D4">
        <w:t>s</w:t>
      </w:r>
      <w:r w:rsidR="006B7DE5">
        <w:t xml:space="preserve"> 67</w:t>
      </w:r>
      <w:r w:rsidR="009C10D4">
        <w:t xml:space="preserve"> and 68</w:t>
      </w:r>
      <w:r w:rsidR="006B7DE5">
        <w:t xml:space="preserve"> of the Consolidated Commentary</w:t>
      </w:r>
    </w:p>
    <w:p w14:paraId="17702FCF" w14:textId="11698AE0" w:rsidR="006868D7" w:rsidRDefault="006868D7" w:rsidP="006868D7">
      <w:pPr>
        <w:pStyle w:val="Normalparatextwithnumbers"/>
      </w:pPr>
      <w:r>
        <w:t xml:space="preserve">Common examples of instruments </w:t>
      </w:r>
      <w:r w:rsidRPr="00BD7EBE">
        <w:t xml:space="preserve">that may </w:t>
      </w:r>
      <w:r>
        <w:t xml:space="preserve">be eligible for </w:t>
      </w:r>
      <w:r w:rsidR="006238B3">
        <w:t>the Five</w:t>
      </w:r>
      <w:r w:rsidR="006238B3">
        <w:noBreakHyphen/>
        <w:t>Year election</w:t>
      </w:r>
      <w:r w:rsidRPr="00BD7EBE">
        <w:t xml:space="preserve"> </w:t>
      </w:r>
      <w:r>
        <w:t>include</w:t>
      </w:r>
      <w:r w:rsidRPr="00BD7EBE">
        <w:t xml:space="preserve"> redeemable preference shares</w:t>
      </w:r>
      <w:r>
        <w:t xml:space="preserve">, compound financial instruments, and hedging instruments. </w:t>
      </w:r>
      <w:r w:rsidRPr="00561DBD">
        <w:t xml:space="preserve">Under </w:t>
      </w:r>
      <w:r>
        <w:t>the International Financial Reporting Standards and the US’ Generally Accepted Accounting Principles</w:t>
      </w:r>
      <w:r w:rsidRPr="00561DBD">
        <w:t xml:space="preserve">, </w:t>
      </w:r>
      <w:r w:rsidRPr="00561DBD">
        <w:lastRenderedPageBreak/>
        <w:t>the issuing entity must separately identify the liability and equity components of the compound financial instrument and treat each accordingly in the financial statements.</w:t>
      </w:r>
    </w:p>
    <w:p w14:paraId="6E7AE9AF" w14:textId="200385ED" w:rsidR="00717937" w:rsidRDefault="00D16195" w:rsidP="00717937">
      <w:pPr>
        <w:pStyle w:val="Normalparatextwithnumbers"/>
      </w:pPr>
      <w:r>
        <w:t>On the basis that t</w:t>
      </w:r>
      <w:r w:rsidR="00717937">
        <w:t>he treatment of a net investment hedge should follow the treatment of the investment it is hedging</w:t>
      </w:r>
      <w:r w:rsidR="00F02E2E">
        <w:t xml:space="preserve">, </w:t>
      </w:r>
      <w:r w:rsidR="00717937">
        <w:t xml:space="preserve">a Filing Constituent Entity may make a </w:t>
      </w:r>
      <w:r w:rsidR="00F02E2E">
        <w:t>F</w:t>
      </w:r>
      <w:r w:rsidR="00717937">
        <w:t>ive-</w:t>
      </w:r>
      <w:r w:rsidR="00F02E2E">
        <w:t>Y</w:t>
      </w:r>
      <w:r w:rsidR="00717937">
        <w:t>ear election to treat foreign exchange gains or losses reflected in a Constituent Entity’s FANIL as an Excluded Equity Gain or Loss, to the extent that:</w:t>
      </w:r>
    </w:p>
    <w:p w14:paraId="7C63C6CC" w14:textId="7211432E" w:rsidR="00717937" w:rsidRDefault="00717937" w:rsidP="00B7652D">
      <w:pPr>
        <w:pStyle w:val="Dotpoint1"/>
      </w:pPr>
      <w:r>
        <w:t xml:space="preserve">the foreign exchange gain or </w:t>
      </w:r>
      <w:r w:rsidR="00851066" w:rsidRPr="00851066">
        <w:t>losses are attributable to hedging instruments that hedge the currency risk in Ownership Interests other than Portfolio Shareholdings</w:t>
      </w:r>
      <w:r>
        <w:t>; and</w:t>
      </w:r>
    </w:p>
    <w:p w14:paraId="1ACE736D" w14:textId="3C09EC4B" w:rsidR="00717937" w:rsidRDefault="00717937" w:rsidP="00B7652D">
      <w:pPr>
        <w:pStyle w:val="Dotpoint1"/>
      </w:pPr>
      <w:r>
        <w:t xml:space="preserve">the gain or loss is </w:t>
      </w:r>
      <w:r w:rsidR="00160459">
        <w:t xml:space="preserve">recognised </w:t>
      </w:r>
      <w:r w:rsidR="00294A01">
        <w:t xml:space="preserve">in </w:t>
      </w:r>
      <w:r w:rsidR="00160459">
        <w:t>Other Comprehensive Income at the level of the CFS</w:t>
      </w:r>
      <w:r>
        <w:t xml:space="preserve">; and </w:t>
      </w:r>
    </w:p>
    <w:p w14:paraId="7D2EE50D" w14:textId="081961A9" w:rsidR="00717937" w:rsidRDefault="00717937" w:rsidP="00B7652D">
      <w:pPr>
        <w:pStyle w:val="Dotpoint1"/>
      </w:pPr>
      <w:r>
        <w:t xml:space="preserve">the hedging instrument is considered effective under the Authorised </w:t>
      </w:r>
      <w:r w:rsidR="00993ECF">
        <w:t>FAS</w:t>
      </w:r>
      <w:r w:rsidR="00D86271">
        <w:t xml:space="preserve"> </w:t>
      </w:r>
      <w:r>
        <w:t>used in preparing the CFS.</w:t>
      </w:r>
      <w:r>
        <w:br/>
      </w:r>
      <w:r w:rsidRPr="00DF169F">
        <w:rPr>
          <w:rStyle w:val="References"/>
        </w:rPr>
        <w:t xml:space="preserve">[Chapter 3, </w:t>
      </w:r>
      <w:r w:rsidR="008D5F9D">
        <w:rPr>
          <w:rStyle w:val="References"/>
        </w:rPr>
        <w:t>sub</w:t>
      </w:r>
      <w:r w:rsidRPr="00DF169F">
        <w:rPr>
          <w:rStyle w:val="References"/>
        </w:rPr>
        <w:t>section</w:t>
      </w:r>
      <w:r w:rsidR="008D5F9D">
        <w:rPr>
          <w:rStyle w:val="References"/>
        </w:rPr>
        <w:t>s</w:t>
      </w:r>
      <w:r w:rsidRPr="00DF169F">
        <w:rPr>
          <w:rStyle w:val="References"/>
        </w:rPr>
        <w:t xml:space="preserve"> 3-</w:t>
      </w:r>
      <w:r w:rsidR="00DA0FC7">
        <w:rPr>
          <w:rStyle w:val="References"/>
        </w:rPr>
        <w:t>3</w:t>
      </w:r>
      <w:r w:rsidRPr="00DF169F">
        <w:rPr>
          <w:rStyle w:val="References"/>
        </w:rPr>
        <w:t>5(1)</w:t>
      </w:r>
      <w:r w:rsidR="008D5F9D">
        <w:rPr>
          <w:rStyle w:val="References"/>
        </w:rPr>
        <w:t>,</w:t>
      </w:r>
      <w:r w:rsidR="008D5F9D" w:rsidRPr="00DF169F">
        <w:rPr>
          <w:rStyle w:val="References"/>
        </w:rPr>
        <w:t xml:space="preserve"> </w:t>
      </w:r>
      <w:r w:rsidRPr="00DF169F">
        <w:rPr>
          <w:rStyle w:val="References"/>
        </w:rPr>
        <w:t>(2), (3) and</w:t>
      </w:r>
      <w:r w:rsidR="008D5F9D">
        <w:rPr>
          <w:rStyle w:val="References"/>
        </w:rPr>
        <w:t xml:space="preserve"> </w:t>
      </w:r>
      <w:r w:rsidRPr="00DF169F">
        <w:rPr>
          <w:rStyle w:val="References"/>
        </w:rPr>
        <w:t>(4)]</w:t>
      </w:r>
      <w:r>
        <w:t xml:space="preserve">  </w:t>
      </w:r>
    </w:p>
    <w:p w14:paraId="0B16165E" w14:textId="77777777" w:rsidR="00717937" w:rsidRDefault="00717937" w:rsidP="00717937">
      <w:pPr>
        <w:pStyle w:val="Normalparatextwithnumbers"/>
      </w:pPr>
      <w:r>
        <w:t>Where the hedging instrument is held by a Constituent Entity that does not itself hold the ownership interests being hedged and that Constituent Entity transfers the foreign exchange risk to another Constituent Entity that does hold those ownership interests (such as through intercompany loans), then:</w:t>
      </w:r>
    </w:p>
    <w:p w14:paraId="6964C453" w14:textId="77777777" w:rsidR="00717937" w:rsidRDefault="00717937" w:rsidP="00B7652D">
      <w:pPr>
        <w:pStyle w:val="Dotpoint1"/>
      </w:pPr>
      <w:r>
        <w:t xml:space="preserve">the foreign exchange gain or loss on the net investment hedge is treated as Excluded Equity Gain or Loss of the Constituent Entity that holds the Ownership Interest; and </w:t>
      </w:r>
    </w:p>
    <w:p w14:paraId="59CC9C7C" w14:textId="2D3E6DCD" w:rsidR="00717937" w:rsidRDefault="00C36223" w:rsidP="00B7652D">
      <w:pPr>
        <w:pStyle w:val="Dotpoint1"/>
      </w:pPr>
      <w:r>
        <w:t xml:space="preserve">the exclusion does not apply to the Constituent Entity that issued the hedging instrument and </w:t>
      </w:r>
      <w:r w:rsidR="00717937">
        <w:t>no adjustment is made to the GloBE Income or Loss.</w:t>
      </w:r>
      <w:r w:rsidR="00717937">
        <w:br/>
      </w:r>
      <w:r w:rsidR="00717937" w:rsidRPr="00DF169F">
        <w:rPr>
          <w:rStyle w:val="References"/>
        </w:rPr>
        <w:t xml:space="preserve">[Chapter 3, </w:t>
      </w:r>
      <w:r w:rsidR="00717937">
        <w:rPr>
          <w:rStyle w:val="References"/>
        </w:rPr>
        <w:t xml:space="preserve">subsection </w:t>
      </w:r>
      <w:r w:rsidR="00717937" w:rsidRPr="00DF169F">
        <w:rPr>
          <w:rStyle w:val="References"/>
        </w:rPr>
        <w:t>3-</w:t>
      </w:r>
      <w:r w:rsidR="00DA0FC7">
        <w:rPr>
          <w:rStyle w:val="References"/>
        </w:rPr>
        <w:t>3</w:t>
      </w:r>
      <w:r w:rsidR="00717937" w:rsidRPr="00DF169F">
        <w:rPr>
          <w:rStyle w:val="References"/>
        </w:rPr>
        <w:t>5(2) of the Rules]</w:t>
      </w:r>
      <w:r w:rsidR="00717937">
        <w:t xml:space="preserve"> </w:t>
      </w:r>
    </w:p>
    <w:p w14:paraId="5833C07A" w14:textId="694B348A" w:rsidR="00BC3DA0" w:rsidRPr="003A4995" w:rsidRDefault="00BC3DA0">
      <w:pPr>
        <w:pStyle w:val="Normalparatextwithnumbers"/>
      </w:pPr>
      <w:r>
        <w:t>As a consequence, any taxes arising on the foreign exchange gains is treated as a reduction to Covered Taxes under paragraph 4-20(a) of the Rules</w:t>
      </w:r>
      <w:r w:rsidRPr="003A4995">
        <w:t>.</w:t>
      </w:r>
      <w:r>
        <w:t xml:space="preserve">  </w:t>
      </w:r>
    </w:p>
    <w:p w14:paraId="199C3650" w14:textId="77777777" w:rsidR="00717937" w:rsidRDefault="00717937" w:rsidP="00AC6E86">
      <w:pPr>
        <w:pStyle w:val="Heading5"/>
      </w:pPr>
      <w:r>
        <w:t>Annual election: exclude qualified debt release amount</w:t>
      </w:r>
    </w:p>
    <w:p w14:paraId="18DC58CE" w14:textId="40F4C64A" w:rsidR="00717937" w:rsidRDefault="00717937" w:rsidP="00717937">
      <w:pPr>
        <w:pStyle w:val="Normalparatextwithnumbers"/>
      </w:pPr>
      <w:r>
        <w:t xml:space="preserve">A Filing Constituent Entity may make an </w:t>
      </w:r>
      <w:r w:rsidR="002330EF">
        <w:t>Annual Election</w:t>
      </w:r>
      <w:r>
        <w:t xml:space="preserve"> to exclude an amount in </w:t>
      </w:r>
      <w:r w:rsidR="00DF3E13">
        <w:t xml:space="preserve">respect of a </w:t>
      </w:r>
      <w:r>
        <w:t>debt release</w:t>
      </w:r>
      <w:r w:rsidR="00DF3E13">
        <w:t xml:space="preserve"> </w:t>
      </w:r>
      <w:r w:rsidR="00B17E44">
        <w:t xml:space="preserve">from the Constituent Entity’s FANIL </w:t>
      </w:r>
      <w:r w:rsidR="00C3763D">
        <w:t xml:space="preserve">for a Fiscal Year </w:t>
      </w:r>
      <w:r w:rsidR="00DF3E13">
        <w:t>if the debt release</w:t>
      </w:r>
      <w:r>
        <w:t>:</w:t>
      </w:r>
    </w:p>
    <w:p w14:paraId="5847A416" w14:textId="10643289" w:rsidR="00717937" w:rsidRDefault="00717937" w:rsidP="00B7652D">
      <w:pPr>
        <w:pStyle w:val="Dotpoint1"/>
      </w:pPr>
      <w:r>
        <w:t>is subject to court or other judicial body statutorily provided insolvency or bankruptcy proceedings or where an independent insolvency administrator is appointed</w:t>
      </w:r>
      <w:r w:rsidR="00227FEC">
        <w:t xml:space="preserve">; </w:t>
      </w:r>
      <w:r w:rsidR="00460211">
        <w:t xml:space="preserve">and </w:t>
      </w:r>
    </w:p>
    <w:p w14:paraId="4F6EC43F" w14:textId="6EF200EB" w:rsidR="00717937" w:rsidRDefault="00717937" w:rsidP="00B7652D">
      <w:pPr>
        <w:pStyle w:val="Dotpoint1"/>
      </w:pPr>
      <w:r>
        <w:t>arises by arrangement where one or more creditors is not connected with the debtor and it is reasonable to conclude the debtor would be insolvent in 12 months</w:t>
      </w:r>
      <w:r w:rsidR="00845567">
        <w:t xml:space="preserve"> of the date of release</w:t>
      </w:r>
      <w:r w:rsidR="001E7FC8">
        <w:t>.</w:t>
      </w:r>
      <w:r w:rsidR="001E7FC8" w:rsidRPr="001E7FC8">
        <w:t xml:space="preserve"> </w:t>
      </w:r>
      <w:r w:rsidR="001E7FC8">
        <w:br/>
      </w:r>
      <w:r w:rsidR="001E7FC8" w:rsidRPr="001E7FC8">
        <w:rPr>
          <w:rStyle w:val="References"/>
        </w:rPr>
        <w:lastRenderedPageBreak/>
        <w:t xml:space="preserve">[Chapter 3, </w:t>
      </w:r>
      <w:r w:rsidR="00B17E44">
        <w:rPr>
          <w:rStyle w:val="References"/>
        </w:rPr>
        <w:t>section 3</w:t>
      </w:r>
      <w:r w:rsidR="00B17E44">
        <w:rPr>
          <w:rStyle w:val="References"/>
        </w:rPr>
        <w:noBreakHyphen/>
      </w:r>
      <w:r w:rsidR="00DA0FC7">
        <w:rPr>
          <w:rStyle w:val="References"/>
        </w:rPr>
        <w:t>80</w:t>
      </w:r>
      <w:r w:rsidR="00B17E44">
        <w:rPr>
          <w:rStyle w:val="References"/>
        </w:rPr>
        <w:t xml:space="preserve"> and </w:t>
      </w:r>
      <w:r w:rsidR="005E402F">
        <w:rPr>
          <w:rStyle w:val="References"/>
        </w:rPr>
        <w:t xml:space="preserve">paragraphs </w:t>
      </w:r>
      <w:r w:rsidR="001E7FC8" w:rsidRPr="001E7FC8">
        <w:rPr>
          <w:rStyle w:val="References"/>
        </w:rPr>
        <w:t>3-</w:t>
      </w:r>
      <w:r w:rsidR="00DA0FC7">
        <w:rPr>
          <w:rStyle w:val="References"/>
        </w:rPr>
        <w:t>85</w:t>
      </w:r>
      <w:r w:rsidR="005E402F">
        <w:rPr>
          <w:rStyle w:val="References"/>
        </w:rPr>
        <w:t>(1)(a) and (b)</w:t>
      </w:r>
      <w:r w:rsidR="001E7FC8" w:rsidRPr="001E7FC8">
        <w:rPr>
          <w:rStyle w:val="References"/>
        </w:rPr>
        <w:t xml:space="preserve"> of the Rules]</w:t>
      </w:r>
    </w:p>
    <w:p w14:paraId="486E97E2" w14:textId="120767D0" w:rsidR="003C763C" w:rsidRDefault="005E402F">
      <w:pPr>
        <w:pStyle w:val="Normalparatextwithnumbers"/>
      </w:pPr>
      <w:r>
        <w:t xml:space="preserve">However, if neither of the conditions above </w:t>
      </w:r>
      <w:r w:rsidR="009858C6">
        <w:t xml:space="preserve">are met, </w:t>
      </w:r>
      <w:r w:rsidR="00EC241C">
        <w:t xml:space="preserve">an </w:t>
      </w:r>
      <w:r w:rsidR="002330EF">
        <w:t>Annual Election</w:t>
      </w:r>
      <w:r w:rsidR="00EC241C">
        <w:t xml:space="preserve"> to excl</w:t>
      </w:r>
      <w:r w:rsidR="00DF3E13">
        <w:t xml:space="preserve">ude </w:t>
      </w:r>
      <w:r w:rsidR="0072387E">
        <w:t xml:space="preserve">an amount of debt release if </w:t>
      </w:r>
      <w:r w:rsidR="00DF3E13">
        <w:t xml:space="preserve"> </w:t>
      </w:r>
    </w:p>
    <w:p w14:paraId="18DCC518" w14:textId="77777777" w:rsidR="00774F65" w:rsidRDefault="003B2D1E" w:rsidP="00B07214">
      <w:pPr>
        <w:pStyle w:val="Dotpoint1"/>
      </w:pPr>
      <w:r>
        <w:t xml:space="preserve">the debt release </w:t>
      </w:r>
      <w:r w:rsidR="003C763C" w:rsidRPr="003C763C">
        <w:t>arises by arrangement where one or more creditors is not connected with the debtor</w:t>
      </w:r>
      <w:r w:rsidR="00774F65">
        <w:t>;</w:t>
      </w:r>
    </w:p>
    <w:p w14:paraId="5BFC3385" w14:textId="3412F8C0" w:rsidR="00774F65" w:rsidRDefault="00774F65" w:rsidP="00B07214">
      <w:pPr>
        <w:pStyle w:val="Dotpoint1"/>
      </w:pPr>
      <w:r w:rsidRPr="00774F65">
        <w:t>amount is in respect of a debt owed to a third</w:t>
      </w:r>
      <w:r w:rsidR="004A3057">
        <w:noBreakHyphen/>
      </w:r>
      <w:r w:rsidRPr="00774F65">
        <w:t>party creditor</w:t>
      </w:r>
      <w:r>
        <w:t xml:space="preserve">; and </w:t>
      </w:r>
    </w:p>
    <w:p w14:paraId="40504C3C" w14:textId="77777777" w:rsidR="00ED2272" w:rsidRDefault="00E658D7" w:rsidP="00B07214">
      <w:pPr>
        <w:pStyle w:val="Dotpoint1"/>
      </w:pPr>
      <w:r>
        <w:t xml:space="preserve">the </w:t>
      </w:r>
      <w:r w:rsidR="00717937">
        <w:t>debtor liabilities are more than the fair market value of its assets determined immediately before the release</w:t>
      </w:r>
      <w:r w:rsidR="00ED2272">
        <w:t xml:space="preserve">; and </w:t>
      </w:r>
    </w:p>
    <w:p w14:paraId="2F319F10" w14:textId="77777777" w:rsidR="0072377F" w:rsidRDefault="00ED2272" w:rsidP="00B07214">
      <w:pPr>
        <w:pStyle w:val="Dotpoint1"/>
      </w:pPr>
      <w:r>
        <w:t>the amount does not</w:t>
      </w:r>
      <w:r w:rsidR="0072377F">
        <w:t xml:space="preserve"> exceed the lesser of the following amounts: </w:t>
      </w:r>
    </w:p>
    <w:p w14:paraId="04597857" w14:textId="41F2BD74" w:rsidR="00575C54" w:rsidRDefault="00575C54" w:rsidP="007B6495">
      <w:pPr>
        <w:pStyle w:val="dotpoint2"/>
        <w:tabs>
          <w:tab w:val="clear" w:pos="1513"/>
          <w:tab w:val="clear" w:pos="2127"/>
        </w:tabs>
        <w:ind w:left="2127" w:hanging="709"/>
      </w:pPr>
      <w:r w:rsidRPr="00575C54">
        <w:t xml:space="preserve">the debtor’s liabilities </w:t>
      </w:r>
      <w:r w:rsidR="00C36223">
        <w:t>minus</w:t>
      </w:r>
      <w:r w:rsidRPr="00575C54">
        <w:t xml:space="preserve"> the fair market value of its assets, determined immediately before the debt release</w:t>
      </w:r>
      <w:r w:rsidR="00C3447A">
        <w:t xml:space="preserve"> – if </w:t>
      </w:r>
      <w:r w:rsidR="00C3447A" w:rsidRPr="00C3447A">
        <w:t>the debtor’s assets are greater than or equal to its liabilities</w:t>
      </w:r>
      <w:r w:rsidR="00C93C7C">
        <w:t xml:space="preserve"> as a result of the debt release</w:t>
      </w:r>
      <w:r>
        <w:t>;</w:t>
      </w:r>
      <w:r w:rsidRPr="00575C54">
        <w:t xml:space="preserve"> </w:t>
      </w:r>
      <w:r w:rsidR="00CF78D3">
        <w:t>or</w:t>
      </w:r>
    </w:p>
    <w:p w14:paraId="221D34EB" w14:textId="1735D527" w:rsidR="00717937" w:rsidRDefault="00D5678A" w:rsidP="007B6495">
      <w:pPr>
        <w:pStyle w:val="dotpoint2"/>
        <w:tabs>
          <w:tab w:val="clear" w:pos="1513"/>
          <w:tab w:val="clear" w:pos="2127"/>
        </w:tabs>
        <w:ind w:left="2127" w:hanging="709"/>
      </w:pPr>
      <w:r w:rsidRPr="00D5678A">
        <w:t>the reduction in the debtor’s deferred tax assets resulting from the debt release</w:t>
      </w:r>
      <w:r w:rsidR="00680B5D">
        <w:t xml:space="preserve"> – </w:t>
      </w:r>
      <w:r w:rsidR="00680B5D" w:rsidRPr="00680B5D">
        <w:t xml:space="preserve">if </w:t>
      </w:r>
      <w:r w:rsidR="00680B5D">
        <w:t xml:space="preserve">as a result of the debt release, </w:t>
      </w:r>
      <w:r w:rsidR="00680B5D" w:rsidRPr="00680B5D">
        <w:t>any amount included</w:t>
      </w:r>
      <w:r w:rsidR="008A22F2">
        <w:t xml:space="preserve"> </w:t>
      </w:r>
      <w:r w:rsidR="00680B5D" w:rsidRPr="00680B5D">
        <w:t>in computing net income or loss is offset by a corresponding reduction in deferred tax assets</w:t>
      </w:r>
      <w:r w:rsidR="00CF78D3">
        <w:t xml:space="preserve">. </w:t>
      </w:r>
      <w:r w:rsidR="008F58FB">
        <w:br/>
      </w:r>
      <w:r w:rsidR="00717937" w:rsidRPr="00EB6CC2">
        <w:rPr>
          <w:rStyle w:val="References"/>
        </w:rPr>
        <w:t>[</w:t>
      </w:r>
      <w:r w:rsidR="00717937">
        <w:rPr>
          <w:rStyle w:val="References"/>
        </w:rPr>
        <w:t xml:space="preserve">Chapter 3, </w:t>
      </w:r>
      <w:r w:rsidR="008F58FB">
        <w:rPr>
          <w:rStyle w:val="References"/>
        </w:rPr>
        <w:t xml:space="preserve">paragraph </w:t>
      </w:r>
      <w:r w:rsidR="00717937">
        <w:rPr>
          <w:rStyle w:val="References"/>
        </w:rPr>
        <w:t>3-</w:t>
      </w:r>
      <w:r w:rsidR="00DA0FC7">
        <w:rPr>
          <w:rStyle w:val="References"/>
        </w:rPr>
        <w:t>85</w:t>
      </w:r>
      <w:r w:rsidR="008F58FB">
        <w:rPr>
          <w:rStyle w:val="References"/>
        </w:rPr>
        <w:t>(c)</w:t>
      </w:r>
      <w:r w:rsidR="00ED2272">
        <w:rPr>
          <w:rStyle w:val="References"/>
        </w:rPr>
        <w:t xml:space="preserve"> and subsection 3-</w:t>
      </w:r>
      <w:r w:rsidR="00636C19">
        <w:rPr>
          <w:rStyle w:val="References"/>
        </w:rPr>
        <w:t>85</w:t>
      </w:r>
      <w:r w:rsidR="00ED2272">
        <w:rPr>
          <w:rStyle w:val="References"/>
        </w:rPr>
        <w:t>(2)</w:t>
      </w:r>
      <w:r w:rsidR="00717937">
        <w:rPr>
          <w:rStyle w:val="References"/>
        </w:rPr>
        <w:t xml:space="preserve"> </w:t>
      </w:r>
      <w:r w:rsidR="00717937" w:rsidRPr="00553D89">
        <w:rPr>
          <w:rStyle w:val="References"/>
        </w:rPr>
        <w:t>of the Rules</w:t>
      </w:r>
      <w:r w:rsidR="00717937" w:rsidRPr="00EB6CC2">
        <w:rPr>
          <w:rStyle w:val="References"/>
        </w:rPr>
        <w:t>]</w:t>
      </w:r>
    </w:p>
    <w:p w14:paraId="5583D0F2" w14:textId="77777777" w:rsidR="00717937" w:rsidRDefault="00717937" w:rsidP="00AC6E86">
      <w:pPr>
        <w:pStyle w:val="Heading5"/>
      </w:pPr>
      <w:r>
        <w:t>Five-year election: substitution amount of stock-based compensation</w:t>
      </w:r>
    </w:p>
    <w:p w14:paraId="30AF9AB9" w14:textId="5DFB60AA" w:rsidR="00E86D33" w:rsidRPr="007B01D8" w:rsidRDefault="00717937" w:rsidP="00E86D33">
      <w:pPr>
        <w:pStyle w:val="Normalparatextwithnumbers"/>
        <w:rPr>
          <w:rStyle w:val="References"/>
          <w:b w:val="0"/>
          <w:i w:val="0"/>
        </w:rPr>
      </w:pPr>
      <w:r>
        <w:t xml:space="preserve">A Filing Constituent Entity may make a </w:t>
      </w:r>
      <w:r w:rsidR="002330EF">
        <w:t>Five-Year</w:t>
      </w:r>
      <w:r>
        <w:t xml:space="preserve"> election to use the amount of allowable deduction determined for the purpose of computing its taxable income instead of the amount of stock-based compensation expensed in its financial accounts. </w:t>
      </w:r>
      <w:r w:rsidR="00E86D33">
        <w:t xml:space="preserve">The election must be applied consistently to the stock-based compensation of all entities located in the same jurisdiction for the duration of the </w:t>
      </w:r>
      <w:r w:rsidR="002330EF">
        <w:t>Five-Year</w:t>
      </w:r>
      <w:r w:rsidR="00E86D33">
        <w:t xml:space="preserve"> election. </w:t>
      </w:r>
    </w:p>
    <w:p w14:paraId="361E3F7C" w14:textId="77777777" w:rsidR="007E35B3" w:rsidRDefault="007E35B3" w:rsidP="007E35B3">
      <w:pPr>
        <w:pStyle w:val="Normalparatextwithnumbers"/>
      </w:pPr>
      <w:r>
        <w:t xml:space="preserve">A </w:t>
      </w:r>
      <w:r w:rsidRPr="000403D8">
        <w:t xml:space="preserve">stock-based compensation election under </w:t>
      </w:r>
      <w:r>
        <w:t xml:space="preserve">section 3-95 </w:t>
      </w:r>
      <w:r w:rsidRPr="00553D89">
        <w:t xml:space="preserve">of the Rules </w:t>
      </w:r>
      <w:r w:rsidRPr="000403D8">
        <w:t xml:space="preserve">does not impact </w:t>
      </w:r>
      <w:r>
        <w:t>the Substance-based Income Exclusion</w:t>
      </w:r>
      <w:r w:rsidRPr="000403D8">
        <w:t xml:space="preserve"> that is calculated under</w:t>
      </w:r>
      <w:r>
        <w:t xml:space="preserve"> Part 5-3 </w:t>
      </w:r>
      <w:r w:rsidRPr="00553D89">
        <w:t>of the Rules</w:t>
      </w:r>
      <w:r w:rsidRPr="000403D8">
        <w:t>.</w:t>
      </w:r>
    </w:p>
    <w:p w14:paraId="6AA2BF30" w14:textId="2F2896D8" w:rsidR="00717937" w:rsidRDefault="00CD343B" w:rsidP="00717937">
      <w:pPr>
        <w:pStyle w:val="Normalparatextwithnumbers"/>
      </w:pPr>
      <w:r>
        <w:t>U</w:t>
      </w:r>
      <w:r w:rsidR="00717937">
        <w:t>nder financial accounting standards</w:t>
      </w:r>
      <w:r>
        <w:t xml:space="preserve"> t</w:t>
      </w:r>
      <w:r w:rsidR="00717937">
        <w:t xml:space="preserve">he value of stock-based compensation is determined on </w:t>
      </w:r>
      <w:r w:rsidR="00A16E17">
        <w:t xml:space="preserve">the </w:t>
      </w:r>
      <w:r w:rsidR="00717937">
        <w:t>present value of stock option at the grant date of the option</w:t>
      </w:r>
      <w:r w:rsidR="00F330A9">
        <w:t xml:space="preserve"> </w:t>
      </w:r>
      <w:r w:rsidR="00A16E17">
        <w:t xml:space="preserve">which </w:t>
      </w:r>
      <w:r w:rsidR="00717937">
        <w:t xml:space="preserve">is then amortised over the exercise period. </w:t>
      </w:r>
      <w:r w:rsidR="002C593C">
        <w:t>However</w:t>
      </w:r>
      <w:r w:rsidR="00F330A9">
        <w:t>,</w:t>
      </w:r>
      <w:r w:rsidR="002C593C">
        <w:t xml:space="preserve"> some jurisdictions allow tax deductions based on the value of the stock at exercise date.</w:t>
      </w:r>
    </w:p>
    <w:p w14:paraId="008D9385" w14:textId="35D883EE" w:rsidR="00717937" w:rsidRDefault="00717937" w:rsidP="00717937">
      <w:pPr>
        <w:pStyle w:val="Normalparatextwithnumbers"/>
      </w:pPr>
      <w:r>
        <w:t xml:space="preserve">This disparity between the amount of expense allowed in the computation of financial accounting income and the local tax base would often depress the GloBE ETR, in some cases below the Minimum Rate. This election allows for a deduction based on the value of the stock at the exercise date. In the event where an election is not made, the Constituent Entity would simply compute its </w:t>
      </w:r>
      <w:r>
        <w:lastRenderedPageBreak/>
        <w:t>GloBE Income or Loss taking into account the amount of stock</w:t>
      </w:r>
      <w:r w:rsidR="00F330A9">
        <w:noBreakHyphen/>
      </w:r>
      <w:r>
        <w:t>based compensation allowed in the computation of FANIL.</w:t>
      </w:r>
      <w:r>
        <w:br/>
      </w:r>
      <w:r w:rsidRPr="00EB6CC2">
        <w:rPr>
          <w:rStyle w:val="References"/>
        </w:rPr>
        <w:t>[</w:t>
      </w:r>
      <w:r>
        <w:rPr>
          <w:rStyle w:val="References"/>
        </w:rPr>
        <w:t>Chapter 3, section 3-9</w:t>
      </w:r>
      <w:r w:rsidR="00636C19">
        <w:rPr>
          <w:rStyle w:val="References"/>
        </w:rPr>
        <w:t>0</w:t>
      </w:r>
      <w:r>
        <w:rPr>
          <w:rStyle w:val="References"/>
        </w:rPr>
        <w:t xml:space="preserve"> </w:t>
      </w:r>
      <w:r w:rsidRPr="00553D89">
        <w:rPr>
          <w:rStyle w:val="References"/>
        </w:rPr>
        <w:t>of the Rules</w:t>
      </w:r>
      <w:r w:rsidRPr="00EB6CC2">
        <w:rPr>
          <w:rStyle w:val="References"/>
        </w:rPr>
        <w:t xml:space="preserve">] </w:t>
      </w:r>
    </w:p>
    <w:p w14:paraId="52610B30" w14:textId="6E4A1D4D" w:rsidR="00717937" w:rsidRDefault="00717937" w:rsidP="00717937">
      <w:pPr>
        <w:pStyle w:val="Normalparatextwithnumbers"/>
      </w:pPr>
      <w:r>
        <w:t>If the stock-based compensation election is made in respect of an option that expires without exercise, the entity must include the total amount previously deducted in the computation of its GloBE Income or Loss for the Fiscal Year in which the option expires. This rule prevents the Constituent Entity from retaining the benefit of a deduction for an item that will never be paid.</w:t>
      </w:r>
      <w:r>
        <w:br/>
      </w:r>
      <w:r w:rsidRPr="007B01D8">
        <w:rPr>
          <w:rStyle w:val="References"/>
        </w:rPr>
        <w:t>[</w:t>
      </w:r>
      <w:r>
        <w:rPr>
          <w:rStyle w:val="References"/>
        </w:rPr>
        <w:t xml:space="preserve">Chapter 3, </w:t>
      </w:r>
      <w:r w:rsidR="00F160C6">
        <w:rPr>
          <w:rStyle w:val="References"/>
        </w:rPr>
        <w:t>paragraph</w:t>
      </w:r>
      <w:r>
        <w:rPr>
          <w:rStyle w:val="References"/>
        </w:rPr>
        <w:t xml:space="preserve"> 3-9</w:t>
      </w:r>
      <w:r w:rsidR="00636C19">
        <w:rPr>
          <w:rStyle w:val="References"/>
        </w:rPr>
        <w:t>0</w:t>
      </w:r>
      <w:r>
        <w:rPr>
          <w:rStyle w:val="References"/>
        </w:rPr>
        <w:t xml:space="preserve">(4)(c) </w:t>
      </w:r>
      <w:r w:rsidRPr="00553D89">
        <w:rPr>
          <w:rStyle w:val="References"/>
        </w:rPr>
        <w:t>of the Rules</w:t>
      </w:r>
      <w:r w:rsidRPr="007B01D8">
        <w:rPr>
          <w:rStyle w:val="References"/>
        </w:rPr>
        <w:t xml:space="preserve">] </w:t>
      </w:r>
    </w:p>
    <w:p w14:paraId="6FF72147" w14:textId="226E8C01" w:rsidR="00717937" w:rsidRDefault="00717937" w:rsidP="00717937">
      <w:pPr>
        <w:pStyle w:val="Normalparatextwithnumbers"/>
      </w:pPr>
      <w:r>
        <w:t>If the election is made in a Fiscal Year after some of the stock-based compensation of a transaction has been recorded in the financial accounts, but before the exercise date, the Constituent Entity must recapture the stock-based compensation expense allowed in the computation of its GloBE Income or Loss in the previous Fiscal Years. The amount of recaptured stock-based compensation is equal to the excess of the cumulative amount allowed as an expense in the computation of the Constituent Entity’s GloBE Income or Loss in previous Fiscal Years over the cumulative amount that would have been allowed as an expense if the election had been in place in those Fiscal Years. This rule only applies for stock-based compensation expenses for which options have not yet been exercised before the end of the Fiscal Year.</w:t>
      </w:r>
      <w:r>
        <w:br/>
      </w:r>
      <w:r w:rsidRPr="007B01D8">
        <w:rPr>
          <w:rStyle w:val="References"/>
        </w:rPr>
        <w:t>[</w:t>
      </w:r>
      <w:r>
        <w:rPr>
          <w:rStyle w:val="References"/>
        </w:rPr>
        <w:t>Chapter 3, sub</w:t>
      </w:r>
      <w:r w:rsidR="00F160C6">
        <w:rPr>
          <w:rStyle w:val="References"/>
        </w:rPr>
        <w:t>sections</w:t>
      </w:r>
      <w:r>
        <w:rPr>
          <w:rStyle w:val="References"/>
        </w:rPr>
        <w:t xml:space="preserve"> 3-9</w:t>
      </w:r>
      <w:r w:rsidR="00636C19">
        <w:rPr>
          <w:rStyle w:val="References"/>
        </w:rPr>
        <w:t>0</w:t>
      </w:r>
      <w:r>
        <w:rPr>
          <w:rStyle w:val="References"/>
        </w:rPr>
        <w:t>(4)</w:t>
      </w:r>
      <w:r w:rsidR="00F160C6">
        <w:rPr>
          <w:rStyle w:val="References"/>
        </w:rPr>
        <w:t xml:space="preserve"> and </w:t>
      </w:r>
      <w:r>
        <w:rPr>
          <w:rStyle w:val="References"/>
        </w:rPr>
        <w:t xml:space="preserve">(5) </w:t>
      </w:r>
      <w:r w:rsidRPr="00553D89">
        <w:rPr>
          <w:rStyle w:val="References"/>
        </w:rPr>
        <w:t>of the Rules</w:t>
      </w:r>
      <w:r w:rsidRPr="007B01D8">
        <w:rPr>
          <w:rStyle w:val="References"/>
        </w:rPr>
        <w:t xml:space="preserve">] </w:t>
      </w:r>
    </w:p>
    <w:p w14:paraId="25674105" w14:textId="5CAB41F6" w:rsidR="00E86D33" w:rsidRDefault="00E86D33" w:rsidP="00E86D33">
      <w:pPr>
        <w:pStyle w:val="Heading6"/>
        <w:rPr>
          <w:rFonts w:hint="eastAsia"/>
        </w:rPr>
      </w:pPr>
      <w:r>
        <w:t>Revocation of stock</w:t>
      </w:r>
      <w:r>
        <w:noBreakHyphen/>
        <w:t>based compensation election</w:t>
      </w:r>
    </w:p>
    <w:p w14:paraId="6F83D26A" w14:textId="21AB8856" w:rsidR="00717937" w:rsidRPr="00D93E3A" w:rsidRDefault="00717937" w:rsidP="00717937">
      <w:pPr>
        <w:pStyle w:val="Normalparatextwithnumbers"/>
        <w:rPr>
          <w:rStyle w:val="References"/>
          <w:b w:val="0"/>
          <w:bCs w:val="0"/>
          <w:i w:val="0"/>
          <w:iCs w:val="0"/>
        </w:rPr>
      </w:pPr>
      <w:r>
        <w:t xml:space="preserve">If the election is revoked during a Fiscal Year, the Constituent Entity must include in the computation of its GloBE Income or Loss for the revocation year the amount deducted pursuant to the election that exceeds financial accounting expense accrued in respect of the stock-based compensation for previous Fiscal Years before the first year to which the revocation applies regarding options that have not been exercised. This rule only applies for stock-based compensation expenses that have not been exercised before the revocation year. See paragraph 93 on page 80 of the Consolidated Commentary. </w:t>
      </w:r>
      <w:r>
        <w:br/>
      </w:r>
      <w:r w:rsidRPr="007B01D8">
        <w:rPr>
          <w:rStyle w:val="References"/>
        </w:rPr>
        <w:t>[</w:t>
      </w:r>
      <w:r>
        <w:rPr>
          <w:rStyle w:val="References"/>
        </w:rPr>
        <w:t>Chapter 3, subsection 3-9</w:t>
      </w:r>
      <w:r w:rsidR="00636C19">
        <w:rPr>
          <w:rStyle w:val="References"/>
        </w:rPr>
        <w:t>0</w:t>
      </w:r>
      <w:r>
        <w:rPr>
          <w:rStyle w:val="References"/>
        </w:rPr>
        <w:t xml:space="preserve">(5) </w:t>
      </w:r>
      <w:r w:rsidRPr="00553D89">
        <w:rPr>
          <w:rStyle w:val="References"/>
        </w:rPr>
        <w:t>of the Rules</w:t>
      </w:r>
      <w:r w:rsidRPr="007B01D8">
        <w:rPr>
          <w:rStyle w:val="References"/>
        </w:rPr>
        <w:t>]</w:t>
      </w:r>
    </w:p>
    <w:p w14:paraId="4A942CB2" w14:textId="77777777" w:rsidR="00717937" w:rsidRDefault="00717937" w:rsidP="00A319B1">
      <w:pPr>
        <w:pStyle w:val="Heading5"/>
      </w:pPr>
      <w:r>
        <w:t>Five</w:t>
      </w:r>
      <w:r>
        <w:noBreakHyphen/>
        <w:t>year election: Realisation method</w:t>
      </w:r>
    </w:p>
    <w:p w14:paraId="31837AA3" w14:textId="3755CE20" w:rsidR="00717937" w:rsidRDefault="00717937" w:rsidP="00717937">
      <w:pPr>
        <w:pStyle w:val="Normalparatextwithnumbers"/>
      </w:pPr>
      <w:r>
        <w:t xml:space="preserve">A Filing Constituent Entity may </w:t>
      </w:r>
      <w:r w:rsidR="00873A67">
        <w:t>make a Five</w:t>
      </w:r>
      <w:r w:rsidR="00873A67">
        <w:noBreakHyphen/>
        <w:t xml:space="preserve">Year </w:t>
      </w:r>
      <w:r>
        <w:t>elect</w:t>
      </w:r>
      <w:r w:rsidR="00873A67">
        <w:t>ion</w:t>
      </w:r>
      <w:r>
        <w:t xml:space="preserve"> to use the realisation method for assets and liabilities that are subject to fair value or impairment accounting for all entities within a jurisdiction.</w:t>
      </w:r>
      <w:r>
        <w:br/>
      </w:r>
      <w:r w:rsidRPr="00F02E69">
        <w:rPr>
          <w:rStyle w:val="References"/>
        </w:rPr>
        <w:t>[</w:t>
      </w:r>
      <w:r>
        <w:rPr>
          <w:rStyle w:val="References"/>
        </w:rPr>
        <w:t>Chapter 3, section 3-15</w:t>
      </w:r>
      <w:r w:rsidR="00636C19">
        <w:rPr>
          <w:rStyle w:val="References"/>
        </w:rPr>
        <w:t>0</w:t>
      </w:r>
      <w:r>
        <w:rPr>
          <w:rStyle w:val="References"/>
        </w:rPr>
        <w:t xml:space="preserve"> </w:t>
      </w:r>
      <w:r w:rsidRPr="00553D89">
        <w:rPr>
          <w:rStyle w:val="References"/>
        </w:rPr>
        <w:t>of the Rules</w:t>
      </w:r>
      <w:r w:rsidRPr="00F02E69">
        <w:rPr>
          <w:rStyle w:val="References"/>
        </w:rPr>
        <w:t xml:space="preserve">] </w:t>
      </w:r>
    </w:p>
    <w:p w14:paraId="1C048E1E" w14:textId="28E4AC08" w:rsidR="00717937" w:rsidRDefault="00717937" w:rsidP="00717937">
      <w:pPr>
        <w:pStyle w:val="Normalparatextwithnumbers"/>
      </w:pPr>
      <w:r>
        <w:t>The election applies to all assets and liabilities of entities, unless the Filing Constituent Entity chooses to limit the election to tangible assets of such Constituent Entities or to Constituent Entities that are Investment Entities.</w:t>
      </w:r>
      <w:r>
        <w:br/>
      </w:r>
      <w:r w:rsidRPr="00626C1E">
        <w:rPr>
          <w:rStyle w:val="References"/>
        </w:rPr>
        <w:t>[</w:t>
      </w:r>
      <w:r>
        <w:rPr>
          <w:rStyle w:val="References"/>
        </w:rPr>
        <w:t>Chapter 3, subsection 3-15</w:t>
      </w:r>
      <w:r w:rsidR="00636C19">
        <w:rPr>
          <w:rStyle w:val="References"/>
        </w:rPr>
        <w:t>0</w:t>
      </w:r>
      <w:r>
        <w:rPr>
          <w:rStyle w:val="References"/>
        </w:rPr>
        <w:t xml:space="preserve">(1) </w:t>
      </w:r>
      <w:r w:rsidRPr="00553D89">
        <w:rPr>
          <w:rStyle w:val="References"/>
        </w:rPr>
        <w:t>of the Rules</w:t>
      </w:r>
      <w:r w:rsidRPr="00626C1E">
        <w:rPr>
          <w:rStyle w:val="References"/>
        </w:rPr>
        <w:t xml:space="preserve">] </w:t>
      </w:r>
    </w:p>
    <w:p w14:paraId="75CCD2A3" w14:textId="190EA1D1" w:rsidR="00717937" w:rsidRDefault="00717937" w:rsidP="00717937">
      <w:pPr>
        <w:pStyle w:val="Normalparatextwithnumbers"/>
      </w:pPr>
      <w:r>
        <w:lastRenderedPageBreak/>
        <w:t xml:space="preserve">The realisation method has the effect of </w:t>
      </w:r>
      <w:r w:rsidR="00F704AD">
        <w:t>recognising</w:t>
      </w:r>
      <w:r w:rsidR="00153934">
        <w:t xml:space="preserve"> </w:t>
      </w:r>
      <w:r>
        <w:t xml:space="preserve">gains or losses for GloBE purposes when the asset is disposed or liability is </w:t>
      </w:r>
      <w:r w:rsidR="00F704AD">
        <w:t xml:space="preserve">satisfied </w:t>
      </w:r>
      <w:r>
        <w:t>rather than when change in fair value of the asset or liability is recorded in the financial accounts.</w:t>
      </w:r>
    </w:p>
    <w:p w14:paraId="4DB9AAD4" w14:textId="6C117E18" w:rsidR="00717937" w:rsidRDefault="00FE3B06" w:rsidP="00717937">
      <w:pPr>
        <w:pStyle w:val="Normalparatextwithnumbers"/>
      </w:pPr>
      <w:r>
        <w:t xml:space="preserve">When the </w:t>
      </w:r>
      <w:r w:rsidR="00907860">
        <w:t>realisation</w:t>
      </w:r>
      <w:r>
        <w:t xml:space="preserve"> </w:t>
      </w:r>
      <w:r w:rsidR="00D01725">
        <w:t>e</w:t>
      </w:r>
      <w:r>
        <w:t>lection applies a</w:t>
      </w:r>
      <w:r w:rsidR="00717937">
        <w:t xml:space="preserve">ll gains or losses that </w:t>
      </w:r>
      <w:r w:rsidR="00907860">
        <w:t>result from</w:t>
      </w:r>
      <w:r w:rsidR="00717937">
        <w:t xml:space="preserve"> fair value or impairment accounting with respect to an asset or liability are excluded from the computation of GloBE Income or Loss. </w:t>
      </w:r>
      <w:r w:rsidR="00717937">
        <w:br/>
      </w:r>
      <w:r w:rsidR="00717937" w:rsidRPr="0065188E">
        <w:rPr>
          <w:rStyle w:val="References"/>
        </w:rPr>
        <w:t>[</w:t>
      </w:r>
      <w:r w:rsidR="00717937">
        <w:rPr>
          <w:rStyle w:val="References"/>
        </w:rPr>
        <w:t>Chapter 3, subsection 3-15</w:t>
      </w:r>
      <w:r w:rsidR="00636C19">
        <w:rPr>
          <w:rStyle w:val="References"/>
        </w:rPr>
        <w:t>0</w:t>
      </w:r>
      <w:r w:rsidR="00717937">
        <w:rPr>
          <w:rStyle w:val="References"/>
        </w:rPr>
        <w:t xml:space="preserve">(3)(a) </w:t>
      </w:r>
      <w:r w:rsidR="00717937" w:rsidRPr="00553D89">
        <w:rPr>
          <w:rStyle w:val="References"/>
        </w:rPr>
        <w:t>of the Rules</w:t>
      </w:r>
      <w:r w:rsidR="00717937" w:rsidRPr="0065188E">
        <w:rPr>
          <w:rStyle w:val="References"/>
        </w:rPr>
        <w:t xml:space="preserve">] </w:t>
      </w:r>
    </w:p>
    <w:p w14:paraId="66DB6B58" w14:textId="77777777" w:rsidR="00717937" w:rsidRDefault="00717937" w:rsidP="00717937">
      <w:pPr>
        <w:pStyle w:val="Normalparatextwithnumbers"/>
      </w:pPr>
      <w:r>
        <w:t xml:space="preserve">For the purposes of the realisation method, the carrying value of an asset or liability is the carrying value at the later of: </w:t>
      </w:r>
    </w:p>
    <w:p w14:paraId="0AB1F121" w14:textId="77777777" w:rsidR="00717937" w:rsidRDefault="00717937" w:rsidP="00B7652D">
      <w:pPr>
        <w:pStyle w:val="Dotpoint1"/>
      </w:pPr>
      <w:r>
        <w:t xml:space="preserve">the first day of election year; or </w:t>
      </w:r>
    </w:p>
    <w:p w14:paraId="677C3084" w14:textId="14F3FE97" w:rsidR="00717937" w:rsidRDefault="00717937" w:rsidP="00B7652D">
      <w:pPr>
        <w:pStyle w:val="Dotpoint1"/>
      </w:pPr>
      <w:r>
        <w:t xml:space="preserve">the date </w:t>
      </w:r>
      <w:r w:rsidR="00AA34E3">
        <w:t>the</w:t>
      </w:r>
      <w:r>
        <w:t xml:space="preserve"> asset was acquired or liability was incurred.  </w:t>
      </w:r>
      <w:r>
        <w:br/>
      </w:r>
      <w:r w:rsidRPr="001529E5">
        <w:rPr>
          <w:rStyle w:val="References"/>
        </w:rPr>
        <w:t xml:space="preserve">[Chapter 3, </w:t>
      </w:r>
      <w:r>
        <w:rPr>
          <w:rStyle w:val="References"/>
        </w:rPr>
        <w:t>subsection</w:t>
      </w:r>
      <w:r w:rsidRPr="001529E5">
        <w:rPr>
          <w:rStyle w:val="References"/>
        </w:rPr>
        <w:t xml:space="preserve"> 3-</w:t>
      </w:r>
      <w:r>
        <w:rPr>
          <w:rStyle w:val="References"/>
        </w:rPr>
        <w:t>15</w:t>
      </w:r>
      <w:r w:rsidR="00636C19">
        <w:rPr>
          <w:rStyle w:val="References"/>
        </w:rPr>
        <w:t>0</w:t>
      </w:r>
      <w:r w:rsidRPr="001529E5">
        <w:rPr>
          <w:rStyle w:val="References"/>
        </w:rPr>
        <w:t>(3)(b)</w:t>
      </w:r>
      <w:r>
        <w:rPr>
          <w:rStyle w:val="References"/>
        </w:rPr>
        <w:t xml:space="preserve"> </w:t>
      </w:r>
      <w:r w:rsidRPr="00553D89">
        <w:rPr>
          <w:rStyle w:val="References"/>
        </w:rPr>
        <w:t>of the Rules</w:t>
      </w:r>
      <w:r w:rsidRPr="001529E5">
        <w:rPr>
          <w:rStyle w:val="References"/>
        </w:rPr>
        <w:t>]</w:t>
      </w:r>
      <w:r>
        <w:t xml:space="preserve"> </w:t>
      </w:r>
    </w:p>
    <w:p w14:paraId="0370E72E" w14:textId="1EBB57E9" w:rsidR="00873A67" w:rsidRDefault="00873A67" w:rsidP="00873A67">
      <w:pPr>
        <w:pStyle w:val="Heading6"/>
        <w:rPr>
          <w:rFonts w:hint="eastAsia"/>
        </w:rPr>
      </w:pPr>
      <w:r>
        <w:t>Revocation of realisation method election</w:t>
      </w:r>
    </w:p>
    <w:p w14:paraId="225E1444" w14:textId="41188F54" w:rsidR="00717937" w:rsidRDefault="00717937" w:rsidP="00717937">
      <w:pPr>
        <w:pStyle w:val="Normalparatextwithnumbers"/>
      </w:pPr>
      <w:r>
        <w:t xml:space="preserve">In the year an election is revoked, the GloBE Income or Loss is adjusted by the difference between the fair value of the asset or liability at the beginning of the year and the carrying value of the asset or liability determined pursuant to the election. This adjustment recaptures the net fair value gain or loss that arose during the election. </w:t>
      </w:r>
      <w:r>
        <w:br/>
      </w:r>
      <w:r w:rsidRPr="00C01F61">
        <w:rPr>
          <w:rStyle w:val="References"/>
        </w:rPr>
        <w:t>[</w:t>
      </w:r>
      <w:r>
        <w:rPr>
          <w:rStyle w:val="References"/>
        </w:rPr>
        <w:t>Chapter 3, subsections 3-15</w:t>
      </w:r>
      <w:r w:rsidR="00636C19">
        <w:rPr>
          <w:rStyle w:val="References"/>
        </w:rPr>
        <w:t>0</w:t>
      </w:r>
      <w:r>
        <w:rPr>
          <w:rStyle w:val="References"/>
        </w:rPr>
        <w:t xml:space="preserve">(4) and (5) </w:t>
      </w:r>
      <w:r w:rsidRPr="00553D89">
        <w:rPr>
          <w:rStyle w:val="References"/>
        </w:rPr>
        <w:t>of the Rules</w:t>
      </w:r>
      <w:r w:rsidRPr="00C01F61">
        <w:rPr>
          <w:rStyle w:val="References"/>
        </w:rPr>
        <w:t>]</w:t>
      </w:r>
    </w:p>
    <w:p w14:paraId="0E3C4627" w14:textId="77777777" w:rsidR="00717937" w:rsidRPr="008F383B" w:rsidRDefault="00717937" w:rsidP="00A319B1">
      <w:pPr>
        <w:pStyle w:val="Heading5"/>
      </w:pPr>
      <w:r>
        <w:t>Annual</w:t>
      </w:r>
      <w:r w:rsidRPr="008F383B">
        <w:t xml:space="preserve"> election: Allocation of Aggregate Asset Gain</w:t>
      </w:r>
    </w:p>
    <w:p w14:paraId="395C0AA7" w14:textId="3F6D526E" w:rsidR="00717937" w:rsidRDefault="00717937" w:rsidP="00717937">
      <w:pPr>
        <w:pStyle w:val="Normalparatextwithnumbers"/>
      </w:pPr>
      <w:r>
        <w:t xml:space="preserve">A Filing Constituent Entity may make an </w:t>
      </w:r>
      <w:r w:rsidR="002330EF">
        <w:t>Annual Election</w:t>
      </w:r>
      <w:r>
        <w:t xml:space="preserve"> for </w:t>
      </w:r>
      <w:r w:rsidR="00DE4AAE">
        <w:t xml:space="preserve">a </w:t>
      </w:r>
      <w:r>
        <w:t xml:space="preserve">jurisdiction in a Fiscal Year, where an </w:t>
      </w:r>
      <w:r w:rsidRPr="00471D3B">
        <w:rPr>
          <w:b/>
          <w:i/>
        </w:rPr>
        <w:t>Aggregate Asset Gain</w:t>
      </w:r>
      <w:r>
        <w:t xml:space="preserve"> arises. The effect of the </w:t>
      </w:r>
      <w:r w:rsidR="002330EF">
        <w:t>Annual Election</w:t>
      </w:r>
      <w:r>
        <w:t xml:space="preserve"> is that the GloBE Income or Loss can be adjusted for each fiscal year in the </w:t>
      </w:r>
      <w:r w:rsidRPr="00471D3B">
        <w:rPr>
          <w:b/>
          <w:i/>
        </w:rPr>
        <w:t>Look-</w:t>
      </w:r>
      <w:r w:rsidR="00B26F30">
        <w:rPr>
          <w:b/>
          <w:i/>
        </w:rPr>
        <w:t>b</w:t>
      </w:r>
      <w:r w:rsidRPr="00471D3B">
        <w:rPr>
          <w:b/>
          <w:i/>
        </w:rPr>
        <w:t>ack Period</w:t>
      </w:r>
      <w:r>
        <w:rPr>
          <w:b/>
          <w:i/>
        </w:rPr>
        <w:t xml:space="preserve"> </w:t>
      </w:r>
      <w:r w:rsidR="0022006C">
        <w:t xml:space="preserve">by allocating the </w:t>
      </w:r>
      <w:r w:rsidR="0022006C" w:rsidRPr="00F330A9">
        <w:rPr>
          <w:bCs/>
          <w:iCs/>
        </w:rPr>
        <w:t>Aggregate Asset Gain</w:t>
      </w:r>
      <w:r w:rsidR="0022006C">
        <w:rPr>
          <w:b/>
          <w:i/>
        </w:rPr>
        <w:t xml:space="preserve"> </w:t>
      </w:r>
      <w:r w:rsidR="00AF0921" w:rsidRPr="00F330A9">
        <w:rPr>
          <w:bCs/>
          <w:iCs/>
        </w:rPr>
        <w:t>t</w:t>
      </w:r>
      <w:r w:rsidR="0022006C" w:rsidRPr="00F330A9">
        <w:rPr>
          <w:bCs/>
          <w:iCs/>
        </w:rPr>
        <w:t xml:space="preserve">o years </w:t>
      </w:r>
      <w:r w:rsidR="00AF0921" w:rsidRPr="00F330A9">
        <w:rPr>
          <w:bCs/>
          <w:iCs/>
        </w:rPr>
        <w:t xml:space="preserve">in </w:t>
      </w:r>
      <w:r w:rsidR="00311ABA" w:rsidRPr="00F330A9">
        <w:rPr>
          <w:bCs/>
          <w:iCs/>
        </w:rPr>
        <w:t>the</w:t>
      </w:r>
      <w:r w:rsidR="00311ABA">
        <w:rPr>
          <w:b/>
          <w:i/>
        </w:rPr>
        <w:t xml:space="preserve"> </w:t>
      </w:r>
      <w:r w:rsidR="00AF0921" w:rsidRPr="00F330A9">
        <w:rPr>
          <w:bCs/>
          <w:iCs/>
        </w:rPr>
        <w:t>Look-back Period</w:t>
      </w:r>
      <w:r>
        <w:t>.</w:t>
      </w:r>
      <w:r w:rsidR="00F330A9">
        <w:t xml:space="preserve"> </w:t>
      </w:r>
      <w:r w:rsidR="00A03B08">
        <w:t>The Look-back Period is defined as the election year plus the previous four fiscal years</w:t>
      </w:r>
      <w:r w:rsidR="00A61E6E">
        <w:t>.</w:t>
      </w:r>
    </w:p>
    <w:p w14:paraId="1B118342" w14:textId="716BEB7B" w:rsidR="00717937" w:rsidRPr="002E0DEF" w:rsidRDefault="00717937" w:rsidP="00717937">
      <w:pPr>
        <w:pStyle w:val="Normalparatextwithnumbers"/>
        <w:rPr>
          <w:rStyle w:val="References"/>
          <w:b w:val="0"/>
          <w:i w:val="0"/>
        </w:rPr>
      </w:pPr>
      <w:r w:rsidRPr="002E0DEF">
        <w:t xml:space="preserve">An Aggregate Asset Gain </w:t>
      </w:r>
      <w:r w:rsidR="00603957" w:rsidRPr="002E0DEF">
        <w:t>arises</w:t>
      </w:r>
      <w:r w:rsidRPr="002E0DEF">
        <w:t xml:space="preserve"> in </w:t>
      </w:r>
      <w:r w:rsidR="00A01DB6" w:rsidRPr="002E0DEF">
        <w:t xml:space="preserve">a </w:t>
      </w:r>
      <w:r w:rsidR="00873A67" w:rsidRPr="002E0DEF">
        <w:t>F</w:t>
      </w:r>
      <w:r w:rsidR="00A01DB6" w:rsidRPr="002E0DEF">
        <w:t xml:space="preserve">iscal </w:t>
      </w:r>
      <w:r w:rsidR="00873A67" w:rsidRPr="002E0DEF">
        <w:t>Y</w:t>
      </w:r>
      <w:r w:rsidR="00A01DB6" w:rsidRPr="002E0DEF">
        <w:t xml:space="preserve">ear </w:t>
      </w:r>
      <w:r w:rsidRPr="002E0DEF">
        <w:t xml:space="preserve">in a Jurisdiction </w:t>
      </w:r>
      <w:r w:rsidR="002A095E" w:rsidRPr="002E0DEF">
        <w:t xml:space="preserve">if </w:t>
      </w:r>
      <w:r w:rsidRPr="002E0DEF">
        <w:t xml:space="preserve">the disposal of Local Tangible Assets </w:t>
      </w:r>
      <w:r w:rsidR="003D3902" w:rsidRPr="002E0DEF">
        <w:t xml:space="preserve">in that year </w:t>
      </w:r>
      <w:r w:rsidR="002A095E" w:rsidRPr="002E0DEF">
        <w:t xml:space="preserve">by </w:t>
      </w:r>
      <w:r w:rsidR="009116C9" w:rsidRPr="002E0DEF">
        <w:t xml:space="preserve">Constituent Entities </w:t>
      </w:r>
      <w:r w:rsidR="00D56EBB" w:rsidRPr="002E0DEF">
        <w:t xml:space="preserve">of the MNE Group </w:t>
      </w:r>
      <w:r w:rsidRPr="002E0DEF">
        <w:t>results in a net gain. The Aggregate Asset Gain excludes any gain or loss on a transfer of Local Tangible Assets between Group Members.</w:t>
      </w:r>
      <w:r w:rsidR="007234AF" w:rsidRPr="002E0DEF">
        <w:t xml:space="preserve"> Local Tangible Assets only include immovable property located in the jurisdiction.  </w:t>
      </w:r>
      <w:r w:rsidRPr="002E0DEF">
        <w:br/>
      </w:r>
      <w:r w:rsidRPr="002E0DEF">
        <w:rPr>
          <w:rStyle w:val="References"/>
        </w:rPr>
        <w:t>[Chapter 3, subsections 3-1</w:t>
      </w:r>
      <w:r w:rsidR="00636C19">
        <w:rPr>
          <w:rStyle w:val="References"/>
        </w:rPr>
        <w:t>70</w:t>
      </w:r>
      <w:r w:rsidRPr="002E0DEF">
        <w:rPr>
          <w:rStyle w:val="References"/>
        </w:rPr>
        <w:t>(1)</w:t>
      </w:r>
      <w:r w:rsidR="007234AF" w:rsidRPr="002E0DEF">
        <w:rPr>
          <w:rStyle w:val="References"/>
        </w:rPr>
        <w:t>-(3)</w:t>
      </w:r>
      <w:r w:rsidRPr="002E0DEF">
        <w:rPr>
          <w:rStyle w:val="References"/>
        </w:rPr>
        <w:t xml:space="preserve"> and 3-1</w:t>
      </w:r>
      <w:r w:rsidR="002272CB">
        <w:rPr>
          <w:rStyle w:val="References"/>
        </w:rPr>
        <w:t>75</w:t>
      </w:r>
      <w:r w:rsidRPr="002E0DEF">
        <w:rPr>
          <w:rStyle w:val="References"/>
        </w:rPr>
        <w:t>(1)</w:t>
      </w:r>
      <w:r w:rsidRPr="002E0DEF" w:rsidDel="00554710">
        <w:rPr>
          <w:rStyle w:val="References"/>
        </w:rPr>
        <w:t xml:space="preserve"> </w:t>
      </w:r>
      <w:r w:rsidRPr="002E0DEF">
        <w:rPr>
          <w:rStyle w:val="References"/>
        </w:rPr>
        <w:t>of the Rules]</w:t>
      </w:r>
    </w:p>
    <w:p w14:paraId="3BAC21DA" w14:textId="6B15B72D" w:rsidR="00717937" w:rsidRDefault="00717937" w:rsidP="00717937">
      <w:pPr>
        <w:pStyle w:val="Normalparatextwithnumbers"/>
      </w:pPr>
      <w:r>
        <w:t xml:space="preserve">A Constituent Entity may have a </w:t>
      </w:r>
      <w:r w:rsidRPr="0084411E">
        <w:t xml:space="preserve">net asset loss from disposing </w:t>
      </w:r>
      <w:r w:rsidR="00A35825">
        <w:t xml:space="preserve">of </w:t>
      </w:r>
      <w:r w:rsidRPr="0084411E">
        <w:t xml:space="preserve">Local Tangible Assets in </w:t>
      </w:r>
      <w:r w:rsidR="00383FF9">
        <w:t>a</w:t>
      </w:r>
      <w:r w:rsidR="00383FF9" w:rsidRPr="0084411E">
        <w:t xml:space="preserve"> </w:t>
      </w:r>
      <w:r w:rsidRPr="0084411E">
        <w:t>year</w:t>
      </w:r>
      <w:r>
        <w:t xml:space="preserve">. The net loss of the Constituent Entity is reduced by amounts set-off under previous elections. </w:t>
      </w:r>
      <w:r w:rsidRPr="005506DE">
        <w:t xml:space="preserve">When an Aggregate Asset Gain is set off against a Net Asset Loss, that Net Asset Loss is reduced by a corresponding amount, </w:t>
      </w:r>
      <w:r>
        <w:t xml:space="preserve">ensuring that there is no double benefit </w:t>
      </w:r>
      <w:r w:rsidRPr="005506DE">
        <w:t>in the future.</w:t>
      </w:r>
      <w:r>
        <w:t xml:space="preserve"> </w:t>
      </w:r>
    </w:p>
    <w:p w14:paraId="559B7A2A" w14:textId="7CC9602E" w:rsidR="00717937" w:rsidRDefault="00717937" w:rsidP="00717937">
      <w:pPr>
        <w:pStyle w:val="Normalparatextwithnumbers"/>
      </w:pPr>
      <w:r>
        <w:lastRenderedPageBreak/>
        <w:t>The Aggregate Asset Gain is matched against the net asset losses in the Look-back Period, starting with the earliest loss year in the period. If the asset gain is not absorbed in the earliest loss year, the balance is carried forward to the next loss year until the gain is fully absorbed or there are no remaining loss years in the Look-back Period.</w:t>
      </w:r>
      <w:r>
        <w:br/>
      </w:r>
      <w:r w:rsidRPr="0011717C">
        <w:rPr>
          <w:rStyle w:val="References"/>
        </w:rPr>
        <w:t>[</w:t>
      </w:r>
      <w:r>
        <w:rPr>
          <w:rStyle w:val="References"/>
        </w:rPr>
        <w:t>Chapter 3</w:t>
      </w:r>
      <w:r w:rsidRPr="0011717C">
        <w:rPr>
          <w:rStyle w:val="References"/>
        </w:rPr>
        <w:t>, section 3-</w:t>
      </w:r>
      <w:r>
        <w:rPr>
          <w:rStyle w:val="References"/>
        </w:rPr>
        <w:t>1</w:t>
      </w:r>
      <w:r w:rsidR="002272CB">
        <w:rPr>
          <w:rStyle w:val="References"/>
        </w:rPr>
        <w:t>6</w:t>
      </w:r>
      <w:r>
        <w:rPr>
          <w:rStyle w:val="References"/>
        </w:rPr>
        <w:t xml:space="preserve">5 </w:t>
      </w:r>
      <w:r w:rsidRPr="00553D89">
        <w:rPr>
          <w:rStyle w:val="References"/>
        </w:rPr>
        <w:t>of the Rules</w:t>
      </w:r>
      <w:r w:rsidRPr="0011717C">
        <w:rPr>
          <w:rStyle w:val="References"/>
        </w:rPr>
        <w:t>]</w:t>
      </w:r>
      <w:r>
        <w:t xml:space="preserve"> </w:t>
      </w:r>
    </w:p>
    <w:p w14:paraId="2A08FEA2" w14:textId="40E7026B" w:rsidR="006177A3" w:rsidRDefault="00717937" w:rsidP="006177A3">
      <w:pPr>
        <w:pStyle w:val="Normalparatextwithnumbers"/>
      </w:pPr>
      <w:r>
        <w:t>If the Net Asset Loss is in excess</w:t>
      </w:r>
      <w:r w:rsidRPr="0084411E">
        <w:t xml:space="preserve"> </w:t>
      </w:r>
      <w:r>
        <w:t>of the Aggregate Asset Gain, the Aggregate Asset Gain is set-off based on the ratio of the Constituent Entity’s Net Asset Loss to total of Net Losses of all Constituent Entities in the jurisdiction for the Fiscal Year. Where the amount of Aggregate Asset Gain is in excess of the Net Asset Losses in the Loss Years of the Look</w:t>
      </w:r>
      <w:r w:rsidR="00B26F30">
        <w:noBreakHyphen/>
        <w:t>b</w:t>
      </w:r>
      <w:r>
        <w:t>ack Period, it is spread evenly over the Look</w:t>
      </w:r>
      <w:r w:rsidR="00B26F30">
        <w:noBreakHyphen/>
        <w:t>b</w:t>
      </w:r>
      <w:r>
        <w:t xml:space="preserve">ack Period and allocated among the Constituent Entities </w:t>
      </w:r>
      <w:r w:rsidRPr="0084411E">
        <w:t xml:space="preserve">based on </w:t>
      </w:r>
      <w:r>
        <w:t>individual n</w:t>
      </w:r>
      <w:r w:rsidRPr="0084411E">
        <w:t xml:space="preserve">et </w:t>
      </w:r>
      <w:r>
        <w:t>a</w:t>
      </w:r>
      <w:r w:rsidRPr="0084411E">
        <w:t xml:space="preserve">sset </w:t>
      </w:r>
      <w:r>
        <w:t>g</w:t>
      </w:r>
      <w:r w:rsidRPr="0084411E">
        <w:t xml:space="preserve">ains in the </w:t>
      </w:r>
      <w:r>
        <w:t>e</w:t>
      </w:r>
      <w:r w:rsidRPr="0084411E">
        <w:t xml:space="preserve">lection </w:t>
      </w:r>
      <w:r>
        <w:t>y</w:t>
      </w:r>
      <w:r w:rsidRPr="0084411E">
        <w:t>ear</w:t>
      </w:r>
      <w:r>
        <w:t xml:space="preserve"> in accordance with the following formula:</w:t>
      </w:r>
    </w:p>
    <w:p w14:paraId="72A49E88" w14:textId="3C319EEF" w:rsidR="006177A3" w:rsidRDefault="006177A3" w:rsidP="006177A3">
      <w:pPr>
        <w:pStyle w:val="Normalparatextwithnumbers"/>
        <w:numPr>
          <w:ilvl w:val="0"/>
          <w:numId w:val="0"/>
        </w:numPr>
        <w:ind w:left="709"/>
      </w:pPr>
      <w:r w:rsidRPr="006177A3">
        <w:rPr>
          <w:noProof/>
        </w:rPr>
        <w:drawing>
          <wp:inline distT="0" distB="0" distL="0" distR="0" wp14:anchorId="3172A4A8" wp14:editId="1F6EFD64">
            <wp:extent cx="4895850" cy="504825"/>
            <wp:effectExtent l="0" t="0" r="0" b="0"/>
            <wp:docPr id="31544965" name="Picture 20" descr="Formula for allocated asset 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4965" name="Picture 20" descr="Formula for allocated asset gain"/>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95850" cy="504825"/>
                    </a:xfrm>
                    <a:prstGeom prst="rect">
                      <a:avLst/>
                    </a:prstGeom>
                    <a:noFill/>
                    <a:ln>
                      <a:noFill/>
                    </a:ln>
                  </pic:spPr>
                </pic:pic>
              </a:graphicData>
            </a:graphic>
          </wp:inline>
        </w:drawing>
      </w:r>
    </w:p>
    <w:p w14:paraId="3EEBE87C" w14:textId="233DFF7E" w:rsidR="00717937" w:rsidRDefault="00717937" w:rsidP="00717937">
      <w:pPr>
        <w:pStyle w:val="Normalparatextwithnumbers"/>
      </w:pPr>
      <w:r>
        <w:t>This may be combined with an election to consolidate transactions under section 3</w:t>
      </w:r>
      <w:r>
        <w:noBreakHyphen/>
        <w:t>185 of the Rules for tangible assets, excluding fair value gains/losses and impairments during that period.</w:t>
      </w:r>
      <w:r>
        <w:br/>
      </w:r>
      <w:r w:rsidRPr="00967E87">
        <w:rPr>
          <w:rStyle w:val="References"/>
        </w:rPr>
        <w:t>[</w:t>
      </w:r>
      <w:r>
        <w:rPr>
          <w:rStyle w:val="References"/>
        </w:rPr>
        <w:t>Chapter 3</w:t>
      </w:r>
      <w:r w:rsidRPr="00967E87">
        <w:rPr>
          <w:rStyle w:val="References"/>
        </w:rPr>
        <w:t>, subsection 3-</w:t>
      </w:r>
      <w:r>
        <w:rPr>
          <w:rStyle w:val="References"/>
        </w:rPr>
        <w:t>1</w:t>
      </w:r>
      <w:r w:rsidR="002272CB">
        <w:rPr>
          <w:rStyle w:val="References"/>
        </w:rPr>
        <w:t>6</w:t>
      </w:r>
      <w:r>
        <w:rPr>
          <w:rStyle w:val="References"/>
        </w:rPr>
        <w:t>5</w:t>
      </w:r>
      <w:r w:rsidRPr="00967E87">
        <w:rPr>
          <w:rStyle w:val="References"/>
        </w:rPr>
        <w:t xml:space="preserve"> </w:t>
      </w:r>
      <w:r>
        <w:rPr>
          <w:rStyle w:val="References"/>
        </w:rPr>
        <w:t>of the Rules</w:t>
      </w:r>
      <w:r w:rsidRPr="00967E87">
        <w:rPr>
          <w:rStyle w:val="References"/>
        </w:rPr>
        <w:t>]</w:t>
      </w:r>
    </w:p>
    <w:p w14:paraId="7B42C14C" w14:textId="77777777" w:rsidR="00717937" w:rsidRPr="00E66145" w:rsidRDefault="00717937" w:rsidP="0055427E">
      <w:pPr>
        <w:pStyle w:val="Heading6"/>
        <w:rPr>
          <w:rFonts w:hint="eastAsia"/>
        </w:rPr>
      </w:pPr>
      <w:r w:rsidRPr="00E66145">
        <w:t xml:space="preserve">Recalculating </w:t>
      </w:r>
      <w:r w:rsidRPr="0013622E">
        <w:t>top-up tax</w:t>
      </w:r>
    </w:p>
    <w:p w14:paraId="4AFE8229" w14:textId="288EA3D2" w:rsidR="00717937" w:rsidRDefault="00717937" w:rsidP="00717937">
      <w:pPr>
        <w:pStyle w:val="Normalparatextwithnumbers"/>
      </w:pPr>
      <w:r>
        <w:t xml:space="preserve">The election is an ETR adjustment provision, meaning that the ETR and </w:t>
      </w:r>
      <w:r w:rsidRPr="0013622E">
        <w:t>top-up tax</w:t>
      </w:r>
      <w:r>
        <w:t xml:space="preserve"> for prior Fiscal Years in the Look-back Period must be recalculated.</w:t>
      </w:r>
      <w:r>
        <w:br/>
      </w:r>
      <w:r w:rsidRPr="00967E87">
        <w:rPr>
          <w:rStyle w:val="References"/>
        </w:rPr>
        <w:t>[</w:t>
      </w:r>
      <w:r>
        <w:rPr>
          <w:rStyle w:val="References"/>
        </w:rPr>
        <w:t>Chapter 3</w:t>
      </w:r>
      <w:r w:rsidRPr="00967E87">
        <w:rPr>
          <w:rStyle w:val="References"/>
        </w:rPr>
        <w:t>, subsection</w:t>
      </w:r>
      <w:r>
        <w:rPr>
          <w:rStyle w:val="References"/>
        </w:rPr>
        <w:t>s</w:t>
      </w:r>
      <w:r w:rsidRPr="00967E87">
        <w:rPr>
          <w:rStyle w:val="References"/>
        </w:rPr>
        <w:t xml:space="preserve"> 3-</w:t>
      </w:r>
      <w:r>
        <w:rPr>
          <w:rStyle w:val="References"/>
        </w:rPr>
        <w:t>1</w:t>
      </w:r>
      <w:r w:rsidR="002272CB">
        <w:rPr>
          <w:rStyle w:val="References"/>
        </w:rPr>
        <w:t>60</w:t>
      </w:r>
      <w:r w:rsidRPr="00967E87">
        <w:rPr>
          <w:rStyle w:val="References"/>
        </w:rPr>
        <w:t>(</w:t>
      </w:r>
      <w:r>
        <w:rPr>
          <w:rStyle w:val="References"/>
        </w:rPr>
        <w:t>4</w:t>
      </w:r>
      <w:r w:rsidRPr="00967E87">
        <w:rPr>
          <w:rStyle w:val="References"/>
        </w:rPr>
        <w:t>)</w:t>
      </w:r>
      <w:r>
        <w:rPr>
          <w:rStyle w:val="References"/>
        </w:rPr>
        <w:t xml:space="preserve"> and (5</w:t>
      </w:r>
      <w:r w:rsidRPr="00967E87">
        <w:rPr>
          <w:rStyle w:val="References"/>
        </w:rPr>
        <w:t xml:space="preserve">) </w:t>
      </w:r>
      <w:r>
        <w:rPr>
          <w:rStyle w:val="References"/>
        </w:rPr>
        <w:t>of the Rules</w:t>
      </w:r>
      <w:r w:rsidRPr="00967E87">
        <w:rPr>
          <w:rStyle w:val="References"/>
        </w:rPr>
        <w:t>]</w:t>
      </w:r>
    </w:p>
    <w:p w14:paraId="20D43AFC" w14:textId="079466D9" w:rsidR="00717937" w:rsidRDefault="00717937" w:rsidP="00717937">
      <w:pPr>
        <w:pStyle w:val="Normalparatextwithnumbers"/>
      </w:pPr>
      <w:r w:rsidRPr="00E66145">
        <w:t xml:space="preserve">Any GloBE Loss generated in previous </w:t>
      </w:r>
      <w:r>
        <w:t>f</w:t>
      </w:r>
      <w:r w:rsidRPr="00E66145">
        <w:t xml:space="preserve">iscal </w:t>
      </w:r>
      <w:r>
        <w:t>y</w:t>
      </w:r>
      <w:r w:rsidRPr="00E66145">
        <w:t xml:space="preserve">ears must be recalculated after applying </w:t>
      </w:r>
      <w:r>
        <w:t>subsections 3-1</w:t>
      </w:r>
      <w:r w:rsidR="002272CB">
        <w:t>60</w:t>
      </w:r>
      <w:r>
        <w:t>(4) and (5) of the Rules</w:t>
      </w:r>
      <w:r w:rsidRPr="00E66145">
        <w:t xml:space="preserve">. If a GloBE Loss is reduced due to this, the </w:t>
      </w:r>
      <w:r w:rsidRPr="0013622E">
        <w:t>top-up tax</w:t>
      </w:r>
      <w:r w:rsidRPr="00E66145">
        <w:t xml:space="preserve"> for that Fiscal Year must also be recalculated </w:t>
      </w:r>
      <w:r>
        <w:t>in accordance with section 5-60 of the Rules.</w:t>
      </w:r>
      <w:r>
        <w:br/>
      </w:r>
      <w:r w:rsidRPr="00606AD8">
        <w:rPr>
          <w:rStyle w:val="References"/>
        </w:rPr>
        <w:t>[</w:t>
      </w:r>
      <w:r>
        <w:rPr>
          <w:rStyle w:val="References"/>
        </w:rPr>
        <w:t>Chapter 3, section 3-1</w:t>
      </w:r>
      <w:r w:rsidR="002272CB">
        <w:rPr>
          <w:rStyle w:val="References"/>
        </w:rPr>
        <w:t>60</w:t>
      </w:r>
      <w:r>
        <w:rPr>
          <w:rStyle w:val="References"/>
        </w:rPr>
        <w:t xml:space="preserve"> of the Rules</w:t>
      </w:r>
      <w:r w:rsidRPr="00606AD8">
        <w:rPr>
          <w:rStyle w:val="References"/>
        </w:rPr>
        <w:t>]</w:t>
      </w:r>
    </w:p>
    <w:p w14:paraId="7BA00097" w14:textId="77777777" w:rsidR="00717937" w:rsidRDefault="00717937" w:rsidP="0055427E">
      <w:pPr>
        <w:pStyle w:val="Heading5"/>
      </w:pPr>
      <w:r>
        <w:t>Five-year election: Consolidated accounting treatment</w:t>
      </w:r>
    </w:p>
    <w:p w14:paraId="44439EBC" w14:textId="6F12A045" w:rsidR="00717937" w:rsidRDefault="00717937" w:rsidP="00717937">
      <w:pPr>
        <w:pStyle w:val="Normalparatextwithnumbers"/>
      </w:pPr>
      <w:r>
        <w:t xml:space="preserve">A </w:t>
      </w:r>
      <w:r w:rsidR="00BC541E">
        <w:t>Filing Constituent Entity</w:t>
      </w:r>
      <w:r>
        <w:t xml:space="preserve"> may make a </w:t>
      </w:r>
      <w:r w:rsidR="0073251F">
        <w:t>F</w:t>
      </w:r>
      <w:r>
        <w:t>ive-</w:t>
      </w:r>
      <w:r w:rsidR="0073251F">
        <w:t>Y</w:t>
      </w:r>
      <w:r>
        <w:t xml:space="preserve">ear election to apply its consolidated accounting treatment to eliminate income, expense, gains, and losses from transactions between Constituent Entities provided they are in a tax consolidation group, and all located in the same jurisdiction. This may be used in place of using the arm’s length method and aims to eliminate intragroup transactions. This election applies to Australian </w:t>
      </w:r>
      <w:r w:rsidR="001B58B0">
        <w:t>TCG</w:t>
      </w:r>
      <w:r>
        <w:t xml:space="preserve">s but also </w:t>
      </w:r>
      <w:r w:rsidR="0073251F">
        <w:t>MEC G</w:t>
      </w:r>
      <w:r>
        <w:t xml:space="preserve">roups. Australia’s income </w:t>
      </w:r>
      <w:r w:rsidR="001B58B0">
        <w:t>TCG</w:t>
      </w:r>
      <w:r>
        <w:t xml:space="preserve"> and MEC Group regimes in Part 3-90 of the</w:t>
      </w:r>
      <w:r w:rsidR="00F70B22">
        <w:t xml:space="preserve"> ITAA 1997 </w:t>
      </w:r>
      <w:r w:rsidR="00F43173">
        <w:t xml:space="preserve">qualify to apply the consolidated accounting treatment under </w:t>
      </w:r>
      <w:r>
        <w:t>section 3</w:t>
      </w:r>
      <w:r w:rsidR="002272CB">
        <w:noBreakHyphen/>
      </w:r>
      <w:r w:rsidR="001157FF">
        <w:t>200</w:t>
      </w:r>
      <w:r w:rsidR="001530C2">
        <w:t xml:space="preserve"> of the Rules</w:t>
      </w:r>
      <w:r>
        <w:t>.</w:t>
      </w:r>
      <w:r>
        <w:br/>
      </w:r>
      <w:r w:rsidRPr="00606AD8">
        <w:rPr>
          <w:rStyle w:val="References"/>
        </w:rPr>
        <w:t>[</w:t>
      </w:r>
      <w:r>
        <w:rPr>
          <w:rStyle w:val="References"/>
        </w:rPr>
        <w:t>Chapter 3, section 3-</w:t>
      </w:r>
      <w:r w:rsidR="001157FF">
        <w:rPr>
          <w:rStyle w:val="References"/>
        </w:rPr>
        <w:t>200</w:t>
      </w:r>
      <w:r>
        <w:rPr>
          <w:rStyle w:val="References"/>
        </w:rPr>
        <w:t xml:space="preserve"> </w:t>
      </w:r>
      <w:r w:rsidRPr="00553D89">
        <w:rPr>
          <w:rStyle w:val="References"/>
        </w:rPr>
        <w:t>of the Rules</w:t>
      </w:r>
      <w:r w:rsidRPr="00606AD8">
        <w:rPr>
          <w:rStyle w:val="References"/>
        </w:rPr>
        <w:t>]</w:t>
      </w:r>
    </w:p>
    <w:p w14:paraId="712D7221" w14:textId="77777777" w:rsidR="00717937" w:rsidRDefault="00717937" w:rsidP="00717937">
      <w:pPr>
        <w:pStyle w:val="Normalparatextwithnumbers"/>
      </w:pPr>
      <w:r>
        <w:lastRenderedPageBreak/>
        <w:t xml:space="preserve">This election prevents unintended consequences where income, expenses, gains and losses from domestic intra-group transactions are treated as tax neutral transactions under local law. This election is relevant in circumstances if excluded intra-group transactions between entities located in same jurisdiction for GloBE computations where such transactions would shift income, gain, expense or loss to another member of the group to be recognised in subsequent fiscal year in connection with third party transfer. </w:t>
      </w:r>
    </w:p>
    <w:p w14:paraId="7780420A" w14:textId="6CF836F1" w:rsidR="00717937" w:rsidRDefault="00717937" w:rsidP="00717937">
      <w:pPr>
        <w:pStyle w:val="Normalparatextwithnumbers"/>
      </w:pPr>
      <w:r>
        <w:t xml:space="preserve">Section 3-105 </w:t>
      </w:r>
      <w:r w:rsidR="00432B58">
        <w:t xml:space="preserve">of the Rules </w:t>
      </w:r>
      <w:r>
        <w:t xml:space="preserve">requires that transactions between Constituent Entities located in same jurisdiction that result in loss are to be adjusted to comply with the </w:t>
      </w:r>
      <w:r w:rsidR="002330EF">
        <w:t>Arm’s Length Principle</w:t>
      </w:r>
      <w:r>
        <w:t>. Th</w:t>
      </w:r>
      <w:r w:rsidR="00C770D9">
        <w:t>e cons</w:t>
      </w:r>
      <w:r w:rsidR="00C95FAB">
        <w:t>olidated accounting treatment</w:t>
      </w:r>
      <w:r>
        <w:t xml:space="preserve"> election applies to eliminate </w:t>
      </w:r>
      <w:r w:rsidR="00DA1143">
        <w:t>non</w:t>
      </w:r>
      <w:r w:rsidR="00DA1143">
        <w:noBreakHyphen/>
        <w:t xml:space="preserve">arm’s length </w:t>
      </w:r>
      <w:r>
        <w:t xml:space="preserve">transactions between Constituent Entities, </w:t>
      </w:r>
      <w:r w:rsidR="00DA1143">
        <w:t xml:space="preserve">and </w:t>
      </w:r>
      <w:r>
        <w:t xml:space="preserve">therefore </w:t>
      </w:r>
      <w:r w:rsidR="00A578BF">
        <w:t xml:space="preserve">the consolidated accounting </w:t>
      </w:r>
      <w:r>
        <w:t xml:space="preserve">election may be used in place of using the arm’s length method for transactions that result in loss that occur between Constituent Entities located in same jurisdictions.  </w:t>
      </w:r>
    </w:p>
    <w:p w14:paraId="0E7262C3" w14:textId="77777777" w:rsidR="00717937" w:rsidRDefault="00717937" w:rsidP="008A4978">
      <w:pPr>
        <w:pStyle w:val="Heading3"/>
        <w:rPr>
          <w:rFonts w:hint="eastAsia"/>
        </w:rPr>
      </w:pPr>
      <w:bookmarkStart w:id="121" w:name="_Toc158373983"/>
      <w:bookmarkStart w:id="122" w:name="_Toc183786645"/>
      <w:bookmarkStart w:id="123" w:name="_Toc185502993"/>
      <w:bookmarkStart w:id="124" w:name="_Toc183003760"/>
      <w:r>
        <w:t>Allocating income between entities</w:t>
      </w:r>
      <w:bookmarkEnd w:id="121"/>
      <w:bookmarkEnd w:id="122"/>
      <w:bookmarkEnd w:id="123"/>
      <w:r>
        <w:t xml:space="preserve"> </w:t>
      </w:r>
      <w:bookmarkEnd w:id="124"/>
    </w:p>
    <w:p w14:paraId="55438052" w14:textId="674577C2" w:rsidR="00717937" w:rsidRDefault="00717937" w:rsidP="00717937">
      <w:pPr>
        <w:pStyle w:val="Normalparatextwithnumbers"/>
      </w:pPr>
      <w:r>
        <w:t>There are a series of special rules for the allocation of income for Permanent Establishments and Flow-</w:t>
      </w:r>
      <w:r w:rsidR="0055427E">
        <w:t>t</w:t>
      </w:r>
      <w:r>
        <w:t xml:space="preserve">hrough Entities.  </w:t>
      </w:r>
    </w:p>
    <w:p w14:paraId="199EAD72" w14:textId="77777777" w:rsidR="00717937" w:rsidRDefault="00717937" w:rsidP="00717937">
      <w:pPr>
        <w:pStyle w:val="Heading5"/>
        <w:numPr>
          <w:ilvl w:val="4"/>
          <w:numId w:val="2"/>
        </w:numPr>
        <w:ind w:left="1701" w:hanging="1701"/>
      </w:pPr>
      <w:r>
        <w:t>Permanent Establishments</w:t>
      </w:r>
    </w:p>
    <w:p w14:paraId="7770B837" w14:textId="77777777" w:rsidR="00717937" w:rsidRPr="003A6394" w:rsidRDefault="00717937" w:rsidP="00717937">
      <w:pPr>
        <w:pStyle w:val="Normalparatextwithnumbers"/>
      </w:pPr>
      <w:r>
        <w:t xml:space="preserve">Due to a Permanent Establishment being a tax concept, separate accounts of Permanent Establishments may be maintained either for management purposes or to comply with local tax rules. In making allocations of income between the Permanent Establishment and the Main Entity, accounting treatment is followed as far as possible. This is subject to income and expense allocation rules under any relevant Tax Treaty or domestic tax law, see </w:t>
      </w:r>
      <w:r w:rsidRPr="00AA07F6">
        <w:rPr>
          <w:rStyle w:val="References"/>
          <w:b w:val="0"/>
          <w:bCs w:val="0"/>
          <w:i w:val="0"/>
          <w:iCs w:val="0"/>
        </w:rPr>
        <w:t>paragraphs 186 to 187 on page 99 of the Consolidated Commentary.</w:t>
      </w:r>
    </w:p>
    <w:p w14:paraId="3A5812F6" w14:textId="21CAAF9C" w:rsidR="00717937" w:rsidRDefault="00717937" w:rsidP="00717937">
      <w:pPr>
        <w:pStyle w:val="Normalparatextwithnumbers"/>
      </w:pPr>
      <w:r>
        <w:t xml:space="preserve">For a Permanent Establishment that meets definition of paragraph 19(1)(a), (b) or (c) of </w:t>
      </w:r>
      <w:r w:rsidR="00AA07F6">
        <w:t xml:space="preserve">the Assessment </w:t>
      </w:r>
      <w:r>
        <w:t xml:space="preserve">Act, FANIL of the Permanent Establishment is net income or loss reflected in the financial accounts. However, where there are no separate financial accounts for a Permanent Establishment, the </w:t>
      </w:r>
      <w:r w:rsidR="00125D0E">
        <w:t>FANIL</w:t>
      </w:r>
      <w:r>
        <w:t xml:space="preserve"> is the amount that would have been reflected in the separate financial accounts if prepared on a standalone basis.  </w:t>
      </w:r>
      <w:r>
        <w:br/>
      </w:r>
      <w:bookmarkStart w:id="125" w:name="_Hlk181707358"/>
      <w:r w:rsidRPr="00622498">
        <w:rPr>
          <w:rStyle w:val="References"/>
        </w:rPr>
        <w:t>[</w:t>
      </w:r>
      <w:r>
        <w:rPr>
          <w:rStyle w:val="References"/>
        </w:rPr>
        <w:t>Chapter 3, subsection 3-2</w:t>
      </w:r>
      <w:r w:rsidR="001157FF">
        <w:rPr>
          <w:rStyle w:val="References"/>
        </w:rPr>
        <w:t>40</w:t>
      </w:r>
      <w:r>
        <w:rPr>
          <w:rStyle w:val="References"/>
        </w:rPr>
        <w:t xml:space="preserve">(1) </w:t>
      </w:r>
      <w:r w:rsidRPr="00553D89">
        <w:rPr>
          <w:rStyle w:val="References"/>
        </w:rPr>
        <w:t>of the Rules</w:t>
      </w:r>
      <w:r w:rsidRPr="00622498">
        <w:rPr>
          <w:rStyle w:val="References"/>
        </w:rPr>
        <w:t xml:space="preserve">] </w:t>
      </w:r>
      <w:bookmarkEnd w:id="125"/>
    </w:p>
    <w:p w14:paraId="5FDC404E" w14:textId="3B6E4A71" w:rsidR="00717937" w:rsidRDefault="00717937" w:rsidP="00717937">
      <w:pPr>
        <w:pStyle w:val="Normalparatextwithnumbers"/>
      </w:pPr>
      <w:r>
        <w:t>If a Permanent Establishment exists and is taxed based on a tax treaty</w:t>
      </w:r>
      <w:r w:rsidR="00AA07F6">
        <w:t>, as defined under paragraph 19(1)(d) of the Assessment Act</w:t>
      </w:r>
      <w:r>
        <w:t>, domestic law, or as if a tax treaty were in place, income is allocated to a Permanent Establishment for those amounts of income or expenses that are attributed to the Permanent Establishment according to domestic law or tax treaty, or Article 7 of the OECD Model Tax Convention.</w:t>
      </w:r>
      <w:r>
        <w:br/>
      </w:r>
      <w:r w:rsidRPr="00622498">
        <w:rPr>
          <w:rStyle w:val="References"/>
        </w:rPr>
        <w:t>[</w:t>
      </w:r>
      <w:r>
        <w:rPr>
          <w:rStyle w:val="References"/>
        </w:rPr>
        <w:t>Chapter 3, subsection 3-2</w:t>
      </w:r>
      <w:r w:rsidR="001157FF">
        <w:rPr>
          <w:rStyle w:val="References"/>
        </w:rPr>
        <w:t>35</w:t>
      </w:r>
      <w:r>
        <w:rPr>
          <w:rStyle w:val="References"/>
        </w:rPr>
        <w:t xml:space="preserve"> </w:t>
      </w:r>
      <w:r w:rsidRPr="00553D89">
        <w:rPr>
          <w:rStyle w:val="References"/>
        </w:rPr>
        <w:t>of the Rules</w:t>
      </w:r>
      <w:r w:rsidRPr="00622498">
        <w:rPr>
          <w:rStyle w:val="References"/>
        </w:rPr>
        <w:t>]</w:t>
      </w:r>
    </w:p>
    <w:p w14:paraId="1F9BE17B" w14:textId="13E3D073" w:rsidR="00717937" w:rsidRDefault="00963AE3" w:rsidP="00717937">
      <w:pPr>
        <w:pStyle w:val="Normalparatextwithnumbers"/>
      </w:pPr>
      <w:r>
        <w:lastRenderedPageBreak/>
        <w:t xml:space="preserve">In determining the FANIL of </w:t>
      </w:r>
      <w:r w:rsidR="00717937">
        <w:t xml:space="preserve">a Permanent Establishment that meets the definition of paragraph 19(1)(d) of the </w:t>
      </w:r>
      <w:r w:rsidR="008165C9">
        <w:t xml:space="preserve">Assessment </w:t>
      </w:r>
      <w:r w:rsidR="00717937">
        <w:t xml:space="preserve">Act, only income that is exempt from tax in the Main Entity and is attributable to the operations outside of the Main Entity is taken into </w:t>
      </w:r>
      <w:r>
        <w:t>consideration</w:t>
      </w:r>
      <w:r w:rsidR="00717937">
        <w:t>. Similarly, only those expenses that are not deducted for tax purposes in the Main Entity jurisdiction and attributable to operations outside of the Main Entity jurisdiction are taken into account.</w:t>
      </w:r>
      <w:r w:rsidR="00717937">
        <w:br/>
      </w:r>
      <w:r w:rsidR="00717937" w:rsidRPr="0034075D">
        <w:rPr>
          <w:rStyle w:val="References"/>
        </w:rPr>
        <w:t>[</w:t>
      </w:r>
      <w:r w:rsidR="00717937">
        <w:rPr>
          <w:rStyle w:val="References"/>
        </w:rPr>
        <w:t>Chapter 3, subsection 3-2</w:t>
      </w:r>
      <w:r w:rsidR="001157FF">
        <w:rPr>
          <w:rStyle w:val="References"/>
        </w:rPr>
        <w:t>40</w:t>
      </w:r>
      <w:r w:rsidR="00717937">
        <w:rPr>
          <w:rStyle w:val="References"/>
        </w:rPr>
        <w:t xml:space="preserve">(2) </w:t>
      </w:r>
      <w:r w:rsidR="00717937" w:rsidRPr="00553D89">
        <w:rPr>
          <w:rStyle w:val="References"/>
        </w:rPr>
        <w:t>of the Rules</w:t>
      </w:r>
      <w:r w:rsidR="00717937">
        <w:rPr>
          <w:rStyle w:val="References"/>
        </w:rPr>
        <w:t>]</w:t>
      </w:r>
    </w:p>
    <w:p w14:paraId="3A25E9CD" w14:textId="0550DDBF" w:rsidR="00717937" w:rsidRDefault="00717937" w:rsidP="00717937">
      <w:pPr>
        <w:pStyle w:val="Normalparatextwithnumbers"/>
      </w:pPr>
      <w:r>
        <w:t xml:space="preserve">Any adjustments made to the accounting income of a Permanent Establishment that are reflected in the Main Entity’s accounts must be excluded to prevent double counting or omission of FANIL in the computation of the GloBE Income or Loss of the Main Entity and the Permanent Establishment. The law of the jurisdiction of the Main Entity is relevant to calculate this offset. </w:t>
      </w:r>
      <w:r>
        <w:br/>
      </w:r>
      <w:r w:rsidRPr="00F45961">
        <w:rPr>
          <w:rStyle w:val="References"/>
        </w:rPr>
        <w:t>[</w:t>
      </w:r>
      <w:r>
        <w:rPr>
          <w:rStyle w:val="References"/>
        </w:rPr>
        <w:t>Chapter 3, subsection 3-25</w:t>
      </w:r>
      <w:r w:rsidR="001157FF">
        <w:rPr>
          <w:rStyle w:val="References"/>
        </w:rPr>
        <w:t>0</w:t>
      </w:r>
      <w:r>
        <w:rPr>
          <w:rStyle w:val="References"/>
        </w:rPr>
        <w:t xml:space="preserve">(1) </w:t>
      </w:r>
      <w:r w:rsidRPr="00553D89">
        <w:rPr>
          <w:rStyle w:val="References"/>
        </w:rPr>
        <w:t>of the Rules</w:t>
      </w:r>
      <w:r w:rsidRPr="00F45961">
        <w:rPr>
          <w:rStyle w:val="References"/>
        </w:rPr>
        <w:t>]</w:t>
      </w:r>
    </w:p>
    <w:p w14:paraId="5B872733" w14:textId="76B33263" w:rsidR="00717937" w:rsidRPr="008D0897" w:rsidRDefault="00717937" w:rsidP="00717937">
      <w:pPr>
        <w:pStyle w:val="Normalparatextwithnumbers"/>
        <w:rPr>
          <w:rStyle w:val="References"/>
          <w:b w:val="0"/>
          <w:i w:val="0"/>
        </w:rPr>
      </w:pPr>
      <w:r>
        <w:t xml:space="preserve">An exception to the rule is that losses of a Permanent Establishment may be allocated to the Main Entity for the purposes of computing GloBE Income or Loss to the extent that the loss of the Permanent Establishment is treated as an expense in computation of taxable income of the Main Entity. However, the loss must not be set off against an item of income that is subject to tax in both jurisdictions. A corresponding adjustment is required to treat subsequent income of the Permanent Establishment as income of the Main Entity up to the amount of the loss that was previously recorded as an expense of the Main Entity. </w:t>
      </w:r>
      <w:r>
        <w:br/>
      </w:r>
      <w:r w:rsidRPr="0034075D">
        <w:rPr>
          <w:rStyle w:val="References"/>
        </w:rPr>
        <w:t>[</w:t>
      </w:r>
      <w:r>
        <w:rPr>
          <w:rStyle w:val="References"/>
        </w:rPr>
        <w:t>Chapter 3, subsection 3-25</w:t>
      </w:r>
      <w:r w:rsidR="001157FF">
        <w:rPr>
          <w:rStyle w:val="References"/>
        </w:rPr>
        <w:t>0</w:t>
      </w:r>
      <w:r>
        <w:rPr>
          <w:rStyle w:val="References"/>
        </w:rPr>
        <w:t xml:space="preserve">(2) </w:t>
      </w:r>
      <w:r w:rsidRPr="00553D89">
        <w:rPr>
          <w:rStyle w:val="References"/>
        </w:rPr>
        <w:t>of the Rules</w:t>
      </w:r>
      <w:r w:rsidRPr="0034075D">
        <w:rPr>
          <w:rStyle w:val="References"/>
        </w:rPr>
        <w:t>]</w:t>
      </w:r>
    </w:p>
    <w:p w14:paraId="6AF7C589" w14:textId="58934B3C" w:rsidR="00717937" w:rsidRDefault="00717937" w:rsidP="00717937">
      <w:pPr>
        <w:pStyle w:val="Normalparatextwithnumbers"/>
      </w:pPr>
      <w:r>
        <w:t>However, this exception may not apply to MNE Groups in an Australian context as the Permanent Establishment’s expense is not deductible against the Main Entity’s taxable income located in Australia. Therefore, the GloBE Loss of a Permanent Establishment will not be treated as an expense of a Main Entity located in Australia for purpose of computing its taxable income.</w:t>
      </w:r>
      <w:r>
        <w:br/>
        <w:t xml:space="preserve"> </w:t>
      </w:r>
      <w:r w:rsidRPr="0034075D">
        <w:rPr>
          <w:rStyle w:val="References"/>
        </w:rPr>
        <w:t>[</w:t>
      </w:r>
      <w:r>
        <w:rPr>
          <w:rStyle w:val="References"/>
        </w:rPr>
        <w:t>Chapter 3, subsection 3-25</w:t>
      </w:r>
      <w:r w:rsidR="001157FF">
        <w:rPr>
          <w:rStyle w:val="References"/>
        </w:rPr>
        <w:t>0</w:t>
      </w:r>
      <w:r>
        <w:rPr>
          <w:rStyle w:val="References"/>
        </w:rPr>
        <w:t xml:space="preserve">(3) </w:t>
      </w:r>
      <w:r w:rsidRPr="00553D89">
        <w:rPr>
          <w:rStyle w:val="References"/>
        </w:rPr>
        <w:t>of the Rules</w:t>
      </w:r>
      <w:r w:rsidRPr="0034075D">
        <w:rPr>
          <w:rStyle w:val="References"/>
        </w:rPr>
        <w:t>]</w:t>
      </w:r>
    </w:p>
    <w:p w14:paraId="3E621C32" w14:textId="2D1B5627" w:rsidR="00717937" w:rsidRDefault="00717937" w:rsidP="00717937">
      <w:pPr>
        <w:pStyle w:val="Heading5"/>
        <w:numPr>
          <w:ilvl w:val="4"/>
          <w:numId w:val="2"/>
        </w:numPr>
        <w:ind w:left="1701" w:hanging="1701"/>
      </w:pPr>
      <w:r>
        <w:t xml:space="preserve">Flow-through </w:t>
      </w:r>
      <w:r w:rsidR="005D25E2">
        <w:t>E</w:t>
      </w:r>
      <w:r>
        <w:t>ntities</w:t>
      </w:r>
    </w:p>
    <w:p w14:paraId="54E074B7" w14:textId="77777777" w:rsidR="00717937" w:rsidRDefault="00717937" w:rsidP="00717937">
      <w:pPr>
        <w:pStyle w:val="Normalparatextwithnumbers"/>
      </w:pPr>
      <w:r>
        <w:t xml:space="preserve">A Flow-through Entity is an entity that is fiscally transparent regarding its income, expenditure, profit or loss in the jurisdiction where it is created, unless it is tax resident and subject to a Covered Tax on its income or profit in another jurisdiction. It is treated as a Tax Transparent Entity if its direct owners treat it as fiscally transparent, and treated as a Reverse Hybrid Entity if the owners treat it as opaque. These entities have separate rules as the regime imposes tax on the UPEs owners, which may include partners, beneficiaries or shareholders. </w:t>
      </w:r>
      <w:r>
        <w:br/>
      </w:r>
      <w:r w:rsidRPr="00C64C37">
        <w:rPr>
          <w:rStyle w:val="References"/>
        </w:rPr>
        <w:t xml:space="preserve">[Chapter 10, </w:t>
      </w:r>
      <w:r w:rsidRPr="00167665">
        <w:rPr>
          <w:rStyle w:val="References"/>
        </w:rPr>
        <w:t>section</w:t>
      </w:r>
      <w:r>
        <w:rPr>
          <w:rStyle w:val="References"/>
        </w:rPr>
        <w:t>s</w:t>
      </w:r>
      <w:r w:rsidRPr="00C64C37">
        <w:rPr>
          <w:rStyle w:val="References"/>
        </w:rPr>
        <w:t xml:space="preserve"> 10-</w:t>
      </w:r>
      <w:r>
        <w:rPr>
          <w:rStyle w:val="References"/>
        </w:rPr>
        <w:t xml:space="preserve">10, </w:t>
      </w:r>
      <w:r w:rsidRPr="00167665">
        <w:rPr>
          <w:rStyle w:val="References"/>
        </w:rPr>
        <w:t>10-</w:t>
      </w:r>
      <w:r>
        <w:rPr>
          <w:rStyle w:val="References"/>
        </w:rPr>
        <w:t>15 and 10</w:t>
      </w:r>
      <w:r>
        <w:rPr>
          <w:rStyle w:val="References"/>
        </w:rPr>
        <w:noBreakHyphen/>
      </w:r>
      <w:r w:rsidRPr="00C64C37">
        <w:rPr>
          <w:rStyle w:val="References"/>
        </w:rPr>
        <w:t xml:space="preserve">20 </w:t>
      </w:r>
      <w:r w:rsidRPr="00553D89">
        <w:rPr>
          <w:rStyle w:val="References"/>
        </w:rPr>
        <w:t>of the Rules</w:t>
      </w:r>
      <w:r w:rsidRPr="00C64C37">
        <w:rPr>
          <w:rStyle w:val="References"/>
        </w:rPr>
        <w:t>]</w:t>
      </w:r>
    </w:p>
    <w:p w14:paraId="41EA866B" w14:textId="77777777" w:rsidR="00717937" w:rsidRDefault="00717937" w:rsidP="00717937">
      <w:pPr>
        <w:pStyle w:val="Normalparatextwithnumbers"/>
      </w:pPr>
      <w:r>
        <w:t xml:space="preserve">There are separate rules for Constituent Entities that are flow-through entities and UPEs that are </w:t>
      </w:r>
      <w:r w:rsidRPr="00167665">
        <w:t>flow</w:t>
      </w:r>
      <w:r>
        <w:t>-</w:t>
      </w:r>
      <w:r w:rsidRPr="00167665">
        <w:t>through</w:t>
      </w:r>
      <w:r>
        <w:t xml:space="preserve"> entities. These rules are necessary because in many cases these Entities would have separate financial accounts showing their </w:t>
      </w:r>
      <w:r>
        <w:lastRenderedPageBreak/>
        <w:t>FANIL regardless of the fact that they have no taxable net income or loss as that income or loss had been allocated to its owners under tax rules, see paragraph 204</w:t>
      </w:r>
      <w:r w:rsidRPr="00F825A4">
        <w:t xml:space="preserve"> </w:t>
      </w:r>
      <w:r>
        <w:t>on page 101</w:t>
      </w:r>
      <w:r w:rsidRPr="00F825A4">
        <w:t xml:space="preserve"> </w:t>
      </w:r>
      <w:r>
        <w:t>of the Consolidated Commentary.</w:t>
      </w:r>
    </w:p>
    <w:p w14:paraId="5D338CF6" w14:textId="43F4F7F0" w:rsidR="00717937" w:rsidRDefault="00717937" w:rsidP="00717937">
      <w:pPr>
        <w:pStyle w:val="Normalparatextwithnumbers"/>
      </w:pPr>
      <w:bookmarkStart w:id="126" w:name="_Ref183773864"/>
      <w:r>
        <w:t>There are two steps to ensure that all income is appropriately allocated to produce a reliable ETR. The first step is to adjust the FANIL of the Flow</w:t>
      </w:r>
      <w:r w:rsidR="005D25E2">
        <w:noBreakHyphen/>
      </w:r>
      <w:r>
        <w:t xml:space="preserve">through Entity by reducing the amount attributable to owners outside of the MNE Group. This ensures that the jurisdictional ETR of the </w:t>
      </w:r>
      <w:r w:rsidR="00A51D9C">
        <w:t>Group M</w:t>
      </w:r>
      <w:r>
        <w:t>embers of the MNE Group is properly computed given that taxes paid by non-members of the MNE Group are not taken into account for the purposes of ETR computation, see paragraph 206</w:t>
      </w:r>
      <w:r w:rsidRPr="00233538">
        <w:t xml:space="preserve"> </w:t>
      </w:r>
      <w:r>
        <w:t>on page 102 of the Consolidated Commentary.</w:t>
      </w:r>
      <w:r>
        <w:br/>
      </w:r>
      <w:r w:rsidRPr="0034075D">
        <w:rPr>
          <w:rStyle w:val="References"/>
        </w:rPr>
        <w:t>[</w:t>
      </w:r>
      <w:r>
        <w:rPr>
          <w:rStyle w:val="References"/>
        </w:rPr>
        <w:t>Chapter 3, subsection 3-2</w:t>
      </w:r>
      <w:r w:rsidR="00071DEF">
        <w:rPr>
          <w:rStyle w:val="References"/>
        </w:rPr>
        <w:t>55</w:t>
      </w:r>
      <w:r>
        <w:rPr>
          <w:rStyle w:val="References"/>
        </w:rPr>
        <w:t xml:space="preserve">(1) </w:t>
      </w:r>
      <w:r w:rsidRPr="00553D89">
        <w:rPr>
          <w:rStyle w:val="References"/>
        </w:rPr>
        <w:t>of the Rules</w:t>
      </w:r>
      <w:r w:rsidRPr="0034075D">
        <w:rPr>
          <w:rStyle w:val="References"/>
        </w:rPr>
        <w:t>]</w:t>
      </w:r>
      <w:bookmarkEnd w:id="126"/>
    </w:p>
    <w:p w14:paraId="1DB3AE42" w14:textId="64F98608" w:rsidR="00717937" w:rsidRDefault="00717937" w:rsidP="00717937">
      <w:pPr>
        <w:pStyle w:val="Normalparatextwithnumbers"/>
      </w:pPr>
      <w:r>
        <w:t>The second step only applies if there is remaining income after step one. In this case, the remaining income is allocated based on the ownership interest in the Flow-through Entity and the characteristics of the ownership entity. Where the business of a Flow-through Entity is carried out through the following types of entities it is allocated as follows and prioritised in the order that they appear</w:t>
      </w:r>
      <w:r w:rsidR="00B85B56">
        <w:t>.</w:t>
      </w:r>
      <w:r>
        <w:t xml:space="preserve"> </w:t>
      </w:r>
    </w:p>
    <w:p w14:paraId="1130DB3E" w14:textId="77777777" w:rsidR="00717937" w:rsidRDefault="00717937" w:rsidP="00B7652D">
      <w:pPr>
        <w:pStyle w:val="Dotpoint1"/>
      </w:pPr>
      <w:r>
        <w:t xml:space="preserve">through a Permanent Establishment – allocate to the Permanent Establishment, in accordance with Part 3-4 </w:t>
      </w:r>
      <w:r w:rsidRPr="00553D89">
        <w:t>of the Rules</w:t>
      </w:r>
      <w:r>
        <w:t>.</w:t>
      </w:r>
      <w:r w:rsidRPr="006A7CC3">
        <w:t xml:space="preserve"> </w:t>
      </w:r>
      <w:r>
        <w:t>This ensures that there is no double counting of the FANIL of the Permanent Establishment for the ETR computations.</w:t>
      </w:r>
    </w:p>
    <w:p w14:paraId="1A579505" w14:textId="6C300F37" w:rsidR="00717937" w:rsidRDefault="00E50CCE" w:rsidP="00B7652D">
      <w:pPr>
        <w:pStyle w:val="Dotpoint1"/>
      </w:pPr>
      <w:r>
        <w:t>T</w:t>
      </w:r>
      <w:r w:rsidR="00717937">
        <w:t xml:space="preserve">ax </w:t>
      </w:r>
      <w:r>
        <w:t>T</w:t>
      </w:r>
      <w:r w:rsidR="00717937">
        <w:t xml:space="preserve">ransparent </w:t>
      </w:r>
      <w:r>
        <w:t>E</w:t>
      </w:r>
      <w:r w:rsidR="00717937">
        <w:t>ntities (</w:t>
      </w:r>
      <w:r w:rsidR="00A51D9C">
        <w:t xml:space="preserve">that are not the </w:t>
      </w:r>
      <w:r w:rsidR="00717937">
        <w:t xml:space="preserve">UPE) – allocate to Constituent Entity owners based on ownership interests. This rule continues to apply until the owner is either not tax transparent or is the UPE. </w:t>
      </w:r>
    </w:p>
    <w:p w14:paraId="2CFC9CD6" w14:textId="23EFB582" w:rsidR="00717937" w:rsidRDefault="00717937" w:rsidP="00B7652D">
      <w:pPr>
        <w:pStyle w:val="Dotpoint1"/>
      </w:pPr>
      <w:r>
        <w:t>reverse hybrid – allocate to the entity. The income is not allocated to owners because it is not fiscally transparent, see paragraph 207 on page 102 of the Consolidate Commentary.</w:t>
      </w:r>
      <w:r>
        <w:br/>
      </w:r>
      <w:r w:rsidRPr="0034075D">
        <w:rPr>
          <w:rStyle w:val="References"/>
        </w:rPr>
        <w:t>[</w:t>
      </w:r>
      <w:r>
        <w:rPr>
          <w:rStyle w:val="References"/>
        </w:rPr>
        <w:t xml:space="preserve">Chapter 3, </w:t>
      </w:r>
      <w:r w:rsidR="00FD2B87">
        <w:rPr>
          <w:rStyle w:val="References"/>
        </w:rPr>
        <w:t>sub</w:t>
      </w:r>
      <w:r>
        <w:rPr>
          <w:rStyle w:val="References"/>
        </w:rPr>
        <w:t>sectio</w:t>
      </w:r>
      <w:r w:rsidR="00FD2B87">
        <w:rPr>
          <w:rStyle w:val="References"/>
        </w:rPr>
        <w:t>n</w:t>
      </w:r>
      <w:r>
        <w:rPr>
          <w:rStyle w:val="References"/>
        </w:rPr>
        <w:t xml:space="preserve"> 3-2</w:t>
      </w:r>
      <w:r w:rsidR="00071DEF">
        <w:rPr>
          <w:rStyle w:val="References"/>
        </w:rPr>
        <w:t>55</w:t>
      </w:r>
      <w:r>
        <w:rPr>
          <w:rStyle w:val="References"/>
        </w:rPr>
        <w:t xml:space="preserve">(1) </w:t>
      </w:r>
      <w:r w:rsidRPr="00553D89">
        <w:rPr>
          <w:rStyle w:val="References"/>
        </w:rPr>
        <w:t>of the Rules</w:t>
      </w:r>
      <w:r w:rsidRPr="0034075D">
        <w:rPr>
          <w:rStyle w:val="References"/>
        </w:rPr>
        <w:t>]</w:t>
      </w:r>
      <w:r>
        <w:t xml:space="preserve">  </w:t>
      </w:r>
    </w:p>
    <w:p w14:paraId="7219842C" w14:textId="2FE7C52C" w:rsidR="00717937" w:rsidRDefault="00E04FAE" w:rsidP="00717937">
      <w:pPr>
        <w:pStyle w:val="Normalparatextwithnumbers"/>
      </w:pPr>
      <w:r>
        <w:t xml:space="preserve">It is possible for </w:t>
      </w:r>
      <w:r w:rsidR="00717937" w:rsidRPr="00E947B1">
        <w:t>the same Flow</w:t>
      </w:r>
      <w:r w:rsidR="00717937">
        <w:t>-</w:t>
      </w:r>
      <w:r w:rsidR="00717937" w:rsidRPr="00E947B1">
        <w:t xml:space="preserve">through Entity </w:t>
      </w:r>
      <w:r>
        <w:t xml:space="preserve">to </w:t>
      </w:r>
      <w:r w:rsidR="00717937" w:rsidRPr="00E947B1">
        <w:t xml:space="preserve">be treated as a Tax Transparent Entity by some of owners and a Reverse Hybrid Entity by other owners. In </w:t>
      </w:r>
      <w:r w:rsidR="00803072">
        <w:t xml:space="preserve">these </w:t>
      </w:r>
      <w:r w:rsidR="00717937" w:rsidRPr="00E947B1">
        <w:t xml:space="preserve">cases, </w:t>
      </w:r>
      <w:r w:rsidR="00803072">
        <w:t>the steps to allocate FANIL of the Flow</w:t>
      </w:r>
      <w:r w:rsidR="00803072">
        <w:noBreakHyphen/>
        <w:t xml:space="preserve">through Entity is applied by each </w:t>
      </w:r>
      <w:r w:rsidR="00717937" w:rsidRPr="00E947B1">
        <w:t>Constituent Entity</w:t>
      </w:r>
      <w:r w:rsidR="00803072">
        <w:noBreakHyphen/>
      </w:r>
      <w:r w:rsidR="00717937" w:rsidRPr="00E947B1">
        <w:t xml:space="preserve">owner separately. In other words, </w:t>
      </w:r>
      <w:r w:rsidR="00717937">
        <w:t>subsection 3-2</w:t>
      </w:r>
      <w:r w:rsidR="00071DEF">
        <w:t>55</w:t>
      </w:r>
      <w:r w:rsidR="00717937">
        <w:t>(1)</w:t>
      </w:r>
      <w:r w:rsidR="00111507">
        <w:t xml:space="preserve"> of the Rules</w:t>
      </w:r>
      <w:r w:rsidR="00717937" w:rsidRPr="00E947B1">
        <w:t xml:space="preserve"> applies the Tax Transparent Entity treatment with respect to Constituent Entity</w:t>
      </w:r>
      <w:r w:rsidR="00BE361F">
        <w:noBreakHyphen/>
      </w:r>
      <w:r w:rsidR="00717937" w:rsidRPr="00E947B1">
        <w:t>owners that treat the entity as tax transparent and applies the Reverse Hybrid Entity treatment with respect to the other Constituent Entity</w:t>
      </w:r>
      <w:r w:rsidR="00BE361F">
        <w:noBreakHyphen/>
      </w:r>
      <w:r w:rsidR="00717937" w:rsidRPr="00E947B1">
        <w:t>owners</w:t>
      </w:r>
      <w:r w:rsidR="00717937">
        <w:t xml:space="preserve">, see paragraph 225 on page 83 of the Consolidated Commentary. </w:t>
      </w:r>
      <w:r w:rsidR="00717937">
        <w:br/>
      </w:r>
      <w:r w:rsidR="00717937" w:rsidRPr="0034075D">
        <w:rPr>
          <w:rStyle w:val="References"/>
        </w:rPr>
        <w:t>[</w:t>
      </w:r>
      <w:r w:rsidR="00717937">
        <w:rPr>
          <w:rStyle w:val="References"/>
        </w:rPr>
        <w:t>Chapter 3, subsections 3-2</w:t>
      </w:r>
      <w:r w:rsidR="00071DEF">
        <w:rPr>
          <w:rStyle w:val="References"/>
        </w:rPr>
        <w:t>55</w:t>
      </w:r>
      <w:r w:rsidR="00717937">
        <w:rPr>
          <w:rStyle w:val="References"/>
        </w:rPr>
        <w:t xml:space="preserve">(4)) </w:t>
      </w:r>
      <w:r w:rsidR="00717937" w:rsidRPr="00553D89">
        <w:rPr>
          <w:rStyle w:val="References"/>
        </w:rPr>
        <w:t>of the Rules</w:t>
      </w:r>
      <w:r w:rsidR="00717937" w:rsidRPr="0034075D">
        <w:rPr>
          <w:rStyle w:val="References"/>
        </w:rPr>
        <w:t>]</w:t>
      </w:r>
      <w:r w:rsidR="00717937">
        <w:t xml:space="preserve">  </w:t>
      </w:r>
    </w:p>
    <w:p w14:paraId="3F4CED58" w14:textId="08FCE3DD" w:rsidR="0025163B" w:rsidRPr="006479AC" w:rsidRDefault="00717937" w:rsidP="006479AC">
      <w:pPr>
        <w:pStyle w:val="Normalparatextwithnumbers"/>
      </w:pPr>
      <w:r>
        <w:t>Whe</w:t>
      </w:r>
      <w:r w:rsidR="00BE361F">
        <w:t>n</w:t>
      </w:r>
      <w:r>
        <w:t xml:space="preserve"> the UPE is reached, the income is allocated to the UPE </w:t>
      </w:r>
      <w:r w:rsidR="00D37FC7">
        <w:t>in accordance with</w:t>
      </w:r>
      <w:r>
        <w:t xml:space="preserve"> Part 7</w:t>
      </w:r>
      <w:r>
        <w:noBreakHyphen/>
        <w:t xml:space="preserve">1 </w:t>
      </w:r>
      <w:r w:rsidRPr="00553D89">
        <w:t>of the Rules</w:t>
      </w:r>
      <w:r w:rsidR="00D37FC7">
        <w:t>, which</w:t>
      </w:r>
      <w:r>
        <w:t xml:space="preserve"> deals with the treatment of a UPE being a Flow</w:t>
      </w:r>
      <w:r>
        <w:noBreakHyphen/>
        <w:t xml:space="preserve">through </w:t>
      </w:r>
      <w:r w:rsidR="00071DEF">
        <w:t>E</w:t>
      </w:r>
      <w:r>
        <w:t xml:space="preserve">ntity and UPEs that directly own a </w:t>
      </w:r>
      <w:r w:rsidR="00111507">
        <w:t>F</w:t>
      </w:r>
      <w:r>
        <w:t>low</w:t>
      </w:r>
      <w:r w:rsidR="00111507">
        <w:noBreakHyphen/>
      </w:r>
      <w:r>
        <w:t>through</w:t>
      </w:r>
      <w:r w:rsidR="00111507">
        <w:t xml:space="preserve"> Entity</w:t>
      </w:r>
      <w:r>
        <w:t xml:space="preserve">, see </w:t>
      </w:r>
      <w:r>
        <w:lastRenderedPageBreak/>
        <w:t xml:space="preserve">paragraph 207 on page 102 of the Consolidated Commentary. </w:t>
      </w:r>
      <w:r>
        <w:br/>
      </w:r>
      <w:r w:rsidRPr="00DD4F33">
        <w:rPr>
          <w:rStyle w:val="References"/>
        </w:rPr>
        <w:t>[</w:t>
      </w:r>
      <w:r>
        <w:rPr>
          <w:rStyle w:val="References"/>
        </w:rPr>
        <w:t>Chapter 3, subsection 3-2</w:t>
      </w:r>
      <w:r w:rsidR="00071DEF">
        <w:rPr>
          <w:rStyle w:val="References"/>
        </w:rPr>
        <w:t>55</w:t>
      </w:r>
      <w:r>
        <w:rPr>
          <w:rStyle w:val="References"/>
        </w:rPr>
        <w:t xml:space="preserve">(2) and Chapter 7, Part 7-1 </w:t>
      </w:r>
      <w:r w:rsidRPr="00553D89">
        <w:rPr>
          <w:rStyle w:val="References"/>
        </w:rPr>
        <w:t>of the Rules</w:t>
      </w:r>
      <w:r w:rsidRPr="00DD4F33">
        <w:rPr>
          <w:rStyle w:val="References"/>
        </w:rPr>
        <w:t>]</w:t>
      </w:r>
    </w:p>
    <w:bookmarkEnd w:id="97"/>
    <w:p w14:paraId="053A2C54" w14:textId="1FC1D298" w:rsidR="0025163B" w:rsidRDefault="0025163B" w:rsidP="006479AC">
      <w:pPr>
        <w:pStyle w:val="Normalparatextnonumbers"/>
      </w:pPr>
    </w:p>
    <w:p w14:paraId="224D629D" w14:textId="77777777" w:rsidR="0025163B" w:rsidRPr="00020288" w:rsidRDefault="0025163B" w:rsidP="00873094">
      <w:pPr>
        <w:spacing w:after="0" w:line="360" w:lineRule="auto"/>
        <w:contextualSpacing/>
        <w:sectPr w:rsidR="0025163B" w:rsidRPr="00020288" w:rsidSect="0025163B">
          <w:headerReference w:type="even" r:id="rId50"/>
          <w:headerReference w:type="default" r:id="rId51"/>
          <w:footerReference w:type="even" r:id="rId52"/>
          <w:footerReference w:type="default" r:id="rId53"/>
          <w:headerReference w:type="first" r:id="rId54"/>
          <w:footerReference w:type="first" r:id="rId55"/>
          <w:type w:val="oddPage"/>
          <w:pgSz w:w="9979" w:h="14175" w:code="9"/>
          <w:pgMar w:top="567" w:right="1134" w:bottom="567" w:left="1134" w:header="709" w:footer="709" w:gutter="0"/>
          <w:cols w:space="708"/>
          <w:titlePg/>
          <w:docGrid w:linePitch="360"/>
        </w:sectPr>
      </w:pPr>
    </w:p>
    <w:p w14:paraId="0DCCD3B1" w14:textId="194D638E" w:rsidR="0025163B" w:rsidRPr="0073326A" w:rsidRDefault="000C23B6" w:rsidP="00777A92">
      <w:pPr>
        <w:pStyle w:val="Chapterheading"/>
        <w:rPr>
          <w:rFonts w:hint="eastAsia"/>
        </w:rPr>
      </w:pPr>
      <w:bookmarkStart w:id="127" w:name="_Toc183417101"/>
      <w:bookmarkStart w:id="128" w:name="_Toc183786646"/>
      <w:r>
        <w:lastRenderedPageBreak/>
        <w:t>Adjusted Covered Taxes</w:t>
      </w:r>
      <w:bookmarkEnd w:id="127"/>
      <w:bookmarkEnd w:id="128"/>
    </w:p>
    <w:p w14:paraId="10945C2E" w14:textId="1841B2AF" w:rsidR="00AB22A5" w:rsidRDefault="00AB22A5" w:rsidP="00AB22A5">
      <w:pPr>
        <w:pStyle w:val="TOCHeading"/>
      </w:pPr>
      <w:bookmarkStart w:id="129" w:name="Chapter4"/>
      <w:r>
        <w:t xml:space="preserve">Table of Contents: </w:t>
      </w:r>
    </w:p>
    <w:p w14:paraId="7C53664E" w14:textId="4EA33E20" w:rsidR="0096460F" w:rsidRDefault="00AB22A5">
      <w:pPr>
        <w:pStyle w:val="TOC2"/>
        <w:rPr>
          <w:rFonts w:asciiTheme="minorHAnsi" w:eastAsiaTheme="minorEastAsia" w:hAnsiTheme="minorHAnsi"/>
          <w:kern w:val="2"/>
          <w:sz w:val="22"/>
          <w:lang w:eastAsia="en-AU"/>
          <w14:ligatures w14:val="standardContextual"/>
        </w:rPr>
      </w:pPr>
      <w:r>
        <w:fldChar w:fldCharType="begin"/>
      </w:r>
      <w:r>
        <w:instrText xml:space="preserve"> TOC \o "1-3" \z  \B Chapter4</w:instrText>
      </w:r>
      <w:r>
        <w:fldChar w:fldCharType="separate"/>
      </w:r>
      <w:r w:rsidR="0096460F">
        <w:t>Outline of chapter</w:t>
      </w:r>
      <w:r w:rsidR="0096460F">
        <w:rPr>
          <w:webHidden/>
        </w:rPr>
        <w:tab/>
      </w:r>
      <w:r w:rsidR="0096460F">
        <w:rPr>
          <w:webHidden/>
        </w:rPr>
        <w:fldChar w:fldCharType="begin"/>
      </w:r>
      <w:r w:rsidR="0096460F">
        <w:rPr>
          <w:webHidden/>
        </w:rPr>
        <w:instrText xml:space="preserve"> PAGEREF _Toc185502994 \h </w:instrText>
      </w:r>
      <w:r w:rsidR="0096460F">
        <w:rPr>
          <w:webHidden/>
        </w:rPr>
      </w:r>
      <w:r w:rsidR="0096460F">
        <w:rPr>
          <w:webHidden/>
        </w:rPr>
        <w:fldChar w:fldCharType="separate"/>
      </w:r>
      <w:r w:rsidR="009D6D0D">
        <w:rPr>
          <w:webHidden/>
        </w:rPr>
        <w:t>63</w:t>
      </w:r>
      <w:r w:rsidR="0096460F">
        <w:rPr>
          <w:webHidden/>
        </w:rPr>
        <w:fldChar w:fldCharType="end"/>
      </w:r>
    </w:p>
    <w:p w14:paraId="2688AF8E" w14:textId="1472E058" w:rsidR="0096460F" w:rsidRDefault="0096460F">
      <w:pPr>
        <w:pStyle w:val="TOC2"/>
        <w:rPr>
          <w:rFonts w:asciiTheme="minorHAnsi" w:eastAsiaTheme="minorEastAsia" w:hAnsiTheme="minorHAnsi"/>
          <w:kern w:val="2"/>
          <w:sz w:val="22"/>
          <w:lang w:eastAsia="en-AU"/>
          <w14:ligatures w14:val="standardContextual"/>
        </w:rPr>
      </w:pPr>
      <w:r>
        <w:t>Detailed explanation of new law</w:t>
      </w:r>
      <w:r>
        <w:rPr>
          <w:webHidden/>
        </w:rPr>
        <w:tab/>
      </w:r>
      <w:r>
        <w:rPr>
          <w:webHidden/>
        </w:rPr>
        <w:fldChar w:fldCharType="begin"/>
      </w:r>
      <w:r>
        <w:rPr>
          <w:webHidden/>
        </w:rPr>
        <w:instrText xml:space="preserve"> PAGEREF _Toc185502995 \h </w:instrText>
      </w:r>
      <w:r>
        <w:rPr>
          <w:webHidden/>
        </w:rPr>
      </w:r>
      <w:r>
        <w:rPr>
          <w:webHidden/>
        </w:rPr>
        <w:fldChar w:fldCharType="separate"/>
      </w:r>
      <w:r w:rsidR="009D6D0D">
        <w:rPr>
          <w:webHidden/>
        </w:rPr>
        <w:t>63</w:t>
      </w:r>
      <w:r>
        <w:rPr>
          <w:webHidden/>
        </w:rPr>
        <w:fldChar w:fldCharType="end"/>
      </w:r>
    </w:p>
    <w:p w14:paraId="64C39FBE" w14:textId="4AE885A5"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Adjusted Covered Taxes</w:t>
      </w:r>
      <w:r>
        <w:rPr>
          <w:noProof/>
          <w:webHidden/>
        </w:rPr>
        <w:tab/>
      </w:r>
      <w:r>
        <w:rPr>
          <w:noProof/>
          <w:webHidden/>
        </w:rPr>
        <w:fldChar w:fldCharType="begin"/>
      </w:r>
      <w:r>
        <w:rPr>
          <w:noProof/>
          <w:webHidden/>
        </w:rPr>
        <w:instrText xml:space="preserve"> PAGEREF _Toc185502996 \h </w:instrText>
      </w:r>
      <w:r>
        <w:rPr>
          <w:noProof/>
          <w:webHidden/>
        </w:rPr>
      </w:r>
      <w:r>
        <w:rPr>
          <w:noProof/>
          <w:webHidden/>
        </w:rPr>
        <w:fldChar w:fldCharType="separate"/>
      </w:r>
      <w:r w:rsidR="009D6D0D">
        <w:rPr>
          <w:noProof/>
          <w:webHidden/>
        </w:rPr>
        <w:t>68</w:t>
      </w:r>
      <w:r>
        <w:rPr>
          <w:noProof/>
          <w:webHidden/>
        </w:rPr>
        <w:fldChar w:fldCharType="end"/>
      </w:r>
    </w:p>
    <w:p w14:paraId="3FD42EF7" w14:textId="3F95D326"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Allocation of Covered Taxes</w:t>
      </w:r>
      <w:r>
        <w:rPr>
          <w:noProof/>
          <w:webHidden/>
        </w:rPr>
        <w:tab/>
      </w:r>
      <w:r>
        <w:rPr>
          <w:noProof/>
          <w:webHidden/>
        </w:rPr>
        <w:fldChar w:fldCharType="begin"/>
      </w:r>
      <w:r>
        <w:rPr>
          <w:noProof/>
          <w:webHidden/>
        </w:rPr>
        <w:instrText xml:space="preserve"> PAGEREF _Toc185502997 \h </w:instrText>
      </w:r>
      <w:r>
        <w:rPr>
          <w:noProof/>
          <w:webHidden/>
        </w:rPr>
      </w:r>
      <w:r>
        <w:rPr>
          <w:noProof/>
          <w:webHidden/>
        </w:rPr>
        <w:fldChar w:fldCharType="separate"/>
      </w:r>
      <w:r w:rsidR="009D6D0D">
        <w:rPr>
          <w:noProof/>
          <w:webHidden/>
        </w:rPr>
        <w:t>77</w:t>
      </w:r>
      <w:r>
        <w:rPr>
          <w:noProof/>
          <w:webHidden/>
        </w:rPr>
        <w:fldChar w:fldCharType="end"/>
      </w:r>
    </w:p>
    <w:p w14:paraId="4A1A85A2" w14:textId="298E82DD"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lang w:eastAsia="en-AU"/>
        </w:rPr>
        <w:t>Mechanism to address temporary differences</w:t>
      </w:r>
      <w:r>
        <w:rPr>
          <w:noProof/>
          <w:webHidden/>
        </w:rPr>
        <w:tab/>
      </w:r>
      <w:r>
        <w:rPr>
          <w:noProof/>
          <w:webHidden/>
        </w:rPr>
        <w:fldChar w:fldCharType="begin"/>
      </w:r>
      <w:r>
        <w:rPr>
          <w:noProof/>
          <w:webHidden/>
        </w:rPr>
        <w:instrText xml:space="preserve"> PAGEREF _Toc185502998 \h </w:instrText>
      </w:r>
      <w:r>
        <w:rPr>
          <w:noProof/>
          <w:webHidden/>
        </w:rPr>
      </w:r>
      <w:r>
        <w:rPr>
          <w:noProof/>
          <w:webHidden/>
        </w:rPr>
        <w:fldChar w:fldCharType="separate"/>
      </w:r>
      <w:r w:rsidR="009D6D0D">
        <w:rPr>
          <w:noProof/>
          <w:webHidden/>
        </w:rPr>
        <w:t>86</w:t>
      </w:r>
      <w:r>
        <w:rPr>
          <w:noProof/>
          <w:webHidden/>
        </w:rPr>
        <w:fldChar w:fldCharType="end"/>
      </w:r>
    </w:p>
    <w:p w14:paraId="768571C3" w14:textId="1F146E19"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Total Deferred Tax Adjustment Amount</w:t>
      </w:r>
      <w:r>
        <w:rPr>
          <w:noProof/>
          <w:webHidden/>
        </w:rPr>
        <w:tab/>
      </w:r>
      <w:r>
        <w:rPr>
          <w:noProof/>
          <w:webHidden/>
        </w:rPr>
        <w:fldChar w:fldCharType="begin"/>
      </w:r>
      <w:r>
        <w:rPr>
          <w:noProof/>
          <w:webHidden/>
        </w:rPr>
        <w:instrText xml:space="preserve"> PAGEREF _Toc185502999 \h </w:instrText>
      </w:r>
      <w:r>
        <w:rPr>
          <w:noProof/>
          <w:webHidden/>
        </w:rPr>
      </w:r>
      <w:r>
        <w:rPr>
          <w:noProof/>
          <w:webHidden/>
        </w:rPr>
        <w:fldChar w:fldCharType="separate"/>
      </w:r>
      <w:r w:rsidR="009D6D0D">
        <w:rPr>
          <w:noProof/>
          <w:webHidden/>
        </w:rPr>
        <w:t>87</w:t>
      </w:r>
      <w:r>
        <w:rPr>
          <w:noProof/>
          <w:webHidden/>
        </w:rPr>
        <w:fldChar w:fldCharType="end"/>
      </w:r>
    </w:p>
    <w:p w14:paraId="786A44D7" w14:textId="70843964"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Post-filing adjustments and tax rate changes</w:t>
      </w:r>
      <w:r>
        <w:rPr>
          <w:noProof/>
          <w:webHidden/>
        </w:rPr>
        <w:tab/>
      </w:r>
      <w:r>
        <w:rPr>
          <w:noProof/>
          <w:webHidden/>
        </w:rPr>
        <w:fldChar w:fldCharType="begin"/>
      </w:r>
      <w:r>
        <w:rPr>
          <w:noProof/>
          <w:webHidden/>
        </w:rPr>
        <w:instrText xml:space="preserve"> PAGEREF _Toc185503000 \h </w:instrText>
      </w:r>
      <w:r>
        <w:rPr>
          <w:noProof/>
          <w:webHidden/>
        </w:rPr>
      </w:r>
      <w:r>
        <w:rPr>
          <w:noProof/>
          <w:webHidden/>
        </w:rPr>
        <w:fldChar w:fldCharType="separate"/>
      </w:r>
      <w:r w:rsidR="009D6D0D">
        <w:rPr>
          <w:noProof/>
          <w:webHidden/>
        </w:rPr>
        <w:t>104</w:t>
      </w:r>
      <w:r>
        <w:rPr>
          <w:noProof/>
          <w:webHidden/>
        </w:rPr>
        <w:fldChar w:fldCharType="end"/>
      </w:r>
    </w:p>
    <w:p w14:paraId="467024E3" w14:textId="291E4DE7" w:rsidR="00AB22A5" w:rsidRPr="00AB22A5" w:rsidRDefault="00AB22A5" w:rsidP="00AB22A5">
      <w:r>
        <w:fldChar w:fldCharType="end"/>
      </w:r>
    </w:p>
    <w:p w14:paraId="2DC1F749" w14:textId="77777777" w:rsidR="0025163B" w:rsidRPr="00020288" w:rsidRDefault="0025163B" w:rsidP="005D0844">
      <w:pPr>
        <w:pStyle w:val="Heading2"/>
        <w:rPr>
          <w:rFonts w:hint="eastAsia"/>
        </w:rPr>
      </w:pPr>
      <w:bookmarkStart w:id="130" w:name="_Toc183786647"/>
      <w:bookmarkStart w:id="131" w:name="_Toc185502994"/>
      <w:r w:rsidRPr="00020288">
        <w:t xml:space="preserve">Outline </w:t>
      </w:r>
      <w:r w:rsidRPr="005D0844">
        <w:t>of</w:t>
      </w:r>
      <w:r w:rsidRPr="00020288">
        <w:t xml:space="preserve"> chapter</w:t>
      </w:r>
      <w:bookmarkEnd w:id="130"/>
      <w:bookmarkEnd w:id="131"/>
    </w:p>
    <w:p w14:paraId="5A082852" w14:textId="77777777" w:rsidR="005A58FB" w:rsidRPr="00D9691C" w:rsidRDefault="005A58FB" w:rsidP="005A58FB">
      <w:pPr>
        <w:pStyle w:val="Normalparatextwithnumbers"/>
      </w:pPr>
      <w:r>
        <w:t xml:space="preserve">Chapter 4 of the Rules sets out the computation for arriving at adjusted covered taxes, which </w:t>
      </w:r>
      <w:r w:rsidRPr="0086780C">
        <w:t xml:space="preserve">is the amount that is included in the numerator of the ETR calculation. </w:t>
      </w:r>
      <w:r>
        <w:t xml:space="preserve">Chapter 4 refers to various taxes, where a general definition of ‘tax’ is defined in the GloBE Rules as a compulsory unrequited payment to General Government. </w:t>
      </w:r>
      <w:bookmarkStart w:id="132" w:name="_Toc148110489"/>
      <w:r>
        <w:t xml:space="preserve">This definition is based on the OECD’s long-standing definition and is consistent with the definition used by various international organisations. </w:t>
      </w:r>
      <w:r>
        <w:br/>
      </w:r>
      <w:r w:rsidRPr="00194B38">
        <w:rPr>
          <w:rStyle w:val="References"/>
        </w:rPr>
        <w:t>[</w:t>
      </w:r>
      <w:r w:rsidRPr="006D6E11">
        <w:rPr>
          <w:rStyle w:val="References"/>
        </w:rPr>
        <w:t>Chapter 10,</w:t>
      </w:r>
      <w:r w:rsidRPr="00194B38">
        <w:rPr>
          <w:rStyle w:val="References"/>
        </w:rPr>
        <w:t xml:space="preserve"> section 10-</w:t>
      </w:r>
      <w:r>
        <w:rPr>
          <w:rStyle w:val="References"/>
        </w:rPr>
        <w:t>5</w:t>
      </w:r>
      <w:r w:rsidRPr="00194B38">
        <w:rPr>
          <w:rStyle w:val="References"/>
        </w:rPr>
        <w:t xml:space="preserve"> of the </w:t>
      </w:r>
      <w:r>
        <w:rPr>
          <w:rStyle w:val="References"/>
        </w:rPr>
        <w:t>Rules</w:t>
      </w:r>
      <w:r w:rsidRPr="00194B38">
        <w:rPr>
          <w:rStyle w:val="References"/>
        </w:rPr>
        <w:t>]</w:t>
      </w:r>
    </w:p>
    <w:p w14:paraId="52044E46" w14:textId="77777777" w:rsidR="0025163B" w:rsidRPr="00020288" w:rsidRDefault="0025163B" w:rsidP="0025163B">
      <w:pPr>
        <w:pStyle w:val="Heading2"/>
        <w:numPr>
          <w:ilvl w:val="1"/>
          <w:numId w:val="2"/>
        </w:numPr>
        <w:tabs>
          <w:tab w:val="num" w:pos="567"/>
        </w:tabs>
        <w:ind w:left="567" w:hanging="567"/>
        <w:rPr>
          <w:rFonts w:hint="eastAsia"/>
        </w:rPr>
      </w:pPr>
      <w:bookmarkStart w:id="133" w:name="_Toc183786648"/>
      <w:bookmarkStart w:id="134" w:name="_Toc185502995"/>
      <w:bookmarkEnd w:id="132"/>
      <w:r w:rsidRPr="00020288">
        <w:t>Detailed explanation of new law</w:t>
      </w:r>
      <w:bookmarkEnd w:id="133"/>
      <w:bookmarkEnd w:id="134"/>
    </w:p>
    <w:p w14:paraId="64F71075" w14:textId="77777777" w:rsidR="00840DA0" w:rsidRPr="00417158" w:rsidRDefault="00840DA0" w:rsidP="001D5B01">
      <w:pPr>
        <w:pStyle w:val="Heading4"/>
      </w:pPr>
      <w:r w:rsidRPr="00EF7A14">
        <w:t xml:space="preserve">Meaning </w:t>
      </w:r>
      <w:r w:rsidRPr="00417158">
        <w:t xml:space="preserve">of Covered Taxes </w:t>
      </w:r>
    </w:p>
    <w:p w14:paraId="753F4E37" w14:textId="7DF18C7C" w:rsidR="00840DA0" w:rsidRDefault="00840DA0" w:rsidP="00840DA0">
      <w:pPr>
        <w:pStyle w:val="Normalparatextwithnumbers"/>
        <w:numPr>
          <w:ilvl w:val="1"/>
          <w:numId w:val="16"/>
        </w:numPr>
      </w:pPr>
      <w:r>
        <w:t>The term Covered Taxes i</w:t>
      </w:r>
      <w:r w:rsidRPr="00370D31">
        <w:t xml:space="preserve">s broadly defined to include </w:t>
      </w:r>
      <w:r>
        <w:t>t</w:t>
      </w:r>
      <w:r w:rsidRPr="00370D31">
        <w:t xml:space="preserve">axes imposed on a </w:t>
      </w:r>
      <w:r>
        <w:t>Constituent Entity</w:t>
      </w:r>
      <w:r w:rsidRPr="00370D31">
        <w:t>’s income or profits</w:t>
      </w:r>
      <w:r>
        <w:t>,</w:t>
      </w:r>
      <w:r w:rsidRPr="00370D31">
        <w:t xml:space="preserve"> as well as </w:t>
      </w:r>
      <w:r>
        <w:t>t</w:t>
      </w:r>
      <w:r w:rsidRPr="00370D31">
        <w:t xml:space="preserve">axes that are functionally equivalent to such income taxes and </w:t>
      </w:r>
      <w:r>
        <w:t>t</w:t>
      </w:r>
      <w:r w:rsidRPr="00370D31">
        <w:t>axes on retained earnings and corporate equit</w:t>
      </w:r>
      <w:r>
        <w:t>y. The broad definition of Covered Taxes aims to allow for a simplified estimate of net profit, taxes or surcharges imposed on the net income of specific activities and tax on the net income of a Constituent Entity under Pillar One</w:t>
      </w:r>
      <w:r w:rsidR="00E341F5">
        <w:t xml:space="preserve">, see </w:t>
      </w:r>
      <w:r>
        <w:t>paragraph 27 on page 118 of the Consolidated Commentary.</w:t>
      </w:r>
      <w:r w:rsidRPr="00EE0051">
        <w:t xml:space="preserve"> </w:t>
      </w:r>
      <w:r>
        <w:t xml:space="preserve">The definition of Covered Taxes is developed solely for the purposes of the GloBE </w:t>
      </w:r>
      <w:r>
        <w:lastRenderedPageBreak/>
        <w:t xml:space="preserve">Rules and does not have any connection to other similar definitions, for example in model tax conventions. </w:t>
      </w:r>
    </w:p>
    <w:p w14:paraId="18A87B89" w14:textId="0E2FDC92" w:rsidR="00840DA0" w:rsidRPr="003B4A4D" w:rsidRDefault="001252E9" w:rsidP="00840DA0">
      <w:pPr>
        <w:pStyle w:val="Normalparatextwithnumbers"/>
        <w:numPr>
          <w:ilvl w:val="1"/>
          <w:numId w:val="16"/>
        </w:numPr>
        <w:rPr>
          <w:iCs/>
        </w:rPr>
      </w:pPr>
      <w:r>
        <w:t>T</w:t>
      </w:r>
      <w:r w:rsidR="00840DA0">
        <w:t xml:space="preserve">he definition of Covered Taxes includes the following taxes:  </w:t>
      </w:r>
    </w:p>
    <w:p w14:paraId="1297EB72" w14:textId="77777777" w:rsidR="00840DA0" w:rsidRPr="00FD0297" w:rsidRDefault="00840DA0" w:rsidP="00B7652D">
      <w:pPr>
        <w:pStyle w:val="Dotpoint1"/>
        <w:rPr>
          <w:iCs/>
        </w:rPr>
      </w:pPr>
      <w:r>
        <w:t>r</w:t>
      </w:r>
      <w:r w:rsidRPr="00032A9A">
        <w:t xml:space="preserve">ecorded in a </w:t>
      </w:r>
      <w:r>
        <w:t>Constituent Entity’</w:t>
      </w:r>
      <w:r w:rsidRPr="00032A9A">
        <w:t xml:space="preserve">s financial accounts </w:t>
      </w:r>
      <w:r>
        <w:t>that relate to:</w:t>
      </w:r>
    </w:p>
    <w:p w14:paraId="6930427D" w14:textId="77777777" w:rsidR="00840DA0" w:rsidRPr="00FA2BBD" w:rsidRDefault="00840DA0" w:rsidP="007B6495">
      <w:pPr>
        <w:pStyle w:val="dotpoint2"/>
        <w:tabs>
          <w:tab w:val="clear" w:pos="1513"/>
          <w:tab w:val="clear" w:pos="2127"/>
        </w:tabs>
        <w:ind w:left="2127" w:hanging="709"/>
        <w:rPr>
          <w:iCs/>
        </w:rPr>
      </w:pPr>
      <w:r>
        <w:t>its i</w:t>
      </w:r>
      <w:r w:rsidRPr="00032A9A">
        <w:t>ncome</w:t>
      </w:r>
      <w:r>
        <w:t xml:space="preserve"> or </w:t>
      </w:r>
      <w:r w:rsidRPr="00032A9A">
        <w:t xml:space="preserve">profits, </w:t>
      </w:r>
      <w:r>
        <w:t xml:space="preserve">or </w:t>
      </w:r>
    </w:p>
    <w:p w14:paraId="7B739996" w14:textId="77777777" w:rsidR="00840DA0" w:rsidRPr="00AA4D56" w:rsidRDefault="00840DA0" w:rsidP="007B6495">
      <w:pPr>
        <w:pStyle w:val="dotpoint2"/>
        <w:tabs>
          <w:tab w:val="clear" w:pos="1513"/>
          <w:tab w:val="clear" w:pos="2127"/>
        </w:tabs>
        <w:ind w:left="2127" w:hanging="709"/>
        <w:rPr>
          <w:iCs/>
        </w:rPr>
      </w:pPr>
      <w:r w:rsidRPr="00AA4D56">
        <w:t xml:space="preserve">its share of the income or profits of another </w:t>
      </w:r>
      <w:r>
        <w:t>Constituent Entity</w:t>
      </w:r>
      <w:r w:rsidRPr="00AA4D56">
        <w:t xml:space="preserve"> of a Group in which it has an Ownership Interest; </w:t>
      </w:r>
    </w:p>
    <w:p w14:paraId="1CD80A14" w14:textId="77777777" w:rsidR="00840DA0" w:rsidRPr="009942D4" w:rsidRDefault="00840DA0" w:rsidP="00B7652D">
      <w:pPr>
        <w:pStyle w:val="Dotpoint1"/>
      </w:pPr>
      <w:r w:rsidRPr="009942D4">
        <w:t xml:space="preserve">on distributed profits, deemed profit distributions </w:t>
      </w:r>
      <w:r w:rsidRPr="00A86270">
        <w:t xml:space="preserve">and </w:t>
      </w:r>
      <w:r w:rsidRPr="009942D4">
        <w:t>non</w:t>
      </w:r>
      <w:r>
        <w:noBreakHyphen/>
      </w:r>
      <w:r w:rsidRPr="009942D4">
        <w:t>business expenses under an Eligible Distribution Tax System</w:t>
      </w:r>
      <w:r>
        <w:t>;</w:t>
      </w:r>
    </w:p>
    <w:p w14:paraId="27075B0A" w14:textId="77777777" w:rsidR="00840DA0" w:rsidRPr="005C3918" w:rsidRDefault="00840DA0" w:rsidP="00B7652D">
      <w:pPr>
        <w:pStyle w:val="Dotpoint1"/>
      </w:pPr>
      <w:r>
        <w:t>i</w:t>
      </w:r>
      <w:r w:rsidRPr="005C3918">
        <w:t>mposed as an alternative to a generally applicable corporate income tax</w:t>
      </w:r>
      <w:r>
        <w:t>; and</w:t>
      </w:r>
    </w:p>
    <w:p w14:paraId="603C43D5" w14:textId="032CA4BB" w:rsidR="00840DA0" w:rsidRDefault="00840DA0" w:rsidP="00B7652D">
      <w:pPr>
        <w:pStyle w:val="Dotpoint1"/>
      </w:pPr>
      <w:r>
        <w:t>l</w:t>
      </w:r>
      <w:r w:rsidRPr="002F233D">
        <w:t xml:space="preserve">evied </w:t>
      </w:r>
      <w:r>
        <w:t>by reference to</w:t>
      </w:r>
      <w:r w:rsidRPr="002F233D">
        <w:t xml:space="preserve"> retained earnings and corporate equity, including taxes on multiple components based on both income and equity.</w:t>
      </w:r>
      <w:r>
        <w:br/>
      </w:r>
      <w:r w:rsidRPr="009E3820">
        <w:rPr>
          <w:b/>
          <w:bCs/>
          <w:i/>
          <w:iCs/>
        </w:rPr>
        <w:t>[Chapter 4, subsection 4-</w:t>
      </w:r>
      <w:r w:rsidR="00071DEF">
        <w:rPr>
          <w:b/>
          <w:bCs/>
          <w:i/>
          <w:iCs/>
        </w:rPr>
        <w:t>40</w:t>
      </w:r>
      <w:r w:rsidRPr="009E3820">
        <w:rPr>
          <w:b/>
          <w:bCs/>
          <w:i/>
          <w:iCs/>
        </w:rPr>
        <w:t>(1)</w:t>
      </w:r>
      <w:r>
        <w:rPr>
          <w:b/>
          <w:bCs/>
          <w:i/>
          <w:iCs/>
        </w:rPr>
        <w:t xml:space="preserve"> of the Rules</w:t>
      </w:r>
      <w:r w:rsidRPr="009E3820">
        <w:rPr>
          <w:b/>
          <w:bCs/>
          <w:i/>
          <w:iCs/>
        </w:rPr>
        <w:t>]</w:t>
      </w:r>
      <w:r>
        <w:t xml:space="preserve"> </w:t>
      </w:r>
    </w:p>
    <w:p w14:paraId="03031AE0" w14:textId="77777777" w:rsidR="00840DA0" w:rsidRDefault="00840DA0" w:rsidP="00840DA0">
      <w:pPr>
        <w:pStyle w:val="Normalparatextwithnumbers"/>
        <w:numPr>
          <w:ilvl w:val="1"/>
          <w:numId w:val="16"/>
        </w:numPr>
      </w:pPr>
      <w:r>
        <w:t xml:space="preserve">Broadly, any taxes that are of the following nature are excluded from the meaning of Covered Taxes: </w:t>
      </w:r>
    </w:p>
    <w:p w14:paraId="292AA458" w14:textId="77777777" w:rsidR="00840DA0" w:rsidRDefault="00840DA0" w:rsidP="00B7652D">
      <w:pPr>
        <w:pStyle w:val="Dotpoint1"/>
      </w:pPr>
      <w:r w:rsidRPr="00FA1FA0">
        <w:t>Top</w:t>
      </w:r>
      <w:r>
        <w:noBreakHyphen/>
      </w:r>
      <w:r w:rsidRPr="00FA1FA0">
        <w:t>up Tax accrued by a Parent Entity under a Qualified IIR</w:t>
      </w:r>
      <w:r>
        <w:t>;</w:t>
      </w:r>
    </w:p>
    <w:p w14:paraId="63EF9AD0" w14:textId="05B83438" w:rsidR="00840DA0" w:rsidRDefault="00840DA0" w:rsidP="00B7652D">
      <w:pPr>
        <w:pStyle w:val="Dotpoint1"/>
      </w:pPr>
      <w:r w:rsidRPr="00FA1FA0">
        <w:t>Top</w:t>
      </w:r>
      <w:r>
        <w:noBreakHyphen/>
      </w:r>
      <w:r w:rsidRPr="00FA1FA0">
        <w:t xml:space="preserve">up Tax accrued by a Constituent Entity under a </w:t>
      </w:r>
      <w:r w:rsidR="005D7D94">
        <w:t>QDMTT</w:t>
      </w:r>
      <w:r>
        <w:t>;</w:t>
      </w:r>
    </w:p>
    <w:p w14:paraId="7A12FC0B" w14:textId="77777777" w:rsidR="00840DA0" w:rsidRDefault="00840DA0" w:rsidP="00B7652D">
      <w:pPr>
        <w:pStyle w:val="Dotpoint1"/>
      </w:pPr>
      <w:r w:rsidRPr="00FA1FA0">
        <w:t>any Tax under or as a result of the application of a Qualified UTPR</w:t>
      </w:r>
      <w:r>
        <w:t>;</w:t>
      </w:r>
    </w:p>
    <w:p w14:paraId="455C3412" w14:textId="77777777" w:rsidR="00840DA0" w:rsidRDefault="00840DA0" w:rsidP="00B7652D">
      <w:pPr>
        <w:pStyle w:val="Dotpoint1"/>
      </w:pPr>
      <w:r w:rsidRPr="00FA1FA0">
        <w:t>a Disqualified Refundable Imputation Tax;</w:t>
      </w:r>
    </w:p>
    <w:p w14:paraId="7D467CF6" w14:textId="62B85700" w:rsidR="00840DA0" w:rsidRPr="007808B1" w:rsidRDefault="00840DA0" w:rsidP="00B7652D">
      <w:pPr>
        <w:pStyle w:val="Dotpoint1"/>
      </w:pPr>
      <w:r w:rsidRPr="00FA1FA0">
        <w:t>Taxes paid or accrued by an insurance company in respect of returns to policyholders</w:t>
      </w:r>
      <w:r>
        <w:t>.</w:t>
      </w:r>
      <w:r>
        <w:br/>
      </w:r>
      <w:r>
        <w:rPr>
          <w:rStyle w:val="References"/>
        </w:rPr>
        <w:t>[Chapter 4, subsection 4-</w:t>
      </w:r>
      <w:r w:rsidR="00071DEF">
        <w:rPr>
          <w:rStyle w:val="References"/>
        </w:rPr>
        <w:t>40</w:t>
      </w:r>
      <w:r>
        <w:rPr>
          <w:rStyle w:val="References"/>
        </w:rPr>
        <w:t>(2) of the Rules]</w:t>
      </w:r>
    </w:p>
    <w:p w14:paraId="1434F530" w14:textId="27E1746B" w:rsidR="00840DA0" w:rsidRPr="00627CF5" w:rsidRDefault="00840DA0" w:rsidP="00840DA0">
      <w:pPr>
        <w:pStyle w:val="Normalparatextwithnumbers"/>
        <w:numPr>
          <w:ilvl w:val="1"/>
          <w:numId w:val="16"/>
        </w:numPr>
        <w:rPr>
          <w:rStyle w:val="References"/>
          <w:b w:val="0"/>
          <w:bCs w:val="0"/>
          <w:i w:val="0"/>
          <w:iCs w:val="0"/>
        </w:rPr>
      </w:pPr>
      <w:r>
        <w:t>A number of commonly encountered taxes are also not included in the definition of Covered taxes, including consumption taxes, excise and taxes on inputs, digital services taxes, payroll taxes and other employment-based taxes, transaction-based taxes, and property taxes. Although these taxes are excluded from Covered Taxes, they may still be treated as reductions in the GloBE Income or Loss computations.</w:t>
      </w:r>
    </w:p>
    <w:p w14:paraId="4EAEE3D1" w14:textId="2F07C9C7" w:rsidR="00840DA0" w:rsidRDefault="00840DA0" w:rsidP="00840DA0">
      <w:pPr>
        <w:pStyle w:val="Heading5"/>
        <w:numPr>
          <w:ilvl w:val="4"/>
          <w:numId w:val="2"/>
        </w:numPr>
      </w:pPr>
      <w:r>
        <w:t xml:space="preserve">Taxes </w:t>
      </w:r>
      <w:r w:rsidR="00FA5574">
        <w:t xml:space="preserve">captured </w:t>
      </w:r>
      <w:r>
        <w:t xml:space="preserve">in </w:t>
      </w:r>
      <w:r w:rsidR="00FA5574">
        <w:t xml:space="preserve">the definition </w:t>
      </w:r>
      <w:r>
        <w:t>Covered Taxes</w:t>
      </w:r>
    </w:p>
    <w:p w14:paraId="2666974D" w14:textId="77777777" w:rsidR="00840DA0" w:rsidRPr="00816ED6" w:rsidRDefault="00840DA0" w:rsidP="00840DA0">
      <w:pPr>
        <w:pStyle w:val="Heading6"/>
        <w:rPr>
          <w:rFonts w:hint="eastAsia"/>
        </w:rPr>
      </w:pPr>
      <w:r w:rsidRPr="00816ED6">
        <w:t>Income Taxes</w:t>
      </w:r>
    </w:p>
    <w:p w14:paraId="48C73EA9" w14:textId="6F4BFE3E" w:rsidR="00840DA0" w:rsidRDefault="00840DA0" w:rsidP="00840DA0">
      <w:pPr>
        <w:pStyle w:val="Normalparatextwithnumbers"/>
        <w:numPr>
          <w:ilvl w:val="1"/>
          <w:numId w:val="16"/>
        </w:numPr>
      </w:pPr>
      <w:r>
        <w:t xml:space="preserve">Taxes recorded in the financial accounts of a Constituent Entity with respect to its income or profits are Covered Taxes. Income taxes generally refer to taxes levied on a flow of money (or its equivalent) accrued by a taxpayer during a period of time. Such taxes consider the related expenses of generating the taxpayer’s money flow to determine the net wealth increase for the taxpayer </w:t>
      </w:r>
      <w:r>
        <w:lastRenderedPageBreak/>
        <w:t xml:space="preserve">during that period. </w:t>
      </w:r>
      <w:r>
        <w:br/>
      </w:r>
      <w:r w:rsidRPr="00DA3D21">
        <w:rPr>
          <w:b/>
          <w:bCs/>
          <w:i/>
          <w:iCs/>
        </w:rPr>
        <w:t xml:space="preserve">[Chapter 4, </w:t>
      </w:r>
      <w:r>
        <w:rPr>
          <w:b/>
          <w:bCs/>
          <w:i/>
          <w:iCs/>
        </w:rPr>
        <w:t>paragraph</w:t>
      </w:r>
      <w:r w:rsidRPr="00DA3D21">
        <w:rPr>
          <w:b/>
          <w:bCs/>
          <w:i/>
          <w:iCs/>
        </w:rPr>
        <w:t xml:space="preserve"> 4-</w:t>
      </w:r>
      <w:r w:rsidR="00716485">
        <w:rPr>
          <w:b/>
          <w:bCs/>
          <w:i/>
          <w:iCs/>
        </w:rPr>
        <w:t>40</w:t>
      </w:r>
      <w:r w:rsidRPr="00DA3D21">
        <w:rPr>
          <w:b/>
          <w:bCs/>
          <w:i/>
          <w:iCs/>
        </w:rPr>
        <w:t>(1</w:t>
      </w:r>
      <w:r>
        <w:rPr>
          <w:b/>
          <w:bCs/>
          <w:i/>
          <w:iCs/>
        </w:rPr>
        <w:t>)(a</w:t>
      </w:r>
      <w:r w:rsidRPr="00DA3D21">
        <w:rPr>
          <w:b/>
          <w:bCs/>
          <w:i/>
          <w:iCs/>
        </w:rPr>
        <w:t xml:space="preserve">) and </w:t>
      </w:r>
      <w:r>
        <w:rPr>
          <w:b/>
          <w:bCs/>
          <w:i/>
          <w:iCs/>
        </w:rPr>
        <w:t>subsection</w:t>
      </w:r>
      <w:r w:rsidRPr="00DA3D21">
        <w:rPr>
          <w:b/>
          <w:bCs/>
          <w:i/>
          <w:iCs/>
        </w:rPr>
        <w:t xml:space="preserve"> 4-</w:t>
      </w:r>
      <w:r w:rsidR="00716485">
        <w:rPr>
          <w:b/>
          <w:bCs/>
          <w:i/>
          <w:iCs/>
        </w:rPr>
        <w:t>40</w:t>
      </w:r>
      <w:r w:rsidRPr="00DA3D21">
        <w:rPr>
          <w:b/>
          <w:bCs/>
          <w:i/>
          <w:iCs/>
        </w:rPr>
        <w:t>(2)</w:t>
      </w:r>
      <w:r>
        <w:rPr>
          <w:b/>
          <w:bCs/>
          <w:i/>
          <w:iCs/>
        </w:rPr>
        <w:t xml:space="preserve"> </w:t>
      </w:r>
      <w:r w:rsidRPr="00553D89">
        <w:rPr>
          <w:b/>
          <w:bCs/>
          <w:i/>
          <w:iCs/>
        </w:rPr>
        <w:t>of the Rules</w:t>
      </w:r>
      <w:r w:rsidRPr="00DA3D21">
        <w:rPr>
          <w:b/>
          <w:bCs/>
          <w:i/>
          <w:iCs/>
        </w:rPr>
        <w:t>]</w:t>
      </w:r>
      <w:r>
        <w:t xml:space="preserve"> </w:t>
      </w:r>
    </w:p>
    <w:p w14:paraId="1EBBC37F" w14:textId="77777777" w:rsidR="00840DA0" w:rsidRDefault="00840DA0" w:rsidP="00840DA0">
      <w:pPr>
        <w:pStyle w:val="Normalparatextwithnumbers"/>
        <w:numPr>
          <w:ilvl w:val="1"/>
          <w:numId w:val="18"/>
        </w:numPr>
      </w:pPr>
      <w:r w:rsidRPr="00ED7B45">
        <w:t xml:space="preserve">A definition of Covered Taxes that applies to income calculated on a net (rather than gross) basis is in line with the definition of income tax used for financial accounting purposes and therefore it is expected that a </w:t>
      </w:r>
      <w:r>
        <w:t>t</w:t>
      </w:r>
      <w:r w:rsidRPr="00ED7B45">
        <w:t>ax recognised as an income tax for financial accounting purposes should generally qualify as a Covered Tax.</w:t>
      </w:r>
      <w:r>
        <w:t xml:space="preserve"> </w:t>
      </w:r>
      <w:r w:rsidRPr="00E74E62">
        <w:t xml:space="preserve">The definition of Covered Taxes does not include a </w:t>
      </w:r>
      <w:r>
        <w:t>t</w:t>
      </w:r>
      <w:r w:rsidRPr="00E74E62">
        <w:t xml:space="preserve">ax on a gross amount unless </w:t>
      </w:r>
      <w:r>
        <w:t xml:space="preserve">that </w:t>
      </w:r>
      <w:r w:rsidRPr="00167665">
        <w:t>tax</w:t>
      </w:r>
      <w:r w:rsidRPr="00E74E62">
        <w:t xml:space="preserve"> </w:t>
      </w:r>
      <w:r>
        <w:t xml:space="preserve">acts as a substitute to </w:t>
      </w:r>
      <w:r w:rsidRPr="00E74E62">
        <w:t xml:space="preserve">an income </w:t>
      </w:r>
      <w:r>
        <w:t xml:space="preserve">tax.  </w:t>
      </w:r>
    </w:p>
    <w:p w14:paraId="24479A68" w14:textId="4367CC9C" w:rsidR="00840DA0" w:rsidRPr="0034291B" w:rsidRDefault="00840DA0" w:rsidP="00840DA0">
      <w:pPr>
        <w:pStyle w:val="Normalparatextwithnumbers"/>
        <w:numPr>
          <w:ilvl w:val="1"/>
          <w:numId w:val="18"/>
        </w:numPr>
      </w:pPr>
      <w:r>
        <w:t>The definition of Covered Taxes also extends to taxes on income at the point of earning and on subsequent profit distributions.</w:t>
      </w:r>
      <w:r>
        <w:br/>
      </w:r>
      <w:r w:rsidRPr="00411E99">
        <w:rPr>
          <w:b/>
          <w:bCs/>
          <w:i/>
          <w:iCs/>
        </w:rPr>
        <w:t xml:space="preserve">[Chapter 4, </w:t>
      </w:r>
      <w:r>
        <w:rPr>
          <w:b/>
          <w:bCs/>
          <w:i/>
          <w:iCs/>
        </w:rPr>
        <w:t>paragraphs</w:t>
      </w:r>
      <w:r w:rsidRPr="00411E99">
        <w:rPr>
          <w:b/>
          <w:bCs/>
          <w:i/>
          <w:iCs/>
        </w:rPr>
        <w:t xml:space="preserve"> 4-</w:t>
      </w:r>
      <w:r w:rsidR="00716485">
        <w:rPr>
          <w:b/>
          <w:bCs/>
          <w:i/>
          <w:iCs/>
        </w:rPr>
        <w:t>40</w:t>
      </w:r>
      <w:r>
        <w:rPr>
          <w:b/>
          <w:bCs/>
          <w:i/>
          <w:iCs/>
        </w:rPr>
        <w:t>(1)</w:t>
      </w:r>
      <w:r w:rsidRPr="00411E99">
        <w:rPr>
          <w:b/>
          <w:bCs/>
          <w:i/>
          <w:iCs/>
        </w:rPr>
        <w:t>(a</w:t>
      </w:r>
      <w:r>
        <w:rPr>
          <w:b/>
          <w:bCs/>
          <w:i/>
          <w:iCs/>
        </w:rPr>
        <w:t xml:space="preserve">) and </w:t>
      </w:r>
      <w:r w:rsidRPr="00411E99">
        <w:rPr>
          <w:b/>
          <w:bCs/>
          <w:i/>
          <w:iCs/>
        </w:rPr>
        <w:t>(c)</w:t>
      </w:r>
      <w:r>
        <w:rPr>
          <w:b/>
          <w:bCs/>
          <w:i/>
          <w:iCs/>
        </w:rPr>
        <w:t xml:space="preserve"> </w:t>
      </w:r>
      <w:r w:rsidRPr="00553D89">
        <w:rPr>
          <w:b/>
          <w:bCs/>
          <w:i/>
          <w:iCs/>
        </w:rPr>
        <w:t>of the Rules</w:t>
      </w:r>
      <w:r w:rsidRPr="00411E99">
        <w:rPr>
          <w:b/>
          <w:bCs/>
          <w:i/>
          <w:iCs/>
        </w:rPr>
        <w:t xml:space="preserve">] </w:t>
      </w:r>
    </w:p>
    <w:p w14:paraId="69FB5541" w14:textId="77777777" w:rsidR="00840DA0" w:rsidRPr="00FE196E" w:rsidRDefault="00840DA0" w:rsidP="00840DA0">
      <w:pPr>
        <w:pStyle w:val="Heading6"/>
        <w:rPr>
          <w:rFonts w:hint="eastAsia"/>
        </w:rPr>
      </w:pPr>
      <w:r w:rsidRPr="00FE196E">
        <w:t>Ownership Interest and profit distributions</w:t>
      </w:r>
    </w:p>
    <w:p w14:paraId="6A0297C5" w14:textId="6C2FC132" w:rsidR="00840DA0" w:rsidRDefault="00840DA0" w:rsidP="00840DA0">
      <w:pPr>
        <w:pStyle w:val="Normalparatextwithnumbers"/>
        <w:numPr>
          <w:ilvl w:val="1"/>
          <w:numId w:val="16"/>
        </w:numPr>
      </w:pPr>
      <w:r>
        <w:t xml:space="preserve">Covered taxes include </w:t>
      </w:r>
      <w:r w:rsidR="00E9104B">
        <w:t>t</w:t>
      </w:r>
      <w:r>
        <w:t>axes on the income of the Constituent Entity as well as on its share of income of another Constituent Entity in which it owns an Ownership Interest (including direct and indirect interest), including taxes imposed:</w:t>
      </w:r>
    </w:p>
    <w:p w14:paraId="008555C2" w14:textId="77777777" w:rsidR="00840DA0" w:rsidRDefault="00840DA0" w:rsidP="00B7652D">
      <w:pPr>
        <w:pStyle w:val="Dotpoint1"/>
      </w:pPr>
      <w:r>
        <w:t>on the Constituent Entity’s share of undistributed profits from a Tax Transparent Entity such as a partnership;</w:t>
      </w:r>
    </w:p>
    <w:p w14:paraId="1637AA41" w14:textId="77777777" w:rsidR="00840DA0" w:rsidRDefault="00840DA0" w:rsidP="00B7652D">
      <w:pPr>
        <w:pStyle w:val="Dotpoint1"/>
      </w:pPr>
      <w:r>
        <w:t>under a CFC Tax Regime; or</w:t>
      </w:r>
    </w:p>
    <w:p w14:paraId="708B2A9F" w14:textId="6BDE2F09" w:rsidR="00840DA0" w:rsidRPr="00B2255D" w:rsidRDefault="00840DA0" w:rsidP="00B7652D">
      <w:pPr>
        <w:pStyle w:val="Dotpoint1"/>
      </w:pPr>
      <w:r>
        <w:t>on distributions from another Constituent Entity</w:t>
      </w:r>
      <w:r w:rsidR="008B45DA">
        <w:t xml:space="preserve"> (see paragraph 26 on page 117 of the Consolidated Commentary)</w:t>
      </w:r>
      <w:r>
        <w:t xml:space="preserve">.   </w:t>
      </w:r>
    </w:p>
    <w:p w14:paraId="25EF0525" w14:textId="199674C6" w:rsidR="00840DA0" w:rsidRDefault="00840DA0" w:rsidP="00840DA0">
      <w:pPr>
        <w:pStyle w:val="Normalparatextwithnumbers"/>
        <w:numPr>
          <w:ilvl w:val="1"/>
          <w:numId w:val="18"/>
        </w:numPr>
      </w:pPr>
      <w:r>
        <w:t>The amount of such taxes allocated in respect of an Ownership Interest in another Constituent Entity are set out in Part 4-3 of the Rules</w:t>
      </w:r>
      <w:r w:rsidR="0011491C">
        <w:t xml:space="preserve">, explained from paragraph </w:t>
      </w:r>
      <w:r w:rsidR="00F13D5A">
        <w:fldChar w:fldCharType="begin"/>
      </w:r>
      <w:r w:rsidR="00F13D5A">
        <w:instrText xml:space="preserve"> REF _Ref183771472 \r \h </w:instrText>
      </w:r>
      <w:r w:rsidR="00F13D5A">
        <w:fldChar w:fldCharType="separate"/>
      </w:r>
      <w:r w:rsidR="009D6D0D">
        <w:t>4.81</w:t>
      </w:r>
      <w:r w:rsidR="00F13D5A">
        <w:fldChar w:fldCharType="end"/>
      </w:r>
      <w:r>
        <w:t>.</w:t>
      </w:r>
    </w:p>
    <w:p w14:paraId="5DA5238C" w14:textId="77777777" w:rsidR="00840DA0" w:rsidRDefault="00840DA0" w:rsidP="00840DA0">
      <w:pPr>
        <w:pStyle w:val="Heading6"/>
        <w:rPr>
          <w:rFonts w:hint="eastAsia"/>
        </w:rPr>
      </w:pPr>
      <w:r>
        <w:t xml:space="preserve">Taxes imposed under an Eligible Distribution Tax System </w:t>
      </w:r>
    </w:p>
    <w:p w14:paraId="23519A29" w14:textId="77777777" w:rsidR="00840DA0" w:rsidRDefault="00840DA0" w:rsidP="00840DA0">
      <w:pPr>
        <w:pStyle w:val="Normalparatextwithnumbers"/>
        <w:numPr>
          <w:ilvl w:val="1"/>
          <w:numId w:val="16"/>
        </w:numPr>
      </w:pPr>
      <w:r>
        <w:t xml:space="preserve">An Eligible Distribution Tax System is a corporate income tax system that was in force on or before 1 July 2021 and that: </w:t>
      </w:r>
    </w:p>
    <w:p w14:paraId="0C93EABE" w14:textId="77777777" w:rsidR="00840DA0" w:rsidRDefault="00840DA0" w:rsidP="00B7652D">
      <w:pPr>
        <w:pStyle w:val="Dotpoint1"/>
      </w:pPr>
      <w:r>
        <w:t>imposes tax at a rate equal to or exceeding 15 per cent; and</w:t>
      </w:r>
    </w:p>
    <w:p w14:paraId="21A13851" w14:textId="77777777" w:rsidR="00840DA0" w:rsidRDefault="00840DA0" w:rsidP="00B7652D">
      <w:pPr>
        <w:pStyle w:val="Dotpoint1"/>
      </w:pPr>
      <w:r>
        <w:t>imposes an income tax on the corporation</w:t>
      </w:r>
      <w:r w:rsidRPr="004F069A">
        <w:t xml:space="preserve"> with the tax generally payable only when</w:t>
      </w:r>
      <w:r>
        <w:t>:</w:t>
      </w:r>
    </w:p>
    <w:p w14:paraId="40FA453B" w14:textId="77777777" w:rsidR="00840DA0" w:rsidRDefault="00840DA0" w:rsidP="007B6495">
      <w:pPr>
        <w:pStyle w:val="dotpoint2"/>
        <w:tabs>
          <w:tab w:val="clear" w:pos="1513"/>
          <w:tab w:val="clear" w:pos="2127"/>
        </w:tabs>
        <w:ind w:left="2127" w:hanging="709"/>
      </w:pPr>
      <w:r>
        <w:t>it distributes profits to shareholders;</w:t>
      </w:r>
    </w:p>
    <w:p w14:paraId="5C3EBF0D" w14:textId="77777777" w:rsidR="00840DA0" w:rsidRDefault="00840DA0" w:rsidP="007B6495">
      <w:pPr>
        <w:pStyle w:val="dotpoint2"/>
        <w:tabs>
          <w:tab w:val="clear" w:pos="1513"/>
          <w:tab w:val="clear" w:pos="2127"/>
        </w:tabs>
        <w:ind w:left="2127" w:hanging="709"/>
      </w:pPr>
      <w:r>
        <w:t xml:space="preserve">is deemed to distribute profits; or </w:t>
      </w:r>
    </w:p>
    <w:p w14:paraId="6E342EA9" w14:textId="54E86F80" w:rsidR="00840DA0" w:rsidRPr="001B32F9" w:rsidRDefault="00840DA0" w:rsidP="007B6495">
      <w:pPr>
        <w:pStyle w:val="dotpoint2"/>
        <w:tabs>
          <w:tab w:val="clear" w:pos="1513"/>
          <w:tab w:val="clear" w:pos="2127"/>
        </w:tabs>
        <w:ind w:left="2127" w:hanging="709"/>
      </w:pPr>
      <w:r>
        <w:t xml:space="preserve">incurs specific non-business expenses. </w:t>
      </w:r>
      <w:r>
        <w:br/>
      </w:r>
      <w:r w:rsidRPr="002D3439">
        <w:rPr>
          <w:b/>
          <w:bCs/>
          <w:i/>
          <w:iCs/>
        </w:rPr>
        <w:t xml:space="preserve">[Chapter 4, </w:t>
      </w:r>
      <w:r>
        <w:rPr>
          <w:b/>
          <w:bCs/>
          <w:i/>
          <w:iCs/>
        </w:rPr>
        <w:t>paragraph</w:t>
      </w:r>
      <w:r w:rsidRPr="008B04DA">
        <w:rPr>
          <w:b/>
          <w:bCs/>
          <w:i/>
          <w:iCs/>
        </w:rPr>
        <w:t xml:space="preserve"> 4-</w:t>
      </w:r>
      <w:r w:rsidR="00716485">
        <w:rPr>
          <w:b/>
          <w:bCs/>
          <w:i/>
          <w:iCs/>
        </w:rPr>
        <w:t>40</w:t>
      </w:r>
      <w:r w:rsidRPr="008B04DA">
        <w:rPr>
          <w:b/>
          <w:bCs/>
          <w:i/>
          <w:iCs/>
        </w:rPr>
        <w:t>(1)(b</w:t>
      </w:r>
      <w:r>
        <w:rPr>
          <w:b/>
          <w:bCs/>
          <w:i/>
          <w:iCs/>
        </w:rPr>
        <w:t>)</w:t>
      </w:r>
      <w:r w:rsidRPr="008B04DA">
        <w:rPr>
          <w:b/>
          <w:bCs/>
          <w:i/>
          <w:iCs/>
        </w:rPr>
        <w:t xml:space="preserve"> of the Rules]</w:t>
      </w:r>
    </w:p>
    <w:p w14:paraId="62EEFA89" w14:textId="77777777" w:rsidR="00840DA0" w:rsidRDefault="00840DA0" w:rsidP="00840DA0">
      <w:pPr>
        <w:pStyle w:val="Heading6"/>
        <w:rPr>
          <w:rFonts w:hint="eastAsia"/>
        </w:rPr>
      </w:pPr>
      <w:r w:rsidRPr="00D710E5">
        <w:lastRenderedPageBreak/>
        <w:t>Taxes</w:t>
      </w:r>
      <w:r w:rsidRPr="008D472A">
        <w:t xml:space="preserve"> imposed </w:t>
      </w:r>
      <w:r>
        <w:t>in lieu of a generally applicable corporate income tax</w:t>
      </w:r>
    </w:p>
    <w:p w14:paraId="050E3E67" w14:textId="77777777" w:rsidR="00840DA0" w:rsidRDefault="00840DA0" w:rsidP="00840DA0">
      <w:pPr>
        <w:pStyle w:val="Normalparatextwithnumbers"/>
        <w:numPr>
          <w:ilvl w:val="1"/>
          <w:numId w:val="16"/>
        </w:numPr>
      </w:pPr>
      <w:r>
        <w:t>Covered Taxes captures ta</w:t>
      </w:r>
      <w:r w:rsidRPr="00B06FC7">
        <w:t xml:space="preserve">xes imposed </w:t>
      </w:r>
      <w:r>
        <w:t>in lieu of</w:t>
      </w:r>
      <w:r w:rsidRPr="00B06FC7">
        <w:t xml:space="preserve"> a generally applicable </w:t>
      </w:r>
      <w:r>
        <w:t xml:space="preserve">corporate income tax. </w:t>
      </w:r>
      <w:r w:rsidRPr="00EB5F20">
        <w:t xml:space="preserve">A generally applicable </w:t>
      </w:r>
      <w:r>
        <w:t>corporate income tax</w:t>
      </w:r>
      <w:r w:rsidRPr="00EB5F20">
        <w:t xml:space="preserve"> could be </w:t>
      </w:r>
      <w:r>
        <w:t xml:space="preserve">tax </w:t>
      </w:r>
      <w:r w:rsidRPr="00EB5F20">
        <w:t>that is applicable to</w:t>
      </w:r>
      <w:r>
        <w:t>:</w:t>
      </w:r>
    </w:p>
    <w:p w14:paraId="0E7CA6B9" w14:textId="77777777" w:rsidR="00840DA0" w:rsidRDefault="00840DA0" w:rsidP="00B7652D">
      <w:pPr>
        <w:pStyle w:val="Dotpoint1"/>
      </w:pPr>
      <w:r w:rsidRPr="00EB5F20">
        <w:t>all resident corporations</w:t>
      </w:r>
      <w:r>
        <w:t xml:space="preserve">; </w:t>
      </w:r>
      <w:r w:rsidRPr="00EB5F20">
        <w:t xml:space="preserve">or </w:t>
      </w:r>
    </w:p>
    <w:p w14:paraId="5F14CE9D" w14:textId="77777777" w:rsidR="00840DA0" w:rsidRDefault="00840DA0" w:rsidP="00B7652D">
      <w:pPr>
        <w:pStyle w:val="Dotpoint1"/>
      </w:pPr>
      <w:r w:rsidRPr="00EB5F20">
        <w:t>to resident corporations that are</w:t>
      </w:r>
      <w:r>
        <w:t xml:space="preserve"> members of </w:t>
      </w:r>
      <w:r w:rsidRPr="00EB5F20">
        <w:t xml:space="preserve">a large </w:t>
      </w:r>
      <w:r>
        <w:t>MNE G</w:t>
      </w:r>
      <w:r w:rsidRPr="00EB5F20">
        <w:t xml:space="preserve">roup. </w:t>
      </w:r>
    </w:p>
    <w:p w14:paraId="3C473AD9" w14:textId="77777777" w:rsidR="00840DA0" w:rsidRPr="002D3439" w:rsidRDefault="00840DA0" w:rsidP="00840DA0">
      <w:pPr>
        <w:pStyle w:val="Normalparatextwithnumbers"/>
        <w:numPr>
          <w:ilvl w:val="1"/>
          <w:numId w:val="16"/>
        </w:numPr>
      </w:pPr>
      <w:r w:rsidRPr="002D3439">
        <w:t xml:space="preserve">A generally applicable </w:t>
      </w:r>
      <w:r>
        <w:t>corporate income tax</w:t>
      </w:r>
      <w:r w:rsidRPr="002D3439">
        <w:t xml:space="preserve"> could also be an income tax that, while imposed on a corporation, applies to other taxable entities (such as individuals). If a tax does not fit the description of a generally applicable income tax but operates as a substitute for such taxes, then it meets the ‘in lieu of’ test.</w:t>
      </w:r>
    </w:p>
    <w:p w14:paraId="13A95A32" w14:textId="77777777" w:rsidR="00840DA0" w:rsidRPr="002D3439" w:rsidRDefault="00840DA0" w:rsidP="00840DA0">
      <w:pPr>
        <w:pStyle w:val="Normalparatextwithnumbers"/>
        <w:numPr>
          <w:ilvl w:val="1"/>
          <w:numId w:val="16"/>
        </w:numPr>
      </w:pPr>
      <w:r w:rsidRPr="002D3439">
        <w:t xml:space="preserve">This test captures </w:t>
      </w:r>
      <w:r>
        <w:t>various</w:t>
      </w:r>
      <w:r w:rsidRPr="002D3439">
        <w:t xml:space="preserve"> forms of taxation that serve as a functional equivalent of a generally applicable income tax across different jurisdictions. The test is used in some jurisdictions in the context of their foreign tax credit rules. Taxes resulting from the Subject to Tax Rule are also captured by the test. </w:t>
      </w:r>
    </w:p>
    <w:p w14:paraId="62F5EEF4" w14:textId="77777777" w:rsidR="00840DA0" w:rsidRPr="002D3439" w:rsidRDefault="00840DA0" w:rsidP="00840DA0">
      <w:pPr>
        <w:pStyle w:val="Normalparatextwithnumbers"/>
        <w:numPr>
          <w:ilvl w:val="1"/>
          <w:numId w:val="16"/>
        </w:numPr>
      </w:pPr>
      <w:r w:rsidRPr="002D3439">
        <w:t xml:space="preserve">The test generally includes the following types of taxes if such taxes are imposed as a substitute to a generally applicable income tax: </w:t>
      </w:r>
    </w:p>
    <w:p w14:paraId="0FDCE8BA" w14:textId="77777777" w:rsidR="00840DA0" w:rsidRPr="002D3439" w:rsidRDefault="00840DA0" w:rsidP="00B7652D">
      <w:pPr>
        <w:pStyle w:val="Dotpoint1"/>
      </w:pPr>
      <w:r w:rsidRPr="002D3439">
        <w:t>withholding taxes on interest, rents and royalties</w:t>
      </w:r>
      <w:r>
        <w:t xml:space="preserve">; </w:t>
      </w:r>
      <w:r w:rsidRPr="002D3439">
        <w:t xml:space="preserve"> </w:t>
      </w:r>
    </w:p>
    <w:p w14:paraId="28D8D222" w14:textId="77777777" w:rsidR="00840DA0" w:rsidRPr="002D3439" w:rsidRDefault="00840DA0" w:rsidP="00B7652D">
      <w:pPr>
        <w:pStyle w:val="Dotpoint1"/>
      </w:pPr>
      <w:r w:rsidRPr="002D3439">
        <w:t xml:space="preserve">other taxes on categories of gross payments (e.g. insurance premiums). </w:t>
      </w:r>
    </w:p>
    <w:p w14:paraId="21021C6C" w14:textId="0F58AE7A" w:rsidR="00840DA0" w:rsidRPr="002D3439" w:rsidRDefault="00840DA0" w:rsidP="00840DA0">
      <w:pPr>
        <w:pStyle w:val="Normalparatextwithnumbers"/>
        <w:numPr>
          <w:ilvl w:val="1"/>
          <w:numId w:val="16"/>
        </w:numPr>
        <w:spacing w:before="0" w:after="0"/>
      </w:pPr>
      <w:r w:rsidRPr="002D3439">
        <w:t>The concept of ‘in lieu of’ also includes taxes imposed on an alternative basis</w:t>
      </w:r>
      <w:r w:rsidR="00C403CD">
        <w:t xml:space="preserve">, </w:t>
      </w:r>
      <w:r w:rsidRPr="002D3439">
        <w:t>other than net income</w:t>
      </w:r>
      <w:r w:rsidR="00C403CD">
        <w:t>,</w:t>
      </w:r>
      <w:r w:rsidRPr="002D3439">
        <w:t xml:space="preserve"> such as taxes based on units produced or commercial surface area, which are substitutes for a generally applicable income tax. However, a tax on an alternative basis that is in addition to, and not a substitute for, a generally applicable income tax would not be considered a Covered Tax under the ‘in lieu of’ test.</w:t>
      </w:r>
    </w:p>
    <w:p w14:paraId="69092C4E" w14:textId="345449F4" w:rsidR="00840DA0" w:rsidRDefault="00840DA0" w:rsidP="00840DA0">
      <w:pPr>
        <w:pStyle w:val="Normalparatextwithnumbers"/>
        <w:numPr>
          <w:ilvl w:val="0"/>
          <w:numId w:val="0"/>
        </w:numPr>
        <w:spacing w:before="0" w:after="0"/>
        <w:ind w:left="709"/>
        <w:rPr>
          <w:rStyle w:val="References"/>
        </w:rPr>
      </w:pPr>
      <w:r>
        <w:rPr>
          <w:rStyle w:val="References"/>
        </w:rPr>
        <w:t>[Chapter 4, paragraph 4-</w:t>
      </w:r>
      <w:r w:rsidR="00BC1395">
        <w:rPr>
          <w:rStyle w:val="References"/>
        </w:rPr>
        <w:t>40</w:t>
      </w:r>
      <w:r>
        <w:rPr>
          <w:rStyle w:val="References"/>
        </w:rPr>
        <w:t>(1)(c) of the Rules]</w:t>
      </w:r>
    </w:p>
    <w:p w14:paraId="1FF59AB5" w14:textId="77777777" w:rsidR="00840DA0" w:rsidRDefault="00840DA0" w:rsidP="00840DA0">
      <w:pPr>
        <w:pStyle w:val="Heading6"/>
        <w:rPr>
          <w:rFonts w:hint="eastAsia"/>
        </w:rPr>
      </w:pPr>
      <w:r w:rsidRPr="001E784C">
        <w:t>Taxes levied by reference to retained earnings and corporate equity</w:t>
      </w:r>
      <w:r>
        <w:t xml:space="preserve"> </w:t>
      </w:r>
    </w:p>
    <w:p w14:paraId="2C3CDA96" w14:textId="77777777" w:rsidR="00840DA0" w:rsidRDefault="00840DA0" w:rsidP="00840DA0">
      <w:pPr>
        <w:pStyle w:val="Normalparatextwithnumbers"/>
        <w:numPr>
          <w:ilvl w:val="1"/>
          <w:numId w:val="16"/>
        </w:numPr>
      </w:pPr>
      <w:r>
        <w:t xml:space="preserve">The equity or capital of a corporation comprises retained earnings (the undistributed portion of after-tax income) and shareholder contributions. Taxes on corporate equity or net equity may supplement a corporate income tax acting as an integral part of the overall system of corporate taxation and are therefore included as Covered Taxes. Other types of taxes that are included are taxes that: </w:t>
      </w:r>
    </w:p>
    <w:p w14:paraId="359A7540" w14:textId="77777777" w:rsidR="00840DA0" w:rsidRDefault="00840DA0" w:rsidP="00B7652D">
      <w:pPr>
        <w:pStyle w:val="Dotpoint1"/>
      </w:pPr>
      <w:r>
        <w:t xml:space="preserve">have multiple components to the base and all the components of the tax base fall within the definition of income or profit covered by the Rules; or  </w:t>
      </w:r>
    </w:p>
    <w:p w14:paraId="0190DA0B" w14:textId="7CA9186E" w:rsidR="00840DA0" w:rsidRDefault="00840DA0" w:rsidP="00B7652D">
      <w:pPr>
        <w:pStyle w:val="Dotpoint1"/>
      </w:pPr>
      <w:r>
        <w:t xml:space="preserve">are levied in respect of a corporation’s activities in a jurisdiction and consist of an income and a non-income element if they are </w:t>
      </w:r>
      <w:r>
        <w:lastRenderedPageBreak/>
        <w:t>predominately a tax on an entity’s income and it would be administratively burdensome to split the tax into separate income and non</w:t>
      </w:r>
      <w:r>
        <w:noBreakHyphen/>
        <w:t>income components.</w:t>
      </w:r>
      <w:r>
        <w:br/>
      </w:r>
      <w:r w:rsidRPr="00A545F6">
        <w:rPr>
          <w:b/>
          <w:bCs/>
          <w:i/>
          <w:iCs/>
        </w:rPr>
        <w:t>[Chapter 4, paragraph 4-</w:t>
      </w:r>
      <w:r w:rsidR="00BC1395">
        <w:rPr>
          <w:b/>
          <w:bCs/>
          <w:i/>
          <w:iCs/>
        </w:rPr>
        <w:t>40</w:t>
      </w:r>
      <w:r w:rsidRPr="00A545F6">
        <w:rPr>
          <w:b/>
          <w:bCs/>
          <w:i/>
          <w:iCs/>
        </w:rPr>
        <w:t>(1)(d) of the Rules]</w:t>
      </w:r>
    </w:p>
    <w:p w14:paraId="2D09778B" w14:textId="77777777" w:rsidR="00840DA0" w:rsidRDefault="00840DA0" w:rsidP="00840DA0">
      <w:pPr>
        <w:pStyle w:val="Heading5"/>
        <w:numPr>
          <w:ilvl w:val="4"/>
          <w:numId w:val="2"/>
        </w:numPr>
      </w:pPr>
      <w:r>
        <w:t xml:space="preserve">Taxes excluded from the definition of Covered Taxes </w:t>
      </w:r>
    </w:p>
    <w:p w14:paraId="5F3BD507" w14:textId="77777777" w:rsidR="00840DA0" w:rsidRDefault="00840DA0" w:rsidP="00840DA0">
      <w:pPr>
        <w:pStyle w:val="Heading6"/>
        <w:rPr>
          <w:rFonts w:hint="eastAsia"/>
        </w:rPr>
      </w:pPr>
      <w:r>
        <w:t>Top-up taxes</w:t>
      </w:r>
    </w:p>
    <w:p w14:paraId="15686877" w14:textId="77777777" w:rsidR="00840DA0" w:rsidRDefault="00840DA0" w:rsidP="00840DA0">
      <w:pPr>
        <w:pStyle w:val="Normalparatextwithnumbers"/>
        <w:numPr>
          <w:ilvl w:val="1"/>
          <w:numId w:val="16"/>
        </w:numPr>
      </w:pPr>
      <w:r w:rsidRPr="00FA07D2">
        <w:t xml:space="preserve">Top-up </w:t>
      </w:r>
      <w:r>
        <w:t>tax</w:t>
      </w:r>
      <w:r w:rsidRPr="00FA07D2">
        <w:t xml:space="preserve">es </w:t>
      </w:r>
      <w:r>
        <w:t>are not</w:t>
      </w:r>
      <w:r w:rsidRPr="00FA07D2">
        <w:t xml:space="preserve"> included in</w:t>
      </w:r>
      <w:r>
        <w:t xml:space="preserve"> the definition of</w:t>
      </w:r>
      <w:r w:rsidRPr="00FA07D2">
        <w:t xml:space="preserve"> Covered Taxes</w:t>
      </w:r>
      <w:r>
        <w:t xml:space="preserve"> because their inclusion </w:t>
      </w:r>
      <w:r w:rsidRPr="00FA07D2">
        <w:t xml:space="preserve">would lead to a circular </w:t>
      </w:r>
      <w:r w:rsidRPr="00A86270">
        <w:t xml:space="preserve">computation </w:t>
      </w:r>
      <w:r w:rsidRPr="00FA07D2">
        <w:t xml:space="preserve">in the </w:t>
      </w:r>
      <w:r>
        <w:t>Fiscal Year</w:t>
      </w:r>
      <w:r w:rsidRPr="00FA07D2">
        <w:t xml:space="preserve"> they aris</w:t>
      </w:r>
      <w:r>
        <w:t xml:space="preserve">e. </w:t>
      </w:r>
      <w:r w:rsidRPr="004A0CF6">
        <w:t xml:space="preserve">Their inclusion in subsequent years would </w:t>
      </w:r>
      <w:r>
        <w:t xml:space="preserve">also </w:t>
      </w:r>
      <w:r w:rsidRPr="004A0CF6">
        <w:t xml:space="preserve">compromise the agreed </w:t>
      </w:r>
      <w:r>
        <w:t>15 per cent minimum rate</w:t>
      </w:r>
      <w:r w:rsidRPr="004A0CF6">
        <w:t xml:space="preserve">, effectively reducing the </w:t>
      </w:r>
      <w:r>
        <w:t>top</w:t>
      </w:r>
      <w:r w:rsidRPr="004A0CF6">
        <w:t xml:space="preserve">-up </w:t>
      </w:r>
      <w:r>
        <w:t>tax</w:t>
      </w:r>
      <w:r w:rsidRPr="004A0CF6">
        <w:t xml:space="preserve"> required for the next year. </w:t>
      </w:r>
    </w:p>
    <w:p w14:paraId="617C6336" w14:textId="77777777" w:rsidR="00840DA0" w:rsidRDefault="00840DA0" w:rsidP="00840DA0">
      <w:pPr>
        <w:pStyle w:val="Normalparatextwithnumbers"/>
        <w:numPr>
          <w:ilvl w:val="1"/>
          <w:numId w:val="16"/>
        </w:numPr>
      </w:pPr>
      <w:r>
        <w:t>Therefore, the following top-</w:t>
      </w:r>
      <w:r w:rsidRPr="004D6012">
        <w:t xml:space="preserve">up </w:t>
      </w:r>
      <w:r>
        <w:t>taxes are excluded from the definition of Covered Taxes:</w:t>
      </w:r>
      <w:r w:rsidRPr="009726A6">
        <w:t xml:space="preserve"> </w:t>
      </w:r>
    </w:p>
    <w:p w14:paraId="7BF7017B" w14:textId="77777777" w:rsidR="00840DA0" w:rsidRDefault="00840DA0" w:rsidP="00B7652D">
      <w:pPr>
        <w:pStyle w:val="Dotpoint1"/>
      </w:pPr>
      <w:r w:rsidRPr="009726A6">
        <w:t xml:space="preserve">accrued by a Parent Entity under a </w:t>
      </w:r>
      <w:r>
        <w:t>Q</w:t>
      </w:r>
      <w:r w:rsidRPr="004D6012">
        <w:t>IIR</w:t>
      </w:r>
      <w:r>
        <w:t>;</w:t>
      </w:r>
    </w:p>
    <w:p w14:paraId="4E00B6FB" w14:textId="77777777" w:rsidR="00840DA0" w:rsidRDefault="00840DA0" w:rsidP="00B7652D">
      <w:pPr>
        <w:pStyle w:val="Dotpoint1"/>
      </w:pPr>
      <w:r w:rsidRPr="008C3F47">
        <w:t>any Tax under</w:t>
      </w:r>
      <w:r>
        <w:t>,</w:t>
      </w:r>
      <w:r w:rsidRPr="008C3F47">
        <w:t xml:space="preserve"> or as a result of</w:t>
      </w:r>
      <w:r>
        <w:t>,</w:t>
      </w:r>
      <w:r w:rsidRPr="008C3F47">
        <w:t xml:space="preserve"> the application of a Qualified UTPR</w:t>
      </w:r>
      <w:r>
        <w:t>; and</w:t>
      </w:r>
    </w:p>
    <w:p w14:paraId="0C789939" w14:textId="0674F523" w:rsidR="00840DA0" w:rsidRPr="009726A6" w:rsidRDefault="00840DA0" w:rsidP="00B7652D">
      <w:pPr>
        <w:pStyle w:val="Dotpoint1"/>
      </w:pPr>
      <w:r>
        <w:t>a top-up</w:t>
      </w:r>
      <w:r w:rsidRPr="00B33BE5">
        <w:t xml:space="preserve"> </w:t>
      </w:r>
      <w:r>
        <w:t>tax</w:t>
      </w:r>
      <w:r w:rsidRPr="00B33BE5">
        <w:t xml:space="preserve"> accrued by a </w:t>
      </w:r>
      <w:r>
        <w:t>Constituent Entity</w:t>
      </w:r>
      <w:r w:rsidRPr="00B33BE5">
        <w:t xml:space="preserve"> under a </w:t>
      </w:r>
      <w:r>
        <w:t xml:space="preserve">QDMTT. </w:t>
      </w:r>
      <w:r>
        <w:br/>
      </w:r>
      <w:r w:rsidRPr="00816ED6">
        <w:rPr>
          <w:b/>
          <w:bCs/>
          <w:i/>
          <w:iCs/>
        </w:rPr>
        <w:t>[Chapter 4, subsection 4-</w:t>
      </w:r>
      <w:r w:rsidR="00BC1395">
        <w:rPr>
          <w:b/>
          <w:bCs/>
          <w:i/>
          <w:iCs/>
        </w:rPr>
        <w:t>40</w:t>
      </w:r>
      <w:r w:rsidRPr="00816ED6">
        <w:rPr>
          <w:b/>
          <w:bCs/>
          <w:i/>
          <w:iCs/>
        </w:rPr>
        <w:t>(2</w:t>
      </w:r>
      <w:r>
        <w:rPr>
          <w:b/>
          <w:bCs/>
          <w:i/>
          <w:iCs/>
        </w:rPr>
        <w:t xml:space="preserve">)(a), (b) and (c) </w:t>
      </w:r>
      <w:r w:rsidRPr="00553D89">
        <w:rPr>
          <w:b/>
          <w:bCs/>
          <w:i/>
          <w:iCs/>
        </w:rPr>
        <w:t>of the Rules</w:t>
      </w:r>
      <w:r w:rsidRPr="00816ED6">
        <w:rPr>
          <w:b/>
          <w:bCs/>
          <w:i/>
          <w:iCs/>
        </w:rPr>
        <w:t>]</w:t>
      </w:r>
    </w:p>
    <w:p w14:paraId="099AD19D" w14:textId="4FECF5BD" w:rsidR="00840DA0" w:rsidRDefault="00840DA0" w:rsidP="00840DA0">
      <w:pPr>
        <w:pStyle w:val="Normalparatextwithnumbers"/>
        <w:numPr>
          <w:ilvl w:val="1"/>
          <w:numId w:val="16"/>
        </w:numPr>
      </w:pPr>
      <w:r>
        <w:t xml:space="preserve">QDMTT taxes remain creditable against top-up tax. </w:t>
      </w:r>
      <w:r w:rsidR="002A23E8">
        <w:t>However, o</w:t>
      </w:r>
      <w:r>
        <w:t>rdinary</w:t>
      </w:r>
      <w:r w:rsidRPr="004A0CF6">
        <w:t xml:space="preserve"> </w:t>
      </w:r>
      <w:r>
        <w:t>d</w:t>
      </w:r>
      <w:r w:rsidRPr="004A0CF6">
        <w:t xml:space="preserve">omestic minimum taxes that </w:t>
      </w:r>
      <w:r>
        <w:t>are not</w:t>
      </w:r>
      <w:r w:rsidRPr="004A0CF6">
        <w:t xml:space="preserve"> </w:t>
      </w:r>
      <w:r w:rsidR="002A23E8">
        <w:t xml:space="preserve">qualified by the OECD may only be </w:t>
      </w:r>
      <w:r w:rsidRPr="004A0CF6">
        <w:t xml:space="preserve">considered Covered Taxes if they </w:t>
      </w:r>
      <w:r w:rsidR="002A23E8">
        <w:t xml:space="preserve">otherwise </w:t>
      </w:r>
      <w:r w:rsidRPr="004A0CF6">
        <w:t>meet the definition</w:t>
      </w:r>
      <w:r>
        <w:t xml:space="preserve"> of Covered Taxes.</w:t>
      </w:r>
      <w:r>
        <w:br/>
      </w:r>
      <w:r w:rsidRPr="00FB0823">
        <w:rPr>
          <w:b/>
          <w:i/>
        </w:rPr>
        <w:t>[Chapter 4, subsection 4-</w:t>
      </w:r>
      <w:r w:rsidR="00BC1395">
        <w:rPr>
          <w:b/>
          <w:i/>
        </w:rPr>
        <w:t>40</w:t>
      </w:r>
      <w:r w:rsidRPr="00FB0823">
        <w:rPr>
          <w:b/>
          <w:i/>
        </w:rPr>
        <w:t xml:space="preserve">(2)(b) </w:t>
      </w:r>
      <w:r w:rsidRPr="00553D89">
        <w:rPr>
          <w:b/>
          <w:bCs/>
          <w:i/>
          <w:iCs/>
        </w:rPr>
        <w:t>of the Rules</w:t>
      </w:r>
      <w:r w:rsidRPr="00FB0823">
        <w:rPr>
          <w:b/>
          <w:i/>
        </w:rPr>
        <w:t>]</w:t>
      </w:r>
    </w:p>
    <w:p w14:paraId="13682677" w14:textId="77777777" w:rsidR="00840DA0" w:rsidRDefault="00840DA0" w:rsidP="00840DA0">
      <w:pPr>
        <w:pStyle w:val="Heading6"/>
        <w:rPr>
          <w:rFonts w:hint="eastAsia"/>
        </w:rPr>
      </w:pPr>
      <w:r>
        <w:t>Disqualified Refundable Imputation taxes</w:t>
      </w:r>
    </w:p>
    <w:p w14:paraId="1D986013" w14:textId="77777777" w:rsidR="00840DA0" w:rsidRDefault="00840DA0" w:rsidP="00840DA0">
      <w:pPr>
        <w:pStyle w:val="Normalparatextwithnumbers"/>
        <w:numPr>
          <w:ilvl w:val="1"/>
          <w:numId w:val="16"/>
        </w:numPr>
      </w:pPr>
      <w:r w:rsidRPr="00775E6D">
        <w:t>Disqualified Refundable Imputation Taxes</w:t>
      </w:r>
      <w:r>
        <w:t xml:space="preserve"> are excluded from the definition of Covered Taxes. Disqualified Refundable Imputation Taxes are taxes, other than Qualified Imputation Taxes, that are initially imposed on the income of a Constituent Entity but when that income is distributed by way of dividend to the owners of the Constituent Entity, the tax is refunded to the Constituent Entity or the owner or creditable against a tax liability of the owner other than a tax liability arising from the dividend.</w:t>
      </w:r>
    </w:p>
    <w:p w14:paraId="79AA7F42" w14:textId="7162FA3F" w:rsidR="00840DA0" w:rsidRDefault="00840DA0" w:rsidP="00840DA0">
      <w:pPr>
        <w:pStyle w:val="Normalparatextwithnumbers"/>
        <w:numPr>
          <w:ilvl w:val="1"/>
          <w:numId w:val="16"/>
        </w:numPr>
      </w:pPr>
      <w:r>
        <w:t xml:space="preserve">Disqualified Refundable Imputation are distinguished from Qualified Imputation Taxes (which are a Covered Tax) because Disqualified Refundable Imputation Taxes </w:t>
      </w:r>
      <w:r w:rsidR="00EC405F">
        <w:t xml:space="preserve">are </w:t>
      </w:r>
      <w:r>
        <w:t>generally refunded without the dividend recipient being subject to tax on the distributed income.</w:t>
      </w:r>
    </w:p>
    <w:p w14:paraId="1CE0F653" w14:textId="2500490D" w:rsidR="00840DA0" w:rsidRDefault="00840DA0" w:rsidP="00840DA0">
      <w:pPr>
        <w:pStyle w:val="Normalparatextwithnumbers"/>
        <w:numPr>
          <w:ilvl w:val="1"/>
          <w:numId w:val="16"/>
        </w:numPr>
      </w:pPr>
      <w:r>
        <w:t>The definition of Disqualified Refundable Imputation Taxes only extend</w:t>
      </w:r>
      <w:r w:rsidR="00266359">
        <w:t>s</w:t>
      </w:r>
      <w:r>
        <w:t xml:space="preserve"> to the taxes that are paid or accrued by the Constituent Entity in respect of its income that are refundable or creditable upon distribution of a dividend. As Disqualified Refundable Imputation Taxes are not counted as Covered Taxes, </w:t>
      </w:r>
      <w:r>
        <w:lastRenderedPageBreak/>
        <w:t>any refund of such taxes similarly does not reduce Adjusted Covered Taxes</w:t>
      </w:r>
      <w:r w:rsidR="00266359">
        <w:t xml:space="preserve">. </w:t>
      </w:r>
      <w:r>
        <w:br/>
      </w:r>
      <w:r w:rsidRPr="00DB3E84">
        <w:rPr>
          <w:b/>
          <w:bCs/>
          <w:i/>
          <w:iCs/>
        </w:rPr>
        <w:t>[Chapter 4, subsection 4-</w:t>
      </w:r>
      <w:r w:rsidR="00BC1395">
        <w:rPr>
          <w:b/>
          <w:bCs/>
          <w:i/>
          <w:iCs/>
        </w:rPr>
        <w:t>40</w:t>
      </w:r>
      <w:r w:rsidRPr="00DB3E84">
        <w:rPr>
          <w:b/>
          <w:bCs/>
          <w:i/>
          <w:iCs/>
        </w:rPr>
        <w:t>(2)(d)</w:t>
      </w:r>
      <w:r w:rsidRPr="00553D89">
        <w:t xml:space="preserve"> </w:t>
      </w:r>
      <w:r w:rsidRPr="00DB3E84">
        <w:rPr>
          <w:b/>
          <w:bCs/>
          <w:i/>
          <w:iCs/>
        </w:rPr>
        <w:t>of the Rules]</w:t>
      </w:r>
    </w:p>
    <w:p w14:paraId="7D567EA1" w14:textId="77777777" w:rsidR="00840DA0" w:rsidRPr="00796496" w:rsidRDefault="00840DA0" w:rsidP="00840DA0">
      <w:pPr>
        <w:pStyle w:val="Heading6"/>
        <w:rPr>
          <w:rFonts w:hint="eastAsia"/>
        </w:rPr>
      </w:pPr>
      <w:r>
        <w:t>T</w:t>
      </w:r>
      <w:r w:rsidRPr="00796496">
        <w:t xml:space="preserve">axes paid or accrued by an insurance company </w:t>
      </w:r>
    </w:p>
    <w:p w14:paraId="7A44D454" w14:textId="16FF4C18" w:rsidR="00840DA0" w:rsidRDefault="00840DA0" w:rsidP="00840DA0">
      <w:pPr>
        <w:pStyle w:val="Normalparatextwithnumbers"/>
        <w:numPr>
          <w:ilvl w:val="1"/>
          <w:numId w:val="16"/>
        </w:numPr>
      </w:pPr>
      <w:r>
        <w:t>If a ta</w:t>
      </w:r>
      <w:r w:rsidRPr="00AF2769">
        <w:t>x</w:t>
      </w:r>
      <w:r>
        <w:t xml:space="preserve"> is</w:t>
      </w:r>
      <w:r w:rsidRPr="00AF2769">
        <w:t xml:space="preserve"> </w:t>
      </w:r>
      <w:r>
        <w:t>paid or accrued</w:t>
      </w:r>
      <w:r w:rsidRPr="00AF2769">
        <w:t xml:space="preserve"> by insurance companies </w:t>
      </w:r>
      <w:r>
        <w:t>and relates</w:t>
      </w:r>
      <w:r w:rsidRPr="00AF2769">
        <w:t xml:space="preserve"> to returns to policyholders</w:t>
      </w:r>
      <w:r>
        <w:t>, then it is excluded from the definition of Covered Taxes.</w:t>
      </w:r>
      <w:r w:rsidRPr="00663A5F">
        <w:t xml:space="preserve"> </w:t>
      </w:r>
      <w:r>
        <w:t xml:space="preserve">The exclusion only applies to the extent of a corresponding adjustment when computing the GloBE Income or Loss for a Fiscal Year of a Constituent Entity of an MNE Group that is an insurance company. </w:t>
      </w:r>
      <w:r>
        <w:br/>
      </w:r>
      <w:r w:rsidRPr="00940268">
        <w:rPr>
          <w:b/>
          <w:bCs/>
          <w:i/>
          <w:iCs/>
        </w:rPr>
        <w:t xml:space="preserve">[Chapter 4, </w:t>
      </w:r>
      <w:r>
        <w:rPr>
          <w:b/>
          <w:bCs/>
          <w:i/>
          <w:iCs/>
        </w:rPr>
        <w:t>subsection</w:t>
      </w:r>
      <w:r w:rsidRPr="00940268">
        <w:rPr>
          <w:b/>
          <w:bCs/>
          <w:i/>
          <w:iCs/>
        </w:rPr>
        <w:t xml:space="preserve"> 4-</w:t>
      </w:r>
      <w:r w:rsidR="00BC1395">
        <w:rPr>
          <w:b/>
          <w:bCs/>
          <w:i/>
          <w:iCs/>
        </w:rPr>
        <w:t>40</w:t>
      </w:r>
      <w:r w:rsidRPr="00940268">
        <w:rPr>
          <w:b/>
          <w:bCs/>
          <w:i/>
          <w:iCs/>
        </w:rPr>
        <w:t>(2)(e)</w:t>
      </w:r>
      <w:r>
        <w:rPr>
          <w:b/>
          <w:bCs/>
          <w:i/>
          <w:iCs/>
        </w:rPr>
        <w:t xml:space="preserve"> </w:t>
      </w:r>
      <w:r w:rsidRPr="00553D89">
        <w:rPr>
          <w:b/>
          <w:bCs/>
          <w:i/>
          <w:iCs/>
        </w:rPr>
        <w:t>of the Rules</w:t>
      </w:r>
      <w:r w:rsidRPr="00940268">
        <w:rPr>
          <w:b/>
          <w:bCs/>
          <w:i/>
          <w:iCs/>
        </w:rPr>
        <w:t>]</w:t>
      </w:r>
    </w:p>
    <w:p w14:paraId="3D92A5CF" w14:textId="7E7EEEFD" w:rsidR="00840DA0" w:rsidRPr="00994DAE" w:rsidRDefault="0052777A" w:rsidP="00840DA0">
      <w:pPr>
        <w:pStyle w:val="Normalparatextwithnumbers"/>
        <w:numPr>
          <w:ilvl w:val="1"/>
          <w:numId w:val="16"/>
        </w:numPr>
      </w:pPr>
      <w:r>
        <w:t xml:space="preserve">Similar to the justification in paragraph </w:t>
      </w:r>
      <w:r w:rsidR="004131B4">
        <w:fldChar w:fldCharType="begin"/>
      </w:r>
      <w:r w:rsidR="004131B4">
        <w:instrText xml:space="preserve"> REF _Ref183771862 \r \h </w:instrText>
      </w:r>
      <w:r w:rsidR="004131B4">
        <w:fldChar w:fldCharType="separate"/>
      </w:r>
      <w:r w:rsidR="009D6D0D">
        <w:t>3.59</w:t>
      </w:r>
      <w:r w:rsidR="004131B4">
        <w:fldChar w:fldCharType="end"/>
      </w:r>
      <w:r w:rsidR="004131B4">
        <w:t xml:space="preserve">, </w:t>
      </w:r>
      <w:r w:rsidR="00840DA0">
        <w:t>this exclusion is</w:t>
      </w:r>
      <w:r w:rsidR="004131B4">
        <w:t xml:space="preserve"> necessary due to</w:t>
      </w:r>
      <w:r w:rsidR="00840DA0">
        <w:t xml:space="preserve"> i</w:t>
      </w:r>
      <w:r w:rsidR="00840DA0" w:rsidRPr="00AF2769">
        <w:t>nsurance companies sometimes pass</w:t>
      </w:r>
      <w:r w:rsidR="004131B4">
        <w:t xml:space="preserve">ing </w:t>
      </w:r>
      <w:r w:rsidR="00840DA0" w:rsidRPr="00AF2769">
        <w:t>tax charges to policyholders, effectively reimbursing the company for taxes paid on the policyholder's behalf.</w:t>
      </w:r>
      <w:r w:rsidR="00840DA0">
        <w:t xml:space="preserve"> Certain f</w:t>
      </w:r>
      <w:r w:rsidR="00840DA0" w:rsidRPr="00AF2769">
        <w:t>inancial accounting standards treat returns to policyholders as the insurance company</w:t>
      </w:r>
      <w:r w:rsidR="00840DA0">
        <w:t xml:space="preserve">’s </w:t>
      </w:r>
      <w:r w:rsidR="00840DA0" w:rsidRPr="00AF2769">
        <w:t>income</w:t>
      </w:r>
      <w:r w:rsidR="00840DA0">
        <w:t xml:space="preserve"> with this income effectively eliminated with a corresponding liability to the policyholder. The liability is typically reduced by t</w:t>
      </w:r>
      <w:r w:rsidR="00840DA0" w:rsidRPr="00AF2769">
        <w:t xml:space="preserve">he tax </w:t>
      </w:r>
      <w:r w:rsidR="00840DA0">
        <w:t>incurred</w:t>
      </w:r>
      <w:r w:rsidR="00840DA0" w:rsidRPr="00AF2769">
        <w:t xml:space="preserve"> on </w:t>
      </w:r>
      <w:r w:rsidR="00840DA0">
        <w:t>the relevant income, thus reimbursing the insurance company for the taxes incurred.</w:t>
      </w:r>
    </w:p>
    <w:p w14:paraId="3DEFC373" w14:textId="77777777" w:rsidR="00840DA0" w:rsidRPr="00B24CD1" w:rsidRDefault="00840DA0" w:rsidP="00840DA0">
      <w:pPr>
        <w:pStyle w:val="Heading5"/>
        <w:numPr>
          <w:ilvl w:val="4"/>
          <w:numId w:val="2"/>
        </w:numPr>
      </w:pPr>
      <w:r>
        <w:t>No</w:t>
      </w:r>
      <w:r w:rsidRPr="00B24CD1">
        <w:t xml:space="preserve"> Double Counting </w:t>
      </w:r>
      <w:r>
        <w:t xml:space="preserve">of covered taxes </w:t>
      </w:r>
    </w:p>
    <w:p w14:paraId="3229F708" w14:textId="77777777" w:rsidR="00840DA0" w:rsidRDefault="00840DA0" w:rsidP="00840DA0">
      <w:pPr>
        <w:pStyle w:val="Normalparatextwithnumbers"/>
        <w:numPr>
          <w:ilvl w:val="1"/>
          <w:numId w:val="17"/>
        </w:numPr>
      </w:pPr>
      <w:r w:rsidRPr="00EF452D">
        <w:t xml:space="preserve">Where an amount of Covered Taxes may overlap across multiple adjustment categories, that amount of Covered Taxes </w:t>
      </w:r>
      <w:r>
        <w:t>must only</w:t>
      </w:r>
      <w:r w:rsidRPr="00EF452D">
        <w:t xml:space="preserve"> be taken into account once for the purposes of Chapter 4</w:t>
      </w:r>
      <w:r>
        <w:t xml:space="preserve"> </w:t>
      </w:r>
      <w:r w:rsidRPr="00553D89">
        <w:t>of the Rules</w:t>
      </w:r>
      <w:r w:rsidRPr="00EF452D">
        <w:t>.</w:t>
      </w:r>
      <w:r>
        <w:t xml:space="preserve"> An amount of Covered Taxes cannot be duplicated for the same Constituent Entity, across Fiscal Years or for multiple Constituent Entities.</w:t>
      </w:r>
      <w:r>
        <w:br/>
      </w:r>
      <w:r>
        <w:rPr>
          <w:b/>
          <w:bCs/>
          <w:i/>
          <w:iCs/>
        </w:rPr>
        <w:t xml:space="preserve">[Chapter 4, section 4-25 </w:t>
      </w:r>
      <w:r w:rsidRPr="00553D89">
        <w:rPr>
          <w:b/>
          <w:bCs/>
          <w:i/>
          <w:iCs/>
        </w:rPr>
        <w:t>of the Rules</w:t>
      </w:r>
      <w:r w:rsidRPr="00AF1C20">
        <w:rPr>
          <w:b/>
          <w:bCs/>
          <w:i/>
          <w:iCs/>
        </w:rPr>
        <w:t>]</w:t>
      </w:r>
    </w:p>
    <w:p w14:paraId="0EF6C919" w14:textId="77777777" w:rsidR="00840DA0" w:rsidRPr="00A700F8" w:rsidRDefault="00840DA0" w:rsidP="00840DA0">
      <w:pPr>
        <w:pStyle w:val="Heading3"/>
        <w:rPr>
          <w:rFonts w:hint="eastAsia"/>
        </w:rPr>
      </w:pPr>
      <w:bookmarkStart w:id="135" w:name="_Toc181104513"/>
      <w:bookmarkStart w:id="136" w:name="_Toc183786649"/>
      <w:bookmarkStart w:id="137" w:name="_Toc185502996"/>
      <w:r w:rsidRPr="00D84337">
        <w:t>Adjusted Covered Taxes</w:t>
      </w:r>
      <w:bookmarkEnd w:id="135"/>
      <w:bookmarkEnd w:id="136"/>
      <w:bookmarkEnd w:id="137"/>
    </w:p>
    <w:p w14:paraId="2C8D79BB" w14:textId="77777777" w:rsidR="00840DA0" w:rsidRPr="0086780C" w:rsidRDefault="00840DA0" w:rsidP="001D5B01">
      <w:pPr>
        <w:pStyle w:val="Heading4"/>
      </w:pPr>
      <w:r w:rsidRPr="0086780C">
        <w:t xml:space="preserve">Accrued Current </w:t>
      </w:r>
      <w:r>
        <w:t>Covered</w:t>
      </w:r>
      <w:r w:rsidRPr="0086780C">
        <w:t xml:space="preserve"> Tax Expense amount </w:t>
      </w:r>
    </w:p>
    <w:p w14:paraId="4A83D6DF" w14:textId="77777777" w:rsidR="00840DA0" w:rsidRPr="0086780C" w:rsidRDefault="00840DA0" w:rsidP="00840DA0">
      <w:pPr>
        <w:pStyle w:val="Normalparatextwithnumbers"/>
        <w:numPr>
          <w:ilvl w:val="1"/>
          <w:numId w:val="16"/>
        </w:numPr>
      </w:pPr>
      <w:r w:rsidRPr="0086780C">
        <w:t xml:space="preserve">The starting point to determine the Adjusted Covered Taxes is the amount of </w:t>
      </w:r>
      <w:r w:rsidRPr="00D03371">
        <w:rPr>
          <w:b/>
          <w:bCs/>
          <w:i/>
          <w:iCs/>
        </w:rPr>
        <w:t>Accrued Current Covered Tax Expense</w:t>
      </w:r>
      <w:r w:rsidRPr="0086780C">
        <w:t xml:space="preserve"> for a Fiscal Year of a </w:t>
      </w:r>
      <w:r>
        <w:t>Constituent Entity</w:t>
      </w:r>
      <w:r w:rsidRPr="0086780C">
        <w:t xml:space="preserve"> of an MNE Group.</w:t>
      </w:r>
      <w:r>
        <w:t xml:space="preserve"> </w:t>
      </w:r>
      <w:r w:rsidRPr="0086780C">
        <w:t>The Accrued Current</w:t>
      </w:r>
      <w:r>
        <w:t xml:space="preserve"> Covered</w:t>
      </w:r>
      <w:r w:rsidRPr="0086780C">
        <w:t xml:space="preserve"> Tax Expense is the amount of the </w:t>
      </w:r>
      <w:r>
        <w:t>Constituent Entity</w:t>
      </w:r>
      <w:r w:rsidRPr="0086780C">
        <w:t xml:space="preserve">’s current tax expense accrued, in respect of Covered Taxes, in the </w:t>
      </w:r>
      <w:r>
        <w:t>Constituent Entity</w:t>
      </w:r>
      <w:r w:rsidRPr="0086780C">
        <w:t xml:space="preserve">’s </w:t>
      </w:r>
      <w:r>
        <w:t xml:space="preserve">FANIL </w:t>
      </w:r>
      <w:r w:rsidRPr="0086780C">
        <w:t>for the Fiscal Year.</w:t>
      </w:r>
      <w:r>
        <w:br/>
      </w:r>
      <w:r w:rsidRPr="0086780C">
        <w:rPr>
          <w:rStyle w:val="References"/>
        </w:rPr>
        <w:t>[Chapter 4, section 4-</w:t>
      </w:r>
      <w:r>
        <w:rPr>
          <w:rStyle w:val="References"/>
        </w:rPr>
        <w:t xml:space="preserve">10 </w:t>
      </w:r>
      <w:r w:rsidRPr="00553D89">
        <w:rPr>
          <w:rStyle w:val="References"/>
        </w:rPr>
        <w:t>of the Rules</w:t>
      </w:r>
      <w:r w:rsidRPr="0086780C">
        <w:rPr>
          <w:rStyle w:val="References"/>
        </w:rPr>
        <w:t>]</w:t>
      </w:r>
    </w:p>
    <w:p w14:paraId="3ED6FDFB" w14:textId="77777777" w:rsidR="00840DA0" w:rsidRPr="0086780C" w:rsidRDefault="00840DA0" w:rsidP="00840DA0">
      <w:pPr>
        <w:pStyle w:val="Heading4"/>
        <w:numPr>
          <w:ilvl w:val="3"/>
          <w:numId w:val="2"/>
        </w:numPr>
      </w:pPr>
      <w:r w:rsidRPr="0086780C">
        <w:t xml:space="preserve">Adjusted Covered Taxes amount </w:t>
      </w:r>
    </w:p>
    <w:p w14:paraId="58DA5F46" w14:textId="77777777" w:rsidR="00840DA0" w:rsidRPr="0086780C" w:rsidRDefault="00840DA0" w:rsidP="00840DA0">
      <w:pPr>
        <w:pStyle w:val="Normalparatextwithnumbers"/>
        <w:numPr>
          <w:ilvl w:val="1"/>
          <w:numId w:val="16"/>
        </w:numPr>
      </w:pPr>
      <w:r>
        <w:t xml:space="preserve">Various adjustments are made </w:t>
      </w:r>
      <w:r w:rsidRPr="0086780C">
        <w:t xml:space="preserve">to Accrued Current </w:t>
      </w:r>
      <w:r>
        <w:t>Covered</w:t>
      </w:r>
      <w:r w:rsidRPr="0086780C">
        <w:t xml:space="preserve"> Tax Expense </w:t>
      </w:r>
      <w:r>
        <w:t>to arrive at</w:t>
      </w:r>
      <w:r w:rsidRPr="0086780C">
        <w:t xml:space="preserve"> the amount of Adjusted Covered Taxes</w:t>
      </w:r>
      <w:r>
        <w:t xml:space="preserve"> for the Fiscal Year, including</w:t>
      </w:r>
      <w:r w:rsidRPr="0086780C">
        <w:t xml:space="preserve">: </w:t>
      </w:r>
    </w:p>
    <w:p w14:paraId="4C85D925" w14:textId="77777777" w:rsidR="00840DA0" w:rsidRPr="0086780C" w:rsidRDefault="00840DA0" w:rsidP="00B07214">
      <w:pPr>
        <w:pStyle w:val="Dotpoint1"/>
      </w:pPr>
      <w:r>
        <w:lastRenderedPageBreak/>
        <w:t>a</w:t>
      </w:r>
      <w:r w:rsidRPr="0086780C">
        <w:t>dding the amounts related to the Additions to Covered Taxes for the Fiscal Year</w:t>
      </w:r>
      <w:r>
        <w:t>;</w:t>
      </w:r>
    </w:p>
    <w:p w14:paraId="45E83CAE" w14:textId="77777777" w:rsidR="00840DA0" w:rsidRPr="0086780C" w:rsidRDefault="00840DA0" w:rsidP="00B07214">
      <w:pPr>
        <w:pStyle w:val="Dotpoint1"/>
      </w:pPr>
      <w:r>
        <w:t>s</w:t>
      </w:r>
      <w:r w:rsidRPr="0086780C">
        <w:t>ubtracting the amounts related to the Reductions to Covered Taxes for the Fiscal Year</w:t>
      </w:r>
      <w:r>
        <w:t>;</w:t>
      </w:r>
      <w:r w:rsidRPr="0086780C">
        <w:t xml:space="preserve"> </w:t>
      </w:r>
    </w:p>
    <w:p w14:paraId="796CA9B0" w14:textId="77777777" w:rsidR="00840DA0" w:rsidRPr="0086780C" w:rsidRDefault="00840DA0" w:rsidP="00B07214">
      <w:pPr>
        <w:pStyle w:val="Dotpoint1"/>
      </w:pPr>
      <w:r>
        <w:t>a</w:t>
      </w:r>
      <w:r w:rsidRPr="0086780C">
        <w:t>dding the Total Deferred Tax Adjustment Amount for the Constituent Entity for the Fiscal Year under Part 4-</w:t>
      </w:r>
      <w:r>
        <w:t>4 of the Rules;</w:t>
      </w:r>
      <w:r w:rsidRPr="0086780C">
        <w:t xml:space="preserve"> </w:t>
      </w:r>
      <w:r>
        <w:t>and</w:t>
      </w:r>
      <w:r w:rsidRPr="0086780C">
        <w:t xml:space="preserve"> </w:t>
      </w:r>
    </w:p>
    <w:p w14:paraId="58B6B3E8" w14:textId="77777777" w:rsidR="00840DA0" w:rsidRPr="0086780C" w:rsidRDefault="00840DA0" w:rsidP="00B07214">
      <w:pPr>
        <w:pStyle w:val="Dotpoint1"/>
      </w:pPr>
      <w:r>
        <w:t>a</w:t>
      </w:r>
      <w:r w:rsidRPr="0086780C">
        <w:t>djusting for any increases or decreases in Covered Taxes that:</w:t>
      </w:r>
    </w:p>
    <w:p w14:paraId="7420A591" w14:textId="77777777" w:rsidR="00840DA0" w:rsidRPr="00CC47B3" w:rsidRDefault="00840DA0" w:rsidP="007B6495">
      <w:pPr>
        <w:pStyle w:val="dotpoint2"/>
        <w:tabs>
          <w:tab w:val="clear" w:pos="1513"/>
          <w:tab w:val="clear" w:pos="2127"/>
        </w:tabs>
        <w:ind w:left="2127" w:hanging="709"/>
        <w:rPr>
          <w:rFonts w:eastAsiaTheme="minorHAnsi" w:cstheme="minorBidi"/>
          <w:szCs w:val="22"/>
        </w:rPr>
      </w:pPr>
      <w:r w:rsidRPr="0086780C">
        <w:rPr>
          <w:rFonts w:eastAsiaTheme="minorHAnsi"/>
        </w:rPr>
        <w:t>are recorded in equity or Other Comprehensive Income of the Constituent Entity for the Fiscal Year</w:t>
      </w:r>
      <w:r>
        <w:rPr>
          <w:rFonts w:eastAsiaTheme="minorHAnsi"/>
        </w:rPr>
        <w:t xml:space="preserve">; </w:t>
      </w:r>
      <w:r w:rsidRPr="0086780C">
        <w:rPr>
          <w:rFonts w:eastAsiaTheme="minorHAnsi"/>
        </w:rPr>
        <w:t>and</w:t>
      </w:r>
    </w:p>
    <w:p w14:paraId="237CA729" w14:textId="7C57855B" w:rsidR="00840DA0" w:rsidRPr="009D0B23" w:rsidRDefault="00840DA0" w:rsidP="007B6495">
      <w:pPr>
        <w:pStyle w:val="dotpoint2"/>
        <w:tabs>
          <w:tab w:val="clear" w:pos="1513"/>
          <w:tab w:val="clear" w:pos="2127"/>
        </w:tabs>
        <w:ind w:left="2127" w:hanging="709"/>
        <w:rPr>
          <w:rFonts w:eastAsiaTheme="minorHAnsi" w:cstheme="minorBidi"/>
          <w:szCs w:val="22"/>
        </w:rPr>
      </w:pPr>
      <w:r w:rsidRPr="00487E95">
        <w:rPr>
          <w:rFonts w:eastAsiaTheme="minorHAnsi"/>
        </w:rPr>
        <w:t>relate to amounts that are part of the GloBE Income or Loss computation for the Fiscal Year and will be taxed under the law of the jurisdiction</w:t>
      </w:r>
      <w:r w:rsidR="007D595C">
        <w:rPr>
          <w:rFonts w:eastAsiaTheme="minorHAnsi"/>
        </w:rPr>
        <w:t xml:space="preserve"> in which it is located</w:t>
      </w:r>
      <w:r w:rsidRPr="00487E95">
        <w:rPr>
          <w:rFonts w:eastAsiaTheme="minorHAnsi"/>
        </w:rPr>
        <w:t>.</w:t>
      </w:r>
      <w:r>
        <w:rPr>
          <w:rFonts w:eastAsiaTheme="minorHAnsi"/>
        </w:rPr>
        <w:br/>
      </w:r>
      <w:r w:rsidRPr="00487E95">
        <w:rPr>
          <w:rStyle w:val="References"/>
          <w:rFonts w:eastAsiaTheme="minorHAnsi"/>
        </w:rPr>
        <w:t>[Chapter 4, section 4-5 of the Rules]</w:t>
      </w:r>
    </w:p>
    <w:p w14:paraId="00259090" w14:textId="77777777" w:rsidR="00840DA0" w:rsidRPr="0086780C" w:rsidRDefault="00840DA0" w:rsidP="00840DA0">
      <w:pPr>
        <w:pStyle w:val="Normalparatextwithnumbers"/>
        <w:numPr>
          <w:ilvl w:val="1"/>
          <w:numId w:val="16"/>
        </w:numPr>
      </w:pPr>
      <w:r>
        <w:t>As an example, if a Constituent Entity accrues $100 of current tax expense in respect of Covered Taxes, then a debit journal entry to that expense account in the financial accounts is made resulting in a positive Accrued Current Covered Tax Expense amount. A negative amount of Accrued Current Covered Tax Expense will arise where there is a net credit to the current tax expense, which indicates a current tax benefit. This similarly applies to the computation of the Total Deferred Tax Adjustment Amount, where a debit to the deferred tax expense account is a positive amount in calculating the Total Deferred Tax Adjustment Amount</w:t>
      </w:r>
    </w:p>
    <w:p w14:paraId="3C278E6C" w14:textId="77777777" w:rsidR="00840DA0" w:rsidRPr="003417EE" w:rsidRDefault="00840DA0" w:rsidP="00840DA0">
      <w:pPr>
        <w:pStyle w:val="Heading4"/>
        <w:numPr>
          <w:ilvl w:val="3"/>
          <w:numId w:val="2"/>
        </w:numPr>
      </w:pPr>
      <w:r w:rsidRPr="003417EE">
        <w:t xml:space="preserve">Additions to Covered Taxes </w:t>
      </w:r>
    </w:p>
    <w:p w14:paraId="548FA239" w14:textId="77777777" w:rsidR="00840DA0" w:rsidRDefault="00840DA0" w:rsidP="00840DA0">
      <w:pPr>
        <w:pStyle w:val="Normalparatextwithnumbers"/>
        <w:numPr>
          <w:ilvl w:val="1"/>
          <w:numId w:val="16"/>
        </w:numPr>
      </w:pPr>
      <w:r>
        <w:t xml:space="preserve">The Additions to Covered Taxes of a Constituent Entity for the Fiscal Year is the sum of the following amounts:  </w:t>
      </w:r>
    </w:p>
    <w:p w14:paraId="254F3688" w14:textId="77777777" w:rsidR="00840DA0" w:rsidRPr="0086780C" w:rsidRDefault="00840DA0" w:rsidP="00B07214">
      <w:pPr>
        <w:pStyle w:val="Dotpoint1"/>
      </w:pPr>
      <w:r w:rsidRPr="0086780C">
        <w:t xml:space="preserve">Covered Taxes of the </w:t>
      </w:r>
      <w:r>
        <w:t>Constituent Entity</w:t>
      </w:r>
      <w:r w:rsidRPr="0086780C">
        <w:t xml:space="preserve"> for the Fiscal Year accrued as an expense in the profit before taxation in the </w:t>
      </w:r>
      <w:r>
        <w:t>Constituent Entity</w:t>
      </w:r>
      <w:r w:rsidRPr="0086780C">
        <w:t>’s financial accounts for the Fiscal Year</w:t>
      </w:r>
      <w:r>
        <w:t>;</w:t>
      </w:r>
    </w:p>
    <w:p w14:paraId="6AEBC05E" w14:textId="77777777" w:rsidR="00840DA0" w:rsidRPr="0086780C" w:rsidRDefault="00840DA0" w:rsidP="00B07214">
      <w:pPr>
        <w:pStyle w:val="Dotpoint1"/>
      </w:pPr>
      <w:r w:rsidRPr="0086780C">
        <w:t>GloBE Loss Deferred Tax Asset that is used in a Fiscal Year</w:t>
      </w:r>
      <w:r>
        <w:t>;</w:t>
      </w:r>
      <w:r w:rsidRPr="0086780C">
        <w:t xml:space="preserve">  </w:t>
      </w:r>
    </w:p>
    <w:p w14:paraId="713FC27E" w14:textId="77777777" w:rsidR="00840DA0" w:rsidRPr="0086780C" w:rsidRDefault="00840DA0" w:rsidP="00B07214">
      <w:pPr>
        <w:pStyle w:val="Dotpoint1"/>
      </w:pPr>
      <w:r w:rsidRPr="0086780C">
        <w:t xml:space="preserve">Covered Taxes that </w:t>
      </w:r>
      <w:r>
        <w:t>are</w:t>
      </w:r>
      <w:r w:rsidRPr="0086780C">
        <w:t xml:space="preserve"> paid in the Fiscal Year that:</w:t>
      </w:r>
    </w:p>
    <w:p w14:paraId="36154ECA" w14:textId="77777777" w:rsidR="00840DA0" w:rsidRPr="0086780C" w:rsidRDefault="00840DA0" w:rsidP="007B6495">
      <w:pPr>
        <w:pStyle w:val="dotpoint2"/>
        <w:tabs>
          <w:tab w:val="clear" w:pos="1513"/>
          <w:tab w:val="clear" w:pos="2127"/>
        </w:tabs>
        <w:ind w:left="2127" w:hanging="709"/>
        <w:rPr>
          <w:rFonts w:eastAsiaTheme="minorHAnsi"/>
        </w:rPr>
      </w:pPr>
      <w:r w:rsidRPr="0086780C">
        <w:rPr>
          <w:rFonts w:eastAsiaTheme="minorHAnsi"/>
        </w:rPr>
        <w:t>relates to an uncertain tax position</w:t>
      </w:r>
      <w:r>
        <w:rPr>
          <w:rFonts w:eastAsiaTheme="minorHAnsi"/>
        </w:rPr>
        <w:t>;</w:t>
      </w:r>
      <w:r w:rsidRPr="0086780C">
        <w:rPr>
          <w:rFonts w:eastAsiaTheme="minorHAnsi"/>
        </w:rPr>
        <w:t xml:space="preserve"> and </w:t>
      </w:r>
    </w:p>
    <w:p w14:paraId="6A7C6E53" w14:textId="77777777" w:rsidR="00840DA0" w:rsidRPr="0086780C" w:rsidRDefault="00840DA0" w:rsidP="007B6495">
      <w:pPr>
        <w:pStyle w:val="dotpoint2"/>
        <w:tabs>
          <w:tab w:val="clear" w:pos="1513"/>
          <w:tab w:val="clear" w:pos="2127"/>
        </w:tabs>
        <w:ind w:left="2127" w:hanging="709"/>
        <w:rPr>
          <w:rFonts w:eastAsiaTheme="minorHAnsi"/>
        </w:rPr>
      </w:pPr>
      <w:r w:rsidRPr="0086780C">
        <w:rPr>
          <w:rFonts w:eastAsiaTheme="minorHAnsi"/>
        </w:rPr>
        <w:t>treated as a Reduction to Covered Taxes for a previous Fiscal Year</w:t>
      </w:r>
      <w:r>
        <w:rPr>
          <w:rFonts w:eastAsiaTheme="minorHAnsi"/>
        </w:rPr>
        <w:t>;</w:t>
      </w:r>
      <w:r w:rsidRPr="0086780C">
        <w:rPr>
          <w:rFonts w:eastAsiaTheme="minorHAnsi"/>
        </w:rPr>
        <w:t xml:space="preserve"> </w:t>
      </w:r>
      <w:r>
        <w:rPr>
          <w:rFonts w:eastAsiaTheme="minorHAnsi"/>
        </w:rPr>
        <w:t xml:space="preserve">and </w:t>
      </w:r>
    </w:p>
    <w:p w14:paraId="42A16947" w14:textId="77777777" w:rsidR="00840DA0" w:rsidRPr="0086780C" w:rsidRDefault="00840DA0" w:rsidP="00B07214">
      <w:pPr>
        <w:pStyle w:val="Dotpoint1"/>
      </w:pPr>
      <w:r w:rsidRPr="0086780C">
        <w:t>refund</w:t>
      </w:r>
      <w:r>
        <w:t>s</w:t>
      </w:r>
      <w:r w:rsidRPr="0086780C">
        <w:t xml:space="preserve"> or credit</w:t>
      </w:r>
      <w:r>
        <w:t>s</w:t>
      </w:r>
      <w:r w:rsidRPr="0086780C">
        <w:t xml:space="preserve"> in respect of a Qualified Refundable Tax Credit </w:t>
      </w:r>
      <w:r>
        <w:t xml:space="preserve">or Marketable Transferable Tax Credit </w:t>
      </w:r>
      <w:r w:rsidRPr="0086780C">
        <w:t xml:space="preserve">recorded as a reduction, in respect of Covered Taxes, to its Accrued Current </w:t>
      </w:r>
      <w:r>
        <w:t xml:space="preserve">Covered </w:t>
      </w:r>
      <w:r w:rsidRPr="0086780C">
        <w:t>Tax Expense for the Fiscal Year.</w:t>
      </w:r>
      <w:r>
        <w:br/>
      </w:r>
      <w:r w:rsidRPr="0086780C">
        <w:rPr>
          <w:rStyle w:val="References"/>
        </w:rPr>
        <w:t>[Chapter 4, section 4-</w:t>
      </w:r>
      <w:r>
        <w:rPr>
          <w:rStyle w:val="References"/>
        </w:rPr>
        <w:t xml:space="preserve">15 </w:t>
      </w:r>
      <w:r w:rsidRPr="00553D89">
        <w:rPr>
          <w:rStyle w:val="References"/>
        </w:rPr>
        <w:t>of the Rules</w:t>
      </w:r>
      <w:r w:rsidRPr="0086780C">
        <w:rPr>
          <w:rStyle w:val="References"/>
        </w:rPr>
        <w:t>]</w:t>
      </w:r>
      <w:r w:rsidRPr="0086780C">
        <w:t xml:space="preserve"> </w:t>
      </w:r>
    </w:p>
    <w:p w14:paraId="45509DB0" w14:textId="77777777" w:rsidR="00840DA0" w:rsidRPr="004758A7" w:rsidRDefault="00840DA0" w:rsidP="00840DA0">
      <w:pPr>
        <w:pStyle w:val="Heading5"/>
        <w:numPr>
          <w:ilvl w:val="4"/>
          <w:numId w:val="2"/>
        </w:numPr>
      </w:pPr>
      <w:r>
        <w:lastRenderedPageBreak/>
        <w:t>Adding the amount of Covered Taxes accrued as an expense</w:t>
      </w:r>
    </w:p>
    <w:p w14:paraId="40BE3B0F" w14:textId="77777777" w:rsidR="00840DA0" w:rsidRPr="00A9558B" w:rsidRDefault="00840DA0" w:rsidP="00840DA0">
      <w:pPr>
        <w:pStyle w:val="Normalparatextwithnumbers"/>
        <w:numPr>
          <w:ilvl w:val="1"/>
          <w:numId w:val="16"/>
        </w:numPr>
      </w:pPr>
      <w:r>
        <w:t>Given the broader meaning</w:t>
      </w:r>
      <w:r w:rsidRPr="004B7488">
        <w:t xml:space="preserve"> of </w:t>
      </w:r>
      <w:r>
        <w:t>Covered Taxes, a</w:t>
      </w:r>
      <w:r w:rsidRPr="00AB0D84">
        <w:t>ny accrued liability for Covered Taxes that was reported as an ordinary expense</w:t>
      </w:r>
      <w:r>
        <w:t xml:space="preserve"> </w:t>
      </w:r>
      <w:r w:rsidRPr="00AB0D84">
        <w:t>in the financial statements</w:t>
      </w:r>
      <w:r w:rsidRPr="00436F98">
        <w:t xml:space="preserve"> </w:t>
      </w:r>
      <w:r>
        <w:t>(</w:t>
      </w:r>
      <w:r w:rsidRPr="00AB0D84">
        <w:t>rather than income tax expense</w:t>
      </w:r>
      <w:r>
        <w:t xml:space="preserve">) is added to Adjusted Covered Taxes. This ensures that all qualifying Covered Taxes are included, regardless of whether they appear as ordinary expenses when computing the profit and </w:t>
      </w:r>
      <w:r w:rsidRPr="008C09E8">
        <w:t>loss before tax</w:t>
      </w:r>
      <w:r>
        <w:t>, opposed to income tax expense in a Constituent Entity’s financial statements</w:t>
      </w:r>
      <w:r w:rsidRPr="008C09E8">
        <w:t>.</w:t>
      </w:r>
      <w:r>
        <w:t xml:space="preserve"> </w:t>
      </w:r>
      <w:r>
        <w:br/>
      </w:r>
      <w:r w:rsidRPr="00136E33">
        <w:rPr>
          <w:b/>
          <w:bCs/>
          <w:i/>
          <w:iCs/>
        </w:rPr>
        <w:t xml:space="preserve">[Chapter 4, </w:t>
      </w:r>
      <w:bookmarkStart w:id="138" w:name="_Hlk158669809"/>
      <w:r w:rsidRPr="00136E33">
        <w:rPr>
          <w:b/>
          <w:bCs/>
          <w:i/>
          <w:iCs/>
        </w:rPr>
        <w:t xml:space="preserve">subsection 4-15(a) of the Rules] </w:t>
      </w:r>
      <w:bookmarkEnd w:id="138"/>
    </w:p>
    <w:p w14:paraId="5CEC8B49" w14:textId="77777777" w:rsidR="00840DA0" w:rsidRPr="0086780C" w:rsidRDefault="00840DA0" w:rsidP="00840DA0">
      <w:pPr>
        <w:pStyle w:val="Normalparatextwithnumbers"/>
        <w:numPr>
          <w:ilvl w:val="1"/>
          <w:numId w:val="16"/>
        </w:numPr>
        <w:rPr>
          <w:rStyle w:val="References"/>
          <w:b w:val="0"/>
          <w:bCs w:val="0"/>
          <w:i w:val="0"/>
          <w:iCs w:val="0"/>
        </w:rPr>
      </w:pPr>
      <w:r>
        <w:t xml:space="preserve">To ensure a consistent treatment of a </w:t>
      </w:r>
      <w:r w:rsidRPr="008C09E8">
        <w:t xml:space="preserve">Covered Tax </w:t>
      </w:r>
      <w:r>
        <w:t>accrued as an expense (for example, a t</w:t>
      </w:r>
      <w:r w:rsidRPr="002B7741">
        <w:t>ax on corporate equity</w:t>
      </w:r>
      <w:r>
        <w:t xml:space="preserve">) that </w:t>
      </w:r>
      <w:r w:rsidRPr="008C09E8">
        <w:t xml:space="preserve">is added </w:t>
      </w:r>
      <w:r>
        <w:t>to Adjusted Covered Taxes, a</w:t>
      </w:r>
      <w:r w:rsidRPr="008C09E8">
        <w:t xml:space="preserve"> </w:t>
      </w:r>
      <w:r>
        <w:t>corresponding adjustment must be made to FANIL when computing GloBE Income or Loss by ‘adding’ the expense.</w:t>
      </w:r>
    </w:p>
    <w:p w14:paraId="79A84B61" w14:textId="77777777" w:rsidR="00840DA0" w:rsidRPr="00356B35" w:rsidRDefault="00840DA0" w:rsidP="00840DA0">
      <w:pPr>
        <w:pStyle w:val="Heading5"/>
        <w:numPr>
          <w:ilvl w:val="4"/>
          <w:numId w:val="2"/>
        </w:numPr>
      </w:pPr>
      <w:r>
        <w:t xml:space="preserve">Adding the amount of </w:t>
      </w:r>
      <w:r w:rsidRPr="00356B35">
        <w:t>GloBE Loss Deferred Tax Asset</w:t>
      </w:r>
      <w:r>
        <w:t xml:space="preserve"> used </w:t>
      </w:r>
    </w:p>
    <w:p w14:paraId="4860BC9A" w14:textId="77777777" w:rsidR="00840DA0" w:rsidRDefault="00840DA0" w:rsidP="00840DA0">
      <w:pPr>
        <w:pStyle w:val="Normalparatextwithnumbers"/>
        <w:numPr>
          <w:ilvl w:val="1"/>
          <w:numId w:val="16"/>
        </w:numPr>
      </w:pPr>
      <w:r>
        <w:t>Where a GloBE loss election has been made under Part 4</w:t>
      </w:r>
      <w:r>
        <w:noBreakHyphen/>
        <w:t xml:space="preserve">5 of the Rules and the </w:t>
      </w:r>
      <w:r w:rsidRPr="00DE211C">
        <w:t>GloBE Loss Deferred Tax Asset attribute is used when GloBE Income is earned in a Fiscal Year subsequent to having incurred a GloBE Loss</w:t>
      </w:r>
      <w:r>
        <w:t xml:space="preserve"> in a prior Fiscal Year, the amount of GloBE Loss Deferred Tax asset used is added to the Accrued Current Covered Tax Expense</w:t>
      </w:r>
      <w:r w:rsidRPr="00DE211C">
        <w:t xml:space="preserve">. </w:t>
      </w:r>
      <w:r>
        <w:t>This addition</w:t>
      </w:r>
      <w:r w:rsidRPr="00EE7D9C">
        <w:t xml:space="preserve"> ensures that the GloBE Loss Deferred Tax Asset is accurately reflected in the computation of the ETR for the jurisdiction</w:t>
      </w:r>
      <w:r>
        <w:t xml:space="preserve"> in the Fiscal Year in which it is used. </w:t>
      </w:r>
    </w:p>
    <w:p w14:paraId="42303D3B" w14:textId="77777777" w:rsidR="00840DA0" w:rsidRDefault="00840DA0" w:rsidP="00840DA0">
      <w:pPr>
        <w:pStyle w:val="Normalparatextwithnumbers"/>
        <w:numPr>
          <w:ilvl w:val="1"/>
          <w:numId w:val="16"/>
        </w:numPr>
      </w:pPr>
      <w:r>
        <w:t>The amount of the GloBE Loss Deferred Tax Asset depends on whether the election has been made for the jurisdiction or for the Flow</w:t>
      </w:r>
      <w:r>
        <w:softHyphen/>
      </w:r>
      <w:r>
        <w:noBreakHyphen/>
        <w:t xml:space="preserve">through UPE. </w:t>
      </w:r>
    </w:p>
    <w:p w14:paraId="4FA9DFBE" w14:textId="0C16A519" w:rsidR="00840DA0" w:rsidRDefault="00840DA0" w:rsidP="00840DA0">
      <w:pPr>
        <w:pStyle w:val="Normalparatextwithnumbers"/>
        <w:numPr>
          <w:ilvl w:val="1"/>
          <w:numId w:val="16"/>
        </w:numPr>
      </w:pPr>
      <w:r>
        <w:t xml:space="preserve">A GloBE Loss Deferred Tax Asset that applies to the jurisdiction is a jurisdictional amount, therefore, only the </w:t>
      </w:r>
      <w:r w:rsidRPr="00B829E5">
        <w:t>Constituent Entity’s share of that amount</w:t>
      </w:r>
      <w:r w:rsidR="00A40197">
        <w:t>, computed based on their share of the MNE Group</w:t>
      </w:r>
      <w:r w:rsidR="00B52B6F">
        <w:t>’s Net GloBE Income for the Fiscal Year,</w:t>
      </w:r>
      <w:r>
        <w:t xml:space="preserve"> that is used in a Fiscal Year </w:t>
      </w:r>
      <w:r w:rsidRPr="000A2CBF">
        <w:t xml:space="preserve">is </w:t>
      </w:r>
      <w:r>
        <w:t xml:space="preserve">added to the </w:t>
      </w:r>
      <w:r w:rsidRPr="00BB6219">
        <w:t>Accrued Current Covered Tax Expense</w:t>
      </w:r>
      <w:r>
        <w:t>. A GloBE Loss Deferred Tax Asset that applies only to the Flow</w:t>
      </w:r>
      <w:r>
        <w:noBreakHyphen/>
        <w:t xml:space="preserve">through UPE </w:t>
      </w:r>
      <w:r w:rsidR="00D777F1">
        <w:t xml:space="preserve">allows the UPE to </w:t>
      </w:r>
      <w:r>
        <w:t>add the entire amount used for the Fiscal Year as that is a separate election.</w:t>
      </w:r>
      <w:r>
        <w:br/>
      </w:r>
      <w:r w:rsidRPr="00A9558B">
        <w:rPr>
          <w:b/>
          <w:bCs/>
          <w:i/>
          <w:iCs/>
        </w:rPr>
        <w:t xml:space="preserve">[Chapter 4, </w:t>
      </w:r>
      <w:r w:rsidR="00FC389A">
        <w:rPr>
          <w:b/>
          <w:bCs/>
          <w:i/>
          <w:iCs/>
        </w:rPr>
        <w:t>paragraphs</w:t>
      </w:r>
      <w:r w:rsidRPr="00A9558B">
        <w:rPr>
          <w:b/>
          <w:bCs/>
          <w:i/>
          <w:iCs/>
        </w:rPr>
        <w:t xml:space="preserve"> 4-</w:t>
      </w:r>
      <w:r>
        <w:rPr>
          <w:b/>
          <w:bCs/>
          <w:i/>
          <w:iCs/>
        </w:rPr>
        <w:t>15</w:t>
      </w:r>
      <w:r w:rsidRPr="00A9558B">
        <w:rPr>
          <w:b/>
          <w:bCs/>
          <w:i/>
          <w:iCs/>
        </w:rPr>
        <w:t>(</w:t>
      </w:r>
      <w:r>
        <w:rPr>
          <w:b/>
          <w:bCs/>
          <w:i/>
          <w:iCs/>
        </w:rPr>
        <w:t>b</w:t>
      </w:r>
      <w:r w:rsidRPr="00A9558B">
        <w:rPr>
          <w:b/>
          <w:bCs/>
          <w:i/>
          <w:iCs/>
        </w:rPr>
        <w:t>)</w:t>
      </w:r>
      <w:r>
        <w:rPr>
          <w:b/>
          <w:bCs/>
          <w:i/>
          <w:iCs/>
        </w:rPr>
        <w:t xml:space="preserve"> and (c) </w:t>
      </w:r>
      <w:r w:rsidRPr="00553D89">
        <w:rPr>
          <w:b/>
          <w:bCs/>
          <w:i/>
          <w:iCs/>
        </w:rPr>
        <w:t>of the Rules</w:t>
      </w:r>
      <w:r w:rsidRPr="00A9558B">
        <w:rPr>
          <w:b/>
          <w:bCs/>
          <w:i/>
          <w:iCs/>
        </w:rPr>
        <w:t>]</w:t>
      </w:r>
    </w:p>
    <w:p w14:paraId="42F957A9" w14:textId="77777777" w:rsidR="00840DA0" w:rsidRDefault="00840DA0" w:rsidP="00840DA0">
      <w:pPr>
        <w:pStyle w:val="Heading5"/>
        <w:numPr>
          <w:ilvl w:val="4"/>
          <w:numId w:val="2"/>
        </w:numPr>
      </w:pPr>
      <w:r w:rsidRPr="0086780C">
        <w:t xml:space="preserve">Adding the amount of Covered Taxes paid relating to uncertain tax positions </w:t>
      </w:r>
    </w:p>
    <w:p w14:paraId="72A4CDDA" w14:textId="77777777" w:rsidR="00840DA0" w:rsidRDefault="00840DA0" w:rsidP="00F74B19">
      <w:pPr>
        <w:pStyle w:val="Normalparatextwithnumbers"/>
        <w:numPr>
          <w:ilvl w:val="1"/>
          <w:numId w:val="27"/>
        </w:numPr>
      </w:pPr>
      <w:r w:rsidRPr="00167665">
        <w:t>Uncertain tax positions</w:t>
      </w:r>
      <w:r>
        <w:t>, as defined by accounting standards,</w:t>
      </w:r>
      <w:r w:rsidRPr="0030175B">
        <w:t xml:space="preserve"> arise when a </w:t>
      </w:r>
      <w:r>
        <w:t>Constituent Entity</w:t>
      </w:r>
      <w:r w:rsidRPr="0030175B">
        <w:t xml:space="preserve"> takes a tax filing position that is not more likely than not to be sustained upon examination.</w:t>
      </w:r>
      <w:r>
        <w:t xml:space="preserve"> </w:t>
      </w:r>
      <w:r w:rsidRPr="0030175B">
        <w:t xml:space="preserve">Although the criteria for determining such positions may vary under different </w:t>
      </w:r>
      <w:r>
        <w:t>a</w:t>
      </w:r>
      <w:r w:rsidRPr="0030175B">
        <w:t xml:space="preserve">ccounting </w:t>
      </w:r>
      <w:r>
        <w:t>s</w:t>
      </w:r>
      <w:r w:rsidRPr="0030175B">
        <w:t>tandards, they generally require that a reserve be established for these positions.</w:t>
      </w:r>
      <w:r w:rsidRPr="00142847">
        <w:t xml:space="preserve"> </w:t>
      </w:r>
    </w:p>
    <w:p w14:paraId="377A0DC5" w14:textId="77777777" w:rsidR="00840DA0" w:rsidRDefault="00840DA0" w:rsidP="00F74B19">
      <w:pPr>
        <w:pStyle w:val="Normalparatextwithnumbers"/>
        <w:numPr>
          <w:ilvl w:val="1"/>
          <w:numId w:val="27"/>
        </w:numPr>
      </w:pPr>
      <w:r w:rsidRPr="00142847">
        <w:lastRenderedPageBreak/>
        <w:t>If the filing position is eventually sustained, the reserve is released, reversing the expense and reflecting a corresponding amount of income in the financial accounts.</w:t>
      </w:r>
      <w:r w:rsidRPr="0030175B">
        <w:t xml:space="preserve"> </w:t>
      </w:r>
      <w:r>
        <w:t xml:space="preserve"> </w:t>
      </w:r>
    </w:p>
    <w:p w14:paraId="606F15DB" w14:textId="0B567B6D" w:rsidR="00840DA0" w:rsidRDefault="00840DA0" w:rsidP="00840DA0">
      <w:pPr>
        <w:pStyle w:val="Normalparatextwithnumbers"/>
        <w:numPr>
          <w:ilvl w:val="1"/>
          <w:numId w:val="16"/>
        </w:numPr>
      </w:pPr>
      <w:bookmarkStart w:id="139" w:name="_Ref183772748"/>
      <w:r>
        <w:t xml:space="preserve">Once the uncertain tax positions </w:t>
      </w:r>
      <w:r w:rsidRPr="0030175B">
        <w:t xml:space="preserve">are paid, </w:t>
      </w:r>
      <w:r>
        <w:t>those amounts are</w:t>
      </w:r>
      <w:r w:rsidRPr="0030175B">
        <w:t xml:space="preserve"> include</w:t>
      </w:r>
      <w:r>
        <w:t>d i</w:t>
      </w:r>
      <w:r w:rsidRPr="0030175B">
        <w:t>n Covered Taxes</w:t>
      </w:r>
      <w:r>
        <w:t>. This addition</w:t>
      </w:r>
      <w:r w:rsidRPr="0030175B">
        <w:t xml:space="preserve"> accurately reflect</w:t>
      </w:r>
      <w:r>
        <w:t xml:space="preserve">s </w:t>
      </w:r>
      <w:r w:rsidRPr="0030175B">
        <w:t>the actual tax positions of the entity once the uncertainty is resolved and the tax is paid. As a result, the ETR computation is based on actual tax payments</w:t>
      </w:r>
      <w:r>
        <w:t xml:space="preserve">, </w:t>
      </w:r>
      <w:r w:rsidRPr="0030175B">
        <w:t>rather than uncertain positions</w:t>
      </w:r>
      <w:r>
        <w:t xml:space="preserve">. </w:t>
      </w:r>
      <w:r>
        <w:br/>
      </w:r>
      <w:r w:rsidRPr="00E82F32">
        <w:rPr>
          <w:b/>
          <w:bCs/>
          <w:i/>
          <w:iCs/>
        </w:rPr>
        <w:t xml:space="preserve">[Chapter 4, </w:t>
      </w:r>
      <w:r w:rsidRPr="00221BA7">
        <w:rPr>
          <w:b/>
          <w:bCs/>
          <w:i/>
          <w:iCs/>
        </w:rPr>
        <w:t>paragraph</w:t>
      </w:r>
      <w:r w:rsidRPr="00E82F32">
        <w:rPr>
          <w:b/>
          <w:bCs/>
          <w:i/>
          <w:iCs/>
        </w:rPr>
        <w:t xml:space="preserve"> 4-</w:t>
      </w:r>
      <w:r w:rsidRPr="009D0B23">
        <w:rPr>
          <w:b/>
          <w:bCs/>
          <w:i/>
          <w:iCs/>
        </w:rPr>
        <w:t>15</w:t>
      </w:r>
      <w:r w:rsidRPr="00E82F32">
        <w:rPr>
          <w:b/>
          <w:bCs/>
          <w:i/>
          <w:iCs/>
        </w:rPr>
        <w:t>(d</w:t>
      </w:r>
      <w:r w:rsidRPr="009D0B23">
        <w:rPr>
          <w:b/>
          <w:bCs/>
          <w:i/>
          <w:iCs/>
        </w:rPr>
        <w:t>)</w:t>
      </w:r>
      <w:r>
        <w:rPr>
          <w:b/>
          <w:i/>
        </w:rPr>
        <w:t xml:space="preserve"> </w:t>
      </w:r>
      <w:r w:rsidRPr="00553D89">
        <w:rPr>
          <w:b/>
          <w:bCs/>
          <w:i/>
          <w:iCs/>
        </w:rPr>
        <w:t>of the Rules</w:t>
      </w:r>
      <w:r>
        <w:rPr>
          <w:b/>
          <w:bCs/>
          <w:i/>
          <w:iCs/>
        </w:rPr>
        <w:t>]</w:t>
      </w:r>
      <w:bookmarkEnd w:id="139"/>
      <w:r>
        <w:rPr>
          <w:b/>
          <w:bCs/>
          <w:i/>
          <w:iCs/>
        </w:rPr>
        <w:t xml:space="preserve"> </w:t>
      </w:r>
    </w:p>
    <w:p w14:paraId="20A663DA" w14:textId="77777777" w:rsidR="00840DA0" w:rsidRPr="00722F52" w:rsidRDefault="00840DA0" w:rsidP="00840DA0">
      <w:pPr>
        <w:pStyle w:val="Normalparatextwithnumbers"/>
        <w:numPr>
          <w:ilvl w:val="1"/>
          <w:numId w:val="16"/>
        </w:numPr>
      </w:pPr>
      <w:r w:rsidRPr="006C044E">
        <w:t xml:space="preserve">Any penalties or interest expense accrued or paid with respect to such uncertain tax position is </w:t>
      </w:r>
      <w:r>
        <w:t>ex</w:t>
      </w:r>
      <w:r w:rsidRPr="006C044E">
        <w:t xml:space="preserve">cluded </w:t>
      </w:r>
      <w:r>
        <w:t>from</w:t>
      </w:r>
      <w:r w:rsidRPr="006C044E">
        <w:t xml:space="preserve"> th</w:t>
      </w:r>
      <w:r>
        <w:t>e A</w:t>
      </w:r>
      <w:r w:rsidRPr="006C044E">
        <w:t xml:space="preserve">ddition to Covered Taxes. </w:t>
      </w:r>
    </w:p>
    <w:p w14:paraId="2A516E40" w14:textId="77777777" w:rsidR="00840DA0" w:rsidRDefault="00840DA0" w:rsidP="00840DA0">
      <w:pPr>
        <w:pStyle w:val="Heading5"/>
        <w:numPr>
          <w:ilvl w:val="4"/>
          <w:numId w:val="2"/>
        </w:numPr>
      </w:pPr>
      <w:r w:rsidRPr="000510EE">
        <w:t>A</w:t>
      </w:r>
      <w:r>
        <w:t>dding the a</w:t>
      </w:r>
      <w:r w:rsidRPr="000510EE">
        <w:t xml:space="preserve">mount of refund or credit in respect of a Qualified Refundable Tax Credit </w:t>
      </w:r>
      <w:r>
        <w:t>or Marketable Transferable Tax Credit recorded as a reduction to current tax expense</w:t>
      </w:r>
    </w:p>
    <w:p w14:paraId="10FF4EBE" w14:textId="77777777" w:rsidR="00840DA0" w:rsidRPr="006D4536" w:rsidRDefault="00840DA0" w:rsidP="00840DA0">
      <w:pPr>
        <w:pStyle w:val="Normalparatextwithnumbers"/>
        <w:numPr>
          <w:ilvl w:val="1"/>
          <w:numId w:val="16"/>
        </w:numPr>
      </w:pPr>
      <w:r w:rsidRPr="00084DCB">
        <w:t>Qualified Refundable Tax Credits and Marketable Transferable Tax Credits are treated as income items in the computation of GloBE Income or Loss.</w:t>
      </w:r>
      <w:r w:rsidRPr="0000436A">
        <w:t xml:space="preserve"> </w:t>
      </w:r>
      <w:r w:rsidRPr="00C92296">
        <w:t xml:space="preserve">However, </w:t>
      </w:r>
      <w:r>
        <w:t xml:space="preserve">those credits may be </w:t>
      </w:r>
      <w:r w:rsidRPr="00C92296">
        <w:t xml:space="preserve">recorded </w:t>
      </w:r>
      <w:r>
        <w:t xml:space="preserve">as reductions to the current tax expense, which must be </w:t>
      </w:r>
      <w:r w:rsidRPr="00C92296">
        <w:t xml:space="preserve">reversed for the </w:t>
      </w:r>
      <w:r>
        <w:t>purposes</w:t>
      </w:r>
      <w:r w:rsidRPr="00C92296">
        <w:t xml:space="preserve"> of </w:t>
      </w:r>
      <w:r>
        <w:t>determining</w:t>
      </w:r>
      <w:r w:rsidRPr="00C92296">
        <w:t xml:space="preserve"> Adjusted Covered Taxes.</w:t>
      </w:r>
      <w:r>
        <w:t xml:space="preserve"> Therefore, the refund or credit amount is added to </w:t>
      </w:r>
      <w:r w:rsidRPr="0067504E">
        <w:t>Accrued Current Covered Tax Expense</w:t>
      </w:r>
      <w:r>
        <w:t xml:space="preserve">. </w:t>
      </w:r>
      <w:r>
        <w:br/>
      </w:r>
      <w:r w:rsidRPr="00E82F32">
        <w:rPr>
          <w:b/>
          <w:bCs/>
          <w:i/>
          <w:iCs/>
        </w:rPr>
        <w:t xml:space="preserve">[Chapter </w:t>
      </w:r>
      <w:r>
        <w:rPr>
          <w:b/>
          <w:bCs/>
          <w:i/>
          <w:iCs/>
        </w:rPr>
        <w:t>4</w:t>
      </w:r>
      <w:r w:rsidRPr="00E82F32">
        <w:rPr>
          <w:b/>
          <w:bCs/>
          <w:i/>
          <w:iCs/>
        </w:rPr>
        <w:t xml:space="preserve">, </w:t>
      </w:r>
      <w:r>
        <w:rPr>
          <w:b/>
          <w:bCs/>
          <w:i/>
          <w:iCs/>
        </w:rPr>
        <w:t>subsection</w:t>
      </w:r>
      <w:r w:rsidRPr="00E82F32">
        <w:rPr>
          <w:b/>
          <w:bCs/>
          <w:i/>
          <w:iCs/>
        </w:rPr>
        <w:t xml:space="preserve"> </w:t>
      </w:r>
      <w:r>
        <w:rPr>
          <w:b/>
          <w:bCs/>
          <w:i/>
          <w:iCs/>
        </w:rPr>
        <w:t>4-15(e)</w:t>
      </w:r>
      <w:r w:rsidRPr="00553D89">
        <w:t xml:space="preserve"> </w:t>
      </w:r>
      <w:r w:rsidRPr="00553D89">
        <w:rPr>
          <w:b/>
          <w:bCs/>
          <w:i/>
          <w:iCs/>
        </w:rPr>
        <w:t>of the Rules</w:t>
      </w:r>
      <w:r>
        <w:rPr>
          <w:b/>
          <w:bCs/>
          <w:i/>
          <w:iCs/>
        </w:rPr>
        <w:t xml:space="preserve">]  </w:t>
      </w:r>
    </w:p>
    <w:p w14:paraId="2D7C790F" w14:textId="77777777" w:rsidR="00840DA0" w:rsidRDefault="00840DA0" w:rsidP="00840DA0">
      <w:pPr>
        <w:pStyle w:val="Normalparatextwithnumbers"/>
        <w:numPr>
          <w:ilvl w:val="1"/>
          <w:numId w:val="16"/>
        </w:numPr>
      </w:pPr>
      <w:r w:rsidRPr="00C92296">
        <w:t xml:space="preserve">This </w:t>
      </w:r>
      <w:r>
        <w:t xml:space="preserve">adjustment </w:t>
      </w:r>
      <w:r w:rsidRPr="00C92296">
        <w:t>prevent</w:t>
      </w:r>
      <w:r>
        <w:t>s</w:t>
      </w:r>
      <w:r w:rsidRPr="00C92296">
        <w:t xml:space="preserve"> the ETR being understated by such</w:t>
      </w:r>
      <w:r w:rsidRPr="004A76D3">
        <w:t xml:space="preserve"> a reduction </w:t>
      </w:r>
      <w:r>
        <w:t>to the current tax expense</w:t>
      </w:r>
      <w:r w:rsidRPr="00C92296">
        <w:t>.</w:t>
      </w:r>
    </w:p>
    <w:p w14:paraId="1B3D0A78" w14:textId="77777777" w:rsidR="00840DA0" w:rsidRPr="003417EE" w:rsidRDefault="00840DA0" w:rsidP="00840DA0">
      <w:pPr>
        <w:pStyle w:val="Heading4"/>
        <w:numPr>
          <w:ilvl w:val="3"/>
          <w:numId w:val="2"/>
        </w:numPr>
      </w:pPr>
      <w:r w:rsidRPr="003417EE">
        <w:t>Reductions to Covered Taxes</w:t>
      </w:r>
    </w:p>
    <w:p w14:paraId="0FC76527" w14:textId="77777777" w:rsidR="00840DA0" w:rsidRDefault="00840DA0" w:rsidP="00840DA0">
      <w:pPr>
        <w:pStyle w:val="Normalparatextwithnumbers"/>
        <w:numPr>
          <w:ilvl w:val="1"/>
          <w:numId w:val="16"/>
        </w:numPr>
      </w:pPr>
      <w:r>
        <w:t xml:space="preserve">Certain amounts are required to be removed from </w:t>
      </w:r>
      <w:r w:rsidRPr="00A05667">
        <w:t xml:space="preserve">Accrued Current Covered Tax Expense </w:t>
      </w:r>
      <w:r>
        <w:t xml:space="preserve">to ensure that the amount of Adjusted Covered Taxes for the ETR calculation for the relevant Constituent Entity only reflects taxes that arise in respect of GloBE Income or Loss and that are expected to be paid within three years. </w:t>
      </w:r>
    </w:p>
    <w:p w14:paraId="6F804E8D" w14:textId="77777777" w:rsidR="00840DA0" w:rsidRDefault="00840DA0" w:rsidP="00840DA0">
      <w:pPr>
        <w:pStyle w:val="Normalparatextwithnumbers"/>
        <w:numPr>
          <w:ilvl w:val="1"/>
          <w:numId w:val="16"/>
        </w:numPr>
      </w:pPr>
      <w:r>
        <w:t>The Reductions to Covered Taxes of a Constituent Entity for the Fiscal Year is the total of the following amounts:</w:t>
      </w:r>
    </w:p>
    <w:p w14:paraId="285258B5" w14:textId="77777777" w:rsidR="00840DA0" w:rsidRDefault="00840DA0" w:rsidP="00B07214">
      <w:pPr>
        <w:pStyle w:val="Dotpoint1"/>
      </w:pPr>
      <w:r>
        <w:t xml:space="preserve">the sum of the entity’s Accrued Current Covered Tax Expense and Additions to Covered Taxes for the Fiscal Year that relates to income excluded from the computation of the Constituent Entity’s GloBE Income or Loss under Chapter 3 of the Rules; </w:t>
      </w:r>
    </w:p>
    <w:p w14:paraId="7A21D75D" w14:textId="77777777" w:rsidR="00840DA0" w:rsidRDefault="00840DA0" w:rsidP="00B07214">
      <w:pPr>
        <w:pStyle w:val="Dotpoint1"/>
      </w:pPr>
      <w:r w:rsidRPr="00740ACC">
        <w:t xml:space="preserve">any amount of credit or refund related to a tax credit that is </w:t>
      </w:r>
      <w:r w:rsidRPr="008B488C">
        <w:rPr>
          <w:i/>
          <w:iCs/>
        </w:rPr>
        <w:t>not</w:t>
      </w:r>
      <w:r w:rsidRPr="00740ACC">
        <w:t xml:space="preserve"> a Qualified Refundable Tax Credit or a Marketable Transferable Tax Credit but is credited or refunded to a Constituent Entity in respect of Covered Taxes in the Fiscal Year and is not recorded as a reduction to </w:t>
      </w:r>
      <w:r w:rsidRPr="00740ACC">
        <w:lastRenderedPageBreak/>
        <w:t>the Constituent Entity’s Accrued Current Covered Tax Expense for the Fiscal Year</w:t>
      </w:r>
      <w:r>
        <w:t xml:space="preserve">; </w:t>
      </w:r>
    </w:p>
    <w:p w14:paraId="7F501327" w14:textId="77777777" w:rsidR="00840DA0" w:rsidRDefault="00840DA0" w:rsidP="00B07214">
      <w:pPr>
        <w:pStyle w:val="Dotpoint1"/>
      </w:pPr>
      <w:r w:rsidRPr="008B488C">
        <w:t>any amount of Covered Taxes refunded or credited to the Constituent Entity (other than a Qualified Refundable Tax Credit or a Marketable Transferable Tax Credit) that is not treated as an adjustment to the Constituent Entity’s Accrued Current Covered Tax Expense for the Fiscal Year</w:t>
      </w:r>
      <w:r>
        <w:t xml:space="preserve">; </w:t>
      </w:r>
    </w:p>
    <w:p w14:paraId="3DFBAF7C" w14:textId="2DC73C84" w:rsidR="00840DA0" w:rsidRDefault="00840DA0" w:rsidP="00B07214">
      <w:pPr>
        <w:pStyle w:val="Dotpoint1"/>
      </w:pPr>
      <w:r>
        <w:t xml:space="preserve">any amount received by a Constituent Entity in exchange for a transfer, if a Constituent Entity transferred a </w:t>
      </w:r>
      <w:r w:rsidRPr="00DE36B5">
        <w:t>Non-Marketable Transferrable Tax Credit</w:t>
      </w:r>
      <w:r>
        <w:t xml:space="preserve"> during the Fiscal Year and was the person whom the tax credit was originally granted, or the resulting transfer amount in subsection 3-132(3) </w:t>
      </w:r>
      <w:r w:rsidR="002059B8">
        <w:t xml:space="preserve">of the Rules </w:t>
      </w:r>
      <w:r>
        <w:t xml:space="preserve">is a positive number; </w:t>
      </w:r>
    </w:p>
    <w:p w14:paraId="7B880CAC" w14:textId="77777777" w:rsidR="00840DA0" w:rsidRDefault="00840DA0" w:rsidP="00B07214">
      <w:pPr>
        <w:pStyle w:val="Dotpoint1"/>
      </w:pPr>
      <w:r>
        <w:t>any amount of the Constituent Entity’s Accrued Current Covered Tax Expense for the Fiscal Year that relates to an uncertain tax position;</w:t>
      </w:r>
    </w:p>
    <w:p w14:paraId="2D5B2084" w14:textId="5D0995E7" w:rsidR="00840DA0" w:rsidRDefault="00840DA0" w:rsidP="00B07214">
      <w:pPr>
        <w:pStyle w:val="Dotpoint1"/>
      </w:pPr>
      <w:r>
        <w:t xml:space="preserve">any amount of the Constituent Entity’s Accrued Current Covered Tax Expense for the Fiscal Year that is not expected to be paid within three years after the last day of the Fiscal Year. </w:t>
      </w:r>
      <w:r>
        <w:br/>
      </w:r>
      <w:r w:rsidRPr="00903D82">
        <w:rPr>
          <w:b/>
          <w:bCs/>
          <w:i/>
          <w:iCs/>
        </w:rPr>
        <w:t>[Chapter 4, s</w:t>
      </w:r>
      <w:r w:rsidR="005C16E5">
        <w:rPr>
          <w:b/>
          <w:bCs/>
          <w:i/>
          <w:iCs/>
        </w:rPr>
        <w:t>ubs</w:t>
      </w:r>
      <w:r w:rsidRPr="00903D82">
        <w:rPr>
          <w:b/>
          <w:bCs/>
          <w:i/>
          <w:iCs/>
        </w:rPr>
        <w:t>ection 4-</w:t>
      </w:r>
      <w:r>
        <w:rPr>
          <w:b/>
          <w:bCs/>
          <w:i/>
          <w:iCs/>
        </w:rPr>
        <w:t>20(1)</w:t>
      </w:r>
      <w:r w:rsidRPr="00903D82">
        <w:rPr>
          <w:b/>
          <w:bCs/>
          <w:i/>
          <w:iCs/>
        </w:rPr>
        <w:t xml:space="preserve"> of the Rules]</w:t>
      </w:r>
    </w:p>
    <w:p w14:paraId="1BFB2F83" w14:textId="4454C752" w:rsidR="00840DA0" w:rsidRDefault="00840DA0" w:rsidP="00840DA0">
      <w:pPr>
        <w:pStyle w:val="Normalparatextwithnumbers"/>
        <w:numPr>
          <w:ilvl w:val="1"/>
          <w:numId w:val="16"/>
        </w:numPr>
      </w:pPr>
      <w:r w:rsidRPr="00D70D6C">
        <w:t>Reducing</w:t>
      </w:r>
      <w:r w:rsidRPr="00B14C2E">
        <w:t xml:space="preserve"> the amount of Accrued Current Tax Expense related to income excluded from GloBE Income or </w:t>
      </w:r>
      <w:r w:rsidRPr="00DE4877">
        <w:t xml:space="preserve">Loss </w:t>
      </w:r>
      <w:r w:rsidRPr="00F1476E">
        <w:t>When an income item is not part of the GloBE Income or Loss computation</w:t>
      </w:r>
      <w:r>
        <w:t xml:space="preserve"> under Chapter 3</w:t>
      </w:r>
      <w:r w:rsidR="00E63017">
        <w:t xml:space="preserve"> of the Rules</w:t>
      </w:r>
      <w:r w:rsidRPr="00F1476E">
        <w:t xml:space="preserve">, the associated taxes </w:t>
      </w:r>
      <w:r>
        <w:t>are</w:t>
      </w:r>
      <w:r w:rsidRPr="00F1476E">
        <w:t xml:space="preserve"> not </w:t>
      </w:r>
      <w:r>
        <w:t>included</w:t>
      </w:r>
      <w:r w:rsidRPr="00F1476E">
        <w:t xml:space="preserve"> in the </w:t>
      </w:r>
      <w:r>
        <w:t xml:space="preserve">Adjusted Covered Taxes for </w:t>
      </w:r>
      <w:r w:rsidRPr="00F1476E">
        <w:t>the ETR computation for that jurisdiction.</w:t>
      </w:r>
      <w:r>
        <w:br/>
      </w:r>
      <w:r w:rsidRPr="00432504">
        <w:rPr>
          <w:b/>
          <w:bCs/>
          <w:i/>
          <w:iCs/>
        </w:rPr>
        <w:t xml:space="preserve">[Chapter 4, </w:t>
      </w:r>
      <w:r>
        <w:rPr>
          <w:b/>
          <w:bCs/>
          <w:i/>
          <w:iCs/>
        </w:rPr>
        <w:t xml:space="preserve">subsection </w:t>
      </w:r>
      <w:r w:rsidRPr="00432504">
        <w:rPr>
          <w:b/>
          <w:bCs/>
          <w:i/>
          <w:iCs/>
        </w:rPr>
        <w:t>4-</w:t>
      </w:r>
      <w:r>
        <w:rPr>
          <w:b/>
          <w:bCs/>
          <w:i/>
          <w:iCs/>
        </w:rPr>
        <w:t>20(</w:t>
      </w:r>
      <w:r w:rsidRPr="0A88594F">
        <w:rPr>
          <w:b/>
          <w:bCs/>
          <w:i/>
          <w:iCs/>
        </w:rPr>
        <w:t>1)(</w:t>
      </w:r>
      <w:r>
        <w:rPr>
          <w:b/>
          <w:bCs/>
          <w:i/>
          <w:iCs/>
        </w:rPr>
        <w:t>a)</w:t>
      </w:r>
      <w:r w:rsidRPr="00432504">
        <w:rPr>
          <w:b/>
          <w:bCs/>
          <w:i/>
          <w:iCs/>
        </w:rPr>
        <w:t xml:space="preserve"> of the </w:t>
      </w:r>
      <w:r>
        <w:rPr>
          <w:b/>
          <w:bCs/>
          <w:i/>
          <w:iCs/>
        </w:rPr>
        <w:t>Rules</w:t>
      </w:r>
      <w:r w:rsidRPr="00432504">
        <w:rPr>
          <w:b/>
          <w:bCs/>
          <w:i/>
          <w:iCs/>
        </w:rPr>
        <w:t>]</w:t>
      </w:r>
    </w:p>
    <w:p w14:paraId="0E5A79FA" w14:textId="77777777" w:rsidR="00840DA0" w:rsidRPr="00F1476E" w:rsidRDefault="00840DA0" w:rsidP="00840DA0">
      <w:pPr>
        <w:pStyle w:val="Normalparatextwithnumbers"/>
        <w:numPr>
          <w:ilvl w:val="1"/>
          <w:numId w:val="17"/>
        </w:numPr>
      </w:pPr>
      <w:r>
        <w:t xml:space="preserve">The reduction to the Accrued Current Tax Expense is directly related to the amount of </w:t>
      </w:r>
      <w:r w:rsidRPr="006759FF">
        <w:t xml:space="preserve">income </w:t>
      </w:r>
      <w:r>
        <w:t xml:space="preserve">that is </w:t>
      </w:r>
      <w:r w:rsidRPr="006759FF">
        <w:t>excluded from GloBE Income or Loss</w:t>
      </w:r>
      <w:r>
        <w:t>. This means that if only a portion of an income item is excluded from GloBE Income or Loss</w:t>
      </w:r>
      <w:r w:rsidRPr="006759FF">
        <w:t xml:space="preserve">, only the extent of </w:t>
      </w:r>
      <w:r>
        <w:t>that</w:t>
      </w:r>
      <w:r w:rsidRPr="006759FF">
        <w:t xml:space="preserve"> excluded portion</w:t>
      </w:r>
      <w:r>
        <w:t xml:space="preserve"> is applied to exclude an amount from the Adjusted Covered Taxes.</w:t>
      </w:r>
      <w:r w:rsidRPr="00B70CF8">
        <w:t xml:space="preserve"> </w:t>
      </w:r>
      <w:r>
        <w:t>F</w:t>
      </w:r>
      <w:r w:rsidRPr="006759FF">
        <w:t xml:space="preserve">or example, in the case of a CFC charge on a minority interest, that portion of the shareholder’s income tax attributable to the CFC inclusion must be excluded from the </w:t>
      </w:r>
      <w:r>
        <w:t>Constituent Entity</w:t>
      </w:r>
      <w:r w:rsidRPr="006759FF">
        <w:t>’s Adjusted Covered Taxes when calculating the ETR.</w:t>
      </w:r>
      <w:r>
        <w:t xml:space="preserve"> </w:t>
      </w:r>
      <w:r w:rsidRPr="006759FF">
        <w:t xml:space="preserve"> </w:t>
      </w:r>
    </w:p>
    <w:p w14:paraId="400626F0" w14:textId="77777777" w:rsidR="00840DA0" w:rsidRPr="001852DB" w:rsidRDefault="00840DA0" w:rsidP="00840DA0">
      <w:pPr>
        <w:pStyle w:val="Heading6"/>
        <w:rPr>
          <w:rFonts w:hint="eastAsia"/>
          <w:i w:val="0"/>
        </w:rPr>
      </w:pPr>
      <w:r>
        <w:t xml:space="preserve">Other considerations - </w:t>
      </w:r>
      <w:r w:rsidRPr="00EC1ADC">
        <w:t>CFC Tax Regimes</w:t>
      </w:r>
    </w:p>
    <w:p w14:paraId="4710AB17" w14:textId="77777777" w:rsidR="00840DA0" w:rsidRDefault="00840DA0" w:rsidP="00840DA0">
      <w:pPr>
        <w:pStyle w:val="Normalparatextwithnumbers"/>
        <w:numPr>
          <w:ilvl w:val="1"/>
          <w:numId w:val="16"/>
        </w:numPr>
      </w:pPr>
      <w:r w:rsidRPr="00F1476E">
        <w:t xml:space="preserve">While </w:t>
      </w:r>
      <w:r>
        <w:t xml:space="preserve">this section </w:t>
      </w:r>
      <w:r w:rsidRPr="00F1476E">
        <w:t xml:space="preserve">removes </w:t>
      </w:r>
      <w:r>
        <w:t>certain t</w:t>
      </w:r>
      <w:r w:rsidRPr="00F1476E">
        <w:t>axes from a</w:t>
      </w:r>
      <w:r>
        <w:t xml:space="preserve"> Constituent E</w:t>
      </w:r>
      <w:r w:rsidRPr="00F1476E">
        <w:t>ntity</w:t>
      </w:r>
      <w:r>
        <w:t>’s</w:t>
      </w:r>
      <w:r w:rsidRPr="00F1476E">
        <w:t xml:space="preserve"> Adjusted Covered Taxes, </w:t>
      </w:r>
      <w:r>
        <w:t xml:space="preserve">those taxes may be </w:t>
      </w:r>
      <w:r w:rsidRPr="00F1476E">
        <w:t xml:space="preserve">allocated to another </w:t>
      </w:r>
      <w:r>
        <w:t>Constituent Entity</w:t>
      </w:r>
      <w:r w:rsidRPr="00F1476E">
        <w:t xml:space="preserve"> </w:t>
      </w:r>
      <w:r>
        <w:t xml:space="preserve">and be </w:t>
      </w:r>
      <w:r w:rsidRPr="00F1476E">
        <w:t>part of th</w:t>
      </w:r>
      <w:r>
        <w:t xml:space="preserve">at Constituent Entity’s Adjusted Covered Taxes </w:t>
      </w:r>
      <w:r w:rsidRPr="00F1476E">
        <w:t>computation</w:t>
      </w:r>
      <w:r>
        <w:t xml:space="preserve">. </w:t>
      </w:r>
    </w:p>
    <w:p w14:paraId="65806C64" w14:textId="09935E73" w:rsidR="00840DA0" w:rsidRPr="00D85A84" w:rsidRDefault="00840DA0" w:rsidP="00840DA0">
      <w:pPr>
        <w:pStyle w:val="Normalparatextwithnumbers"/>
        <w:numPr>
          <w:ilvl w:val="1"/>
          <w:numId w:val="16"/>
        </w:numPr>
      </w:pPr>
      <w:r w:rsidRPr="00F1476E">
        <w:t xml:space="preserve">For </w:t>
      </w:r>
      <w:r>
        <w:t>example</w:t>
      </w:r>
      <w:r w:rsidRPr="00F1476E">
        <w:t xml:space="preserve">, Covered Taxes related to dividends from another </w:t>
      </w:r>
      <w:r>
        <w:t>Constituent Entity</w:t>
      </w:r>
      <w:r w:rsidRPr="00F1476E">
        <w:t xml:space="preserve"> are removed from the receiving entity</w:t>
      </w:r>
      <w:r>
        <w:t>’</w:t>
      </w:r>
      <w:r w:rsidRPr="00F1476E">
        <w:t xml:space="preserve">s Adjusted Covered Taxes </w:t>
      </w:r>
      <w:r>
        <w:t>under section 4-20</w:t>
      </w:r>
      <w:r w:rsidRPr="00F1476E">
        <w:t xml:space="preserve"> </w:t>
      </w:r>
      <w:r w:rsidR="002059B8">
        <w:t xml:space="preserve">of the Rules </w:t>
      </w:r>
      <w:r w:rsidRPr="00F1476E">
        <w:t xml:space="preserve">but are allocated to the distributing entity according to </w:t>
      </w:r>
      <w:r>
        <w:t>section 4</w:t>
      </w:r>
      <w:r>
        <w:noBreakHyphen/>
        <w:t>60 of the Rules</w:t>
      </w:r>
      <w:r w:rsidRPr="0006794B">
        <w:t>.</w:t>
      </w:r>
      <w:r w:rsidRPr="00F1476E">
        <w:t xml:space="preserve"> </w:t>
      </w:r>
      <w:r>
        <w:t xml:space="preserve">Similarly, </w:t>
      </w:r>
      <w:r w:rsidRPr="00F1476E">
        <w:t xml:space="preserve">Covered Taxes </w:t>
      </w:r>
      <w:r>
        <w:t>included in the financial accounts of a Constituent Entity-owner</w:t>
      </w:r>
      <w:r w:rsidRPr="00F1476E">
        <w:t xml:space="preserve"> under a CFC Tax Regime are allocated </w:t>
      </w:r>
      <w:r w:rsidRPr="00F1476E">
        <w:lastRenderedPageBreak/>
        <w:t xml:space="preserve">to the </w:t>
      </w:r>
      <w:r>
        <w:t>Constituent Entity</w:t>
      </w:r>
      <w:r w:rsidRPr="00F1476E">
        <w:t xml:space="preserve"> CFC </w:t>
      </w:r>
      <w:r>
        <w:t xml:space="preserve">under section 4-45 of the Rules and an adjustment to </w:t>
      </w:r>
      <w:r w:rsidRPr="00E87820">
        <w:t>Accrued Current Covered Tax Expense</w:t>
      </w:r>
      <w:r>
        <w:t xml:space="preserve"> may be required.</w:t>
      </w:r>
      <w:r w:rsidRPr="003C121E">
        <w:t xml:space="preserve"> </w:t>
      </w:r>
      <w:r>
        <w:t>To the extent Covered Taxes are not allocated under section 4-65</w:t>
      </w:r>
      <w:r w:rsidR="002059B8">
        <w:t xml:space="preserve"> of the Rules</w:t>
      </w:r>
      <w:r>
        <w:t>, any remaining amount is included in the Constituent Entity-owner’s Adjusted Covered Taxes.</w:t>
      </w:r>
    </w:p>
    <w:p w14:paraId="0ACB2CC5" w14:textId="77777777" w:rsidR="00840DA0" w:rsidRPr="00B13650" w:rsidRDefault="00840DA0" w:rsidP="00840DA0">
      <w:pPr>
        <w:pStyle w:val="Heading5"/>
        <w:numPr>
          <w:ilvl w:val="4"/>
          <w:numId w:val="2"/>
        </w:numPr>
      </w:pPr>
      <w:r>
        <w:t>Reducing the a</w:t>
      </w:r>
      <w:r w:rsidRPr="00FF18A6">
        <w:t xml:space="preserve">mount of credit or refund related to </w:t>
      </w:r>
      <w:r>
        <w:t>certain tax credits</w:t>
      </w:r>
      <w:r w:rsidRPr="00FF18A6">
        <w:t xml:space="preserve"> </w:t>
      </w:r>
    </w:p>
    <w:p w14:paraId="2F813F62" w14:textId="222A070C" w:rsidR="00840DA0" w:rsidRDefault="00840DA0" w:rsidP="00840DA0">
      <w:pPr>
        <w:pStyle w:val="Normalparatextwithnumbers"/>
        <w:numPr>
          <w:ilvl w:val="1"/>
          <w:numId w:val="17"/>
        </w:numPr>
      </w:pPr>
      <w:r>
        <w:t xml:space="preserve">A tax credit that is not a </w:t>
      </w:r>
      <w:r w:rsidRPr="00611A40">
        <w:t xml:space="preserve">Qualified Refundable Tax </w:t>
      </w:r>
      <w:r>
        <w:t>Credit or Marketable Transferable Tax Credit</w:t>
      </w:r>
      <w:r w:rsidRPr="00611A40">
        <w:t xml:space="preserve"> m</w:t>
      </w:r>
      <w:r>
        <w:t>ay</w:t>
      </w:r>
      <w:r w:rsidRPr="00611A40">
        <w:t xml:space="preserve"> be treated as income </w:t>
      </w:r>
      <w:r>
        <w:t xml:space="preserve">of a Constituent Entity </w:t>
      </w:r>
      <w:r w:rsidRPr="00611A40">
        <w:t>for financial accounting purposes</w:t>
      </w:r>
      <w:r>
        <w:t xml:space="preserve">. However, </w:t>
      </w:r>
      <w:r w:rsidR="004C3956">
        <w:t xml:space="preserve">as </w:t>
      </w:r>
      <w:r w:rsidR="008A66BB">
        <w:t xml:space="preserve">explained </w:t>
      </w:r>
      <w:r w:rsidR="004C3956">
        <w:t>in</w:t>
      </w:r>
      <w:r w:rsidR="008A66BB">
        <w:t xml:space="preserve"> </w:t>
      </w:r>
      <w:r w:rsidR="004C3956">
        <w:t xml:space="preserve">paragraph </w:t>
      </w:r>
      <w:r w:rsidR="004C3956">
        <w:fldChar w:fldCharType="begin"/>
      </w:r>
      <w:r w:rsidR="004C3956">
        <w:instrText xml:space="preserve"> REF _Ref183772460 \r \h </w:instrText>
      </w:r>
      <w:r w:rsidR="004C3956">
        <w:fldChar w:fldCharType="separate"/>
      </w:r>
      <w:r w:rsidR="009D6D0D">
        <w:t>3.94</w:t>
      </w:r>
      <w:r w:rsidR="004C3956">
        <w:fldChar w:fldCharType="end"/>
      </w:r>
      <w:r w:rsidR="007B6174">
        <w:t>,</w:t>
      </w:r>
      <w:r w:rsidR="008A66BB">
        <w:t xml:space="preserve"> </w:t>
      </w:r>
      <w:r>
        <w:t xml:space="preserve">these tax credits are excluded from the computation of GloBE Income or Loss under </w:t>
      </w:r>
      <w:r w:rsidRPr="00E7158E">
        <w:t>section 3-</w:t>
      </w:r>
      <w:r>
        <w:t>115</w:t>
      </w:r>
      <w:r w:rsidRPr="00E7158E">
        <w:t xml:space="preserve"> of the Rules</w:t>
      </w:r>
      <w:r>
        <w:t xml:space="preserve"> and are treated as a reduction in the tax expense of the Constituent Entity. </w:t>
      </w:r>
    </w:p>
    <w:p w14:paraId="0C6966D3" w14:textId="7AEA2B40" w:rsidR="00840DA0" w:rsidRDefault="00840DA0" w:rsidP="00840DA0">
      <w:pPr>
        <w:pStyle w:val="Normalparatextwithnumbers"/>
        <w:numPr>
          <w:ilvl w:val="1"/>
          <w:numId w:val="16"/>
        </w:numPr>
      </w:pPr>
      <w:r>
        <w:t>To the extent that such an amount is not already recorded as a reduction to the C</w:t>
      </w:r>
      <w:r w:rsidRPr="00522A0F">
        <w:t>urrent Tax Expense</w:t>
      </w:r>
      <w:r>
        <w:t xml:space="preserve">, the amount of credit or refund related to a tax credit reduces the </w:t>
      </w:r>
      <w:r w:rsidRPr="00522A0F">
        <w:t xml:space="preserve">Accrued Current </w:t>
      </w:r>
      <w:r>
        <w:t xml:space="preserve">Covered </w:t>
      </w:r>
      <w:r w:rsidRPr="00522A0F">
        <w:t>Tax Expense</w:t>
      </w:r>
      <w:r>
        <w:t xml:space="preserve">. </w:t>
      </w:r>
      <w:r>
        <w:br/>
      </w:r>
      <w:r w:rsidRPr="00432504">
        <w:rPr>
          <w:b/>
          <w:bCs/>
          <w:i/>
          <w:iCs/>
        </w:rPr>
        <w:t xml:space="preserve">[Chapter 4, </w:t>
      </w:r>
      <w:r w:rsidR="005C16E5">
        <w:rPr>
          <w:b/>
          <w:bCs/>
          <w:i/>
          <w:iCs/>
        </w:rPr>
        <w:t>paragraph</w:t>
      </w:r>
      <w:r>
        <w:rPr>
          <w:b/>
          <w:bCs/>
          <w:i/>
          <w:iCs/>
        </w:rPr>
        <w:t xml:space="preserve"> </w:t>
      </w:r>
      <w:r w:rsidRPr="00432504">
        <w:rPr>
          <w:b/>
          <w:bCs/>
          <w:i/>
          <w:iCs/>
        </w:rPr>
        <w:t>4-</w:t>
      </w:r>
      <w:r>
        <w:rPr>
          <w:b/>
          <w:bCs/>
          <w:i/>
          <w:iCs/>
        </w:rPr>
        <w:t>20(b)</w:t>
      </w:r>
      <w:r w:rsidRPr="00432504">
        <w:rPr>
          <w:b/>
          <w:bCs/>
          <w:i/>
          <w:iCs/>
        </w:rPr>
        <w:t xml:space="preserve"> of the </w:t>
      </w:r>
      <w:r>
        <w:rPr>
          <w:b/>
          <w:bCs/>
          <w:i/>
          <w:iCs/>
        </w:rPr>
        <w:t>Rules</w:t>
      </w:r>
      <w:r w:rsidRPr="00432504">
        <w:rPr>
          <w:b/>
          <w:bCs/>
          <w:i/>
          <w:iCs/>
        </w:rPr>
        <w:t>]</w:t>
      </w:r>
    </w:p>
    <w:p w14:paraId="429A666C" w14:textId="77777777" w:rsidR="00840DA0" w:rsidRPr="00EE1B42" w:rsidRDefault="00840DA0" w:rsidP="00840DA0">
      <w:pPr>
        <w:pStyle w:val="Heading5"/>
        <w:numPr>
          <w:ilvl w:val="4"/>
          <w:numId w:val="2"/>
        </w:numPr>
      </w:pPr>
      <w:r w:rsidRPr="00EE1B42">
        <w:rPr>
          <w:iCs/>
        </w:rPr>
        <w:t>Reducing the amount of Covered Taxes refunded</w:t>
      </w:r>
      <w:r w:rsidRPr="00EE1B42">
        <w:t xml:space="preserve"> or credited to the Constituent Entity </w:t>
      </w:r>
    </w:p>
    <w:p w14:paraId="385818CC" w14:textId="36F21F10" w:rsidR="00840DA0" w:rsidRDefault="00840DA0" w:rsidP="00840DA0">
      <w:pPr>
        <w:pStyle w:val="Normalparatextwithnumbers"/>
        <w:numPr>
          <w:ilvl w:val="1"/>
          <w:numId w:val="16"/>
        </w:numPr>
      </w:pPr>
      <w:r>
        <w:t>If there is an</w:t>
      </w:r>
      <w:r w:rsidRPr="00D17D09">
        <w:t xml:space="preserve"> </w:t>
      </w:r>
      <w:r>
        <w:t xml:space="preserve">amount of Covered Taxes </w:t>
      </w:r>
      <w:r w:rsidRPr="00D17D09">
        <w:t>credit</w:t>
      </w:r>
      <w:r>
        <w:t xml:space="preserve">ed </w:t>
      </w:r>
      <w:r w:rsidRPr="00D17D09">
        <w:t xml:space="preserve">or </w:t>
      </w:r>
      <w:r>
        <w:t xml:space="preserve">refunded to a </w:t>
      </w:r>
      <w:r w:rsidRPr="0035563A">
        <w:t>Constituent Entity</w:t>
      </w:r>
      <w:r>
        <w:t xml:space="preserve"> that has </w:t>
      </w:r>
      <w:r w:rsidRPr="00D17D09">
        <w:t xml:space="preserve">not already been treated as an adjustment to </w:t>
      </w:r>
      <w:r w:rsidRPr="00522A0F">
        <w:t>Accrued Current Tax Expens</w:t>
      </w:r>
      <w:r>
        <w:t xml:space="preserve">e for the Fiscal Year, then that amount is removed, provided that the credit or refund is not a Qualified Refundable Tax Credits or </w:t>
      </w:r>
      <w:r w:rsidRPr="003112F3">
        <w:t>Marketable Transferable Tax Credit</w:t>
      </w:r>
      <w:r>
        <w:t>.</w:t>
      </w:r>
      <w:r>
        <w:br/>
      </w:r>
      <w:r w:rsidRPr="00432504">
        <w:rPr>
          <w:b/>
          <w:bCs/>
          <w:i/>
          <w:iCs/>
        </w:rPr>
        <w:t xml:space="preserve">[Chapter 4, </w:t>
      </w:r>
      <w:r w:rsidR="005C16E5">
        <w:rPr>
          <w:b/>
          <w:bCs/>
          <w:i/>
          <w:iCs/>
        </w:rPr>
        <w:t>paragraph</w:t>
      </w:r>
      <w:r>
        <w:rPr>
          <w:b/>
          <w:bCs/>
          <w:i/>
          <w:iCs/>
        </w:rPr>
        <w:t xml:space="preserve">s </w:t>
      </w:r>
      <w:r w:rsidRPr="00432504">
        <w:rPr>
          <w:b/>
          <w:bCs/>
          <w:i/>
          <w:iCs/>
        </w:rPr>
        <w:t>4-</w:t>
      </w:r>
      <w:r>
        <w:rPr>
          <w:b/>
          <w:bCs/>
          <w:i/>
          <w:iCs/>
        </w:rPr>
        <w:t xml:space="preserve">5(c) and </w:t>
      </w:r>
      <w:r w:rsidRPr="00432504">
        <w:rPr>
          <w:b/>
          <w:bCs/>
          <w:i/>
          <w:iCs/>
        </w:rPr>
        <w:t>4-</w:t>
      </w:r>
      <w:r>
        <w:rPr>
          <w:b/>
          <w:bCs/>
          <w:i/>
          <w:iCs/>
        </w:rPr>
        <w:t>20(c)</w:t>
      </w:r>
      <w:r w:rsidRPr="00432504">
        <w:rPr>
          <w:b/>
          <w:bCs/>
          <w:i/>
          <w:iCs/>
        </w:rPr>
        <w:t xml:space="preserve"> of the </w:t>
      </w:r>
      <w:r>
        <w:rPr>
          <w:b/>
          <w:bCs/>
          <w:i/>
          <w:iCs/>
        </w:rPr>
        <w:t>Rules</w:t>
      </w:r>
      <w:r w:rsidRPr="00432504">
        <w:rPr>
          <w:b/>
          <w:bCs/>
          <w:i/>
          <w:iCs/>
        </w:rPr>
        <w:t>]</w:t>
      </w:r>
    </w:p>
    <w:p w14:paraId="26BC229A" w14:textId="77777777" w:rsidR="00840DA0" w:rsidRDefault="00840DA0" w:rsidP="00840DA0">
      <w:pPr>
        <w:pStyle w:val="Normalparatextwithnumbers"/>
        <w:numPr>
          <w:ilvl w:val="1"/>
          <w:numId w:val="16"/>
        </w:numPr>
      </w:pPr>
      <w:r w:rsidRPr="005C7B76">
        <w:t xml:space="preserve">This </w:t>
      </w:r>
      <w:r>
        <w:t>reduction</w:t>
      </w:r>
      <w:r w:rsidRPr="005C7B76">
        <w:t xml:space="preserve"> ensures that</w:t>
      </w:r>
      <w:r>
        <w:t xml:space="preserve">, </w:t>
      </w:r>
      <w:r w:rsidRPr="005C7B76">
        <w:t xml:space="preserve">to the extent a </w:t>
      </w:r>
      <w:r w:rsidRPr="0035563A">
        <w:t>Constituent Entity</w:t>
      </w:r>
      <w:r w:rsidRPr="005C7B76">
        <w:t xml:space="preserve"> receives a refund of </w:t>
      </w:r>
      <w:r>
        <w:t>previously</w:t>
      </w:r>
      <w:r w:rsidRPr="005C7B76">
        <w:t xml:space="preserve"> claimed Covered Taxes</w:t>
      </w:r>
      <w:r>
        <w:t xml:space="preserve">, including a refund that is credited against another Covered Tax liability, the </w:t>
      </w:r>
      <w:r w:rsidRPr="005C7B76">
        <w:t xml:space="preserve">amount </w:t>
      </w:r>
      <w:r>
        <w:t>of the refund or credit</w:t>
      </w:r>
      <w:r w:rsidRPr="005C7B76">
        <w:t xml:space="preserve"> is treated as a reduction in the computation of Adjusted Covered Taxes for the Fiscal Year in which the refund or credit is accrued </w:t>
      </w:r>
      <w:r>
        <w:t xml:space="preserve">in the financial accounts. </w:t>
      </w:r>
    </w:p>
    <w:p w14:paraId="1A883548" w14:textId="77777777" w:rsidR="00840DA0" w:rsidRDefault="00840DA0" w:rsidP="00840DA0">
      <w:pPr>
        <w:pStyle w:val="Normalparatextwithnumbers"/>
        <w:numPr>
          <w:ilvl w:val="1"/>
          <w:numId w:val="16"/>
        </w:numPr>
      </w:pPr>
      <w:r>
        <w:t>The reduction applies to cases even where the Constituent Entity’s accounting principles or policy did not treat that amount as an adjustment to the current tax expense for a Covered Tax. The reduction</w:t>
      </w:r>
      <w:r w:rsidRPr="004304DC">
        <w:t xml:space="preserve"> also applies to refunds and credits in respect of Covered Taxes when the refund or credit is made to a different </w:t>
      </w:r>
      <w:r w:rsidRPr="0035563A">
        <w:t>Constituent Entity</w:t>
      </w:r>
      <w:r w:rsidRPr="004304DC">
        <w:t xml:space="preserve"> than the entity that originally incurred the tax expense.</w:t>
      </w:r>
    </w:p>
    <w:p w14:paraId="7670BBA2" w14:textId="77777777" w:rsidR="00840DA0" w:rsidRDefault="00840DA0" w:rsidP="00840DA0">
      <w:pPr>
        <w:pStyle w:val="Normalparatextwithnumbers"/>
        <w:numPr>
          <w:ilvl w:val="1"/>
          <w:numId w:val="16"/>
        </w:numPr>
      </w:pPr>
      <w:r>
        <w:t>In the case of a transfer, the amount of the adjustment is determined in line with the following formula:</w:t>
      </w:r>
    </w:p>
    <w:p w14:paraId="5DDB23B2" w14:textId="43409B88" w:rsidR="00840DA0" w:rsidRPr="00AB4318" w:rsidRDefault="00840DA0" w:rsidP="00840DA0">
      <w:pPr>
        <w:pStyle w:val="Normalparatextwithnumbers"/>
        <w:numPr>
          <w:ilvl w:val="0"/>
          <w:numId w:val="0"/>
        </w:numPr>
        <w:ind w:left="709"/>
        <w:rPr>
          <w:rFonts w:eastAsiaTheme="minorEastAsia"/>
        </w:rPr>
      </w:pPr>
    </w:p>
    <w:p w14:paraId="5AE2E7A7" w14:textId="3A88B8FC" w:rsidR="00AB4318" w:rsidRDefault="00AB4318" w:rsidP="00840DA0">
      <w:pPr>
        <w:pStyle w:val="Normalparatextwithnumbers"/>
        <w:numPr>
          <w:ilvl w:val="0"/>
          <w:numId w:val="0"/>
        </w:numPr>
        <w:ind w:left="709"/>
      </w:pPr>
      <w:r w:rsidRPr="00AB4318">
        <w:rPr>
          <w:noProof/>
        </w:rPr>
        <w:lastRenderedPageBreak/>
        <w:drawing>
          <wp:inline distT="0" distB="0" distL="0" distR="0" wp14:anchorId="395F3A73" wp14:editId="378060D1">
            <wp:extent cx="4895850" cy="971550"/>
            <wp:effectExtent l="0" t="0" r="0" b="0"/>
            <wp:docPr id="2024622596" name="Picture 21" descr="Formula for the transfer amount to adjust Covered T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22596" name="Picture 21" descr="Formula for the transfer amount to adjust Covered Taxes"/>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895850" cy="971550"/>
                    </a:xfrm>
                    <a:prstGeom prst="rect">
                      <a:avLst/>
                    </a:prstGeom>
                    <a:noFill/>
                    <a:ln>
                      <a:noFill/>
                    </a:ln>
                  </pic:spPr>
                </pic:pic>
              </a:graphicData>
            </a:graphic>
          </wp:inline>
        </w:drawing>
      </w:r>
    </w:p>
    <w:p w14:paraId="3AF54898" w14:textId="03AA14FB" w:rsidR="00840DA0" w:rsidRDefault="00840DA0" w:rsidP="00840DA0">
      <w:pPr>
        <w:pStyle w:val="Normalparatextwithnumbers"/>
        <w:numPr>
          <w:ilvl w:val="1"/>
          <w:numId w:val="17"/>
        </w:numPr>
      </w:pPr>
      <w:r>
        <w:t xml:space="preserve">For the purposes of determining the GloBE category of a tax credit, the refundability criteria should </w:t>
      </w:r>
      <w:r w:rsidRPr="00F53FE7">
        <w:t xml:space="preserve">be </w:t>
      </w:r>
      <w:r>
        <w:t>tested primarily, and the transferability should be tested subordinately</w:t>
      </w:r>
      <w:r w:rsidR="00370871">
        <w:t>, consistent with paragraph 14.4 on page 112 of the Consolidated Commentary</w:t>
      </w:r>
      <w:r>
        <w:t xml:space="preserve">. Accordingly, if a tax credit meets the refundability criteria and qualifies as a </w:t>
      </w:r>
      <w:r w:rsidRPr="009A2923">
        <w:t>Qualified Refundable Tax Credi</w:t>
      </w:r>
      <w:r>
        <w:t xml:space="preserve">t, it will be defined as a </w:t>
      </w:r>
      <w:r w:rsidRPr="009A2923">
        <w:t>Qualified Refundable Tax Credi</w:t>
      </w:r>
      <w:r>
        <w:t>t regardless of whether it could be also transferable at a marketable price. If the tax credit rather does not meet the refundability criteria (</w:t>
      </w:r>
      <w:r w:rsidRPr="00F53FE7">
        <w:t xml:space="preserve">due to </w:t>
      </w:r>
      <w:r>
        <w:t>either being non</w:t>
      </w:r>
      <w:r>
        <w:noBreakHyphen/>
        <w:t>refundable or a non</w:t>
      </w:r>
      <w:r>
        <w:noBreakHyphen/>
      </w:r>
      <w:r w:rsidRPr="009A2923">
        <w:t>Qualified Refundable Tax Credi</w:t>
      </w:r>
      <w:r>
        <w:t>t), then the transferability criteria shall be tested to determine whether the tax credit could be considered a Marketable Transferable Tax Credit.</w:t>
      </w:r>
    </w:p>
    <w:p w14:paraId="6EEEBC64" w14:textId="779C408D" w:rsidR="00840DA0" w:rsidRDefault="00840DA0" w:rsidP="00840DA0">
      <w:pPr>
        <w:pStyle w:val="Normalparatextwithnumbers"/>
        <w:numPr>
          <w:ilvl w:val="1"/>
          <w:numId w:val="16"/>
        </w:numPr>
      </w:pPr>
      <w:r>
        <w:t>The reduction</w:t>
      </w:r>
      <w:r w:rsidRPr="004304DC">
        <w:t xml:space="preserve"> </w:t>
      </w:r>
      <w:r>
        <w:t xml:space="preserve">could also </w:t>
      </w:r>
      <w:r w:rsidRPr="004304DC">
        <w:t xml:space="preserve">apply to refunds and credits in respect of Covered Taxes paid or accrued in a current or previous Fiscal Year subject to the overriding operation of </w:t>
      </w:r>
      <w:r>
        <w:t>section 4-1</w:t>
      </w:r>
      <w:r w:rsidR="008D1A60">
        <w:t>4</w:t>
      </w:r>
      <w:r>
        <w:t>0 of the Rules</w:t>
      </w:r>
      <w:r w:rsidRPr="004304DC">
        <w:t xml:space="preserve">. </w:t>
      </w:r>
      <w:r>
        <w:t>The limitation under section 4-1</w:t>
      </w:r>
      <w:r w:rsidR="008D1A60">
        <w:t>4</w:t>
      </w:r>
      <w:r>
        <w:t>0 of the Rules requires downward</w:t>
      </w:r>
      <w:r w:rsidRPr="00F53FE7">
        <w:t xml:space="preserve"> adjustments to the liability for Covered Taxes from a previous </w:t>
      </w:r>
      <w:r>
        <w:t>Fis</w:t>
      </w:r>
      <w:r w:rsidRPr="00F53FE7">
        <w:t xml:space="preserve">cal </w:t>
      </w:r>
      <w:r>
        <w:t>Y</w:t>
      </w:r>
      <w:r w:rsidRPr="00F53FE7">
        <w:t>ear</w:t>
      </w:r>
      <w:r>
        <w:t xml:space="preserve"> (where the tax refund is EUR 1 million or more) to be included in a recalculation for that prior Fiscal Year</w:t>
      </w:r>
      <w:r w:rsidRPr="00F53FE7">
        <w:t>.</w:t>
      </w:r>
    </w:p>
    <w:p w14:paraId="57BE4BFA" w14:textId="77777777" w:rsidR="00840DA0" w:rsidRDefault="00840DA0" w:rsidP="00840DA0">
      <w:pPr>
        <w:pStyle w:val="Normalparatextwithnumbers"/>
        <w:numPr>
          <w:ilvl w:val="1"/>
          <w:numId w:val="16"/>
        </w:numPr>
      </w:pPr>
      <w:r>
        <w:t>For example, the reduction would apply</w:t>
      </w:r>
      <w:r w:rsidRPr="004304DC">
        <w:t xml:space="preserve"> if</w:t>
      </w:r>
      <w:r>
        <w:t xml:space="preserve"> </w:t>
      </w:r>
      <w:r w:rsidRPr="004304DC">
        <w:t xml:space="preserve">a jurisdiction provided a </w:t>
      </w:r>
      <w:r>
        <w:t>refund</w:t>
      </w:r>
      <w:r w:rsidRPr="004304DC">
        <w:t xml:space="preserve"> </w:t>
      </w:r>
      <w:r>
        <w:t xml:space="preserve">or </w:t>
      </w:r>
      <w:r w:rsidRPr="004304DC">
        <w:t xml:space="preserve">credit for previously incurred taxes on corporate equity where the tax and the corresponding </w:t>
      </w:r>
      <w:r>
        <w:t xml:space="preserve">refund or </w:t>
      </w:r>
      <w:r w:rsidRPr="004304DC">
        <w:t xml:space="preserve">credit was taken into account as an ordinary expense or income for financial reporting purposes in the year of the </w:t>
      </w:r>
      <w:r>
        <w:t xml:space="preserve">refund or </w:t>
      </w:r>
      <w:r w:rsidRPr="004304DC">
        <w:t xml:space="preserve">credit. </w:t>
      </w:r>
    </w:p>
    <w:p w14:paraId="3A759534" w14:textId="77777777" w:rsidR="00840DA0" w:rsidRPr="004F7956" w:rsidRDefault="00840DA0" w:rsidP="00840DA0">
      <w:pPr>
        <w:pStyle w:val="Heading5"/>
        <w:numPr>
          <w:ilvl w:val="4"/>
          <w:numId w:val="2"/>
        </w:numPr>
      </w:pPr>
      <w:r w:rsidRPr="00FF18A6">
        <w:t xml:space="preserve">Current tax expense related to uncertain tax positions </w:t>
      </w:r>
    </w:p>
    <w:p w14:paraId="4BE9CE7F" w14:textId="77777777" w:rsidR="00840DA0" w:rsidRPr="00E73A72" w:rsidRDefault="00840DA0" w:rsidP="00840DA0">
      <w:pPr>
        <w:pStyle w:val="Normalparatextwithnumbers"/>
        <w:numPr>
          <w:ilvl w:val="1"/>
          <w:numId w:val="17"/>
        </w:numPr>
      </w:pPr>
      <w:r>
        <w:t>A</w:t>
      </w:r>
      <w:r w:rsidRPr="006E72BA">
        <w:t>ny</w:t>
      </w:r>
      <w:r>
        <w:t xml:space="preserve"> amounts </w:t>
      </w:r>
      <w:r w:rsidRPr="006E72BA">
        <w:t>of Accrued Current Tax Expense</w:t>
      </w:r>
      <w:r>
        <w:t>s</w:t>
      </w:r>
      <w:r w:rsidRPr="006E72BA">
        <w:t xml:space="preserve"> relat</w:t>
      </w:r>
      <w:r>
        <w:t>ing</w:t>
      </w:r>
      <w:r w:rsidRPr="006E72BA">
        <w:t xml:space="preserve"> to uncertain tax positions</w:t>
      </w:r>
      <w:r>
        <w:t xml:space="preserve"> </w:t>
      </w:r>
      <w:r w:rsidRPr="006E72BA">
        <w:t>require</w:t>
      </w:r>
      <w:r>
        <w:t xml:space="preserve"> </w:t>
      </w:r>
      <w:r w:rsidRPr="006E72BA">
        <w:t>a reduction to Adjusted Covered Taxes</w:t>
      </w:r>
      <w:r>
        <w:t xml:space="preserve"> </w:t>
      </w:r>
      <w:r w:rsidRPr="0030175B">
        <w:t xml:space="preserve">due to the high degree of uncertainty </w:t>
      </w:r>
      <w:r>
        <w:t>on</w:t>
      </w:r>
      <w:r w:rsidRPr="0030175B">
        <w:t xml:space="preserve"> whether such amounts will be paid in a future period</w:t>
      </w:r>
      <w:r>
        <w:t xml:space="preserve">. </w:t>
      </w:r>
      <w:r>
        <w:br/>
      </w:r>
      <w:r w:rsidRPr="009F2530">
        <w:rPr>
          <w:b/>
          <w:bCs/>
          <w:i/>
          <w:iCs/>
        </w:rPr>
        <w:t xml:space="preserve">[Chapter 4, </w:t>
      </w:r>
      <w:r>
        <w:rPr>
          <w:b/>
          <w:bCs/>
          <w:i/>
          <w:iCs/>
        </w:rPr>
        <w:t>subsection</w:t>
      </w:r>
      <w:r w:rsidRPr="009F2530">
        <w:rPr>
          <w:b/>
          <w:bCs/>
          <w:i/>
          <w:iCs/>
        </w:rPr>
        <w:t xml:space="preserve"> 4-</w:t>
      </w:r>
      <w:r>
        <w:rPr>
          <w:b/>
          <w:bCs/>
          <w:i/>
          <w:iCs/>
        </w:rPr>
        <w:t>20</w:t>
      </w:r>
      <w:r w:rsidRPr="009F2530">
        <w:rPr>
          <w:b/>
          <w:bCs/>
          <w:i/>
          <w:iCs/>
        </w:rPr>
        <w:t>(d) of the Rules</w:t>
      </w:r>
      <w:r w:rsidRPr="00AF1C20">
        <w:rPr>
          <w:b/>
          <w:bCs/>
          <w:i/>
          <w:iCs/>
        </w:rPr>
        <w:t>]</w:t>
      </w:r>
    </w:p>
    <w:p w14:paraId="63A3B979" w14:textId="77777777" w:rsidR="00840DA0" w:rsidRDefault="00840DA0" w:rsidP="00840DA0">
      <w:pPr>
        <w:pStyle w:val="Heading5"/>
        <w:numPr>
          <w:ilvl w:val="0"/>
          <w:numId w:val="0"/>
        </w:numPr>
      </w:pPr>
      <w:r>
        <w:t xml:space="preserve">Reducing the amount of Accrued </w:t>
      </w:r>
      <w:r w:rsidRPr="00FF18A6">
        <w:t xml:space="preserve">Current </w:t>
      </w:r>
      <w:r>
        <w:t>Covered T</w:t>
      </w:r>
      <w:r w:rsidRPr="00FF18A6">
        <w:t xml:space="preserve">ax </w:t>
      </w:r>
      <w:r>
        <w:t>E</w:t>
      </w:r>
      <w:r w:rsidRPr="00FF18A6">
        <w:t>xpense not expected to be paid within three years of the Fiscal Year</w:t>
      </w:r>
    </w:p>
    <w:p w14:paraId="1B0F40E9" w14:textId="77777777" w:rsidR="00840DA0" w:rsidRDefault="00840DA0" w:rsidP="00840DA0">
      <w:pPr>
        <w:pStyle w:val="Normalparatextwithnumbers"/>
        <w:numPr>
          <w:ilvl w:val="1"/>
          <w:numId w:val="16"/>
        </w:numPr>
      </w:pPr>
      <w:r>
        <w:t>Any</w:t>
      </w:r>
      <w:r w:rsidRPr="00204E2D">
        <w:t xml:space="preserve"> amount of </w:t>
      </w:r>
      <w:r w:rsidRPr="00522A0F">
        <w:t xml:space="preserve">Accrued Current </w:t>
      </w:r>
      <w:r>
        <w:t xml:space="preserve">Covered </w:t>
      </w:r>
      <w:r w:rsidRPr="00522A0F">
        <w:t xml:space="preserve">Tax Expense </w:t>
      </w:r>
      <w:r w:rsidRPr="00204E2D">
        <w:t xml:space="preserve">that is not expected to be paid within three years of the last day of the Fiscal Year </w:t>
      </w:r>
      <w:r>
        <w:t>is to b</w:t>
      </w:r>
      <w:r w:rsidRPr="00204E2D">
        <w:t xml:space="preserve">e treated as a </w:t>
      </w:r>
      <w:r>
        <w:t>reduction</w:t>
      </w:r>
      <w:r w:rsidRPr="00204E2D">
        <w:t xml:space="preserve"> to Covered Taxes.</w:t>
      </w:r>
      <w:r>
        <w:br/>
      </w:r>
      <w:r w:rsidRPr="00B131A5">
        <w:rPr>
          <w:rStyle w:val="References"/>
        </w:rPr>
        <w:t>[</w:t>
      </w:r>
      <w:r>
        <w:rPr>
          <w:rStyle w:val="References"/>
        </w:rPr>
        <w:t>Chapter 4, paragraph 4-20(1)(e) of the Rules</w:t>
      </w:r>
      <w:r w:rsidRPr="00B131A5">
        <w:rPr>
          <w:rStyle w:val="References"/>
        </w:rPr>
        <w:t>]</w:t>
      </w:r>
    </w:p>
    <w:p w14:paraId="3339D7FA" w14:textId="0E0F03EE" w:rsidR="00840DA0" w:rsidRDefault="00840DA0" w:rsidP="00840DA0">
      <w:pPr>
        <w:pStyle w:val="Normalparatextwithnumbers"/>
        <w:numPr>
          <w:ilvl w:val="1"/>
          <w:numId w:val="16"/>
        </w:numPr>
      </w:pPr>
      <w:r w:rsidRPr="00071016">
        <w:lastRenderedPageBreak/>
        <w:t xml:space="preserve">This </w:t>
      </w:r>
      <w:r>
        <w:t>reduction</w:t>
      </w:r>
      <w:r w:rsidRPr="00204E2D">
        <w:t xml:space="preserve"> </w:t>
      </w:r>
      <w:r>
        <w:t>is consistent with</w:t>
      </w:r>
      <w:r w:rsidRPr="00204E2D">
        <w:t xml:space="preserve"> </w:t>
      </w:r>
      <w:r>
        <w:t>section 4-1</w:t>
      </w:r>
      <w:r w:rsidR="002A5580">
        <w:t>4</w:t>
      </w:r>
      <w:r>
        <w:t xml:space="preserve">0 of </w:t>
      </w:r>
      <w:r w:rsidRPr="00204E2D">
        <w:t xml:space="preserve">the </w:t>
      </w:r>
      <w:r>
        <w:t>Rules</w:t>
      </w:r>
      <w:r w:rsidRPr="00071016">
        <w:t xml:space="preserve"> which requires the recapture of </w:t>
      </w:r>
      <w:r w:rsidRPr="00204E2D">
        <w:t>material</w:t>
      </w:r>
      <w:r w:rsidRPr="00071016">
        <w:t xml:space="preserve"> amounts previously claimed as Covered Taxes </w:t>
      </w:r>
      <w:r w:rsidRPr="00204E2D">
        <w:t>and</w:t>
      </w:r>
      <w:r w:rsidRPr="00071016">
        <w:t xml:space="preserve"> not paid within </w:t>
      </w:r>
      <w:r w:rsidRPr="00204E2D">
        <w:t xml:space="preserve">three years of the last day of the Fiscal Year. </w:t>
      </w:r>
    </w:p>
    <w:p w14:paraId="4D1F678A" w14:textId="77777777" w:rsidR="00840DA0" w:rsidRDefault="00840DA0" w:rsidP="00840DA0">
      <w:pPr>
        <w:pStyle w:val="Normalparatextwithnumbers"/>
        <w:numPr>
          <w:ilvl w:val="1"/>
          <w:numId w:val="16"/>
        </w:numPr>
      </w:pPr>
      <w:r>
        <w:t>I</w:t>
      </w:r>
      <w:r w:rsidRPr="00F72AD7">
        <w:t>f</w:t>
      </w:r>
      <w:r>
        <w:t xml:space="preserve"> an amount of </w:t>
      </w:r>
      <w:r w:rsidRPr="00C478B4">
        <w:t>Accrued Current Tax Expense</w:t>
      </w:r>
      <w:r>
        <w:t xml:space="preserve"> is not expected to be paid </w:t>
      </w:r>
      <w:r w:rsidRPr="00204E2D">
        <w:t xml:space="preserve">within the three-year timeframe, </w:t>
      </w:r>
      <w:r>
        <w:t xml:space="preserve">that amount </w:t>
      </w:r>
      <w:r w:rsidRPr="00204E2D">
        <w:t>may not be included in the computation of Adjusted Covered Taxes.</w:t>
      </w:r>
      <w:r>
        <w:t xml:space="preserve"> </w:t>
      </w:r>
      <w:r w:rsidRPr="00204E2D">
        <w:t xml:space="preserve">Because timely payment of </w:t>
      </w:r>
      <w:r>
        <w:t xml:space="preserve">a </w:t>
      </w:r>
      <w:r w:rsidRPr="00204E2D">
        <w:t>liability for Covered Taxes is within the control of the MNE Group, there is no mechanism to include amounts paid after expiration of the</w:t>
      </w:r>
      <w:r w:rsidRPr="00071016">
        <w:t xml:space="preserve"> three-year period</w:t>
      </w:r>
      <w:r w:rsidRPr="00204E2D">
        <w:t xml:space="preserve"> in Adjusted Covered Taxes. </w:t>
      </w:r>
    </w:p>
    <w:p w14:paraId="48D3EB2E" w14:textId="304D8772" w:rsidR="00840DA0" w:rsidRDefault="00840DA0" w:rsidP="00840DA0">
      <w:pPr>
        <w:pStyle w:val="Normalparatextwithnumbers"/>
        <w:numPr>
          <w:ilvl w:val="1"/>
          <w:numId w:val="16"/>
        </w:numPr>
      </w:pPr>
      <w:r w:rsidRPr="00204E2D">
        <w:t>Th</w:t>
      </w:r>
      <w:r>
        <w:t>e fixed time</w:t>
      </w:r>
      <w:r>
        <w:noBreakHyphen/>
        <w:t xml:space="preserve">frame </w:t>
      </w:r>
      <w:r w:rsidRPr="00204E2D">
        <w:t xml:space="preserve">prevents </w:t>
      </w:r>
      <w:r>
        <w:t>evading top</w:t>
      </w:r>
      <w:r>
        <w:noBreakHyphen/>
        <w:t>up tax liability by not paying tax in year where a Constituent Entity</w:t>
      </w:r>
      <w:r w:rsidRPr="00204E2D">
        <w:t xml:space="preserve"> </w:t>
      </w:r>
      <w:r>
        <w:t>pays tax at the Minimum R</w:t>
      </w:r>
      <w:r w:rsidRPr="00204E2D">
        <w:t>ate</w:t>
      </w:r>
      <w:r>
        <w:t xml:space="preserve"> of taxation but</w:t>
      </w:r>
      <w:r w:rsidRPr="00204E2D">
        <w:t xml:space="preserve"> subsequently pay</w:t>
      </w:r>
      <w:r>
        <w:t>ing</w:t>
      </w:r>
      <w:r w:rsidRPr="00204E2D">
        <w:t xml:space="preserve"> the tax liability in a year </w:t>
      </w:r>
      <w:r>
        <w:t xml:space="preserve">the overall rate is less than </w:t>
      </w:r>
      <w:r w:rsidRPr="00204E2D">
        <w:t xml:space="preserve">the </w:t>
      </w:r>
      <w:r w:rsidR="00E550F4">
        <w:t xml:space="preserve">15 per cent </w:t>
      </w:r>
      <w:r w:rsidRPr="00204E2D">
        <w:t xml:space="preserve">Minimum Rate. </w:t>
      </w:r>
    </w:p>
    <w:p w14:paraId="04F21995" w14:textId="77777777" w:rsidR="00840DA0" w:rsidRDefault="00840DA0" w:rsidP="00840DA0">
      <w:pPr>
        <w:pStyle w:val="Heading6"/>
        <w:rPr>
          <w:rFonts w:hint="eastAsia"/>
        </w:rPr>
      </w:pPr>
      <w:r>
        <w:t xml:space="preserve">Interaction with other adjustments to </w:t>
      </w:r>
      <w:r w:rsidRPr="00121E49">
        <w:t>Accrued Current Covered Tax Expense</w:t>
      </w:r>
    </w:p>
    <w:p w14:paraId="56CC22BF" w14:textId="2EE1E6F3" w:rsidR="00840DA0" w:rsidRDefault="008762B2" w:rsidP="00840DA0">
      <w:pPr>
        <w:pStyle w:val="Normalparatextwithnumbers"/>
        <w:numPr>
          <w:ilvl w:val="1"/>
          <w:numId w:val="16"/>
        </w:numPr>
      </w:pPr>
      <w:r>
        <w:t xml:space="preserve">As described in paragraph </w:t>
      </w:r>
      <w:r w:rsidR="002F304B">
        <w:fldChar w:fldCharType="begin"/>
      </w:r>
      <w:r w:rsidR="002F304B">
        <w:instrText xml:space="preserve"> REF _Ref183772748 \r \h </w:instrText>
      </w:r>
      <w:r w:rsidR="002F304B">
        <w:fldChar w:fldCharType="separate"/>
      </w:r>
      <w:r w:rsidR="009D6D0D">
        <w:t>4.38</w:t>
      </w:r>
      <w:r w:rsidR="002F304B">
        <w:fldChar w:fldCharType="end"/>
      </w:r>
      <w:r w:rsidR="000F26EB">
        <w:t xml:space="preserve">, </w:t>
      </w:r>
      <w:r w:rsidR="00840DA0" w:rsidRPr="00204E2D">
        <w:t>amounts paid with respect to uncertain tax positions</w:t>
      </w:r>
      <w:r w:rsidR="00840DA0">
        <w:t xml:space="preserve"> </w:t>
      </w:r>
      <w:r w:rsidR="000F26EB">
        <w:t xml:space="preserve">may be included </w:t>
      </w:r>
      <w:r w:rsidR="003437D1">
        <w:t xml:space="preserve">as an adjustment to Covered Taxes despite not being </w:t>
      </w:r>
      <w:r w:rsidR="00423E9D">
        <w:t xml:space="preserve">paid within 3 years under </w:t>
      </w:r>
      <w:r w:rsidR="004F26BF">
        <w:t xml:space="preserve">paragraph </w:t>
      </w:r>
      <w:r w:rsidR="00840DA0">
        <w:t>4</w:t>
      </w:r>
      <w:r w:rsidR="00423E9D">
        <w:noBreakHyphen/>
      </w:r>
      <w:r w:rsidR="00840DA0">
        <w:t>20(1)(e) of the Rules</w:t>
      </w:r>
      <w:r w:rsidR="00840DA0" w:rsidRPr="00204E2D">
        <w:t xml:space="preserve">. </w:t>
      </w:r>
    </w:p>
    <w:p w14:paraId="705DED60" w14:textId="028A5CE7" w:rsidR="00840DA0" w:rsidRPr="002A5955" w:rsidRDefault="00CE5D0E" w:rsidP="00840DA0">
      <w:pPr>
        <w:pStyle w:val="Normalparatextwithnumbers"/>
        <w:numPr>
          <w:ilvl w:val="1"/>
          <w:numId w:val="16"/>
        </w:numPr>
        <w:rPr>
          <w:rStyle w:val="Heading5Char"/>
          <w:rFonts w:ascii="Times New Roman" w:eastAsiaTheme="minorHAnsi" w:hAnsi="Times New Roman" w:cstheme="minorBidi"/>
          <w:b w:val="0"/>
          <w:spacing w:val="0"/>
          <w:kern w:val="0"/>
          <w:sz w:val="22"/>
          <w:szCs w:val="22"/>
        </w:rPr>
      </w:pPr>
      <w:r>
        <w:t>P</w:t>
      </w:r>
      <w:r w:rsidR="006A43CC" w:rsidRPr="006A43CC">
        <w:t>ost-filing adjustments under Part 4 6 of the Rules</w:t>
      </w:r>
      <w:r w:rsidR="006A43CC">
        <w:t xml:space="preserve"> </w:t>
      </w:r>
      <w:r w:rsidR="006A43CC" w:rsidRPr="006A43CC">
        <w:t xml:space="preserve">do not fall within the scope of the reduction of expected payment </w:t>
      </w:r>
      <w:r>
        <w:t xml:space="preserve">due to </w:t>
      </w:r>
      <w:r w:rsidR="006A43CC" w:rsidRPr="006A43CC">
        <w:t xml:space="preserve">those amounts not </w:t>
      </w:r>
      <w:r>
        <w:t xml:space="preserve">being </w:t>
      </w:r>
      <w:r w:rsidR="006A43CC" w:rsidRPr="006A43CC">
        <w:t xml:space="preserve">included in the Accrued Current </w:t>
      </w:r>
      <w:r>
        <w:t xml:space="preserve">Covered </w:t>
      </w:r>
      <w:r w:rsidR="006A43CC" w:rsidRPr="006A43CC">
        <w:t>Tax Expens</w:t>
      </w:r>
      <w:r w:rsidR="005C2B9D">
        <w:t>e</w:t>
      </w:r>
      <w:r w:rsidR="00840DA0" w:rsidRPr="00204E2D">
        <w:t>.</w:t>
      </w:r>
    </w:p>
    <w:p w14:paraId="5E685C9B" w14:textId="77777777" w:rsidR="00840DA0" w:rsidRPr="00781EAC" w:rsidRDefault="00840DA0" w:rsidP="00840DA0">
      <w:pPr>
        <w:pStyle w:val="Heading5"/>
        <w:numPr>
          <w:ilvl w:val="4"/>
          <w:numId w:val="2"/>
        </w:numPr>
      </w:pPr>
      <w:r w:rsidRPr="009B6604">
        <w:t>Adjusting for any increases or decreases in Covered Taxes</w:t>
      </w:r>
    </w:p>
    <w:p w14:paraId="64B59354" w14:textId="77777777" w:rsidR="00840DA0" w:rsidRDefault="00840DA0" w:rsidP="00840DA0">
      <w:pPr>
        <w:pStyle w:val="Normalparatextwithnumbers"/>
        <w:numPr>
          <w:ilvl w:val="1"/>
          <w:numId w:val="16"/>
        </w:numPr>
      </w:pPr>
      <w:r>
        <w:t xml:space="preserve">The </w:t>
      </w:r>
      <w:r w:rsidRPr="00E9695A">
        <w:t>Constituent Entity</w:t>
      </w:r>
      <w:r>
        <w:t xml:space="preserve">’s Accrued Current Covered Tax Expense is adjusted by adding any increase and subtracting any decrease in Covered Taxes that is not included in current or deferred tax expense but is recorded in equity or other comprehensive income when the amounts of income or loss to which such taxes relate is included in the computation of GloBE Income or Loss. </w:t>
      </w:r>
      <w:r>
        <w:br/>
      </w:r>
      <w:r w:rsidRPr="00015417">
        <w:rPr>
          <w:rStyle w:val="References"/>
        </w:rPr>
        <w:t xml:space="preserve">[Chapter 4, </w:t>
      </w:r>
      <w:r>
        <w:rPr>
          <w:rStyle w:val="References"/>
        </w:rPr>
        <w:t>subsection</w:t>
      </w:r>
      <w:r w:rsidRPr="00015417">
        <w:rPr>
          <w:rStyle w:val="References"/>
        </w:rPr>
        <w:t xml:space="preserve"> 4-</w:t>
      </w:r>
      <w:r>
        <w:rPr>
          <w:rStyle w:val="References"/>
        </w:rPr>
        <w:t>5</w:t>
      </w:r>
      <w:r w:rsidRPr="00015417">
        <w:rPr>
          <w:rStyle w:val="References"/>
        </w:rPr>
        <w:t>(c) of the Rules]</w:t>
      </w:r>
      <w:r>
        <w:t xml:space="preserve"> </w:t>
      </w:r>
    </w:p>
    <w:p w14:paraId="24E1E25F" w14:textId="77777777" w:rsidR="00840DA0" w:rsidRDefault="00840DA0" w:rsidP="00840DA0">
      <w:pPr>
        <w:pStyle w:val="Normalparatextwithnumbers"/>
        <w:numPr>
          <w:ilvl w:val="1"/>
          <w:numId w:val="16"/>
        </w:numPr>
      </w:pPr>
      <w:r>
        <w:t xml:space="preserve">This adjustment ensures that when Covered Taxes are incurred with respect to items included in the computation of GloBE Income or Loss, such Covered Taxes are included despite being reported in the profit and loss statement and not being recorded as a current or deferred tax expense. However, this adjustment will only apply where the amount of income or loss to which the Covered Taxes relate is subject to tax under local tax rules. </w:t>
      </w:r>
    </w:p>
    <w:p w14:paraId="08B61CB9" w14:textId="77777777" w:rsidR="00840DA0" w:rsidRDefault="00840DA0" w:rsidP="00840DA0">
      <w:pPr>
        <w:pStyle w:val="Normalparatextwithnumbers"/>
        <w:numPr>
          <w:ilvl w:val="1"/>
          <w:numId w:val="16"/>
        </w:numPr>
      </w:pPr>
      <w:r>
        <w:t xml:space="preserve">For example, this adjustment may apply where a Constituent Entity is subject to tax on gains and losses that were taken into account under other comprehensive income pursuant to the revaluation method for property, plant and equipment, provided that the gain or loss is included in the computation of GloBE Income or Loss. </w:t>
      </w:r>
    </w:p>
    <w:p w14:paraId="4D78A040" w14:textId="77777777" w:rsidR="00840DA0" w:rsidRPr="00124537" w:rsidRDefault="00840DA0" w:rsidP="00840DA0">
      <w:pPr>
        <w:pStyle w:val="Heading4"/>
        <w:numPr>
          <w:ilvl w:val="3"/>
          <w:numId w:val="2"/>
        </w:numPr>
        <w:rPr>
          <w:rFonts w:ascii="Times New Roman" w:eastAsiaTheme="minorHAnsi" w:hAnsi="Times New Roman" w:cstheme="minorBidi"/>
          <w:sz w:val="22"/>
        </w:rPr>
      </w:pPr>
      <w:r w:rsidRPr="00D26E03">
        <w:lastRenderedPageBreak/>
        <w:t>Special rule</w:t>
      </w:r>
      <w:r w:rsidRPr="00124537">
        <w:t>: MNE Group has no Net GloBE Income and tax falls short of expected tax</w:t>
      </w:r>
    </w:p>
    <w:p w14:paraId="27A89630" w14:textId="77777777" w:rsidR="00840DA0" w:rsidRDefault="00840DA0" w:rsidP="00840DA0">
      <w:pPr>
        <w:pStyle w:val="Normalparatextwithnumbers"/>
        <w:numPr>
          <w:ilvl w:val="1"/>
          <w:numId w:val="17"/>
        </w:numPr>
      </w:pPr>
      <w:r>
        <w:t>A</w:t>
      </w:r>
      <w:r w:rsidRPr="00235647">
        <w:t xml:space="preserve"> special rule </w:t>
      </w:r>
      <w:r>
        <w:t>may</w:t>
      </w:r>
      <w:r w:rsidRPr="00235647">
        <w:t xml:space="preserve"> appl</w:t>
      </w:r>
      <w:r>
        <w:t xml:space="preserve">y </w:t>
      </w:r>
      <w:r w:rsidRPr="00235647">
        <w:t xml:space="preserve">in limited circumstances when there is no Net GloBE Income in a jurisdiction for the Fiscal Year and the </w:t>
      </w:r>
      <w:r>
        <w:t>Constituent Entity</w:t>
      </w:r>
      <w:r w:rsidRPr="00235647">
        <w:t xml:space="preserve"> has a deferred tax asset that has arisen due to a permanent difference in the same Fiscal Year</w:t>
      </w:r>
      <w:r>
        <w:t xml:space="preserve">. </w:t>
      </w:r>
    </w:p>
    <w:p w14:paraId="0996683D" w14:textId="77777777" w:rsidR="00840DA0" w:rsidRDefault="00840DA0" w:rsidP="00840DA0">
      <w:pPr>
        <w:pStyle w:val="Normalparatextwithnumbers"/>
        <w:numPr>
          <w:ilvl w:val="1"/>
          <w:numId w:val="17"/>
        </w:numPr>
      </w:pPr>
      <w:r>
        <w:t>The special rule applies a 15 per cent tax to the excess benefit resulting from a permanent difference in the year it is created. This rule effectively allows a Constituent Entity to follow the local tax rules and apply the excess deferred tax asset arising for local tax purposes to shelter income in a future year, without giving rise to adverse outcomes under these rules.</w:t>
      </w:r>
    </w:p>
    <w:p w14:paraId="6A29937F" w14:textId="77777777" w:rsidR="00840DA0" w:rsidRDefault="00840DA0" w:rsidP="00840DA0">
      <w:pPr>
        <w:pStyle w:val="Normalparatextwithnumbers"/>
        <w:numPr>
          <w:ilvl w:val="1"/>
          <w:numId w:val="16"/>
        </w:numPr>
      </w:pPr>
      <w:r>
        <w:t>The most common scenario where this rule would apply is when the local tax rules in the Constituent Entity’s jurisdiction grant a deduction from income that exceeds the expense amount that would be allowed for financial accounting purposes and that difference between local tax rules and GloBE rules do not reverse over time. Ultimately, the difference is taxed at the minimum rate.</w:t>
      </w:r>
      <w:r w:rsidRPr="00C90879">
        <w:t xml:space="preserve"> </w:t>
      </w:r>
    </w:p>
    <w:p w14:paraId="580C56D6" w14:textId="77777777" w:rsidR="00840DA0" w:rsidRDefault="00840DA0" w:rsidP="00840DA0">
      <w:pPr>
        <w:pStyle w:val="Heading6"/>
        <w:rPr>
          <w:rFonts w:hint="eastAsia"/>
        </w:rPr>
      </w:pPr>
      <w:r>
        <w:t>Conditions for when a deemed Additional Current top-up tax arises</w:t>
      </w:r>
    </w:p>
    <w:p w14:paraId="6C6C3891" w14:textId="77777777" w:rsidR="00840DA0" w:rsidRDefault="00840DA0" w:rsidP="00840DA0">
      <w:pPr>
        <w:pStyle w:val="Normalparatextwithnumbers"/>
        <w:numPr>
          <w:ilvl w:val="1"/>
          <w:numId w:val="16"/>
        </w:numPr>
      </w:pPr>
      <w:r>
        <w:t>Constituent Entities in a jurisdiction will be treated as having an Additional Current Top</w:t>
      </w:r>
      <w:r>
        <w:noBreakHyphen/>
        <w:t xml:space="preserve">up Tax amount in a Fiscal Year, if there is no Net GloBE Income for a jurisdiction and: </w:t>
      </w:r>
    </w:p>
    <w:p w14:paraId="0EC2F0F0" w14:textId="77777777" w:rsidR="00840DA0" w:rsidRDefault="00840DA0" w:rsidP="00B07214">
      <w:pPr>
        <w:pStyle w:val="Dotpoint1"/>
      </w:pPr>
      <w:r>
        <w:t xml:space="preserve">the Adjusted Covered Taxes for the jurisdiction are less than zero; and </w:t>
      </w:r>
    </w:p>
    <w:p w14:paraId="67A1EE24" w14:textId="77777777" w:rsidR="00840DA0" w:rsidRDefault="00840DA0" w:rsidP="00B07214">
      <w:pPr>
        <w:pStyle w:val="Dotpoint1"/>
      </w:pPr>
      <w:r>
        <w:t xml:space="preserve">the Adjusted Covered Taxes for the jurisdiction are less than the Expected Adjusted Covered Taxes. </w:t>
      </w:r>
    </w:p>
    <w:p w14:paraId="4A39DBCE" w14:textId="77777777" w:rsidR="00840DA0" w:rsidRDefault="00840DA0" w:rsidP="00840DA0">
      <w:pPr>
        <w:pStyle w:val="Normalparatextwithnumbers"/>
        <w:numPr>
          <w:ilvl w:val="1"/>
          <w:numId w:val="16"/>
        </w:numPr>
      </w:pPr>
      <w:r>
        <w:t xml:space="preserve">The Adjusted Covered Taxes for the jurisdiction is the sum of the Adjusted Covered Taxes for the Fiscal Year of each </w:t>
      </w:r>
      <w:r w:rsidRPr="00982D25">
        <w:t>Constituent Entity</w:t>
      </w:r>
      <w:r>
        <w:t xml:space="preserve"> of the MNE Group located in the jurisdiction. </w:t>
      </w:r>
    </w:p>
    <w:p w14:paraId="28B249ED" w14:textId="77777777" w:rsidR="00840DA0" w:rsidRDefault="00840DA0" w:rsidP="00840DA0">
      <w:pPr>
        <w:pStyle w:val="Normalparatextwithnumbers"/>
        <w:numPr>
          <w:ilvl w:val="1"/>
          <w:numId w:val="16"/>
        </w:numPr>
      </w:pPr>
      <w:r>
        <w:t xml:space="preserve">The Expected Adjusted Covered Taxes Amount is determined by: </w:t>
      </w:r>
    </w:p>
    <w:p w14:paraId="23D90A55" w14:textId="258AACBF" w:rsidR="003B4CF8" w:rsidRDefault="003B4CF8" w:rsidP="00840DA0">
      <w:pPr>
        <w:pStyle w:val="Normalparatextwithnumbers"/>
        <w:numPr>
          <w:ilvl w:val="0"/>
          <w:numId w:val="0"/>
        </w:numPr>
        <w:ind w:left="709"/>
      </w:pPr>
      <w:r w:rsidRPr="003B4CF8">
        <w:rPr>
          <w:noProof/>
        </w:rPr>
        <w:drawing>
          <wp:inline distT="0" distB="0" distL="0" distR="0" wp14:anchorId="5BF1A9C2" wp14:editId="2F35A516">
            <wp:extent cx="4896485" cy="316230"/>
            <wp:effectExtent l="0" t="0" r="0" b="0"/>
            <wp:docPr id="942323226" name="Picture 22" descr="Formula for the Expected Adjusted Covered Taxes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323226" name="Picture 22" descr="Formula for the Expected Adjusted Covered Taxes Amount"/>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896485" cy="316230"/>
                    </a:xfrm>
                    <a:prstGeom prst="rect">
                      <a:avLst/>
                    </a:prstGeom>
                    <a:noFill/>
                    <a:ln>
                      <a:noFill/>
                    </a:ln>
                  </pic:spPr>
                </pic:pic>
              </a:graphicData>
            </a:graphic>
          </wp:inline>
        </w:drawing>
      </w:r>
    </w:p>
    <w:p w14:paraId="300CF56D" w14:textId="3A717F8E" w:rsidR="00840DA0" w:rsidRDefault="00840DA0" w:rsidP="00840DA0">
      <w:pPr>
        <w:pStyle w:val="Normalparatextwithnumbers"/>
        <w:numPr>
          <w:ilvl w:val="0"/>
          <w:numId w:val="0"/>
        </w:numPr>
        <w:ind w:left="709"/>
      </w:pPr>
      <w:r w:rsidRPr="00953D1C">
        <w:rPr>
          <w:rStyle w:val="References"/>
        </w:rPr>
        <w:t>[Chapter 4, subsection 4-</w:t>
      </w:r>
      <w:r>
        <w:rPr>
          <w:rStyle w:val="References"/>
        </w:rPr>
        <w:t>30</w:t>
      </w:r>
      <w:r w:rsidRPr="00953D1C">
        <w:rPr>
          <w:rStyle w:val="References"/>
        </w:rPr>
        <w:t xml:space="preserve">(1) </w:t>
      </w:r>
      <w:r w:rsidR="00631F3E">
        <w:rPr>
          <w:rStyle w:val="References"/>
        </w:rPr>
        <w:t>and (3)</w:t>
      </w:r>
      <w:r w:rsidRPr="00953D1C">
        <w:rPr>
          <w:rStyle w:val="References"/>
        </w:rPr>
        <w:t xml:space="preserve"> of the Rules]</w:t>
      </w:r>
    </w:p>
    <w:p w14:paraId="7C30300F" w14:textId="77777777" w:rsidR="00840DA0" w:rsidRDefault="00840DA0" w:rsidP="00840DA0">
      <w:pPr>
        <w:pStyle w:val="Heading6"/>
        <w:rPr>
          <w:rFonts w:hint="eastAsia"/>
        </w:rPr>
      </w:pPr>
      <w:r>
        <w:t>Calculating amount of Additional Current top-up tax</w:t>
      </w:r>
    </w:p>
    <w:p w14:paraId="5FB0AB01" w14:textId="77777777" w:rsidR="00840DA0" w:rsidRDefault="00840DA0" w:rsidP="00840DA0">
      <w:pPr>
        <w:pStyle w:val="Normalparatextwithnumbers"/>
        <w:numPr>
          <w:ilvl w:val="1"/>
          <w:numId w:val="16"/>
        </w:numPr>
      </w:pPr>
      <w:r>
        <w:t xml:space="preserve">The amount of Additional Current </w:t>
      </w:r>
      <w:r w:rsidRPr="0013622E">
        <w:t>top-</w:t>
      </w:r>
      <w:r>
        <w:t xml:space="preserve">up </w:t>
      </w:r>
      <w:r w:rsidRPr="0013622E">
        <w:t>tax</w:t>
      </w:r>
      <w:r>
        <w:t xml:space="preserve"> of the MNE Group for the Fiscal Year for the jurisdiction is equal to the difference between: </w:t>
      </w:r>
    </w:p>
    <w:p w14:paraId="179D3370" w14:textId="77777777" w:rsidR="00840DA0" w:rsidRDefault="00840DA0" w:rsidP="00B07214">
      <w:pPr>
        <w:pStyle w:val="Dotpoint1"/>
      </w:pPr>
      <w:r>
        <w:t xml:space="preserve">the sum of the Adjusted Covered Taxes for the jurisdiction; and </w:t>
      </w:r>
    </w:p>
    <w:p w14:paraId="04CAFCA6" w14:textId="5793CA88" w:rsidR="00840DA0" w:rsidRDefault="00840DA0" w:rsidP="00B07214">
      <w:pPr>
        <w:pStyle w:val="Dotpoint1"/>
      </w:pPr>
      <w:r>
        <w:t xml:space="preserve">the Expected Adjusted Covered Taxes Amount.  </w:t>
      </w:r>
      <w:r>
        <w:br/>
      </w:r>
      <w:r w:rsidRPr="00DC632E">
        <w:rPr>
          <w:rStyle w:val="References"/>
        </w:rPr>
        <w:t>[Chapter 4, subsection 4-</w:t>
      </w:r>
      <w:r>
        <w:rPr>
          <w:rStyle w:val="References"/>
        </w:rPr>
        <w:t>30</w:t>
      </w:r>
      <w:r w:rsidRPr="00DC632E">
        <w:rPr>
          <w:rStyle w:val="References"/>
        </w:rPr>
        <w:t>(</w:t>
      </w:r>
      <w:r w:rsidR="00631F3E">
        <w:rPr>
          <w:rStyle w:val="References"/>
        </w:rPr>
        <w:t>3</w:t>
      </w:r>
      <w:r w:rsidRPr="00DC632E">
        <w:rPr>
          <w:rStyle w:val="References"/>
        </w:rPr>
        <w:t>) of the Rules]</w:t>
      </w:r>
    </w:p>
    <w:p w14:paraId="7A4B1F2E" w14:textId="55F3DCAD" w:rsidR="00840DA0" w:rsidRDefault="00840DA0" w:rsidP="00840DA0">
      <w:pPr>
        <w:pStyle w:val="Normalparatextwithnumbers"/>
        <w:numPr>
          <w:ilvl w:val="1"/>
          <w:numId w:val="16"/>
        </w:numPr>
      </w:pPr>
      <w:r>
        <w:lastRenderedPageBreak/>
        <w:t>The allocation of the deemed Additional Current Top</w:t>
      </w:r>
      <w:r>
        <w:noBreakHyphen/>
        <w:t>up Tax follows the same mechanism as under section 5-</w:t>
      </w:r>
      <w:r w:rsidR="002A5580">
        <w:t>100</w:t>
      </w:r>
      <w:r>
        <w:t xml:space="preserve"> of the Rules. </w:t>
      </w:r>
    </w:p>
    <w:p w14:paraId="2EF80E5D" w14:textId="77777777" w:rsidR="00840DA0" w:rsidRDefault="00840DA0" w:rsidP="00840DA0">
      <w:pPr>
        <w:pStyle w:val="Heading6"/>
        <w:rPr>
          <w:rFonts w:hint="eastAsia"/>
        </w:rPr>
      </w:pPr>
      <w:r>
        <w:t>Carry</w:t>
      </w:r>
      <w:r>
        <w:noBreakHyphen/>
        <w:t>forward of Excess Negative Expense</w:t>
      </w:r>
    </w:p>
    <w:p w14:paraId="7D4BD9ED" w14:textId="77777777" w:rsidR="00840DA0" w:rsidRDefault="00840DA0" w:rsidP="00840DA0">
      <w:pPr>
        <w:pStyle w:val="Normalparatextwithnumbers"/>
        <w:numPr>
          <w:ilvl w:val="1"/>
          <w:numId w:val="16"/>
        </w:numPr>
      </w:pPr>
      <w:r>
        <w:t xml:space="preserve">The MNE Group may elect to apply the Excess Negative Tax Expense administrative procedure to avoid the deemed Additional Current Top-up Tax in the Fiscal Year of the GloBE Loss. </w:t>
      </w:r>
    </w:p>
    <w:p w14:paraId="61F458A0" w14:textId="77777777" w:rsidR="00840DA0" w:rsidRDefault="00840DA0" w:rsidP="00840DA0">
      <w:pPr>
        <w:pStyle w:val="Normalparatextwithnumbers"/>
        <w:numPr>
          <w:ilvl w:val="1"/>
          <w:numId w:val="16"/>
        </w:numPr>
      </w:pPr>
      <w:r>
        <w:t>However, the MNE Group is mandated to apply the Excess Negative Tax Expense administrative procedure where a Top-up Tax Percentage is calculated that exceeds 15 per cent.</w:t>
      </w:r>
    </w:p>
    <w:p w14:paraId="75F8D1F5" w14:textId="77777777" w:rsidR="00840DA0" w:rsidRDefault="00840DA0" w:rsidP="00840DA0">
      <w:pPr>
        <w:pStyle w:val="Normalparatextwithnumbers"/>
        <w:numPr>
          <w:ilvl w:val="1"/>
          <w:numId w:val="16"/>
        </w:numPr>
      </w:pPr>
      <w:r>
        <w:t>An MNE Group that elects or is required to apply the Excess Negative Tax Expense administrative procedure excludes the Excess Negative Tax Expense from its aggregate Adjusted Covered Taxes computed for the Fiscal Year and instead establishes an Excess Negative Tax Expense Carry-forward.</w:t>
      </w:r>
    </w:p>
    <w:p w14:paraId="659B8A0E" w14:textId="77777777" w:rsidR="00840DA0" w:rsidRDefault="00840DA0" w:rsidP="00840DA0">
      <w:pPr>
        <w:pStyle w:val="Normalparatextwithnumbers"/>
        <w:numPr>
          <w:ilvl w:val="1"/>
          <w:numId w:val="16"/>
        </w:numPr>
      </w:pPr>
      <w:r>
        <w:t xml:space="preserve">The amount of Excess Negative Tax Expense depends on whether GloBE income or loss is positive or negative: </w:t>
      </w:r>
    </w:p>
    <w:p w14:paraId="1B0C2437" w14:textId="77777777" w:rsidR="00840DA0" w:rsidRDefault="00840DA0" w:rsidP="00B7652D">
      <w:pPr>
        <w:pStyle w:val="Dotpoint1"/>
      </w:pPr>
      <w:r>
        <w:t>GloBE loss - then equal to the Additional Current Top</w:t>
      </w:r>
      <w:r>
        <w:noBreakHyphen/>
        <w:t xml:space="preserve">up Tax (sum of the Adjusted Covered Taxes for the jurisdiction minus the Expected Adjusted Covered Taxes Amount); </w:t>
      </w:r>
    </w:p>
    <w:p w14:paraId="3BD5FF63" w14:textId="77777777" w:rsidR="00840DA0" w:rsidRDefault="00840DA0" w:rsidP="00B7652D">
      <w:pPr>
        <w:pStyle w:val="Dotpoint1"/>
      </w:pPr>
      <w:r>
        <w:t>GloBE Income - then, equal to the negative Adjusted Covered Taxes for that Fiscal Year.</w:t>
      </w:r>
    </w:p>
    <w:p w14:paraId="1BB355A7" w14:textId="5C95A254" w:rsidR="00840DA0" w:rsidRDefault="00840DA0" w:rsidP="00840DA0">
      <w:pPr>
        <w:pStyle w:val="Normalparatextwithnumbers"/>
        <w:numPr>
          <w:ilvl w:val="1"/>
          <w:numId w:val="16"/>
        </w:numPr>
        <w:rPr>
          <w:rStyle w:val="References"/>
          <w:b w:val="0"/>
          <w:bCs w:val="0"/>
          <w:i w:val="0"/>
          <w:iCs w:val="0"/>
        </w:rPr>
      </w:pPr>
      <w:r>
        <w:t xml:space="preserve">In each subsequent Fiscal Year in which the MNE Group has positive GloBE Income and Adjusted Covered Taxes for the jurisdiction, the MNE Group reduces the aggregate Adjusted Covered Taxes (not below zero) by the remaining balance of the Excess Negative Tax Expense Carry-forward. The Excess Negative Tax Carry-forward balance will reduce by the amount used. </w:t>
      </w:r>
      <w:r>
        <w:br/>
      </w:r>
      <w:r>
        <w:rPr>
          <w:rStyle w:val="References"/>
        </w:rPr>
        <w:t>[Chapter 4, section 4-3</w:t>
      </w:r>
      <w:r w:rsidR="002A5580">
        <w:rPr>
          <w:rStyle w:val="References"/>
        </w:rPr>
        <w:t>5</w:t>
      </w:r>
      <w:r>
        <w:rPr>
          <w:rStyle w:val="References"/>
        </w:rPr>
        <w:t xml:space="preserve"> of the Rules]</w:t>
      </w:r>
    </w:p>
    <w:p w14:paraId="49E9B598" w14:textId="0C50DFA2" w:rsidR="00840DA0" w:rsidRPr="00B86C96" w:rsidRDefault="00840DA0" w:rsidP="00840DA0">
      <w:pPr>
        <w:pStyle w:val="Normalparatextwithnumbers"/>
        <w:numPr>
          <w:ilvl w:val="1"/>
          <w:numId w:val="16"/>
        </w:numPr>
        <w:rPr>
          <w:rStyle w:val="References"/>
          <w:b w:val="0"/>
          <w:bCs w:val="0"/>
          <w:i w:val="0"/>
          <w:iCs w:val="0"/>
        </w:rPr>
      </w:pPr>
      <w:r>
        <w:rPr>
          <w:rStyle w:val="References"/>
          <w:b w:val="0"/>
          <w:bCs w:val="0"/>
          <w:i w:val="0"/>
          <w:iCs w:val="0"/>
        </w:rPr>
        <w:t>T</w:t>
      </w:r>
      <w:r w:rsidRPr="00F410B3">
        <w:rPr>
          <w:rStyle w:val="References"/>
          <w:b w:val="0"/>
          <w:bCs w:val="0"/>
          <w:i w:val="0"/>
          <w:iCs w:val="0"/>
        </w:rPr>
        <w:t>he creation and reversal of a deemed deferred tax asset resulting from the loss carry</w:t>
      </w:r>
      <w:r>
        <w:rPr>
          <w:rStyle w:val="References"/>
          <w:b w:val="0"/>
          <w:bCs w:val="0"/>
          <w:i w:val="0"/>
          <w:iCs w:val="0"/>
        </w:rPr>
        <w:noBreakHyphen/>
      </w:r>
      <w:r w:rsidRPr="00F410B3">
        <w:rPr>
          <w:rStyle w:val="References"/>
          <w:b w:val="0"/>
          <w:bCs w:val="0"/>
          <w:i w:val="0"/>
          <w:iCs w:val="0"/>
        </w:rPr>
        <w:t>back</w:t>
      </w:r>
      <w:r>
        <w:rPr>
          <w:rStyle w:val="References"/>
          <w:b w:val="0"/>
          <w:bCs w:val="0"/>
          <w:i w:val="0"/>
          <w:iCs w:val="0"/>
        </w:rPr>
        <w:t xml:space="preserve"> interact</w:t>
      </w:r>
      <w:r w:rsidR="00AF5814">
        <w:rPr>
          <w:rStyle w:val="References"/>
          <w:b w:val="0"/>
          <w:bCs w:val="0"/>
          <w:i w:val="0"/>
          <w:iCs w:val="0"/>
        </w:rPr>
        <w:t>s</w:t>
      </w:r>
      <w:r>
        <w:rPr>
          <w:rStyle w:val="References"/>
          <w:b w:val="0"/>
          <w:bCs w:val="0"/>
          <w:i w:val="0"/>
          <w:iCs w:val="0"/>
        </w:rPr>
        <w:t xml:space="preserve"> with Part 4</w:t>
      </w:r>
      <w:r>
        <w:rPr>
          <w:rStyle w:val="References"/>
          <w:b w:val="0"/>
          <w:bCs w:val="0"/>
          <w:i w:val="0"/>
          <w:iCs w:val="0"/>
        </w:rPr>
        <w:noBreakHyphen/>
        <w:t xml:space="preserve">6 of the Rules on </w:t>
      </w:r>
      <w:r w:rsidR="00AF5814">
        <w:rPr>
          <w:rStyle w:val="References"/>
          <w:b w:val="0"/>
          <w:bCs w:val="0"/>
          <w:i w:val="0"/>
          <w:iCs w:val="0"/>
        </w:rPr>
        <w:t>P</w:t>
      </w:r>
      <w:r>
        <w:rPr>
          <w:rStyle w:val="References"/>
          <w:b w:val="0"/>
          <w:bCs w:val="0"/>
          <w:i w:val="0"/>
          <w:iCs w:val="0"/>
        </w:rPr>
        <w:t>ost</w:t>
      </w:r>
      <w:r w:rsidR="00AF5814">
        <w:rPr>
          <w:rStyle w:val="References"/>
          <w:b w:val="0"/>
          <w:bCs w:val="0"/>
          <w:i w:val="0"/>
          <w:iCs w:val="0"/>
        </w:rPr>
        <w:noBreakHyphen/>
      </w:r>
      <w:r>
        <w:rPr>
          <w:rStyle w:val="References"/>
          <w:b w:val="0"/>
          <w:bCs w:val="0"/>
          <w:i w:val="0"/>
          <w:iCs w:val="0"/>
        </w:rPr>
        <w:t xml:space="preserve">filing adjustments. </w:t>
      </w:r>
    </w:p>
    <w:p w14:paraId="25E85E77" w14:textId="3899AB63" w:rsidR="00840DA0" w:rsidRDefault="00840DA0" w:rsidP="00AB22A5">
      <w:pPr>
        <w:pStyle w:val="Heading3"/>
        <w:rPr>
          <w:rFonts w:hint="eastAsia"/>
        </w:rPr>
      </w:pPr>
      <w:bookmarkStart w:id="140" w:name="_Toc181104514"/>
      <w:bookmarkStart w:id="141" w:name="_Toc183786650"/>
      <w:bookmarkStart w:id="142" w:name="_Toc185502997"/>
      <w:r w:rsidRPr="00D84337">
        <w:t>Allocation of Covered Taxes</w:t>
      </w:r>
      <w:bookmarkEnd w:id="140"/>
      <w:bookmarkEnd w:id="141"/>
      <w:bookmarkEnd w:id="142"/>
      <w:r w:rsidRPr="00D84337">
        <w:t xml:space="preserve"> </w:t>
      </w:r>
    </w:p>
    <w:p w14:paraId="5E7CB154" w14:textId="77777777" w:rsidR="00840DA0" w:rsidRDefault="00840DA0" w:rsidP="00840DA0">
      <w:pPr>
        <w:pStyle w:val="Normalparatextwithnumbers"/>
        <w:numPr>
          <w:ilvl w:val="1"/>
          <w:numId w:val="16"/>
        </w:numPr>
      </w:pPr>
      <w:bookmarkStart w:id="143" w:name="_Ref183771472"/>
      <w:r>
        <w:t xml:space="preserve">The allocation of taxes in Chapter 4 of the Rules follow the same pattern as the income allocation provisions. Covered Taxes are generally allocated to the </w:t>
      </w:r>
      <w:r w:rsidRPr="006D16DE">
        <w:t>Constituent Entity</w:t>
      </w:r>
      <w:r>
        <w:t xml:space="preserve">, including a Stateless </w:t>
      </w:r>
      <w:r w:rsidRPr="006D16DE">
        <w:t>Constituent Entity</w:t>
      </w:r>
      <w:r>
        <w:t>, which includes the corresponding income in the computation of its GloBE Income or Loss that are then considered in the ETR computation for the jurisdiction in which the Entity is located. The allocation of Covered Taxes is not limited to the current Taxes paid or accrued, but extends to deferred taxes under Part 4-4 of the Rules.</w:t>
      </w:r>
      <w:bookmarkEnd w:id="143"/>
    </w:p>
    <w:p w14:paraId="70ABC2E6" w14:textId="77777777" w:rsidR="00840DA0" w:rsidRDefault="00840DA0" w:rsidP="00840DA0">
      <w:pPr>
        <w:pStyle w:val="Normalparatextwithnumbers"/>
        <w:numPr>
          <w:ilvl w:val="1"/>
          <w:numId w:val="16"/>
        </w:numPr>
      </w:pPr>
      <w:r>
        <w:t xml:space="preserve">Generally, the </w:t>
      </w:r>
      <w:r w:rsidRPr="006D16DE">
        <w:t>Constituent Entity</w:t>
      </w:r>
      <w:r>
        <w:t xml:space="preserve"> will pay Covered Taxes with respect to its own income to the relevant tax authority in the jurisdiction in which it is </w:t>
      </w:r>
      <w:r>
        <w:lastRenderedPageBreak/>
        <w:t xml:space="preserve">located, with no allocation being required. However, in more complex scenarios, Covered Taxes may be imposed on the </w:t>
      </w:r>
      <w:r w:rsidRPr="006D16DE">
        <w:t>Constituent Entity</w:t>
      </w:r>
      <w:r>
        <w:t xml:space="preserve"> in respect of income included in another </w:t>
      </w:r>
      <w:r w:rsidRPr="006D16DE">
        <w:t>Constituent Entity</w:t>
      </w:r>
      <w:r>
        <w:t xml:space="preserve">’s GloBE Income or Loss computation or by a jurisdiction other than the one in which the Constituent Entity is located, for example for CFC taxes and withholding taxes. </w:t>
      </w:r>
    </w:p>
    <w:p w14:paraId="0860D42A" w14:textId="7F4CC8CB" w:rsidR="00840DA0" w:rsidRDefault="00840DA0" w:rsidP="00840DA0">
      <w:pPr>
        <w:pStyle w:val="Normalparatextwithnumbers"/>
        <w:numPr>
          <w:ilvl w:val="1"/>
          <w:numId w:val="18"/>
        </w:numPr>
      </w:pPr>
      <w:r>
        <w:t>In th</w:t>
      </w:r>
      <w:r w:rsidR="00851737">
        <w:t>ose</w:t>
      </w:r>
      <w:r>
        <w:t xml:space="preserve"> complicated cases, it is necessary to allocate the Covered Taxes to the relevant </w:t>
      </w:r>
      <w:r w:rsidRPr="006D16DE">
        <w:t>Constituent Entity</w:t>
      </w:r>
      <w:r>
        <w:t xml:space="preserve"> that earned the income, subject to certain limitations. Similarly, rules are necessary to properly allocate Covered Taxes on distributions and Covered taxes of Main Entities with Permanent Establishments and </w:t>
      </w:r>
      <w:r w:rsidRPr="006D16DE">
        <w:t>Constituent Entity</w:t>
      </w:r>
      <w:r>
        <w:noBreakHyphen/>
        <w:t>owners in the case of Tax Transparent Entities</w:t>
      </w:r>
      <w:r w:rsidR="00CA0544">
        <w:t>, as described in paragraphs 41 and 42 on page 121 of the Consolidated Commentary</w:t>
      </w:r>
      <w:r>
        <w:t>.</w:t>
      </w:r>
    </w:p>
    <w:p w14:paraId="05B8043C" w14:textId="77777777" w:rsidR="00840DA0" w:rsidRDefault="00840DA0" w:rsidP="00840DA0">
      <w:pPr>
        <w:pStyle w:val="Heading5"/>
        <w:numPr>
          <w:ilvl w:val="4"/>
          <w:numId w:val="2"/>
        </w:numPr>
      </w:pPr>
      <w:r>
        <w:t xml:space="preserve">Allocation rules for cross-border taxes </w:t>
      </w:r>
    </w:p>
    <w:p w14:paraId="7F873561" w14:textId="77777777" w:rsidR="00840DA0" w:rsidRDefault="00840DA0" w:rsidP="00840DA0">
      <w:pPr>
        <w:pStyle w:val="Normalparatextwithnumbers"/>
        <w:numPr>
          <w:ilvl w:val="1"/>
          <w:numId w:val="16"/>
        </w:numPr>
      </w:pPr>
      <w:r>
        <w:t>Part 4-3 of the Rules sets out the general approach to be followed in allocating Covered Taxes for each category of cross-border taxes. These general approaches are expected to be sufficient to allocate Covered Taxes imposed under many countries’ tax regimes. To ensure that Covered Taxes align with the GloBE Income the taxes relate to, special allocation rules for specific cross-border taxes are introduced for:</w:t>
      </w:r>
    </w:p>
    <w:p w14:paraId="0117C44D" w14:textId="77777777" w:rsidR="00840DA0" w:rsidRDefault="00840DA0" w:rsidP="00B07214">
      <w:pPr>
        <w:pStyle w:val="Dotpoint1"/>
      </w:pPr>
      <w:r>
        <w:t xml:space="preserve">Permanent Establishments; </w:t>
      </w:r>
    </w:p>
    <w:p w14:paraId="07D26D68" w14:textId="77777777" w:rsidR="00840DA0" w:rsidRDefault="00840DA0" w:rsidP="00B07214">
      <w:pPr>
        <w:pStyle w:val="Dotpoint1"/>
      </w:pPr>
      <w:r>
        <w:t xml:space="preserve">Tax Transparent Entities; </w:t>
      </w:r>
    </w:p>
    <w:p w14:paraId="2EBBE16F" w14:textId="77777777" w:rsidR="00840DA0" w:rsidRDefault="00840DA0" w:rsidP="00B07214">
      <w:pPr>
        <w:pStyle w:val="Dotpoint1"/>
      </w:pPr>
      <w:r>
        <w:t xml:space="preserve">CFC taxes; </w:t>
      </w:r>
    </w:p>
    <w:p w14:paraId="78C43C92" w14:textId="77777777" w:rsidR="00840DA0" w:rsidRDefault="00840DA0" w:rsidP="00B07214">
      <w:pPr>
        <w:pStyle w:val="Dotpoint1"/>
      </w:pPr>
      <w:r>
        <w:t xml:space="preserve">Hybrid Entities; and </w:t>
      </w:r>
    </w:p>
    <w:p w14:paraId="1B549C0C" w14:textId="77777777" w:rsidR="00840DA0" w:rsidRDefault="00840DA0" w:rsidP="00B07214">
      <w:pPr>
        <w:pStyle w:val="Dotpoint1"/>
      </w:pPr>
      <w:r>
        <w:t xml:space="preserve">taxes on other distributions.  </w:t>
      </w:r>
    </w:p>
    <w:p w14:paraId="17F342EA" w14:textId="77777777" w:rsidR="00840DA0" w:rsidRPr="00772563" w:rsidRDefault="00840DA0" w:rsidP="00840DA0">
      <w:pPr>
        <w:pStyle w:val="Heading5"/>
        <w:numPr>
          <w:ilvl w:val="4"/>
          <w:numId w:val="2"/>
        </w:numPr>
      </w:pPr>
      <w:r w:rsidRPr="00772563">
        <w:t>Allocation of Covered Taxes to a Permanent Establishment</w:t>
      </w:r>
    </w:p>
    <w:p w14:paraId="6A5ADA94" w14:textId="6711CDF9" w:rsidR="00840DA0" w:rsidRPr="00ED3814" w:rsidRDefault="00840DA0" w:rsidP="00840DA0">
      <w:pPr>
        <w:pStyle w:val="Normalparatextwithnumbers"/>
        <w:numPr>
          <w:ilvl w:val="1"/>
          <w:numId w:val="18"/>
        </w:numPr>
        <w:rPr>
          <w:lang w:eastAsia="en-AU"/>
        </w:rPr>
      </w:pPr>
      <w:r>
        <w:rPr>
          <w:lang w:eastAsia="en-AU"/>
        </w:rPr>
        <w:t xml:space="preserve">Any amount of Covered Taxes with respect to the GloBE Income or Loss of a Permanent Establishment is allocated to the Permanent Establishment. </w:t>
      </w:r>
      <w:r w:rsidRPr="00ED3814">
        <w:rPr>
          <w:lang w:eastAsia="en-AU"/>
        </w:rPr>
        <w:t xml:space="preserve">Covered Taxes </w:t>
      </w:r>
      <w:r>
        <w:rPr>
          <w:lang w:eastAsia="en-AU"/>
        </w:rPr>
        <w:t xml:space="preserve">in respect of a Permanent Establishment that are included in the financial accounts of </w:t>
      </w:r>
      <w:r w:rsidRPr="00ED3814">
        <w:rPr>
          <w:lang w:eastAsia="en-AU"/>
        </w:rPr>
        <w:t xml:space="preserve">a Main Entity or another </w:t>
      </w:r>
      <w:r>
        <w:rPr>
          <w:lang w:eastAsia="en-AU"/>
        </w:rPr>
        <w:t xml:space="preserve">Constituent Entity </w:t>
      </w:r>
      <w:r w:rsidRPr="00ED3814">
        <w:rPr>
          <w:lang w:eastAsia="en-AU"/>
        </w:rPr>
        <w:t>are excluded from the Adjusted Covered Taxes of th</w:t>
      </w:r>
      <w:r>
        <w:rPr>
          <w:lang w:eastAsia="en-AU"/>
        </w:rPr>
        <w:t>at</w:t>
      </w:r>
      <w:r w:rsidRPr="00ED3814">
        <w:rPr>
          <w:lang w:eastAsia="en-AU"/>
        </w:rPr>
        <w:t xml:space="preserve"> </w:t>
      </w:r>
      <w:r>
        <w:rPr>
          <w:lang w:eastAsia="en-AU"/>
        </w:rPr>
        <w:t>Constituent Entity</w:t>
      </w:r>
      <w:r w:rsidRPr="00ED3814">
        <w:rPr>
          <w:lang w:eastAsia="en-AU"/>
        </w:rPr>
        <w:t xml:space="preserve"> </w:t>
      </w:r>
      <w:r>
        <w:rPr>
          <w:lang w:eastAsia="en-AU"/>
        </w:rPr>
        <w:t xml:space="preserve">or Main Entity </w:t>
      </w:r>
      <w:r w:rsidRPr="00ED3814">
        <w:rPr>
          <w:lang w:eastAsia="en-AU"/>
        </w:rPr>
        <w:t xml:space="preserve">and </w:t>
      </w:r>
      <w:r>
        <w:rPr>
          <w:lang w:eastAsia="en-AU"/>
        </w:rPr>
        <w:t xml:space="preserve">are instead </w:t>
      </w:r>
      <w:r w:rsidRPr="00ED3814">
        <w:rPr>
          <w:lang w:eastAsia="en-AU"/>
        </w:rPr>
        <w:t xml:space="preserve">included in the Adjusted Covered Taxes of the </w:t>
      </w:r>
      <w:r w:rsidRPr="00270E6F">
        <w:rPr>
          <w:lang w:eastAsia="en-AU"/>
        </w:rPr>
        <w:t>Permanent Establishment</w:t>
      </w:r>
      <w:r w:rsidRPr="00ED3814">
        <w:rPr>
          <w:lang w:eastAsia="en-AU"/>
        </w:rPr>
        <w:t>.</w:t>
      </w:r>
      <w:r>
        <w:rPr>
          <w:lang w:eastAsia="en-AU"/>
        </w:rPr>
        <w:br/>
      </w:r>
      <w:r w:rsidRPr="00ED3814">
        <w:rPr>
          <w:rStyle w:val="References"/>
          <w:lang w:eastAsia="en-AU"/>
        </w:rPr>
        <w:t xml:space="preserve">[Chapter 4, </w:t>
      </w:r>
      <w:r>
        <w:rPr>
          <w:rStyle w:val="References"/>
          <w:lang w:eastAsia="en-AU"/>
        </w:rPr>
        <w:t xml:space="preserve">subsection </w:t>
      </w:r>
      <w:r w:rsidRPr="00ED3814">
        <w:rPr>
          <w:rStyle w:val="References"/>
          <w:lang w:eastAsia="en-AU"/>
        </w:rPr>
        <w:t>4-</w:t>
      </w:r>
      <w:r>
        <w:rPr>
          <w:rStyle w:val="References"/>
          <w:lang w:eastAsia="en-AU"/>
        </w:rPr>
        <w:t>4</w:t>
      </w:r>
      <w:r w:rsidR="002A5580">
        <w:rPr>
          <w:rStyle w:val="References"/>
          <w:lang w:eastAsia="en-AU"/>
        </w:rPr>
        <w:t>5</w:t>
      </w:r>
      <w:r w:rsidRPr="00ED3814">
        <w:rPr>
          <w:rStyle w:val="References"/>
          <w:lang w:eastAsia="en-AU"/>
        </w:rPr>
        <w:t xml:space="preserve"> of the Rules</w:t>
      </w:r>
      <w:r>
        <w:rPr>
          <w:rStyle w:val="References"/>
          <w:lang w:eastAsia="en-AU"/>
        </w:rPr>
        <w:t>]</w:t>
      </w:r>
    </w:p>
    <w:p w14:paraId="3A805C39" w14:textId="77777777" w:rsidR="00840DA0" w:rsidRPr="00ED3814" w:rsidRDefault="00840DA0" w:rsidP="00840DA0">
      <w:pPr>
        <w:pStyle w:val="Heading6"/>
        <w:rPr>
          <w:rFonts w:hint="eastAsia"/>
          <w:lang w:eastAsia="en-AU"/>
        </w:rPr>
      </w:pPr>
      <w:r>
        <w:rPr>
          <w:lang w:eastAsia="en-AU"/>
        </w:rPr>
        <w:lastRenderedPageBreak/>
        <w:t xml:space="preserve">Determining the amount of Covered Taxes allocated to the Permanent Establishment </w:t>
      </w:r>
    </w:p>
    <w:p w14:paraId="695EC53B" w14:textId="77777777" w:rsidR="00840DA0" w:rsidRPr="00ED3814" w:rsidRDefault="00840DA0" w:rsidP="00840DA0">
      <w:pPr>
        <w:pStyle w:val="Normalparatextwithnumbers"/>
        <w:numPr>
          <w:ilvl w:val="1"/>
          <w:numId w:val="16"/>
        </w:numPr>
        <w:rPr>
          <w:lang w:eastAsia="en-AU"/>
        </w:rPr>
      </w:pPr>
      <w:r>
        <w:rPr>
          <w:lang w:eastAsia="en-AU"/>
        </w:rPr>
        <w:t>The amount of t</w:t>
      </w:r>
      <w:r w:rsidRPr="00ED3814">
        <w:rPr>
          <w:lang w:eastAsia="en-AU"/>
        </w:rPr>
        <w:t xml:space="preserve">ax </w:t>
      </w:r>
      <w:r>
        <w:rPr>
          <w:lang w:eastAsia="en-AU"/>
        </w:rPr>
        <w:t xml:space="preserve">that </w:t>
      </w:r>
      <w:r w:rsidRPr="00ED3814">
        <w:rPr>
          <w:lang w:eastAsia="en-AU"/>
        </w:rPr>
        <w:t>relat</w:t>
      </w:r>
      <w:r>
        <w:rPr>
          <w:lang w:eastAsia="en-AU"/>
        </w:rPr>
        <w:t xml:space="preserve">es </w:t>
      </w:r>
      <w:r w:rsidRPr="00ED3814">
        <w:rPr>
          <w:lang w:eastAsia="en-AU"/>
        </w:rPr>
        <w:t xml:space="preserve">to </w:t>
      </w:r>
      <w:r>
        <w:rPr>
          <w:lang w:eastAsia="en-AU"/>
        </w:rPr>
        <w:t xml:space="preserve">a </w:t>
      </w:r>
      <w:r w:rsidRPr="00270E6F">
        <w:rPr>
          <w:lang w:eastAsia="en-AU"/>
        </w:rPr>
        <w:t>Permanent Establishment</w:t>
      </w:r>
      <w:r>
        <w:rPr>
          <w:lang w:eastAsia="en-AU"/>
        </w:rPr>
        <w:t>’s</w:t>
      </w:r>
      <w:r w:rsidRPr="00ED3814">
        <w:rPr>
          <w:lang w:eastAsia="en-AU"/>
        </w:rPr>
        <w:t xml:space="preserve"> income </w:t>
      </w:r>
      <w:r>
        <w:rPr>
          <w:lang w:eastAsia="en-AU"/>
        </w:rPr>
        <w:t xml:space="preserve">that is excluded from the Main Entity’s Covered Taxes </w:t>
      </w:r>
      <w:r w:rsidRPr="00ED3814">
        <w:rPr>
          <w:lang w:eastAsia="en-AU"/>
        </w:rPr>
        <w:t>can be computed using a three</w:t>
      </w:r>
      <w:r>
        <w:rPr>
          <w:lang w:eastAsia="en-AU"/>
        </w:rPr>
        <w:noBreakHyphen/>
      </w:r>
      <w:r w:rsidRPr="00ED3814">
        <w:rPr>
          <w:lang w:eastAsia="en-AU"/>
        </w:rPr>
        <w:t xml:space="preserve">step process: </w:t>
      </w:r>
    </w:p>
    <w:p w14:paraId="73C1500E" w14:textId="7D50AB8C" w:rsidR="00840DA0" w:rsidRPr="00ED3814" w:rsidRDefault="00840DA0" w:rsidP="00DF17E9">
      <w:pPr>
        <w:pStyle w:val="Dotpoint1"/>
        <w:numPr>
          <w:ilvl w:val="0"/>
          <w:numId w:val="0"/>
        </w:numPr>
        <w:ind w:left="1418" w:hanging="709"/>
        <w:rPr>
          <w:lang w:eastAsia="en-AU"/>
        </w:rPr>
      </w:pPr>
      <w:r>
        <w:rPr>
          <w:lang w:eastAsia="en-AU"/>
        </w:rPr>
        <w:t>1)</w:t>
      </w:r>
      <w:r w:rsidR="007B6495">
        <w:rPr>
          <w:lang w:eastAsia="en-AU"/>
        </w:rPr>
        <w:tab/>
      </w:r>
      <w:r w:rsidRPr="00ED3814">
        <w:rPr>
          <w:lang w:eastAsia="en-AU"/>
        </w:rPr>
        <w:t xml:space="preserve">Identify the </w:t>
      </w:r>
      <w:r w:rsidRPr="00270E6F">
        <w:rPr>
          <w:lang w:eastAsia="en-AU"/>
        </w:rPr>
        <w:t>Permanent Establishment</w:t>
      </w:r>
      <w:r w:rsidRPr="00ED3814">
        <w:rPr>
          <w:lang w:eastAsia="en-AU"/>
        </w:rPr>
        <w:t xml:space="preserve"> income amount included in the Main Entity’s local taxable income. </w:t>
      </w:r>
    </w:p>
    <w:p w14:paraId="5A29314E" w14:textId="1AD2157F" w:rsidR="00840DA0" w:rsidRPr="00ED3814" w:rsidRDefault="00840DA0" w:rsidP="00DF17E9">
      <w:pPr>
        <w:pStyle w:val="Dotpoint1"/>
        <w:numPr>
          <w:ilvl w:val="0"/>
          <w:numId w:val="0"/>
        </w:numPr>
        <w:ind w:left="1418" w:hanging="709"/>
        <w:rPr>
          <w:lang w:eastAsia="en-AU"/>
        </w:rPr>
      </w:pPr>
      <w:r>
        <w:rPr>
          <w:lang w:eastAsia="en-AU"/>
        </w:rPr>
        <w:t>2)</w:t>
      </w:r>
      <w:r w:rsidR="007B6495">
        <w:rPr>
          <w:lang w:eastAsia="en-AU"/>
        </w:rPr>
        <w:tab/>
      </w:r>
      <w:r w:rsidRPr="00ED3814">
        <w:rPr>
          <w:lang w:eastAsia="en-AU"/>
        </w:rPr>
        <w:t xml:space="preserve">Determine the Main Entity’s tax liability resulting from the inclusion of the </w:t>
      </w:r>
      <w:r w:rsidRPr="00270E6F">
        <w:rPr>
          <w:lang w:eastAsia="en-AU"/>
        </w:rPr>
        <w:t>Permanent Establishment</w:t>
      </w:r>
      <w:r w:rsidRPr="00ED3814">
        <w:rPr>
          <w:lang w:eastAsia="en-AU"/>
        </w:rPr>
        <w:t xml:space="preserve"> income.  </w:t>
      </w:r>
    </w:p>
    <w:p w14:paraId="79555FDD" w14:textId="088F6874" w:rsidR="00840DA0" w:rsidRPr="00ED3814" w:rsidRDefault="00840DA0" w:rsidP="00DF17E9">
      <w:pPr>
        <w:pStyle w:val="Dotpoint1"/>
        <w:numPr>
          <w:ilvl w:val="0"/>
          <w:numId w:val="0"/>
        </w:numPr>
        <w:ind w:left="1418" w:hanging="709"/>
        <w:rPr>
          <w:lang w:eastAsia="en-AU"/>
        </w:rPr>
      </w:pPr>
      <w:r>
        <w:rPr>
          <w:lang w:eastAsia="en-AU"/>
        </w:rPr>
        <w:t>3)</w:t>
      </w:r>
      <w:r w:rsidR="007B6495">
        <w:rPr>
          <w:lang w:eastAsia="en-AU"/>
        </w:rPr>
        <w:tab/>
      </w:r>
      <w:r w:rsidRPr="00ED3814">
        <w:rPr>
          <w:lang w:eastAsia="en-AU"/>
        </w:rPr>
        <w:t xml:space="preserve">Identify any tax credit allowed relating to </w:t>
      </w:r>
      <w:r>
        <w:rPr>
          <w:lang w:eastAsia="en-AU"/>
        </w:rPr>
        <w:t>t</w:t>
      </w:r>
      <w:r w:rsidRPr="00ED3814">
        <w:rPr>
          <w:lang w:eastAsia="en-AU"/>
        </w:rPr>
        <w:t xml:space="preserve">axes paid by the </w:t>
      </w:r>
      <w:r w:rsidRPr="00270E6F">
        <w:rPr>
          <w:lang w:eastAsia="en-AU"/>
        </w:rPr>
        <w:t>Permanent Establishment</w:t>
      </w:r>
      <w:r w:rsidRPr="00ED3814">
        <w:rPr>
          <w:lang w:eastAsia="en-AU"/>
        </w:rPr>
        <w:t>.</w:t>
      </w:r>
    </w:p>
    <w:p w14:paraId="5B4B9C04" w14:textId="77777777" w:rsidR="00840DA0" w:rsidRDefault="00840DA0" w:rsidP="00840DA0">
      <w:pPr>
        <w:pStyle w:val="Normalparatextwithnumbers"/>
        <w:numPr>
          <w:ilvl w:val="1"/>
          <w:numId w:val="16"/>
        </w:numPr>
        <w:rPr>
          <w:lang w:eastAsia="en-AU"/>
        </w:rPr>
      </w:pPr>
      <w:r>
        <w:rPr>
          <w:lang w:eastAsia="en-AU"/>
        </w:rPr>
        <w:t>T</w:t>
      </w:r>
      <w:r w:rsidRPr="00530E19">
        <w:rPr>
          <w:lang w:eastAsia="en-AU"/>
        </w:rPr>
        <w:t xml:space="preserve">he Main Entity’s tax return or the work-papers used to prepare that </w:t>
      </w:r>
      <w:r>
        <w:rPr>
          <w:lang w:eastAsia="en-AU"/>
        </w:rPr>
        <w:t xml:space="preserve">tax </w:t>
      </w:r>
      <w:r w:rsidRPr="00530E19">
        <w:rPr>
          <w:lang w:eastAsia="en-AU"/>
        </w:rPr>
        <w:t>return</w:t>
      </w:r>
      <w:r>
        <w:rPr>
          <w:lang w:eastAsia="en-AU"/>
        </w:rPr>
        <w:t xml:space="preserve"> may be relied on to i</w:t>
      </w:r>
      <w:r w:rsidRPr="001139D8">
        <w:rPr>
          <w:lang w:eastAsia="en-AU"/>
        </w:rPr>
        <w:t xml:space="preserve">dentify the </w:t>
      </w:r>
      <w:r>
        <w:rPr>
          <w:lang w:eastAsia="en-AU"/>
        </w:rPr>
        <w:t>Permanent Establishment’s</w:t>
      </w:r>
      <w:r w:rsidRPr="001139D8">
        <w:rPr>
          <w:lang w:eastAsia="en-AU"/>
        </w:rPr>
        <w:t xml:space="preserve"> income included in the Main Entity’s local taxable income</w:t>
      </w:r>
      <w:r w:rsidRPr="00DB1191">
        <w:rPr>
          <w:rFonts w:eastAsia="Times New Roman" w:cs="Times New Roman"/>
          <w:lang w:eastAsia="en-AU"/>
        </w:rPr>
        <w:t xml:space="preserve"> </w:t>
      </w:r>
      <w:r>
        <w:rPr>
          <w:rFonts w:eastAsia="Times New Roman" w:cs="Times New Roman"/>
          <w:lang w:eastAsia="en-AU"/>
        </w:rPr>
        <w:t xml:space="preserve">and </w:t>
      </w:r>
      <w:r w:rsidRPr="00530E19">
        <w:rPr>
          <w:rFonts w:eastAsia="Times New Roman" w:cs="Times New Roman"/>
          <w:lang w:eastAsia="en-AU"/>
        </w:rPr>
        <w:t>the total credit allowed in respect of these income inclusions</w:t>
      </w:r>
      <w:r>
        <w:rPr>
          <w:lang w:eastAsia="en-AU"/>
        </w:rPr>
        <w:t xml:space="preserve">. </w:t>
      </w:r>
    </w:p>
    <w:p w14:paraId="7EAD33AB" w14:textId="0F074B1E" w:rsidR="00840DA0" w:rsidRDefault="00840DA0" w:rsidP="00840DA0">
      <w:pPr>
        <w:pStyle w:val="Normalparatextwithnumbers"/>
        <w:numPr>
          <w:ilvl w:val="1"/>
          <w:numId w:val="16"/>
        </w:numPr>
        <w:rPr>
          <w:lang w:eastAsia="en-AU"/>
        </w:rPr>
      </w:pPr>
      <w:r>
        <w:rPr>
          <w:lang w:eastAsia="en-AU"/>
        </w:rPr>
        <w:t>Despite there being a possible difference between</w:t>
      </w:r>
      <w:r w:rsidRPr="00530E19">
        <w:rPr>
          <w:lang w:eastAsia="en-AU"/>
        </w:rPr>
        <w:t xml:space="preserve"> the Main Entity’s return </w:t>
      </w:r>
      <w:r>
        <w:rPr>
          <w:lang w:eastAsia="en-AU"/>
        </w:rPr>
        <w:t>and</w:t>
      </w:r>
      <w:r w:rsidRPr="00530E19">
        <w:rPr>
          <w:lang w:eastAsia="en-AU"/>
        </w:rPr>
        <w:t xml:space="preserve"> the GloBE Income </w:t>
      </w:r>
      <w:r>
        <w:rPr>
          <w:lang w:eastAsia="en-AU"/>
        </w:rPr>
        <w:t>computed</w:t>
      </w:r>
      <w:r w:rsidRPr="00530E19">
        <w:rPr>
          <w:lang w:eastAsia="en-AU"/>
        </w:rPr>
        <w:t xml:space="preserve"> under </w:t>
      </w:r>
      <w:r>
        <w:rPr>
          <w:lang w:eastAsia="en-AU"/>
        </w:rPr>
        <w:t>Part 3</w:t>
      </w:r>
      <w:r>
        <w:rPr>
          <w:lang w:eastAsia="en-AU"/>
        </w:rPr>
        <w:noBreakHyphen/>
        <w:t>4</w:t>
      </w:r>
      <w:r w:rsidR="008F115D">
        <w:rPr>
          <w:lang w:eastAsia="en-AU"/>
        </w:rPr>
        <w:t xml:space="preserve"> of the Rules</w:t>
      </w:r>
      <w:r>
        <w:rPr>
          <w:lang w:eastAsia="en-AU"/>
        </w:rPr>
        <w:t>, it is</w:t>
      </w:r>
      <w:r w:rsidRPr="00530E19">
        <w:rPr>
          <w:lang w:eastAsia="en-AU"/>
        </w:rPr>
        <w:t xml:space="preserve"> the amount of </w:t>
      </w:r>
      <w:r>
        <w:rPr>
          <w:lang w:eastAsia="en-AU"/>
        </w:rPr>
        <w:t xml:space="preserve">income attributed to the Permanent Establishment </w:t>
      </w:r>
      <w:r w:rsidRPr="00530E19">
        <w:rPr>
          <w:lang w:eastAsia="en-AU"/>
        </w:rPr>
        <w:t xml:space="preserve">in the local taxable income </w:t>
      </w:r>
      <w:r>
        <w:rPr>
          <w:lang w:eastAsia="en-AU"/>
        </w:rPr>
        <w:t xml:space="preserve">that </w:t>
      </w:r>
      <w:r w:rsidRPr="00530E19">
        <w:rPr>
          <w:lang w:eastAsia="en-AU"/>
        </w:rPr>
        <w:t xml:space="preserve">is relevant for measuring </w:t>
      </w:r>
      <w:r>
        <w:rPr>
          <w:lang w:eastAsia="en-AU"/>
        </w:rPr>
        <w:t>Covered T</w:t>
      </w:r>
      <w:r w:rsidRPr="00530E19">
        <w:rPr>
          <w:lang w:eastAsia="en-AU"/>
        </w:rPr>
        <w:t>ax</w:t>
      </w:r>
      <w:r>
        <w:rPr>
          <w:lang w:eastAsia="en-AU"/>
        </w:rPr>
        <w:t>es</w:t>
      </w:r>
      <w:r w:rsidRPr="00530E19">
        <w:rPr>
          <w:lang w:eastAsia="en-AU"/>
        </w:rPr>
        <w:t xml:space="preserve">.  </w:t>
      </w:r>
    </w:p>
    <w:p w14:paraId="55A42EBE" w14:textId="77777777" w:rsidR="00840DA0" w:rsidRPr="0060322C" w:rsidRDefault="00840DA0" w:rsidP="00840DA0">
      <w:pPr>
        <w:pStyle w:val="Normalparatextwithnumbers"/>
        <w:numPr>
          <w:ilvl w:val="1"/>
          <w:numId w:val="16"/>
        </w:numPr>
        <w:rPr>
          <w:rFonts w:eastAsia="Times New Roman" w:cs="Times New Roman"/>
          <w:szCs w:val="20"/>
          <w:lang w:eastAsia="en-AU"/>
        </w:rPr>
      </w:pPr>
      <w:r w:rsidRPr="00270E6F">
        <w:rPr>
          <w:lang w:eastAsia="en-AU"/>
        </w:rPr>
        <w:t>Determin</w:t>
      </w:r>
      <w:r>
        <w:rPr>
          <w:lang w:eastAsia="en-AU"/>
        </w:rPr>
        <w:t>ing</w:t>
      </w:r>
      <w:r w:rsidRPr="00270E6F">
        <w:rPr>
          <w:lang w:eastAsia="en-AU"/>
        </w:rPr>
        <w:t xml:space="preserve"> the Main Entity’s tax liability resulting from the inclusion of the Permanent Establishment income</w:t>
      </w:r>
      <w:r>
        <w:rPr>
          <w:lang w:eastAsia="en-AU"/>
        </w:rPr>
        <w:t xml:space="preserve"> depends on whether the income is subject to tax separately or mixed with the Main Entity’s income.</w:t>
      </w:r>
      <w:r w:rsidRPr="0060322C">
        <w:rPr>
          <w:rFonts w:eastAsia="Times New Roman" w:cs="Times New Roman"/>
          <w:szCs w:val="20"/>
          <w:lang w:eastAsia="en-AU"/>
        </w:rPr>
        <w:t xml:space="preserve"> If the </w:t>
      </w:r>
      <w:r w:rsidRPr="005652CF">
        <w:rPr>
          <w:rFonts w:eastAsia="Times New Roman" w:cs="Times New Roman"/>
          <w:szCs w:val="20"/>
          <w:lang w:eastAsia="en-AU"/>
        </w:rPr>
        <w:t xml:space="preserve">Permanent </w:t>
      </w:r>
      <w:r w:rsidRPr="00B63CBC">
        <w:rPr>
          <w:rFonts w:eastAsia="Times New Roman" w:cs="Times New Roman"/>
          <w:szCs w:val="20"/>
          <w:lang w:eastAsia="en-AU"/>
        </w:rPr>
        <w:t>Establishment’s</w:t>
      </w:r>
      <w:r w:rsidRPr="0060322C">
        <w:rPr>
          <w:rFonts w:eastAsia="Times New Roman" w:cs="Times New Roman"/>
          <w:szCs w:val="20"/>
          <w:lang w:eastAsia="en-AU"/>
        </w:rPr>
        <w:t xml:space="preserve"> income inclusion is subject to </w:t>
      </w:r>
      <w:r w:rsidRPr="00B63CBC">
        <w:rPr>
          <w:rFonts w:eastAsia="Times New Roman" w:cs="Times New Roman"/>
          <w:szCs w:val="20"/>
          <w:lang w:eastAsia="en-AU"/>
        </w:rPr>
        <w:t>tax separately</w:t>
      </w:r>
      <w:r w:rsidRPr="0060322C">
        <w:rPr>
          <w:rFonts w:eastAsia="Times New Roman" w:cs="Times New Roman"/>
          <w:szCs w:val="20"/>
          <w:lang w:eastAsia="en-AU"/>
        </w:rPr>
        <w:t xml:space="preserve"> from the other income of the Main Entity, the tax rate applicable to the included income </w:t>
      </w:r>
      <w:r w:rsidRPr="00B63CBC">
        <w:rPr>
          <w:rFonts w:eastAsia="Times New Roman" w:cs="Times New Roman"/>
          <w:szCs w:val="20"/>
          <w:lang w:eastAsia="en-AU"/>
        </w:rPr>
        <w:t>is</w:t>
      </w:r>
      <w:r w:rsidRPr="0060322C">
        <w:rPr>
          <w:rFonts w:eastAsia="Times New Roman" w:cs="Times New Roman"/>
          <w:szCs w:val="20"/>
          <w:lang w:eastAsia="en-AU"/>
        </w:rPr>
        <w:t xml:space="preserve"> multiplied by the amount of the income inclusion. </w:t>
      </w:r>
    </w:p>
    <w:p w14:paraId="16A2002C" w14:textId="77777777" w:rsidR="00840DA0" w:rsidRPr="0060322C" w:rsidRDefault="00840DA0" w:rsidP="00840DA0">
      <w:pPr>
        <w:pStyle w:val="Normalparatextwithnumbers"/>
        <w:numPr>
          <w:ilvl w:val="1"/>
          <w:numId w:val="16"/>
        </w:numPr>
        <w:rPr>
          <w:rFonts w:eastAsia="Times New Roman" w:cs="Times New Roman"/>
          <w:szCs w:val="20"/>
          <w:lang w:eastAsia="en-AU"/>
        </w:rPr>
      </w:pPr>
      <w:r>
        <w:rPr>
          <w:rFonts w:eastAsia="Times New Roman" w:cs="Times New Roman"/>
          <w:szCs w:val="20"/>
          <w:lang w:eastAsia="en-AU"/>
        </w:rPr>
        <w:t xml:space="preserve">If </w:t>
      </w:r>
      <w:r w:rsidRPr="0060322C">
        <w:rPr>
          <w:rFonts w:eastAsia="Times New Roman" w:cs="Times New Roman"/>
          <w:szCs w:val="20"/>
          <w:lang w:eastAsia="en-AU"/>
        </w:rPr>
        <w:t xml:space="preserve">the </w:t>
      </w:r>
      <w:r w:rsidRPr="005652CF">
        <w:rPr>
          <w:rFonts w:eastAsia="Times New Roman" w:cs="Times New Roman"/>
          <w:szCs w:val="20"/>
          <w:lang w:eastAsia="en-AU"/>
        </w:rPr>
        <w:t>Permanent Establishment</w:t>
      </w:r>
      <w:r>
        <w:rPr>
          <w:rFonts w:eastAsia="Times New Roman" w:cs="Times New Roman"/>
          <w:szCs w:val="20"/>
          <w:lang w:eastAsia="en-AU"/>
        </w:rPr>
        <w:t>’s</w:t>
      </w:r>
      <w:r w:rsidRPr="0060322C">
        <w:rPr>
          <w:rFonts w:eastAsia="Times New Roman" w:cs="Times New Roman"/>
          <w:szCs w:val="20"/>
          <w:lang w:eastAsia="en-AU"/>
        </w:rPr>
        <w:t xml:space="preserve"> income inclusion is mixed with the Main Entity’s other income, the Main Entity’s pre-foreign tax credit tax liability on all the income needs to be determined and allocated </w:t>
      </w:r>
      <w:r>
        <w:rPr>
          <w:rFonts w:eastAsia="Times New Roman" w:cs="Times New Roman"/>
          <w:szCs w:val="20"/>
          <w:lang w:eastAsia="en-AU"/>
        </w:rPr>
        <w:t xml:space="preserve">on a pro rata basis </w:t>
      </w:r>
      <w:r w:rsidRPr="0060322C">
        <w:rPr>
          <w:rFonts w:eastAsia="Times New Roman" w:cs="Times New Roman"/>
          <w:szCs w:val="20"/>
          <w:lang w:eastAsia="en-AU"/>
        </w:rPr>
        <w:t xml:space="preserve">between the </w:t>
      </w:r>
      <w:r w:rsidRPr="00E22B67">
        <w:rPr>
          <w:rFonts w:eastAsia="Times New Roman" w:cs="Times New Roman"/>
          <w:szCs w:val="20"/>
          <w:lang w:eastAsia="en-AU"/>
        </w:rPr>
        <w:t>Permanent Establishment</w:t>
      </w:r>
      <w:r w:rsidRPr="0060322C">
        <w:rPr>
          <w:rFonts w:eastAsia="Times New Roman" w:cs="Times New Roman"/>
          <w:szCs w:val="20"/>
          <w:lang w:eastAsia="en-AU"/>
        </w:rPr>
        <w:t xml:space="preserve"> income inclusion and the rest of the Main Entity’s taxable income.</w:t>
      </w:r>
      <w:r>
        <w:rPr>
          <w:rFonts w:eastAsia="Times New Roman" w:cs="Times New Roman"/>
          <w:szCs w:val="20"/>
          <w:lang w:eastAsia="en-AU"/>
        </w:rPr>
        <w:t xml:space="preserve"> It is permissible for d</w:t>
      </w:r>
      <w:r w:rsidRPr="0060322C">
        <w:rPr>
          <w:rFonts w:eastAsia="Times New Roman" w:cs="Times New Roman"/>
          <w:szCs w:val="20"/>
          <w:lang w:eastAsia="en-AU"/>
        </w:rPr>
        <w:t xml:space="preserve">omestic losses and losses of other </w:t>
      </w:r>
      <w:r w:rsidRPr="00E22B67">
        <w:rPr>
          <w:rFonts w:eastAsia="Times New Roman" w:cs="Times New Roman"/>
          <w:szCs w:val="20"/>
          <w:lang w:eastAsia="en-AU"/>
        </w:rPr>
        <w:t>Permanent Establishment</w:t>
      </w:r>
      <w:r>
        <w:rPr>
          <w:rFonts w:eastAsia="Times New Roman" w:cs="Times New Roman"/>
          <w:szCs w:val="20"/>
          <w:lang w:eastAsia="en-AU"/>
        </w:rPr>
        <w:t>’</w:t>
      </w:r>
      <w:r w:rsidRPr="0060322C">
        <w:rPr>
          <w:rFonts w:eastAsia="Times New Roman" w:cs="Times New Roman"/>
          <w:szCs w:val="20"/>
          <w:lang w:eastAsia="en-AU"/>
        </w:rPr>
        <w:t xml:space="preserve">s </w:t>
      </w:r>
      <w:r>
        <w:rPr>
          <w:rFonts w:eastAsia="Times New Roman" w:cs="Times New Roman"/>
          <w:szCs w:val="20"/>
          <w:lang w:eastAsia="en-AU"/>
        </w:rPr>
        <w:t xml:space="preserve">that are </w:t>
      </w:r>
      <w:r w:rsidRPr="0060322C">
        <w:rPr>
          <w:rFonts w:eastAsia="Times New Roman" w:cs="Times New Roman"/>
          <w:szCs w:val="20"/>
          <w:lang w:eastAsia="en-AU"/>
        </w:rPr>
        <w:t xml:space="preserve">allowed in the Main Entity’s taxable income computation under a credit method </w:t>
      </w:r>
      <w:r>
        <w:rPr>
          <w:rFonts w:eastAsia="Times New Roman" w:cs="Times New Roman"/>
          <w:szCs w:val="20"/>
          <w:lang w:eastAsia="en-AU"/>
        </w:rPr>
        <w:t xml:space="preserve">to be </w:t>
      </w:r>
      <w:r w:rsidRPr="0060322C">
        <w:rPr>
          <w:rFonts w:eastAsia="Times New Roman" w:cs="Times New Roman"/>
          <w:szCs w:val="20"/>
          <w:lang w:eastAsia="en-AU"/>
        </w:rPr>
        <w:t xml:space="preserve">used </w:t>
      </w:r>
      <w:r>
        <w:rPr>
          <w:rFonts w:eastAsia="Times New Roman" w:cs="Times New Roman"/>
          <w:szCs w:val="20"/>
          <w:lang w:eastAsia="en-AU"/>
        </w:rPr>
        <w:t xml:space="preserve">first </w:t>
      </w:r>
      <w:r w:rsidRPr="0060322C">
        <w:rPr>
          <w:rFonts w:eastAsia="Times New Roman" w:cs="Times New Roman"/>
          <w:szCs w:val="20"/>
          <w:lang w:eastAsia="en-AU"/>
        </w:rPr>
        <w:t xml:space="preserve">against domestic income and then applied to </w:t>
      </w:r>
      <w:r w:rsidRPr="00E22B67">
        <w:rPr>
          <w:rFonts w:eastAsia="Times New Roman" w:cs="Times New Roman"/>
          <w:szCs w:val="20"/>
          <w:lang w:eastAsia="en-AU"/>
        </w:rPr>
        <w:t>Permanent Establishment</w:t>
      </w:r>
      <w:r w:rsidRPr="0060322C">
        <w:rPr>
          <w:rFonts w:eastAsia="Times New Roman" w:cs="Times New Roman"/>
          <w:szCs w:val="20"/>
          <w:lang w:eastAsia="en-AU"/>
        </w:rPr>
        <w:t xml:space="preserve"> income inclusions. </w:t>
      </w:r>
    </w:p>
    <w:p w14:paraId="5FED66F5" w14:textId="77777777" w:rsidR="00840DA0" w:rsidRPr="001E5626" w:rsidRDefault="00840DA0" w:rsidP="00840DA0">
      <w:pPr>
        <w:pStyle w:val="Normalparatextwithnumbers"/>
        <w:numPr>
          <w:ilvl w:val="1"/>
          <w:numId w:val="16"/>
        </w:numPr>
      </w:pPr>
      <w:r w:rsidRPr="001E5626">
        <w:t>Identify</w:t>
      </w:r>
      <w:r>
        <w:t>ing</w:t>
      </w:r>
      <w:r w:rsidRPr="001E5626">
        <w:t xml:space="preserve"> </w:t>
      </w:r>
      <w:r>
        <w:t xml:space="preserve">creditable taxes of the </w:t>
      </w:r>
      <w:r w:rsidRPr="001E5626">
        <w:t>Permanent Establishment</w:t>
      </w:r>
      <w:r>
        <w:t xml:space="preserve"> that are included in the </w:t>
      </w:r>
      <w:r w:rsidRPr="00530E19">
        <w:rPr>
          <w:rFonts w:eastAsia="Times New Roman" w:cs="Times New Roman"/>
          <w:lang w:eastAsia="en-AU"/>
        </w:rPr>
        <w:t>broader base of foreign income that includes other foreign income of the Main Entity</w:t>
      </w:r>
      <w:r>
        <w:t xml:space="preserve"> requires referring to the rules of the jurisdiction and reasonable assumptions to work out </w:t>
      </w:r>
      <w:r w:rsidRPr="00530E19">
        <w:rPr>
          <w:rFonts w:eastAsia="Times New Roman" w:cs="Times New Roman"/>
          <w:lang w:eastAsia="en-AU"/>
        </w:rPr>
        <w:t xml:space="preserve">the amount of the foreign tax credit attributable to the </w:t>
      </w:r>
      <w:r>
        <w:rPr>
          <w:rFonts w:eastAsia="Times New Roman" w:cs="Times New Roman"/>
          <w:lang w:eastAsia="en-AU"/>
        </w:rPr>
        <w:t xml:space="preserve">Permanent Establishment’s </w:t>
      </w:r>
      <w:r w:rsidRPr="00530E19">
        <w:rPr>
          <w:rFonts w:eastAsia="Times New Roman" w:cs="Times New Roman"/>
          <w:lang w:eastAsia="en-AU"/>
        </w:rPr>
        <w:t>income</w:t>
      </w:r>
      <w:r>
        <w:rPr>
          <w:rFonts w:eastAsia="Times New Roman" w:cs="Times New Roman"/>
          <w:lang w:eastAsia="en-AU"/>
        </w:rPr>
        <w:t xml:space="preserve">. </w:t>
      </w:r>
    </w:p>
    <w:p w14:paraId="3193B014" w14:textId="77777777" w:rsidR="00840DA0" w:rsidRPr="00C228BE" w:rsidRDefault="00840DA0" w:rsidP="00840DA0">
      <w:pPr>
        <w:pStyle w:val="Heading6"/>
        <w:rPr>
          <w:rFonts w:hint="eastAsia"/>
          <w:lang w:eastAsia="en-AU"/>
        </w:rPr>
      </w:pPr>
      <w:r w:rsidRPr="00C228BE">
        <w:rPr>
          <w:lang w:eastAsia="en-AU"/>
        </w:rPr>
        <w:t>Multiple Permanent Establishments</w:t>
      </w:r>
    </w:p>
    <w:p w14:paraId="09D6B866" w14:textId="77777777" w:rsidR="00840DA0" w:rsidRPr="00643482" w:rsidRDefault="00840DA0" w:rsidP="00840DA0">
      <w:pPr>
        <w:pStyle w:val="Normalparatextwithnumbers"/>
        <w:numPr>
          <w:ilvl w:val="1"/>
          <w:numId w:val="16"/>
        </w:numPr>
        <w:rPr>
          <w:lang w:eastAsia="en-AU"/>
        </w:rPr>
      </w:pPr>
      <w:r w:rsidRPr="00643482">
        <w:rPr>
          <w:lang w:eastAsia="en-AU"/>
        </w:rPr>
        <w:t xml:space="preserve">If the Main Entity was subject to tax on the income of more than one Permanent Establishment, the amount of tax that is determined to be excluded </w:t>
      </w:r>
      <w:r w:rsidRPr="00643482">
        <w:rPr>
          <w:lang w:eastAsia="en-AU"/>
        </w:rPr>
        <w:lastRenderedPageBreak/>
        <w:t>from the Main Entity’s Covered Taxes must be allocated to the jurisdiction of the relevant Permanent Establishments</w:t>
      </w:r>
      <w:r>
        <w:rPr>
          <w:lang w:eastAsia="en-AU"/>
        </w:rPr>
        <w:t xml:space="preserve">, by the </w:t>
      </w:r>
      <w:r w:rsidRPr="00643482">
        <w:rPr>
          <w:lang w:eastAsia="en-AU"/>
        </w:rPr>
        <w:t xml:space="preserve">difference between: </w:t>
      </w:r>
    </w:p>
    <w:p w14:paraId="0D6CDF53" w14:textId="77777777" w:rsidR="00840DA0" w:rsidRPr="00C228BE" w:rsidRDefault="00840DA0" w:rsidP="00B7652D">
      <w:pPr>
        <w:pStyle w:val="Dotpoint1"/>
        <w:rPr>
          <w:lang w:eastAsia="en-AU"/>
        </w:rPr>
      </w:pPr>
      <w:r w:rsidRPr="00C228BE">
        <w:rPr>
          <w:lang w:eastAsia="en-AU"/>
        </w:rPr>
        <w:t xml:space="preserve">the </w:t>
      </w:r>
      <w:r w:rsidRPr="000D6918">
        <w:rPr>
          <w:lang w:eastAsia="en-AU"/>
        </w:rPr>
        <w:t>pre credit tax liability for each Permanent Establishment income inclusion</w:t>
      </w:r>
      <w:r>
        <w:rPr>
          <w:lang w:eastAsia="en-AU"/>
        </w:rPr>
        <w:t>;</w:t>
      </w:r>
      <w:r w:rsidRPr="00C228BE">
        <w:rPr>
          <w:lang w:eastAsia="en-AU"/>
        </w:rPr>
        <w:t xml:space="preserve"> and</w:t>
      </w:r>
    </w:p>
    <w:p w14:paraId="24C02475" w14:textId="5AB96394" w:rsidR="00840DA0" w:rsidRPr="00C228BE" w:rsidRDefault="00840DA0" w:rsidP="00B7652D">
      <w:pPr>
        <w:pStyle w:val="Dotpoint1"/>
        <w:rPr>
          <w:lang w:eastAsia="en-AU"/>
        </w:rPr>
      </w:pPr>
      <w:r w:rsidRPr="00C228BE">
        <w:rPr>
          <w:lang w:eastAsia="en-AU"/>
        </w:rPr>
        <w:t xml:space="preserve">any credit allowed for </w:t>
      </w:r>
      <w:r w:rsidRPr="000D6918">
        <w:rPr>
          <w:lang w:eastAsia="en-AU"/>
        </w:rPr>
        <w:t>foreign taxes on each inclusion from the pre credit tax liability</w:t>
      </w:r>
      <w:r w:rsidR="005A5FD2">
        <w:rPr>
          <w:lang w:eastAsia="en-AU"/>
        </w:rPr>
        <w:t xml:space="preserve">, consistent with paragraph 51 on </w:t>
      </w:r>
      <w:r w:rsidR="00C94692">
        <w:rPr>
          <w:lang w:eastAsia="en-AU"/>
        </w:rPr>
        <w:t>123 of the Consolidated Commentary</w:t>
      </w:r>
      <w:r w:rsidRPr="00C228BE">
        <w:rPr>
          <w:lang w:eastAsia="en-AU"/>
        </w:rPr>
        <w:t>.</w:t>
      </w:r>
    </w:p>
    <w:p w14:paraId="7A4363E8" w14:textId="77777777" w:rsidR="00840DA0" w:rsidRPr="00C228BE" w:rsidRDefault="00840DA0" w:rsidP="00840DA0">
      <w:pPr>
        <w:pStyle w:val="Normalparatextwithnumbers"/>
        <w:numPr>
          <w:ilvl w:val="1"/>
          <w:numId w:val="16"/>
        </w:numPr>
        <w:rPr>
          <w:lang w:eastAsia="en-AU"/>
        </w:rPr>
      </w:pPr>
      <w:r>
        <w:rPr>
          <w:lang w:eastAsia="en-AU"/>
        </w:rPr>
        <w:t xml:space="preserve">This amount of ‘residual tax’ </w:t>
      </w:r>
      <w:r w:rsidRPr="00B716B0">
        <w:rPr>
          <w:lang w:eastAsia="en-AU"/>
        </w:rPr>
        <w:t>in excess of the allowed credit for foreign taxes</w:t>
      </w:r>
      <w:r>
        <w:rPr>
          <w:lang w:eastAsia="en-AU"/>
        </w:rPr>
        <w:t xml:space="preserve"> </w:t>
      </w:r>
      <w:r w:rsidRPr="00B716B0">
        <w:rPr>
          <w:lang w:eastAsia="en-AU"/>
        </w:rPr>
        <w:t xml:space="preserve">is </w:t>
      </w:r>
      <w:r>
        <w:rPr>
          <w:lang w:eastAsia="en-AU"/>
        </w:rPr>
        <w:t xml:space="preserve">based on </w:t>
      </w:r>
      <w:r w:rsidRPr="00B716B0">
        <w:rPr>
          <w:lang w:eastAsia="en-AU"/>
        </w:rPr>
        <w:t>the</w:t>
      </w:r>
      <w:r w:rsidRPr="00C228BE">
        <w:rPr>
          <w:lang w:eastAsia="en-AU"/>
        </w:rPr>
        <w:t xml:space="preserve"> rules of the Main Entity jurisdiction, including tax credit limitations</w:t>
      </w:r>
      <w:r w:rsidRPr="00587134">
        <w:rPr>
          <w:lang w:eastAsia="en-AU"/>
        </w:rPr>
        <w:t xml:space="preserve"> </w:t>
      </w:r>
      <w:r w:rsidRPr="00C228BE">
        <w:rPr>
          <w:lang w:eastAsia="en-AU"/>
        </w:rPr>
        <w:t>and where necessary make reasonable assumptions</w:t>
      </w:r>
      <w:r>
        <w:rPr>
          <w:lang w:eastAsia="en-AU"/>
        </w:rPr>
        <w:t>.</w:t>
      </w:r>
      <w:r w:rsidRPr="00C228BE">
        <w:rPr>
          <w:lang w:eastAsia="en-AU"/>
        </w:rPr>
        <w:t xml:space="preserve"> For example, in </w:t>
      </w:r>
      <w:r>
        <w:rPr>
          <w:lang w:eastAsia="en-AU"/>
        </w:rPr>
        <w:t>the case that cross-crediting of taxes is not allowed, the t</w:t>
      </w:r>
      <w:r w:rsidRPr="00B716B0">
        <w:rPr>
          <w:lang w:eastAsia="en-AU"/>
        </w:rPr>
        <w:t>ax</w:t>
      </w:r>
      <w:r w:rsidRPr="00C228BE">
        <w:rPr>
          <w:lang w:eastAsia="en-AU"/>
        </w:rPr>
        <w:t xml:space="preserve"> paid by the Permanent Establishment</w:t>
      </w:r>
      <w:r>
        <w:rPr>
          <w:lang w:eastAsia="en-AU"/>
        </w:rPr>
        <w:t xml:space="preserve"> </w:t>
      </w:r>
      <w:r w:rsidRPr="00C228BE">
        <w:rPr>
          <w:lang w:eastAsia="en-AU"/>
        </w:rPr>
        <w:t xml:space="preserve">will </w:t>
      </w:r>
      <w:r>
        <w:rPr>
          <w:lang w:eastAsia="en-AU"/>
        </w:rPr>
        <w:t xml:space="preserve">only </w:t>
      </w:r>
      <w:r w:rsidRPr="00C228BE">
        <w:rPr>
          <w:lang w:eastAsia="en-AU"/>
        </w:rPr>
        <w:t xml:space="preserve">be creditable to the extent </w:t>
      </w:r>
      <w:r>
        <w:rPr>
          <w:lang w:eastAsia="en-AU"/>
        </w:rPr>
        <w:t>the</w:t>
      </w:r>
      <w:r w:rsidRPr="00C228BE">
        <w:rPr>
          <w:lang w:eastAsia="en-AU"/>
        </w:rPr>
        <w:t xml:space="preserve"> tax liability </w:t>
      </w:r>
      <w:r w:rsidRPr="00B716B0">
        <w:rPr>
          <w:lang w:eastAsia="en-AU"/>
        </w:rPr>
        <w:t>aris</w:t>
      </w:r>
      <w:r>
        <w:rPr>
          <w:lang w:eastAsia="en-AU"/>
        </w:rPr>
        <w:t>es</w:t>
      </w:r>
      <w:r w:rsidRPr="00C228BE">
        <w:rPr>
          <w:lang w:eastAsia="en-AU"/>
        </w:rPr>
        <w:t xml:space="preserve"> from the income inclusion of that Permanent Establishment. </w:t>
      </w:r>
    </w:p>
    <w:p w14:paraId="2F29AEDE" w14:textId="2898E6DE" w:rsidR="00840DA0" w:rsidRPr="00C228BE" w:rsidRDefault="00840DA0">
      <w:pPr>
        <w:pStyle w:val="Normalparatextwithnumbers"/>
        <w:numPr>
          <w:ilvl w:val="1"/>
          <w:numId w:val="16"/>
        </w:numPr>
        <w:rPr>
          <w:lang w:eastAsia="en-AU"/>
        </w:rPr>
      </w:pPr>
      <w:r w:rsidRPr="00C228BE">
        <w:rPr>
          <w:lang w:eastAsia="en-AU"/>
        </w:rPr>
        <w:t xml:space="preserve">Determining the amount of </w:t>
      </w:r>
      <w:r>
        <w:rPr>
          <w:lang w:eastAsia="en-AU"/>
        </w:rPr>
        <w:t>t</w:t>
      </w:r>
      <w:r w:rsidRPr="00167665">
        <w:rPr>
          <w:lang w:eastAsia="en-AU"/>
        </w:rPr>
        <w:t>ax</w:t>
      </w:r>
      <w:r w:rsidRPr="00C228BE">
        <w:rPr>
          <w:lang w:eastAsia="en-AU"/>
        </w:rPr>
        <w:t xml:space="preserve"> paid on a Permanent Establishment</w:t>
      </w:r>
      <w:r>
        <w:rPr>
          <w:lang w:eastAsia="en-AU"/>
        </w:rPr>
        <w:t xml:space="preserve"> </w:t>
      </w:r>
      <w:r w:rsidRPr="00C228BE">
        <w:rPr>
          <w:lang w:eastAsia="en-AU"/>
        </w:rPr>
        <w:t>income inclusion is more complicated when cross crediting is allowed because Taxes paid by one Permanent Establishment</w:t>
      </w:r>
      <w:r>
        <w:rPr>
          <w:lang w:eastAsia="en-AU"/>
        </w:rPr>
        <w:t xml:space="preserve"> </w:t>
      </w:r>
      <w:r w:rsidRPr="00C228BE">
        <w:rPr>
          <w:lang w:eastAsia="en-AU"/>
        </w:rPr>
        <w:t>are allowed to reduce the tax liability arising in respect of other Permanent Establishment</w:t>
      </w:r>
      <w:r>
        <w:rPr>
          <w:lang w:eastAsia="en-AU"/>
        </w:rPr>
        <w:t xml:space="preserve"> </w:t>
      </w:r>
      <w:r w:rsidRPr="00C228BE">
        <w:rPr>
          <w:lang w:eastAsia="en-AU"/>
        </w:rPr>
        <w:t xml:space="preserve">income inclusions. </w:t>
      </w:r>
      <w:r w:rsidR="00D76970" w:rsidRPr="00C228BE">
        <w:rPr>
          <w:lang w:eastAsia="en-AU"/>
        </w:rPr>
        <w:t>Cross</w:t>
      </w:r>
      <w:r w:rsidR="00D76970">
        <w:rPr>
          <w:lang w:eastAsia="en-AU"/>
        </w:rPr>
        <w:noBreakHyphen/>
      </w:r>
      <w:r w:rsidR="00D76970" w:rsidRPr="00C228BE">
        <w:rPr>
          <w:lang w:eastAsia="en-AU"/>
        </w:rPr>
        <w:t xml:space="preserve">crediting means that the </w:t>
      </w:r>
      <w:r w:rsidR="00D76970">
        <w:rPr>
          <w:lang w:eastAsia="en-AU"/>
        </w:rPr>
        <w:t>t</w:t>
      </w:r>
      <w:r w:rsidR="00D76970" w:rsidRPr="00C228BE">
        <w:rPr>
          <w:lang w:eastAsia="en-AU"/>
        </w:rPr>
        <w:t>ax paid with respect to an income inclusion from a low-taxed Permanent Establishment</w:t>
      </w:r>
      <w:r w:rsidR="00D76970">
        <w:rPr>
          <w:lang w:eastAsia="en-AU"/>
        </w:rPr>
        <w:t xml:space="preserve"> </w:t>
      </w:r>
      <w:r w:rsidR="00D76970" w:rsidRPr="00C228BE">
        <w:rPr>
          <w:lang w:eastAsia="en-AU"/>
        </w:rPr>
        <w:t>may not equal the pre</w:t>
      </w:r>
      <w:r w:rsidR="00D76970">
        <w:rPr>
          <w:lang w:eastAsia="en-AU"/>
        </w:rPr>
        <w:noBreakHyphen/>
      </w:r>
      <w:r w:rsidR="00D76970" w:rsidRPr="00C228BE">
        <w:rPr>
          <w:lang w:eastAsia="en-AU"/>
        </w:rPr>
        <w:t xml:space="preserve">credit tax liability on the inclusion less the tax credit allowed for </w:t>
      </w:r>
      <w:r w:rsidR="00D76970">
        <w:rPr>
          <w:lang w:eastAsia="en-AU"/>
        </w:rPr>
        <w:t>t</w:t>
      </w:r>
      <w:r w:rsidR="00D76970" w:rsidRPr="00C228BE">
        <w:rPr>
          <w:lang w:eastAsia="en-AU"/>
        </w:rPr>
        <w:t xml:space="preserve">axes paid by that Permanent Establishment. </w:t>
      </w:r>
    </w:p>
    <w:p w14:paraId="6E765FC4" w14:textId="77777777" w:rsidR="00840DA0" w:rsidRDefault="00840DA0" w:rsidP="00840DA0">
      <w:pPr>
        <w:pStyle w:val="Heading5"/>
        <w:numPr>
          <w:ilvl w:val="4"/>
          <w:numId w:val="2"/>
        </w:numPr>
      </w:pPr>
      <w:r>
        <w:t>Allocation from a Tax Transparent Entity or Flow</w:t>
      </w:r>
      <w:r>
        <w:noBreakHyphen/>
        <w:t xml:space="preserve">through Entity </w:t>
      </w:r>
    </w:p>
    <w:p w14:paraId="4E44D990" w14:textId="658D6244" w:rsidR="00840DA0" w:rsidRDefault="00840DA0" w:rsidP="00840DA0">
      <w:pPr>
        <w:pStyle w:val="Normalparatextwithnumbers"/>
        <w:numPr>
          <w:ilvl w:val="1"/>
          <w:numId w:val="16"/>
        </w:numPr>
        <w:rPr>
          <w:lang w:eastAsia="en-AU"/>
        </w:rPr>
      </w:pPr>
      <w:r w:rsidRPr="002A20B2">
        <w:rPr>
          <w:lang w:eastAsia="en-AU"/>
        </w:rPr>
        <w:t xml:space="preserve">An amount </w:t>
      </w:r>
      <w:r w:rsidRPr="00251FC6">
        <w:rPr>
          <w:lang w:eastAsia="en-AU"/>
        </w:rPr>
        <w:t>in respect of</w:t>
      </w:r>
      <w:r w:rsidRPr="002A20B2">
        <w:rPr>
          <w:lang w:eastAsia="en-AU"/>
        </w:rPr>
        <w:t xml:space="preserve"> Covered Taxes for a Fiscal Year is allocated from a Tax Transparent Entity to </w:t>
      </w:r>
      <w:r>
        <w:rPr>
          <w:lang w:eastAsia="en-AU"/>
        </w:rPr>
        <w:t>the</w:t>
      </w:r>
      <w:r w:rsidRPr="002A20B2">
        <w:rPr>
          <w:lang w:eastAsia="en-AU"/>
        </w:rPr>
        <w:t xml:space="preserve"> </w:t>
      </w:r>
      <w:r w:rsidRPr="001F6112">
        <w:rPr>
          <w:lang w:eastAsia="en-AU"/>
        </w:rPr>
        <w:t>Constituent Entity</w:t>
      </w:r>
      <w:r>
        <w:rPr>
          <w:lang w:eastAsia="en-AU"/>
        </w:rPr>
        <w:noBreakHyphen/>
      </w:r>
      <w:r w:rsidRPr="002A20B2">
        <w:rPr>
          <w:lang w:eastAsia="en-AU"/>
        </w:rPr>
        <w:t>owner of the Tax Transparent Entity</w:t>
      </w:r>
      <w:r>
        <w:rPr>
          <w:lang w:eastAsia="en-AU"/>
        </w:rPr>
        <w:t>.</w:t>
      </w:r>
      <w:r>
        <w:rPr>
          <w:lang w:eastAsia="en-AU"/>
        </w:rPr>
        <w:br/>
      </w:r>
      <w:r w:rsidRPr="00371291">
        <w:rPr>
          <w:b/>
          <w:bCs/>
          <w:i/>
          <w:iCs/>
        </w:rPr>
        <w:t xml:space="preserve">[Chapter 4, </w:t>
      </w:r>
      <w:r>
        <w:rPr>
          <w:b/>
          <w:bCs/>
          <w:i/>
          <w:iCs/>
        </w:rPr>
        <w:t xml:space="preserve">section </w:t>
      </w:r>
      <w:r w:rsidRPr="00371291">
        <w:rPr>
          <w:b/>
          <w:bCs/>
          <w:i/>
          <w:iCs/>
        </w:rPr>
        <w:t>4-</w:t>
      </w:r>
      <w:r>
        <w:rPr>
          <w:b/>
          <w:bCs/>
          <w:i/>
          <w:iCs/>
        </w:rPr>
        <w:t>5</w:t>
      </w:r>
      <w:r w:rsidR="002A5580">
        <w:rPr>
          <w:b/>
          <w:bCs/>
          <w:i/>
          <w:iCs/>
        </w:rPr>
        <w:t>0</w:t>
      </w:r>
      <w:r>
        <w:rPr>
          <w:b/>
          <w:bCs/>
          <w:i/>
          <w:iCs/>
        </w:rPr>
        <w:t xml:space="preserve"> </w:t>
      </w:r>
      <w:r w:rsidRPr="00371291">
        <w:rPr>
          <w:b/>
          <w:bCs/>
          <w:i/>
          <w:iCs/>
        </w:rPr>
        <w:t xml:space="preserve">of the </w:t>
      </w:r>
      <w:r>
        <w:rPr>
          <w:b/>
          <w:bCs/>
          <w:i/>
          <w:iCs/>
        </w:rPr>
        <w:t>Rules</w:t>
      </w:r>
      <w:r w:rsidRPr="00371291">
        <w:rPr>
          <w:b/>
          <w:bCs/>
          <w:i/>
          <w:iCs/>
        </w:rPr>
        <w:t>]</w:t>
      </w:r>
    </w:p>
    <w:p w14:paraId="23714AC9" w14:textId="7CD2F3B6" w:rsidR="00FD2B87" w:rsidRPr="00C228BE" w:rsidRDefault="000E7B1C">
      <w:pPr>
        <w:pStyle w:val="Normalparatextwithnumbers"/>
        <w:numPr>
          <w:ilvl w:val="1"/>
          <w:numId w:val="16"/>
        </w:numPr>
        <w:rPr>
          <w:lang w:eastAsia="en-AU"/>
        </w:rPr>
      </w:pPr>
      <w:r>
        <w:rPr>
          <w:lang w:eastAsia="en-AU"/>
        </w:rPr>
        <w:t xml:space="preserve">Similar to the allocation of income described at </w:t>
      </w:r>
      <w:r w:rsidR="00D92116">
        <w:rPr>
          <w:lang w:eastAsia="en-AU"/>
        </w:rPr>
        <w:t xml:space="preserve">paragraph </w:t>
      </w:r>
      <w:r w:rsidR="00D03C3D">
        <w:rPr>
          <w:lang w:eastAsia="en-AU"/>
        </w:rPr>
        <w:fldChar w:fldCharType="begin"/>
      </w:r>
      <w:r w:rsidR="00D03C3D">
        <w:rPr>
          <w:lang w:eastAsia="en-AU"/>
        </w:rPr>
        <w:instrText xml:space="preserve"> REF _Ref183773864 \r \h </w:instrText>
      </w:r>
      <w:r w:rsidR="00D03C3D">
        <w:rPr>
          <w:lang w:eastAsia="en-AU"/>
        </w:rPr>
      </w:r>
      <w:r w:rsidR="00D03C3D">
        <w:rPr>
          <w:lang w:eastAsia="en-AU"/>
        </w:rPr>
        <w:fldChar w:fldCharType="separate"/>
      </w:r>
      <w:r w:rsidR="009D6D0D">
        <w:rPr>
          <w:lang w:eastAsia="en-AU"/>
        </w:rPr>
        <w:t>3.165</w:t>
      </w:r>
      <w:r w:rsidR="00D03C3D">
        <w:rPr>
          <w:lang w:eastAsia="en-AU"/>
        </w:rPr>
        <w:fldChar w:fldCharType="end"/>
      </w:r>
      <w:r w:rsidR="00FD2B87">
        <w:rPr>
          <w:lang w:eastAsia="en-AU"/>
        </w:rPr>
        <w:t>,</w:t>
      </w:r>
      <w:r w:rsidR="00FD2B87" w:rsidRPr="005C68F4">
        <w:rPr>
          <w:lang w:eastAsia="en-AU"/>
        </w:rPr>
        <w:t xml:space="preserve"> Covered Taxes that are not allocated to a </w:t>
      </w:r>
      <w:r w:rsidR="00FD2B87">
        <w:rPr>
          <w:lang w:eastAsia="en-AU"/>
        </w:rPr>
        <w:t xml:space="preserve">Permanent Establishment </w:t>
      </w:r>
      <w:r w:rsidR="00FD2B87" w:rsidRPr="005C68F4">
        <w:rPr>
          <w:lang w:eastAsia="en-AU"/>
        </w:rPr>
        <w:t xml:space="preserve">will be </w:t>
      </w:r>
      <w:r>
        <w:rPr>
          <w:lang w:eastAsia="en-AU"/>
        </w:rPr>
        <w:t xml:space="preserve">allocated </w:t>
      </w:r>
      <w:r w:rsidR="00FD2B87" w:rsidRPr="005C68F4">
        <w:rPr>
          <w:lang w:eastAsia="en-AU"/>
        </w:rPr>
        <w:t xml:space="preserve">to the </w:t>
      </w:r>
      <w:r w:rsidR="00FD2B87" w:rsidRPr="001F6112">
        <w:rPr>
          <w:lang w:eastAsia="en-AU"/>
        </w:rPr>
        <w:t>Constituent Entity</w:t>
      </w:r>
      <w:r w:rsidR="00FD2B87">
        <w:rPr>
          <w:lang w:eastAsia="en-AU"/>
        </w:rPr>
        <w:noBreakHyphen/>
      </w:r>
      <w:r w:rsidR="00FD2B87" w:rsidRPr="005C68F4">
        <w:rPr>
          <w:lang w:eastAsia="en-AU"/>
        </w:rPr>
        <w:t xml:space="preserve">owners of the Tax Transparent Entity. Typically, this will mean that Covered Taxes imposed on a Tax Transparent Entity’s income (and not attributable to any </w:t>
      </w:r>
      <w:r w:rsidR="00FD2B87">
        <w:rPr>
          <w:lang w:eastAsia="en-AU"/>
        </w:rPr>
        <w:t>Permanent Establishment</w:t>
      </w:r>
      <w:r w:rsidR="00FD2B87" w:rsidRPr="005C68F4">
        <w:rPr>
          <w:lang w:eastAsia="en-AU"/>
        </w:rPr>
        <w:t xml:space="preserve">) will be assigned to each </w:t>
      </w:r>
      <w:r w:rsidR="00FD2B87" w:rsidRPr="001F6112">
        <w:rPr>
          <w:lang w:eastAsia="en-AU"/>
        </w:rPr>
        <w:t>Constituent Entity</w:t>
      </w:r>
      <w:r w:rsidR="00FD2B87">
        <w:rPr>
          <w:lang w:eastAsia="en-AU"/>
        </w:rPr>
        <w:noBreakHyphen/>
      </w:r>
      <w:r w:rsidR="00FD2B87" w:rsidRPr="005C68F4">
        <w:rPr>
          <w:lang w:eastAsia="en-AU"/>
        </w:rPr>
        <w:t xml:space="preserve">owner in proportion to its share of the Tax Transparent Entity’s income. </w:t>
      </w:r>
    </w:p>
    <w:p w14:paraId="425B50CA" w14:textId="16AE823D" w:rsidR="00840DA0" w:rsidRPr="005C68F4" w:rsidRDefault="00840DA0" w:rsidP="00840DA0">
      <w:pPr>
        <w:pStyle w:val="Normalparatextwithnumbers"/>
        <w:numPr>
          <w:ilvl w:val="1"/>
          <w:numId w:val="16"/>
        </w:numPr>
        <w:rPr>
          <w:lang w:eastAsia="en-AU"/>
        </w:rPr>
      </w:pPr>
      <w:r w:rsidRPr="005C68F4">
        <w:rPr>
          <w:lang w:eastAsia="en-AU"/>
        </w:rPr>
        <w:t xml:space="preserve">Generally, Tax Transparent Entities are not subject to </w:t>
      </w:r>
      <w:r>
        <w:rPr>
          <w:lang w:eastAsia="en-AU"/>
        </w:rPr>
        <w:t xml:space="preserve">corporate income tax </w:t>
      </w:r>
      <w:r w:rsidRPr="005C68F4">
        <w:rPr>
          <w:lang w:eastAsia="en-AU"/>
        </w:rPr>
        <w:t xml:space="preserve">in the jurisdiction where they are created. However, some Covered Taxes could be imposed at </w:t>
      </w:r>
      <w:r>
        <w:rPr>
          <w:lang w:eastAsia="en-AU"/>
        </w:rPr>
        <w:t>a</w:t>
      </w:r>
      <w:r w:rsidRPr="005C68F4">
        <w:rPr>
          <w:lang w:eastAsia="en-AU"/>
        </w:rPr>
        <w:t xml:space="preserve"> sub-national level on Tax Transparent Entities without causing them to be considered a tax resident of that jurisdiction. In other cases, the operations carried out through the Tax Transparent Entity could give rise to source taxation that could be borne by the Tax Transparent Entity. In most cases, where the Tax Transparent Entity is liable to </w:t>
      </w:r>
      <w:r>
        <w:rPr>
          <w:lang w:eastAsia="en-AU"/>
        </w:rPr>
        <w:t>t</w:t>
      </w:r>
      <w:r w:rsidRPr="005C68F4">
        <w:rPr>
          <w:lang w:eastAsia="en-AU"/>
        </w:rPr>
        <w:t xml:space="preserve">ax on net income in a </w:t>
      </w:r>
      <w:r w:rsidRPr="005C68F4">
        <w:rPr>
          <w:lang w:eastAsia="en-AU"/>
        </w:rPr>
        <w:lastRenderedPageBreak/>
        <w:t xml:space="preserve">jurisdiction it will be because the activities and operations of that Entity give rise to a </w:t>
      </w:r>
      <w:r>
        <w:rPr>
          <w:lang w:eastAsia="en-AU"/>
        </w:rPr>
        <w:t xml:space="preserve">Permanent Establishment </w:t>
      </w:r>
      <w:r w:rsidRPr="005C68F4">
        <w:rPr>
          <w:lang w:eastAsia="en-AU"/>
        </w:rPr>
        <w:t>in that jurisdiction.</w:t>
      </w:r>
    </w:p>
    <w:p w14:paraId="4437294D" w14:textId="00D86116" w:rsidR="00840DA0" w:rsidRPr="005C68F4" w:rsidRDefault="00840DA0" w:rsidP="00840DA0">
      <w:pPr>
        <w:pStyle w:val="Normalparatextwithnumbers"/>
        <w:numPr>
          <w:ilvl w:val="1"/>
          <w:numId w:val="16"/>
        </w:numPr>
        <w:rPr>
          <w:lang w:eastAsia="en-AU"/>
        </w:rPr>
      </w:pPr>
      <w:r>
        <w:rPr>
          <w:lang w:eastAsia="en-AU"/>
        </w:rPr>
        <w:t>Where</w:t>
      </w:r>
      <w:r w:rsidRPr="005C68F4">
        <w:rPr>
          <w:lang w:eastAsia="en-AU"/>
        </w:rPr>
        <w:t xml:space="preserve"> the Tax Transparent Entity is liable to </w:t>
      </w:r>
      <w:r>
        <w:rPr>
          <w:lang w:eastAsia="en-AU"/>
        </w:rPr>
        <w:t>t</w:t>
      </w:r>
      <w:r w:rsidRPr="005C68F4">
        <w:rPr>
          <w:lang w:eastAsia="en-AU"/>
        </w:rPr>
        <w:t xml:space="preserve">ax because of a </w:t>
      </w:r>
      <w:r>
        <w:rPr>
          <w:lang w:eastAsia="en-AU"/>
        </w:rPr>
        <w:t>Permanent Establishment</w:t>
      </w:r>
      <w:r w:rsidRPr="005C68F4">
        <w:rPr>
          <w:lang w:eastAsia="en-AU"/>
        </w:rPr>
        <w:t xml:space="preserve">, the appropriate portion of the income of the Tax Transparent Entity that is attributable to the </w:t>
      </w:r>
      <w:r>
        <w:rPr>
          <w:lang w:eastAsia="en-AU"/>
        </w:rPr>
        <w:t xml:space="preserve">Permanent Establishment </w:t>
      </w:r>
      <w:r w:rsidRPr="005C68F4">
        <w:rPr>
          <w:lang w:eastAsia="en-AU"/>
        </w:rPr>
        <w:t xml:space="preserve">is first allocated to the </w:t>
      </w:r>
      <w:r>
        <w:rPr>
          <w:lang w:eastAsia="en-AU"/>
        </w:rPr>
        <w:t>Permanent Establishment</w:t>
      </w:r>
      <w:r w:rsidR="00500D8C">
        <w:rPr>
          <w:lang w:eastAsia="en-AU"/>
        </w:rPr>
        <w:t xml:space="preserve">, Similar to the allocation of income described at paragraph </w:t>
      </w:r>
      <w:r w:rsidR="00500D8C">
        <w:rPr>
          <w:lang w:eastAsia="en-AU"/>
        </w:rPr>
        <w:fldChar w:fldCharType="begin"/>
      </w:r>
      <w:r w:rsidR="00500D8C">
        <w:rPr>
          <w:lang w:eastAsia="en-AU"/>
        </w:rPr>
        <w:instrText xml:space="preserve"> REF _Ref183773864 \r \h </w:instrText>
      </w:r>
      <w:r w:rsidR="00500D8C">
        <w:rPr>
          <w:lang w:eastAsia="en-AU"/>
        </w:rPr>
      </w:r>
      <w:r w:rsidR="00500D8C">
        <w:rPr>
          <w:lang w:eastAsia="en-AU"/>
        </w:rPr>
        <w:fldChar w:fldCharType="separate"/>
      </w:r>
      <w:r w:rsidR="009D6D0D">
        <w:rPr>
          <w:lang w:eastAsia="en-AU"/>
        </w:rPr>
        <w:t>3.165</w:t>
      </w:r>
      <w:r w:rsidR="00500D8C">
        <w:rPr>
          <w:lang w:eastAsia="en-AU"/>
        </w:rPr>
        <w:fldChar w:fldCharType="end"/>
      </w:r>
      <w:r>
        <w:rPr>
          <w:lang w:eastAsia="en-AU"/>
        </w:rPr>
        <w:t xml:space="preserve">. </w:t>
      </w:r>
      <w:r>
        <w:rPr>
          <w:lang w:eastAsia="en-AU"/>
        </w:rPr>
        <w:br/>
      </w:r>
      <w:r w:rsidRPr="00C075BB">
        <w:rPr>
          <w:rStyle w:val="References"/>
        </w:rPr>
        <w:t>[</w:t>
      </w:r>
      <w:r>
        <w:rPr>
          <w:rStyle w:val="References"/>
        </w:rPr>
        <w:t>Chapter 4, section 4-4</w:t>
      </w:r>
      <w:r w:rsidR="002F3407">
        <w:rPr>
          <w:rStyle w:val="References"/>
        </w:rPr>
        <w:t>5</w:t>
      </w:r>
      <w:r w:rsidRPr="005031D1">
        <w:rPr>
          <w:rStyle w:val="References"/>
        </w:rPr>
        <w:t xml:space="preserve"> of the Rules]</w:t>
      </w:r>
      <w:r w:rsidRPr="005C68F4">
        <w:rPr>
          <w:lang w:eastAsia="en-AU"/>
        </w:rPr>
        <w:t xml:space="preserve"> </w:t>
      </w:r>
    </w:p>
    <w:p w14:paraId="5B93EFB2" w14:textId="77777777" w:rsidR="00840DA0" w:rsidRPr="00F35162" w:rsidRDefault="00840DA0" w:rsidP="00840DA0">
      <w:pPr>
        <w:pStyle w:val="Normalparatextwithnumbers"/>
        <w:numPr>
          <w:ilvl w:val="1"/>
          <w:numId w:val="16"/>
        </w:numPr>
        <w:rPr>
          <w:rFonts w:eastAsia="Times New Roman" w:cs="Times New Roman"/>
          <w:szCs w:val="20"/>
          <w:lang w:eastAsia="en-AU"/>
        </w:rPr>
      </w:pPr>
      <w:r>
        <w:rPr>
          <w:lang w:eastAsia="en-AU"/>
        </w:rPr>
        <w:t>However,</w:t>
      </w:r>
      <w:r w:rsidRPr="00C228BE">
        <w:rPr>
          <w:lang w:eastAsia="en-AU"/>
        </w:rPr>
        <w:t xml:space="preserve"> </w:t>
      </w:r>
      <w:r>
        <w:rPr>
          <w:lang w:eastAsia="en-AU"/>
        </w:rPr>
        <w:t>i</w:t>
      </w:r>
      <w:r w:rsidRPr="00C228BE">
        <w:rPr>
          <w:lang w:eastAsia="en-AU"/>
        </w:rPr>
        <w:t xml:space="preserve">f the </w:t>
      </w:r>
      <w:r>
        <w:rPr>
          <w:lang w:eastAsia="en-AU"/>
        </w:rPr>
        <w:t>Constituent Entity</w:t>
      </w:r>
      <w:r>
        <w:rPr>
          <w:lang w:eastAsia="en-AU"/>
        </w:rPr>
        <w:noBreakHyphen/>
      </w:r>
      <w:r w:rsidRPr="00C228BE">
        <w:rPr>
          <w:lang w:eastAsia="en-AU"/>
        </w:rPr>
        <w:t xml:space="preserve">owner of a Flow-through Entity </w:t>
      </w:r>
      <w:r>
        <w:rPr>
          <w:lang w:eastAsia="en-AU"/>
        </w:rPr>
        <w:t xml:space="preserve">is required to </w:t>
      </w:r>
      <w:r w:rsidRPr="00C228BE">
        <w:rPr>
          <w:lang w:eastAsia="en-AU"/>
        </w:rPr>
        <w:t>pay the tax with respect to the income attributable to the Permanent Establishment</w:t>
      </w:r>
      <w:r>
        <w:rPr>
          <w:lang w:eastAsia="en-AU"/>
        </w:rPr>
        <w:t xml:space="preserve"> </w:t>
      </w:r>
      <w:r w:rsidRPr="00C228BE">
        <w:rPr>
          <w:lang w:eastAsia="en-AU"/>
        </w:rPr>
        <w:t xml:space="preserve">that tax is allocated from the </w:t>
      </w:r>
      <w:r w:rsidRPr="00CF501E">
        <w:rPr>
          <w:lang w:eastAsia="en-AU"/>
        </w:rPr>
        <w:t>Constituent Entity</w:t>
      </w:r>
      <w:r>
        <w:rPr>
          <w:lang w:eastAsia="en-AU"/>
        </w:rPr>
        <w:noBreakHyphen/>
      </w:r>
      <w:r w:rsidRPr="00CF501E">
        <w:rPr>
          <w:lang w:eastAsia="en-AU"/>
        </w:rPr>
        <w:t xml:space="preserve">owner </w:t>
      </w:r>
      <w:r w:rsidRPr="00C228BE">
        <w:rPr>
          <w:lang w:eastAsia="en-AU"/>
        </w:rPr>
        <w:t>to that Permanent Establishment.</w:t>
      </w:r>
      <w:r>
        <w:rPr>
          <w:lang w:eastAsia="en-AU"/>
        </w:rPr>
        <w:t xml:space="preserve"> For example, the tax must be allocated to the Permanent Establishment where the Constituent Entity</w:t>
      </w:r>
      <w:r>
        <w:rPr>
          <w:lang w:eastAsia="en-AU"/>
        </w:rPr>
        <w:noBreakHyphen/>
        <w:t>owner of a Flow</w:t>
      </w:r>
      <w:r>
        <w:rPr>
          <w:lang w:eastAsia="en-AU"/>
        </w:rPr>
        <w:noBreakHyphen/>
        <w:t xml:space="preserve">through Entity is </w:t>
      </w:r>
      <w:r w:rsidRPr="00C228BE">
        <w:rPr>
          <w:lang w:eastAsia="en-AU"/>
        </w:rPr>
        <w:t xml:space="preserve">a partner of </w:t>
      </w:r>
      <w:r>
        <w:rPr>
          <w:lang w:eastAsia="en-AU"/>
        </w:rPr>
        <w:t xml:space="preserve">a </w:t>
      </w:r>
      <w:r w:rsidRPr="00C228BE">
        <w:rPr>
          <w:lang w:eastAsia="en-AU"/>
        </w:rPr>
        <w:t xml:space="preserve">Tax Transparent Entity that is a partnership which is also a </w:t>
      </w:r>
      <w:r>
        <w:rPr>
          <w:lang w:eastAsia="en-AU"/>
        </w:rPr>
        <w:t xml:space="preserve">Constituent Entity </w:t>
      </w:r>
      <w:r w:rsidRPr="00041FBC">
        <w:rPr>
          <w:lang w:eastAsia="en-AU"/>
        </w:rPr>
        <w:t>due to the activities undertaken through a Tax Transparent Entity with respect to the income attributable to the Permanent Establishment</w:t>
      </w:r>
      <w:r>
        <w:rPr>
          <w:lang w:eastAsia="en-AU"/>
        </w:rPr>
        <w:t>.</w:t>
      </w:r>
      <w:r w:rsidRPr="00041FBC">
        <w:rPr>
          <w:lang w:eastAsia="en-AU"/>
        </w:rPr>
        <w:t xml:space="preserve"> </w:t>
      </w:r>
    </w:p>
    <w:p w14:paraId="555F5528" w14:textId="77777777" w:rsidR="00840DA0" w:rsidRPr="007F4787" w:rsidRDefault="00840DA0" w:rsidP="00840DA0">
      <w:pPr>
        <w:pStyle w:val="Heading5"/>
        <w:numPr>
          <w:ilvl w:val="4"/>
          <w:numId w:val="2"/>
        </w:numPr>
        <w:rPr>
          <w:lang w:eastAsia="en-AU"/>
        </w:rPr>
      </w:pPr>
      <w:r w:rsidRPr="007F4787">
        <w:rPr>
          <w:lang w:eastAsia="en-AU"/>
        </w:rPr>
        <w:t xml:space="preserve">Allocation </w:t>
      </w:r>
      <w:r>
        <w:rPr>
          <w:lang w:eastAsia="en-AU"/>
        </w:rPr>
        <w:t xml:space="preserve">of taxes </w:t>
      </w:r>
      <w:r w:rsidRPr="007F4787">
        <w:rPr>
          <w:lang w:eastAsia="en-AU"/>
        </w:rPr>
        <w:t xml:space="preserve">under a </w:t>
      </w:r>
      <w:r>
        <w:rPr>
          <w:lang w:eastAsia="en-AU"/>
        </w:rPr>
        <w:t xml:space="preserve">CFC </w:t>
      </w:r>
      <w:r w:rsidRPr="007F4787">
        <w:rPr>
          <w:lang w:eastAsia="en-AU"/>
        </w:rPr>
        <w:t xml:space="preserve">Tax Regime </w:t>
      </w:r>
    </w:p>
    <w:p w14:paraId="4552C309" w14:textId="79543FEF" w:rsidR="00840DA0" w:rsidRPr="007F4787" w:rsidRDefault="00840DA0" w:rsidP="00840DA0">
      <w:pPr>
        <w:pStyle w:val="Normalparatextwithnumbers"/>
        <w:numPr>
          <w:ilvl w:val="1"/>
          <w:numId w:val="16"/>
        </w:numPr>
        <w:rPr>
          <w:lang w:eastAsia="en-AU"/>
        </w:rPr>
      </w:pPr>
      <w:r w:rsidRPr="007F4787">
        <w:rPr>
          <w:lang w:eastAsia="en-AU"/>
        </w:rPr>
        <w:t xml:space="preserve">An amount in respect of Covered Taxes for a Fiscal Year </w:t>
      </w:r>
      <w:r>
        <w:rPr>
          <w:lang w:eastAsia="en-AU"/>
        </w:rPr>
        <w:t>can be</w:t>
      </w:r>
      <w:r w:rsidRPr="007F4787">
        <w:rPr>
          <w:lang w:eastAsia="en-AU"/>
        </w:rPr>
        <w:t xml:space="preserve"> allocated from a </w:t>
      </w:r>
      <w:bookmarkStart w:id="144" w:name="_Hlk159578002"/>
      <w:r>
        <w:rPr>
          <w:lang w:eastAsia="en-AU"/>
        </w:rPr>
        <w:t>Constituent Entity</w:t>
      </w:r>
      <w:bookmarkEnd w:id="144"/>
      <w:r>
        <w:rPr>
          <w:lang w:eastAsia="en-AU"/>
        </w:rPr>
        <w:noBreakHyphen/>
      </w:r>
      <w:r w:rsidRPr="007F4787">
        <w:rPr>
          <w:lang w:eastAsia="en-AU"/>
        </w:rPr>
        <w:t>owner to the Constituent Entity if the Constituent Entity</w:t>
      </w:r>
      <w:r>
        <w:rPr>
          <w:lang w:eastAsia="en-AU"/>
        </w:rPr>
        <w:noBreakHyphen/>
      </w:r>
      <w:r w:rsidRPr="007F4787">
        <w:rPr>
          <w:lang w:eastAsia="en-AU"/>
        </w:rPr>
        <w:t xml:space="preserve">owner is subject to a </w:t>
      </w:r>
      <w:r>
        <w:rPr>
          <w:lang w:eastAsia="en-AU"/>
        </w:rPr>
        <w:t xml:space="preserve">CFC </w:t>
      </w:r>
      <w:r w:rsidRPr="007F4787">
        <w:rPr>
          <w:lang w:eastAsia="en-AU"/>
        </w:rPr>
        <w:t>Tax Regime.</w:t>
      </w:r>
      <w:r>
        <w:rPr>
          <w:lang w:eastAsia="en-AU"/>
        </w:rPr>
        <w:br/>
      </w:r>
      <w:r w:rsidRPr="00D53FFB">
        <w:rPr>
          <w:rStyle w:val="References"/>
        </w:rPr>
        <w:t>[</w:t>
      </w:r>
      <w:r>
        <w:rPr>
          <w:rStyle w:val="References"/>
        </w:rPr>
        <w:t xml:space="preserve">Chapter 4, </w:t>
      </w:r>
      <w:r w:rsidR="00847BC1">
        <w:rPr>
          <w:rStyle w:val="References"/>
        </w:rPr>
        <w:t>sub</w:t>
      </w:r>
      <w:r>
        <w:rPr>
          <w:rStyle w:val="References"/>
        </w:rPr>
        <w:t>section 4-5</w:t>
      </w:r>
      <w:r w:rsidR="002F3407">
        <w:rPr>
          <w:rStyle w:val="References"/>
        </w:rPr>
        <w:t>5</w:t>
      </w:r>
      <w:r w:rsidR="00F45680">
        <w:rPr>
          <w:rStyle w:val="References"/>
        </w:rPr>
        <w:t>(1)</w:t>
      </w:r>
      <w:r>
        <w:rPr>
          <w:rStyle w:val="References"/>
        </w:rPr>
        <w:t xml:space="preserve"> of the Rules</w:t>
      </w:r>
      <w:r w:rsidRPr="00D53FFB">
        <w:rPr>
          <w:rStyle w:val="References"/>
        </w:rPr>
        <w:t xml:space="preserve">] </w:t>
      </w:r>
      <w:r w:rsidRPr="007F4787">
        <w:rPr>
          <w:lang w:eastAsia="en-AU"/>
        </w:rPr>
        <w:t xml:space="preserve"> </w:t>
      </w:r>
    </w:p>
    <w:p w14:paraId="13111281" w14:textId="77777777" w:rsidR="00840DA0" w:rsidRPr="00CC47B3" w:rsidRDefault="00840DA0" w:rsidP="00840DA0">
      <w:pPr>
        <w:pStyle w:val="Normalparatextwithnumbers"/>
        <w:numPr>
          <w:ilvl w:val="1"/>
          <w:numId w:val="16"/>
        </w:numPr>
        <w:rPr>
          <w:rFonts w:eastAsiaTheme="majorEastAsia" w:cstheme="majorBidi"/>
        </w:rPr>
      </w:pPr>
      <w:r w:rsidRPr="007F4787">
        <w:rPr>
          <w:lang w:eastAsia="en-AU"/>
        </w:rPr>
        <w:t>The same general process described for allocating Covered Taxes imposed on the Main Entity in respect of a Permanent Establishment</w:t>
      </w:r>
      <w:r>
        <w:rPr>
          <w:lang w:eastAsia="en-AU"/>
        </w:rPr>
        <w:t xml:space="preserve"> under </w:t>
      </w:r>
      <w:r w:rsidRPr="007F4787">
        <w:rPr>
          <w:lang w:eastAsia="en-AU"/>
        </w:rPr>
        <w:t>section 4-</w:t>
      </w:r>
      <w:r>
        <w:rPr>
          <w:lang w:eastAsia="en-AU"/>
        </w:rPr>
        <w:t>40</w:t>
      </w:r>
      <w:r w:rsidRPr="007F4787">
        <w:rPr>
          <w:lang w:eastAsia="en-AU"/>
        </w:rPr>
        <w:t xml:space="preserve"> can also be applied by a </w:t>
      </w:r>
      <w:r w:rsidRPr="009E316A">
        <w:rPr>
          <w:lang w:eastAsia="en-AU"/>
        </w:rPr>
        <w:t>Constituent Entity</w:t>
      </w:r>
      <w:r>
        <w:rPr>
          <w:lang w:eastAsia="en-AU"/>
        </w:rPr>
        <w:noBreakHyphen/>
      </w:r>
      <w:r w:rsidRPr="007F4787">
        <w:rPr>
          <w:lang w:eastAsia="en-AU"/>
        </w:rPr>
        <w:t>owner in respect of a taxes arising under a CFC Tax Regime</w:t>
      </w:r>
      <w:r>
        <w:rPr>
          <w:lang w:eastAsia="en-AU"/>
        </w:rPr>
        <w:t>. The</w:t>
      </w:r>
      <w:r w:rsidRPr="007F4787">
        <w:rPr>
          <w:lang w:eastAsia="en-AU"/>
        </w:rPr>
        <w:t xml:space="preserve"> amount of any CFC Taxes included in the financial accounts of a direct or indirect </w:t>
      </w:r>
      <w:r w:rsidRPr="009E316A">
        <w:rPr>
          <w:lang w:eastAsia="en-AU"/>
        </w:rPr>
        <w:t>Constituent Entity</w:t>
      </w:r>
      <w:r>
        <w:rPr>
          <w:lang w:eastAsia="en-AU"/>
        </w:rPr>
        <w:noBreakHyphen/>
      </w:r>
      <w:r w:rsidRPr="007F4787">
        <w:rPr>
          <w:lang w:eastAsia="en-AU"/>
        </w:rPr>
        <w:t xml:space="preserve">owner on its share of the CFC’s income </w:t>
      </w:r>
      <w:r>
        <w:rPr>
          <w:lang w:eastAsia="en-AU"/>
        </w:rPr>
        <w:t xml:space="preserve">is </w:t>
      </w:r>
      <w:r w:rsidRPr="007F4787">
        <w:rPr>
          <w:lang w:eastAsia="en-AU"/>
        </w:rPr>
        <w:t xml:space="preserve">allocated to such CFC. </w:t>
      </w:r>
    </w:p>
    <w:p w14:paraId="10FF975D" w14:textId="77777777" w:rsidR="00840DA0" w:rsidRPr="009D0B23" w:rsidRDefault="00840DA0" w:rsidP="00840DA0">
      <w:pPr>
        <w:pStyle w:val="Heading6"/>
        <w:rPr>
          <w:rFonts w:hint="eastAsia"/>
        </w:rPr>
      </w:pPr>
      <w:r>
        <w:t>Blended CFC Tax Regimes</w:t>
      </w:r>
    </w:p>
    <w:p w14:paraId="385E7C9D" w14:textId="7E4AF692" w:rsidR="00840DA0" w:rsidRDefault="00840DA0" w:rsidP="00840DA0">
      <w:pPr>
        <w:pStyle w:val="Normalparatextwithnumbers"/>
        <w:numPr>
          <w:ilvl w:val="1"/>
          <w:numId w:val="16"/>
        </w:numPr>
        <w:rPr>
          <w:rStyle w:val="References"/>
          <w:rFonts w:eastAsia="Times New Roman" w:cs="Times New Roman"/>
          <w:b w:val="0"/>
          <w:i w:val="0"/>
          <w:szCs w:val="20"/>
          <w:lang w:eastAsia="en-AU"/>
        </w:rPr>
      </w:pPr>
      <w:r>
        <w:rPr>
          <w:rFonts w:eastAsia="Times New Roman" w:cs="Times New Roman"/>
          <w:szCs w:val="20"/>
          <w:lang w:eastAsia="en-AU"/>
        </w:rPr>
        <w:t>Separate</w:t>
      </w:r>
      <w:r w:rsidRPr="006449EB">
        <w:rPr>
          <w:rFonts w:cs="Times New Roman"/>
          <w:szCs w:val="20"/>
          <w:lang w:eastAsia="en-AU"/>
        </w:rPr>
        <w:t xml:space="preserve"> </w:t>
      </w:r>
      <w:r>
        <w:rPr>
          <w:rFonts w:eastAsia="Times New Roman" w:cs="Times New Roman"/>
          <w:szCs w:val="20"/>
          <w:lang w:eastAsia="en-AU"/>
        </w:rPr>
        <w:t>rules apply if the CFC Tax Regime is a Blended CFC Tax Regime.</w:t>
      </w:r>
      <w:r w:rsidRPr="0038562F">
        <w:rPr>
          <w:rFonts w:eastAsia="Times New Roman" w:cs="Times New Roman"/>
          <w:szCs w:val="20"/>
          <w:lang w:eastAsia="en-AU"/>
        </w:rPr>
        <w:t xml:space="preserve"> </w:t>
      </w:r>
      <w:r>
        <w:rPr>
          <w:rFonts w:eastAsia="Times New Roman" w:cs="Times New Roman"/>
          <w:szCs w:val="20"/>
          <w:lang w:eastAsia="en-AU"/>
        </w:rPr>
        <w:t>Allocable Blended CFC Tax is allocated from a Constituent Entity</w:t>
      </w:r>
      <w:r>
        <w:rPr>
          <w:rFonts w:eastAsia="Times New Roman" w:cs="Times New Roman"/>
          <w:szCs w:val="20"/>
          <w:lang w:eastAsia="en-AU"/>
        </w:rPr>
        <w:noBreakHyphen/>
        <w:t xml:space="preserve">owner to a Constituent Entity for Fiscal Years that begin on or before 31 December 2025 but not including a Fiscal Year that ends after 30 June 2027. </w:t>
      </w:r>
      <w:r>
        <w:rPr>
          <w:lang w:eastAsia="en-AU"/>
        </w:rPr>
        <w:br/>
      </w:r>
      <w:r>
        <w:rPr>
          <w:rStyle w:val="References"/>
          <w:lang w:eastAsia="en-AU"/>
        </w:rPr>
        <w:t xml:space="preserve">[Chapter 4, </w:t>
      </w:r>
      <w:r w:rsidR="00847BC1">
        <w:rPr>
          <w:rStyle w:val="References"/>
          <w:lang w:eastAsia="en-AU"/>
        </w:rPr>
        <w:t>sub</w:t>
      </w:r>
      <w:r>
        <w:rPr>
          <w:rStyle w:val="References"/>
          <w:lang w:eastAsia="en-AU"/>
        </w:rPr>
        <w:t>section</w:t>
      </w:r>
      <w:r w:rsidR="00847BC1">
        <w:rPr>
          <w:rStyle w:val="References"/>
          <w:lang w:eastAsia="en-AU"/>
        </w:rPr>
        <w:t>s</w:t>
      </w:r>
      <w:r>
        <w:rPr>
          <w:rStyle w:val="References"/>
          <w:lang w:eastAsia="en-AU"/>
        </w:rPr>
        <w:t xml:space="preserve"> 4-50</w:t>
      </w:r>
      <w:r w:rsidR="00CF5563">
        <w:rPr>
          <w:rStyle w:val="References"/>
          <w:lang w:eastAsia="en-AU"/>
        </w:rPr>
        <w:t xml:space="preserve">(1) and </w:t>
      </w:r>
      <w:r>
        <w:rPr>
          <w:rStyle w:val="References"/>
          <w:lang w:eastAsia="en-AU"/>
        </w:rPr>
        <w:t>(</w:t>
      </w:r>
      <w:r w:rsidR="00F27EA7">
        <w:rPr>
          <w:rStyle w:val="References"/>
          <w:lang w:eastAsia="en-AU"/>
        </w:rPr>
        <w:t>2)</w:t>
      </w:r>
      <w:r>
        <w:rPr>
          <w:rStyle w:val="References"/>
          <w:lang w:eastAsia="en-AU"/>
        </w:rPr>
        <w:t xml:space="preserve"> of the Rules]</w:t>
      </w:r>
    </w:p>
    <w:p w14:paraId="1BDF64DC" w14:textId="7E326E4C" w:rsidR="00840DA0" w:rsidRDefault="00840DA0" w:rsidP="00840DA0">
      <w:pPr>
        <w:pStyle w:val="Normalparatextwithnumbers"/>
        <w:numPr>
          <w:ilvl w:val="1"/>
          <w:numId w:val="16"/>
        </w:numPr>
      </w:pPr>
      <w:r>
        <w:rPr>
          <w:rFonts w:eastAsia="Times New Roman" w:cs="Times New Roman"/>
          <w:szCs w:val="20"/>
        </w:rPr>
        <w:t xml:space="preserve">A Blended CFC Tax Regime is a regime where the shareholder’s tax liability is determined by aggregating income, losses and creditable taxes of other Entities, located in one or more other jurisdiction, with an applicable rate of less than the Minimum Rate. The income of entities in the shareholder’s jurisdiction </w:t>
      </w:r>
      <w:r w:rsidR="00CC391C">
        <w:rPr>
          <w:rFonts w:eastAsia="Times New Roman" w:cs="Times New Roman"/>
          <w:szCs w:val="20"/>
        </w:rPr>
        <w:t xml:space="preserve">is </w:t>
      </w:r>
      <w:r>
        <w:rPr>
          <w:rFonts w:eastAsia="Times New Roman" w:cs="Times New Roman"/>
          <w:szCs w:val="20"/>
        </w:rPr>
        <w:t>not taken into account.</w:t>
      </w:r>
      <w:r w:rsidR="00842246" w:rsidRPr="00842246">
        <w:rPr>
          <w:rFonts w:eastAsia="Times New Roman" w:cs="Times New Roman"/>
          <w:szCs w:val="20"/>
        </w:rPr>
        <w:t xml:space="preserve"> </w:t>
      </w:r>
      <w:r>
        <w:rPr>
          <w:rFonts w:eastAsia="Times New Roman" w:cs="Times New Roman"/>
          <w:szCs w:val="20"/>
        </w:rPr>
        <w:br/>
      </w:r>
      <w:r>
        <w:rPr>
          <w:rFonts w:eastAsia="Times New Roman" w:cs="Times New Roman"/>
          <w:b/>
          <w:bCs/>
          <w:i/>
          <w:iCs/>
          <w:szCs w:val="20"/>
        </w:rPr>
        <w:t>[Chapter 4, section 4-</w:t>
      </w:r>
      <w:r w:rsidR="002F3407">
        <w:rPr>
          <w:rFonts w:eastAsia="Times New Roman" w:cs="Times New Roman"/>
          <w:b/>
          <w:bCs/>
          <w:i/>
          <w:iCs/>
          <w:szCs w:val="20"/>
        </w:rPr>
        <w:t>60</w:t>
      </w:r>
      <w:r>
        <w:rPr>
          <w:rFonts w:eastAsia="Times New Roman" w:cs="Times New Roman"/>
          <w:b/>
          <w:bCs/>
          <w:i/>
          <w:iCs/>
          <w:szCs w:val="20"/>
        </w:rPr>
        <w:t xml:space="preserve"> of the Rules]</w:t>
      </w:r>
    </w:p>
    <w:p w14:paraId="642D0CE2" w14:textId="422C997C" w:rsidR="00840DA0" w:rsidRPr="00816377" w:rsidRDefault="00840DA0" w:rsidP="00840DA0">
      <w:pPr>
        <w:pStyle w:val="Normalparatextwithnumbers"/>
        <w:numPr>
          <w:ilvl w:val="1"/>
          <w:numId w:val="16"/>
        </w:numPr>
        <w:rPr>
          <w:rFonts w:eastAsia="Times New Roman" w:cs="Times New Roman"/>
          <w:szCs w:val="20"/>
          <w:lang w:eastAsia="en-AU"/>
        </w:rPr>
      </w:pPr>
      <w:r w:rsidRPr="00816377">
        <w:rPr>
          <w:rFonts w:eastAsia="Times New Roman" w:cs="Times New Roman"/>
          <w:szCs w:val="20"/>
        </w:rPr>
        <w:lastRenderedPageBreak/>
        <w:t>For example, in the case of the USA’s tax Global Intangible Low</w:t>
      </w:r>
      <w:r w:rsidRPr="00816377">
        <w:rPr>
          <w:rFonts w:eastAsia="Times New Roman" w:cs="Times New Roman"/>
          <w:szCs w:val="20"/>
        </w:rPr>
        <w:noBreakHyphen/>
        <w:t xml:space="preserve">Taxed Income (GILTI), the Allocable Blended CFC Tax can be determined from the USA shareholder’s federal income tax return and is equal to the US shareholder’s share of the tested income (without reduction for foreign income taxes) of the Constituent Entity (which may be a CFC or a tested unit of the CFC). </w:t>
      </w:r>
      <w:r>
        <w:rPr>
          <w:rFonts w:eastAsia="Times New Roman" w:cs="Times New Roman"/>
          <w:szCs w:val="20"/>
        </w:rPr>
        <w:t>For example, i</w:t>
      </w:r>
      <w:r w:rsidRPr="00816377">
        <w:rPr>
          <w:rFonts w:eastAsia="Times New Roman" w:cs="Times New Roman"/>
          <w:szCs w:val="20"/>
        </w:rPr>
        <w:t xml:space="preserve">n the absence of a domestic loss </w:t>
      </w:r>
      <w:r>
        <w:rPr>
          <w:rFonts w:eastAsia="Times New Roman" w:cs="Times New Roman"/>
          <w:szCs w:val="20"/>
        </w:rPr>
        <w:t xml:space="preserve">the </w:t>
      </w:r>
      <w:r w:rsidRPr="00A377AA">
        <w:rPr>
          <w:rFonts w:eastAsia="Times New Roman" w:cs="Times New Roman"/>
          <w:szCs w:val="20"/>
        </w:rPr>
        <w:t xml:space="preserve">Allocable Blended CFC Tax </w:t>
      </w:r>
      <w:r w:rsidRPr="00816377">
        <w:rPr>
          <w:rFonts w:eastAsia="Times New Roman" w:cs="Times New Roman"/>
          <w:szCs w:val="20"/>
        </w:rPr>
        <w:t>is equal to the amount of GILTI (reduced by the GILTI deduction) multiplied by 21</w:t>
      </w:r>
      <w:r w:rsidR="009A68C7">
        <w:rPr>
          <w:rFonts w:eastAsia="Times New Roman" w:cs="Times New Roman"/>
          <w:szCs w:val="20"/>
        </w:rPr>
        <w:t xml:space="preserve"> per cent</w:t>
      </w:r>
      <w:r w:rsidRPr="00816377">
        <w:rPr>
          <w:rFonts w:eastAsia="Times New Roman" w:cs="Times New Roman"/>
          <w:szCs w:val="20"/>
        </w:rPr>
        <w:t>, less the foreign tax credit allowed in the GILTI basket.</w:t>
      </w:r>
    </w:p>
    <w:p w14:paraId="59EAE764" w14:textId="77777777" w:rsidR="006612E4" w:rsidRDefault="00A8529D" w:rsidP="00840DA0">
      <w:pPr>
        <w:pStyle w:val="Normalparatextwithnumbers"/>
        <w:rPr>
          <w:rFonts w:eastAsia="Times New Roman" w:cs="Times New Roman"/>
          <w:szCs w:val="20"/>
          <w:lang w:eastAsia="en-AU"/>
        </w:rPr>
      </w:pPr>
      <w:r>
        <w:rPr>
          <w:rFonts w:eastAsia="Times New Roman" w:cs="Times New Roman"/>
          <w:szCs w:val="20"/>
          <w:lang w:eastAsia="en-AU"/>
        </w:rPr>
        <w:t xml:space="preserve">The amount </w:t>
      </w:r>
      <w:r w:rsidRPr="00A8529D">
        <w:rPr>
          <w:rFonts w:eastAsia="Times New Roman" w:cs="Times New Roman"/>
          <w:szCs w:val="20"/>
          <w:lang w:eastAsia="en-AU"/>
        </w:rPr>
        <w:t>allocated from a Constituent Entity</w:t>
      </w:r>
      <w:r>
        <w:rPr>
          <w:rFonts w:eastAsia="Times New Roman" w:cs="Times New Roman"/>
          <w:szCs w:val="20"/>
          <w:lang w:eastAsia="en-AU"/>
        </w:rPr>
        <w:noBreakHyphen/>
      </w:r>
      <w:r w:rsidRPr="00A8529D">
        <w:rPr>
          <w:rFonts w:eastAsia="Times New Roman" w:cs="Times New Roman"/>
          <w:szCs w:val="20"/>
          <w:lang w:eastAsia="en-AU"/>
        </w:rPr>
        <w:t xml:space="preserve">owner to the Constituent Entity </w:t>
      </w:r>
      <w:r w:rsidR="006612E4">
        <w:rPr>
          <w:rFonts w:eastAsia="Times New Roman" w:cs="Times New Roman"/>
          <w:szCs w:val="20"/>
          <w:lang w:eastAsia="en-AU"/>
        </w:rPr>
        <w:t xml:space="preserve">is computed using the following formula: </w:t>
      </w:r>
    </w:p>
    <w:p w14:paraId="27EB6B20" w14:textId="093D7324" w:rsidR="00831A7F" w:rsidRDefault="00831A7F" w:rsidP="003E49F1">
      <w:pPr>
        <w:pStyle w:val="Normalparatextwithnumbers"/>
        <w:numPr>
          <w:ilvl w:val="0"/>
          <w:numId w:val="0"/>
        </w:numPr>
        <w:ind w:left="709"/>
        <w:rPr>
          <w:rFonts w:eastAsia="Times New Roman" w:cs="Times New Roman"/>
          <w:szCs w:val="20"/>
          <w:lang w:eastAsia="en-AU"/>
        </w:rPr>
      </w:pPr>
      <w:r w:rsidRPr="00831A7F">
        <w:rPr>
          <w:noProof/>
        </w:rPr>
        <w:drawing>
          <wp:inline distT="0" distB="0" distL="0" distR="0" wp14:anchorId="6AA86D97" wp14:editId="4DB4C88D">
            <wp:extent cx="4895850" cy="495300"/>
            <wp:effectExtent l="0" t="0" r="0" b="0"/>
            <wp:docPr id="1175342075" name="Picture 23" descr="Formula for the amount allocated from a Constituent Entity owner to the Constituent Ent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42075" name="Picture 23" descr="Formula for the amount allocated from a Constituent Entity owner to the Constituent Entity "/>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95850" cy="495300"/>
                    </a:xfrm>
                    <a:prstGeom prst="rect">
                      <a:avLst/>
                    </a:prstGeom>
                    <a:noFill/>
                    <a:ln>
                      <a:noFill/>
                    </a:ln>
                  </pic:spPr>
                </pic:pic>
              </a:graphicData>
            </a:graphic>
          </wp:inline>
        </w:drawing>
      </w:r>
    </w:p>
    <w:p w14:paraId="0201295A" w14:textId="15107542" w:rsidR="008F2586" w:rsidRDefault="008F2586" w:rsidP="008F2586">
      <w:pPr>
        <w:pStyle w:val="Normalparatextwithnumbers"/>
        <w:numPr>
          <w:ilvl w:val="0"/>
          <w:numId w:val="0"/>
        </w:numPr>
        <w:ind w:left="709"/>
        <w:rPr>
          <w:rFonts w:eastAsia="Times New Roman" w:cs="Times New Roman"/>
          <w:szCs w:val="20"/>
          <w:lang w:eastAsia="en-AU"/>
        </w:rPr>
      </w:pPr>
      <w:r>
        <w:rPr>
          <w:rStyle w:val="References"/>
          <w:lang w:eastAsia="en-AU"/>
        </w:rPr>
        <w:t>[Chapter 4, subsection 4-5</w:t>
      </w:r>
      <w:r w:rsidR="002F3407">
        <w:rPr>
          <w:rStyle w:val="References"/>
          <w:lang w:eastAsia="en-AU"/>
        </w:rPr>
        <w:t>5</w:t>
      </w:r>
      <w:r>
        <w:rPr>
          <w:rStyle w:val="References"/>
          <w:lang w:eastAsia="en-AU"/>
        </w:rPr>
        <w:t>(3) of the Rules]</w:t>
      </w:r>
    </w:p>
    <w:p w14:paraId="5A8A2BB5" w14:textId="77777777" w:rsidR="00D62684" w:rsidRDefault="008172E3" w:rsidP="00840DA0">
      <w:pPr>
        <w:pStyle w:val="Normalparatextwithnumbers"/>
        <w:rPr>
          <w:rFonts w:eastAsia="Times New Roman" w:cs="Times New Roman"/>
          <w:szCs w:val="20"/>
          <w:lang w:eastAsia="en-AU"/>
        </w:rPr>
      </w:pPr>
      <w:r w:rsidRPr="00816377">
        <w:rPr>
          <w:rFonts w:eastAsia="Times New Roman" w:cs="Times New Roman"/>
          <w:szCs w:val="20"/>
        </w:rPr>
        <w:t>Allocable Blended CFC Tax is the amount of tax charge incurred by the Constituent Entity-owner under the Blended CFC Tax Regime.</w:t>
      </w:r>
      <w:r w:rsidR="00D20B31">
        <w:rPr>
          <w:rFonts w:eastAsia="Times New Roman" w:cs="Times New Roman"/>
          <w:szCs w:val="20"/>
        </w:rPr>
        <w:t xml:space="preserve"> </w:t>
      </w:r>
    </w:p>
    <w:p w14:paraId="4A53D647" w14:textId="336F208C" w:rsidR="00840DA0" w:rsidRPr="00DE2AC5" w:rsidRDefault="00D62684" w:rsidP="00AC510D">
      <w:pPr>
        <w:pStyle w:val="Normalparatextwithnumbers"/>
        <w:rPr>
          <w:rFonts w:eastAsia="Times New Roman" w:cs="Times New Roman"/>
          <w:szCs w:val="20"/>
          <w:lang w:eastAsia="en-AU"/>
        </w:rPr>
      </w:pPr>
      <w:r w:rsidRPr="00DE2AC5">
        <w:rPr>
          <w:rFonts w:eastAsia="Times New Roman" w:cs="Times New Roman"/>
          <w:szCs w:val="20"/>
        </w:rPr>
        <w:t xml:space="preserve">The Blended CFC Allocation Key is computed by </w:t>
      </w:r>
      <w:r w:rsidR="000B7C19" w:rsidRPr="00DE2AC5">
        <w:rPr>
          <w:rFonts w:eastAsia="Times New Roman" w:cs="Times New Roman"/>
          <w:szCs w:val="20"/>
        </w:rPr>
        <w:t xml:space="preserve">multiplying the </w:t>
      </w:r>
      <w:r w:rsidR="00840DA0" w:rsidRPr="00DE2AC5">
        <w:rPr>
          <w:rFonts w:eastAsia="Times New Roman" w:cs="Times New Roman"/>
          <w:szCs w:val="20"/>
          <w:lang w:eastAsia="en-AU"/>
        </w:rPr>
        <w:t xml:space="preserve">Attributable </w:t>
      </w:r>
      <w:r w:rsidR="00840DA0" w:rsidRPr="00DE2AC5">
        <w:rPr>
          <w:rFonts w:eastAsia="Times New Roman" w:cs="Times New Roman"/>
          <w:szCs w:val="20"/>
        </w:rPr>
        <w:t xml:space="preserve">Income of the Entity </w:t>
      </w:r>
      <w:r w:rsidR="007738D2" w:rsidRPr="00DE2AC5">
        <w:rPr>
          <w:rFonts w:eastAsia="Times New Roman" w:cs="Times New Roman"/>
          <w:szCs w:val="20"/>
        </w:rPr>
        <w:t xml:space="preserve">by the difference between the Applicable </w:t>
      </w:r>
      <w:r w:rsidR="006A70EA" w:rsidRPr="00DE2AC5">
        <w:rPr>
          <w:rFonts w:eastAsia="Times New Roman" w:cs="Times New Roman"/>
          <w:szCs w:val="20"/>
        </w:rPr>
        <w:t>R</w:t>
      </w:r>
      <w:r w:rsidR="007738D2" w:rsidRPr="00DE2AC5">
        <w:rPr>
          <w:rFonts w:eastAsia="Times New Roman" w:cs="Times New Roman"/>
          <w:szCs w:val="20"/>
        </w:rPr>
        <w:t xml:space="preserve">ate and the GloBE jurisdictional ETR. </w:t>
      </w:r>
      <w:r w:rsidR="002D5C83" w:rsidRPr="00DE2AC5">
        <w:rPr>
          <w:rFonts w:eastAsia="Times New Roman" w:cs="Times New Roman"/>
          <w:szCs w:val="20"/>
        </w:rPr>
        <w:t xml:space="preserve">The Attributable Income of the Entity </w:t>
      </w:r>
      <w:r w:rsidR="009C7EE5" w:rsidRPr="00DE2AC5">
        <w:rPr>
          <w:rFonts w:eastAsia="Times New Roman" w:cs="Times New Roman"/>
          <w:szCs w:val="20"/>
        </w:rPr>
        <w:t>i</w:t>
      </w:r>
      <w:r w:rsidR="00840DA0" w:rsidRPr="00DE2AC5">
        <w:rPr>
          <w:rFonts w:eastAsia="Times New Roman" w:cs="Times New Roman"/>
          <w:szCs w:val="20"/>
        </w:rPr>
        <w:t>s the Constituent Entity</w:t>
      </w:r>
      <w:r w:rsidR="00840DA0" w:rsidRPr="00DE2AC5">
        <w:rPr>
          <w:rFonts w:eastAsia="Times New Roman" w:cs="Times New Roman"/>
          <w:szCs w:val="20"/>
        </w:rPr>
        <w:noBreakHyphen/>
        <w:t xml:space="preserve">owner’s proportionate share of the income, of the CFC (or relevant part of the income of a CFC that is comprised of more than one Constituent Entity) in the jurisdiction in which the Entity is located as determined under the Blended CFC Tax Regime. </w:t>
      </w:r>
      <w:r w:rsidR="008E1304">
        <w:rPr>
          <w:rFonts w:eastAsia="Times New Roman" w:cs="Times New Roman"/>
          <w:szCs w:val="20"/>
        </w:rPr>
        <w:t xml:space="preserve">The </w:t>
      </w:r>
      <w:r w:rsidR="00840DA0" w:rsidRPr="00DE2AC5">
        <w:rPr>
          <w:rFonts w:eastAsia="Times New Roman" w:cs="Times New Roman"/>
          <w:szCs w:val="20"/>
        </w:rPr>
        <w:t xml:space="preserve">Applicable Rate </w:t>
      </w:r>
      <w:r w:rsidR="008E1304">
        <w:rPr>
          <w:rFonts w:eastAsia="Times New Roman" w:cs="Times New Roman"/>
          <w:szCs w:val="20"/>
        </w:rPr>
        <w:t xml:space="preserve">is </w:t>
      </w:r>
      <w:r w:rsidR="00840DA0" w:rsidRPr="00DE2AC5">
        <w:rPr>
          <w:rFonts w:eastAsia="Times New Roman" w:cs="Times New Roman"/>
          <w:szCs w:val="20"/>
        </w:rPr>
        <w:t>the low</w:t>
      </w:r>
      <w:r w:rsidR="008E1304">
        <w:rPr>
          <w:rFonts w:eastAsia="Times New Roman" w:cs="Times New Roman"/>
          <w:szCs w:val="20"/>
        </w:rPr>
        <w:t>est</w:t>
      </w:r>
      <w:r w:rsidR="00840DA0" w:rsidRPr="00DE2AC5">
        <w:rPr>
          <w:rFonts w:eastAsia="Times New Roman" w:cs="Times New Roman"/>
          <w:szCs w:val="20"/>
        </w:rPr>
        <w:t xml:space="preserve"> </w:t>
      </w:r>
      <w:r w:rsidR="008E1304">
        <w:rPr>
          <w:rFonts w:eastAsia="Times New Roman" w:cs="Times New Roman"/>
          <w:szCs w:val="20"/>
        </w:rPr>
        <w:t xml:space="preserve">rate of </w:t>
      </w:r>
      <w:r w:rsidR="00840DA0" w:rsidRPr="00DE2AC5">
        <w:rPr>
          <w:rFonts w:eastAsia="Times New Roman" w:cs="Times New Roman"/>
          <w:szCs w:val="20"/>
        </w:rPr>
        <w:t xml:space="preserve">taxation </w:t>
      </w:r>
      <w:r w:rsidR="008E1304">
        <w:rPr>
          <w:rFonts w:eastAsia="Times New Roman" w:cs="Times New Roman"/>
          <w:szCs w:val="20"/>
        </w:rPr>
        <w:t xml:space="preserve">that would </w:t>
      </w:r>
      <w:r w:rsidR="003E49F1">
        <w:rPr>
          <w:rFonts w:eastAsia="Times New Roman" w:cs="Times New Roman"/>
          <w:szCs w:val="20"/>
        </w:rPr>
        <w:t xml:space="preserve">prevent liability to tax </w:t>
      </w:r>
      <w:r w:rsidR="00840DA0" w:rsidRPr="00DE2AC5">
        <w:rPr>
          <w:rFonts w:eastAsia="Times New Roman" w:cs="Times New Roman"/>
          <w:szCs w:val="20"/>
        </w:rPr>
        <w:t>under the Blended CFC Tax Regime</w:t>
      </w:r>
      <w:r w:rsidR="00262C78" w:rsidRPr="00DE2AC5">
        <w:rPr>
          <w:rFonts w:eastAsia="Times New Roman" w:cs="Times New Roman"/>
          <w:szCs w:val="20"/>
        </w:rPr>
        <w:t>. I</w:t>
      </w:r>
      <w:r w:rsidR="005D4BEB" w:rsidRPr="00DE2AC5">
        <w:rPr>
          <w:rFonts w:eastAsia="Times New Roman" w:cs="Times New Roman"/>
          <w:szCs w:val="20"/>
        </w:rPr>
        <w:t>n other words,</w:t>
      </w:r>
      <w:r w:rsidR="00840DA0" w:rsidRPr="00DE2AC5">
        <w:rPr>
          <w:rFonts w:eastAsia="Times New Roman" w:cs="Times New Roman"/>
          <w:szCs w:val="20"/>
        </w:rPr>
        <w:t xml:space="preserve"> the minimum rate at which foreign taxes on CFC income generally fully offsets the CFC tax. </w:t>
      </w:r>
      <w:r w:rsidR="00C827FC">
        <w:t>The Jurisdictional ETR computed under Part 5-1 of the Rules does not include any Covered Taxes under a CFC Tax Regime</w:t>
      </w:r>
      <w:r w:rsidR="00C827FC" w:rsidRPr="00DE2AC5" w:rsidDel="003E49F1">
        <w:rPr>
          <w:rFonts w:eastAsia="Times New Roman" w:cs="Times New Roman"/>
          <w:szCs w:val="20"/>
        </w:rPr>
        <w:t xml:space="preserve"> </w:t>
      </w:r>
      <w:r w:rsidR="00C827FC" w:rsidRPr="00C827FC">
        <w:rPr>
          <w:rFonts w:eastAsia="Times New Roman" w:cs="Times New Roman"/>
          <w:b/>
          <w:bCs/>
          <w:i/>
          <w:iCs/>
          <w:szCs w:val="20"/>
        </w:rPr>
        <w:t xml:space="preserve"> </w:t>
      </w:r>
      <w:r w:rsidR="00C827FC">
        <w:rPr>
          <w:rFonts w:eastAsia="Times New Roman" w:cs="Times New Roman"/>
          <w:b/>
          <w:bCs/>
          <w:i/>
          <w:iCs/>
          <w:szCs w:val="20"/>
        </w:rPr>
        <w:br/>
        <w:t>[Chapter 4, subsection 4-5</w:t>
      </w:r>
      <w:r w:rsidR="002F3407">
        <w:rPr>
          <w:rFonts w:eastAsia="Times New Roman" w:cs="Times New Roman"/>
          <w:b/>
          <w:bCs/>
          <w:i/>
          <w:iCs/>
          <w:szCs w:val="20"/>
        </w:rPr>
        <w:t>5</w:t>
      </w:r>
      <w:r w:rsidR="00C827FC">
        <w:rPr>
          <w:rFonts w:eastAsia="Times New Roman" w:cs="Times New Roman"/>
          <w:b/>
          <w:bCs/>
          <w:i/>
          <w:iCs/>
          <w:szCs w:val="20"/>
        </w:rPr>
        <w:t>(4) of the Rules]</w:t>
      </w:r>
    </w:p>
    <w:p w14:paraId="70360EEB" w14:textId="33F3CB8D" w:rsidR="00963C29" w:rsidRPr="00CC391C" w:rsidRDefault="00840DA0" w:rsidP="00840DA0">
      <w:pPr>
        <w:pStyle w:val="Normalparatextwithnumbers"/>
        <w:numPr>
          <w:ilvl w:val="1"/>
          <w:numId w:val="16"/>
        </w:numPr>
        <w:rPr>
          <w:rFonts w:eastAsia="Times New Roman" w:cs="Times New Roman"/>
          <w:szCs w:val="20"/>
          <w:lang w:eastAsia="en-AU"/>
        </w:rPr>
      </w:pPr>
      <w:r>
        <w:t xml:space="preserve">If the GloBE Jurisdictional ETR equals or exceeds the Applicable Rate or the Minimum Rate, the Blended CFC Allocation Key for the Constituent Entity </w:t>
      </w:r>
      <w:r w:rsidR="00C827FC">
        <w:t xml:space="preserve">the resulting amount will be negative and therefore is </w:t>
      </w:r>
      <w:r>
        <w:t>treated as zero</w:t>
      </w:r>
      <w:r w:rsidR="00C827FC">
        <w:t>.</w:t>
      </w:r>
      <w:r>
        <w:t xml:space="preserve"> </w:t>
      </w:r>
      <w:r w:rsidR="00963C29">
        <w:t xml:space="preserve">If a jurisdiction has imposed a </w:t>
      </w:r>
      <w:r w:rsidR="00013904">
        <w:t xml:space="preserve">DMT that is qualified, </w:t>
      </w:r>
      <w:r>
        <w:t>the income tax expense attributable to the QDMTT is included in the computation of the Jurisdictional ETR for that jurisdiction. A QDMTT is taken into account in determining the Jurisdictional ETR only if the Blended CFC Tax Regime allows a foreign tax credit for the QDMTT on the same terms as any other creditable Covered Tax.</w:t>
      </w:r>
    </w:p>
    <w:p w14:paraId="0D504D18" w14:textId="5A324360" w:rsidR="00840DA0" w:rsidRDefault="00963C29" w:rsidP="00840DA0">
      <w:pPr>
        <w:pStyle w:val="Normalparatextwithnumbers"/>
        <w:numPr>
          <w:ilvl w:val="1"/>
          <w:numId w:val="16"/>
        </w:numPr>
        <w:rPr>
          <w:rFonts w:eastAsia="Times New Roman" w:cs="Times New Roman"/>
          <w:szCs w:val="20"/>
          <w:lang w:eastAsia="en-AU"/>
        </w:rPr>
      </w:pPr>
      <w:r>
        <w:t>The Sum of all Blended CFC Allocation Keys is calculated</w:t>
      </w:r>
      <w:r w:rsidR="003D4B7D">
        <w:t xml:space="preserve"> by firstly identifying each En</w:t>
      </w:r>
      <w:r w:rsidR="00067C69">
        <w:t xml:space="preserve">tity that is not a Constituent Entity of the MNE Group </w:t>
      </w:r>
      <w:r w:rsidR="00A37F34">
        <w:t>that the</w:t>
      </w:r>
      <w:r w:rsidR="00067C69">
        <w:t xml:space="preserve"> Constituent Entity</w:t>
      </w:r>
      <w:r w:rsidR="00067C69">
        <w:noBreakHyphen/>
        <w:t>owner holds an ownership interest</w:t>
      </w:r>
      <w:r w:rsidR="004D1224">
        <w:t xml:space="preserve"> </w:t>
      </w:r>
      <w:r w:rsidR="00A37F34">
        <w:t xml:space="preserve">in </w:t>
      </w:r>
      <w:r w:rsidR="004D1224">
        <w:t xml:space="preserve">and </w:t>
      </w:r>
      <w:r w:rsidR="007C5255">
        <w:t xml:space="preserve">that the Entity </w:t>
      </w:r>
      <w:r w:rsidR="004D1224">
        <w:t>is located</w:t>
      </w:r>
      <w:r>
        <w:t xml:space="preserve"> </w:t>
      </w:r>
      <w:r w:rsidR="004D1224">
        <w:t>in the same jurisdiction as the Constitu</w:t>
      </w:r>
      <w:r w:rsidR="00A37F34">
        <w:t>e</w:t>
      </w:r>
      <w:r w:rsidR="004D1224">
        <w:t xml:space="preserve">nt Entity </w:t>
      </w:r>
      <w:r w:rsidR="00A37F34">
        <w:t>that is being allocated the amount of Covered Taxes.</w:t>
      </w:r>
      <w:r w:rsidR="007C5255">
        <w:t xml:space="preserve"> </w:t>
      </w:r>
      <w:r w:rsidR="003D126F">
        <w:t xml:space="preserve">The Blended CFC Allocation Key for </w:t>
      </w:r>
      <w:r w:rsidR="003D126F">
        <w:lastRenderedPageBreak/>
        <w:t>these Entities is then computed as if the Entity were a Constituent Entity of the MNE Group. The sum</w:t>
      </w:r>
      <w:r w:rsidR="00572AD1">
        <w:t xml:space="preserve"> of all Blended CFC Allocation Keys is then calculated by adding all the Blended CFC Allocation Key for the Constituent Entities and Entities together. </w:t>
      </w:r>
      <w:r>
        <w:br/>
      </w:r>
      <w:r w:rsidRPr="00CC391C">
        <w:rPr>
          <w:rStyle w:val="References"/>
        </w:rPr>
        <w:t>[Chapter 4, subsection 4-5</w:t>
      </w:r>
      <w:r w:rsidR="002F3407">
        <w:rPr>
          <w:rStyle w:val="References"/>
        </w:rPr>
        <w:t>5</w:t>
      </w:r>
      <w:r w:rsidRPr="00CC391C">
        <w:rPr>
          <w:rStyle w:val="References"/>
        </w:rPr>
        <w:t>(5) of the Rules]</w:t>
      </w:r>
    </w:p>
    <w:p w14:paraId="3C223358" w14:textId="2828757C" w:rsidR="00840DA0" w:rsidRDefault="00B82B82" w:rsidP="00840DA0">
      <w:pPr>
        <w:pStyle w:val="Heading5"/>
        <w:numPr>
          <w:ilvl w:val="4"/>
          <w:numId w:val="2"/>
        </w:numPr>
      </w:pPr>
      <w:r>
        <w:rPr>
          <w:rFonts w:eastAsia="Times New Roman" w:cs="Times New Roman"/>
          <w:szCs w:val="20"/>
          <w:lang w:eastAsia="en-AU"/>
        </w:rPr>
        <w:t>A</w:t>
      </w:r>
      <w:r w:rsidR="00840DA0">
        <w:t>llocation for Hybrid Entities</w:t>
      </w:r>
    </w:p>
    <w:p w14:paraId="071895E8" w14:textId="0F4E722E" w:rsidR="00840DA0" w:rsidRPr="005F090E" w:rsidRDefault="00840DA0" w:rsidP="00840DA0">
      <w:pPr>
        <w:pStyle w:val="Normalparatextwithnumbers"/>
        <w:numPr>
          <w:ilvl w:val="1"/>
          <w:numId w:val="16"/>
        </w:numPr>
        <w:rPr>
          <w:rFonts w:eastAsia="Times New Roman" w:cs="Times New Roman"/>
          <w:szCs w:val="20"/>
          <w:lang w:eastAsia="en-AU"/>
        </w:rPr>
      </w:pPr>
      <w:r w:rsidRPr="005F090E">
        <w:rPr>
          <w:rFonts w:eastAsia="Times New Roman" w:cs="Times New Roman"/>
          <w:szCs w:val="20"/>
          <w:lang w:eastAsia="en-AU"/>
        </w:rPr>
        <w:t xml:space="preserve">An amount in respect of Covered Taxes for </w:t>
      </w:r>
      <w:r w:rsidRPr="00C6027B">
        <w:rPr>
          <w:rFonts w:eastAsia="Times New Roman" w:cs="Times New Roman"/>
          <w:szCs w:val="20"/>
          <w:lang w:eastAsia="en-AU"/>
        </w:rPr>
        <w:t xml:space="preserve">a </w:t>
      </w:r>
      <w:r w:rsidRPr="005F090E">
        <w:rPr>
          <w:rFonts w:eastAsia="Times New Roman" w:cs="Times New Roman"/>
          <w:szCs w:val="20"/>
          <w:lang w:eastAsia="en-AU"/>
        </w:rPr>
        <w:t>Fiscal Year is allocated from a Constituent Entity</w:t>
      </w:r>
      <w:r>
        <w:rPr>
          <w:rFonts w:eastAsia="Times New Roman" w:cs="Times New Roman"/>
          <w:szCs w:val="20"/>
          <w:lang w:eastAsia="en-AU"/>
        </w:rPr>
        <w:t>-</w:t>
      </w:r>
      <w:r w:rsidRPr="005F090E">
        <w:rPr>
          <w:rFonts w:eastAsia="Times New Roman" w:cs="Times New Roman"/>
          <w:szCs w:val="20"/>
          <w:lang w:eastAsia="en-AU"/>
        </w:rPr>
        <w:t>owner to</w:t>
      </w:r>
      <w:r w:rsidRPr="00C6027B">
        <w:rPr>
          <w:rFonts w:eastAsia="Times New Roman" w:cs="Times New Roman"/>
          <w:szCs w:val="20"/>
          <w:lang w:eastAsia="en-AU"/>
        </w:rPr>
        <w:t xml:space="preserve"> a Hybrid Entity </w:t>
      </w:r>
      <w:r w:rsidRPr="005F090E">
        <w:rPr>
          <w:rFonts w:eastAsia="Times New Roman" w:cs="Times New Roman"/>
          <w:szCs w:val="20"/>
          <w:lang w:eastAsia="en-AU"/>
        </w:rPr>
        <w:t>if the Constituent Entity</w:t>
      </w:r>
      <w:r>
        <w:rPr>
          <w:rFonts w:eastAsia="Times New Roman" w:cs="Times New Roman"/>
          <w:szCs w:val="20"/>
          <w:lang w:eastAsia="en-AU"/>
        </w:rPr>
        <w:noBreakHyphen/>
      </w:r>
      <w:r w:rsidRPr="005F090E">
        <w:rPr>
          <w:rFonts w:eastAsia="Times New Roman" w:cs="Times New Roman"/>
          <w:szCs w:val="20"/>
          <w:lang w:eastAsia="en-AU"/>
        </w:rPr>
        <w:t>owner holds a direct Ownership Interest in the Hybrid Entity</w:t>
      </w:r>
      <w:r>
        <w:rPr>
          <w:rFonts w:eastAsia="Times New Roman" w:cs="Times New Roman"/>
          <w:szCs w:val="20"/>
          <w:lang w:eastAsia="en-AU"/>
        </w:rPr>
        <w:t xml:space="preserve"> and the amount accrued in the Constituent Entity-owner’s financial accounts is in respect of the Hybrid Entity’s income</w:t>
      </w:r>
      <w:r w:rsidRPr="005F090E">
        <w:rPr>
          <w:rFonts w:eastAsia="Times New Roman" w:cs="Times New Roman"/>
          <w:szCs w:val="20"/>
          <w:lang w:eastAsia="en-AU"/>
        </w:rPr>
        <w:t>.</w:t>
      </w:r>
      <w:r>
        <w:rPr>
          <w:lang w:eastAsia="en-AU"/>
        </w:rPr>
        <w:br/>
      </w:r>
      <w:r w:rsidRPr="00A50DD9">
        <w:rPr>
          <w:rStyle w:val="References"/>
          <w:lang w:eastAsia="en-AU"/>
        </w:rPr>
        <w:t xml:space="preserve">[Chapter 4, </w:t>
      </w:r>
      <w:r>
        <w:rPr>
          <w:rStyle w:val="References"/>
          <w:lang w:eastAsia="en-AU"/>
        </w:rPr>
        <w:t xml:space="preserve">section </w:t>
      </w:r>
      <w:r w:rsidRPr="00A50DD9">
        <w:rPr>
          <w:rStyle w:val="References"/>
          <w:lang w:eastAsia="en-AU"/>
        </w:rPr>
        <w:t>4-</w:t>
      </w:r>
      <w:r w:rsidR="002F3407">
        <w:rPr>
          <w:rStyle w:val="References"/>
          <w:lang w:eastAsia="en-AU"/>
        </w:rPr>
        <w:t>6</w:t>
      </w:r>
      <w:r>
        <w:rPr>
          <w:rStyle w:val="References"/>
          <w:lang w:eastAsia="en-AU"/>
        </w:rPr>
        <w:t>5</w:t>
      </w:r>
      <w:r w:rsidRPr="00A50DD9">
        <w:rPr>
          <w:rStyle w:val="References"/>
          <w:lang w:eastAsia="en-AU"/>
        </w:rPr>
        <w:t xml:space="preserve"> of the Rules]</w:t>
      </w:r>
    </w:p>
    <w:p w14:paraId="553B9E13" w14:textId="77777777" w:rsidR="00840DA0" w:rsidRPr="005F090E" w:rsidRDefault="00840DA0" w:rsidP="00840DA0">
      <w:pPr>
        <w:pStyle w:val="Normalparatextwithnumbers"/>
        <w:numPr>
          <w:ilvl w:val="1"/>
          <w:numId w:val="16"/>
        </w:numPr>
        <w:rPr>
          <w:rFonts w:eastAsia="Times New Roman" w:cs="Times New Roman"/>
          <w:szCs w:val="20"/>
          <w:lang w:eastAsia="en-AU"/>
        </w:rPr>
      </w:pPr>
      <w:r w:rsidRPr="005F090E">
        <w:rPr>
          <w:rFonts w:eastAsia="Times New Roman" w:cs="Times New Roman"/>
          <w:szCs w:val="20"/>
          <w:lang w:eastAsia="en-AU"/>
        </w:rPr>
        <w:t>If a Constituent Entity-owner of a Hybrid Entity is located</w:t>
      </w:r>
      <w:r w:rsidRPr="00C6027B">
        <w:rPr>
          <w:rFonts w:eastAsia="Times New Roman" w:cs="Times New Roman"/>
          <w:szCs w:val="20"/>
          <w:lang w:eastAsia="en-AU"/>
        </w:rPr>
        <w:t xml:space="preserve"> in a tax jurisdiction that </w:t>
      </w:r>
      <w:r w:rsidRPr="005F090E">
        <w:rPr>
          <w:rFonts w:eastAsia="Times New Roman" w:cs="Times New Roman"/>
          <w:szCs w:val="20"/>
          <w:lang w:eastAsia="en-AU"/>
        </w:rPr>
        <w:t xml:space="preserve">imposes Tax </w:t>
      </w:r>
      <w:r w:rsidRPr="00C6027B">
        <w:rPr>
          <w:rFonts w:eastAsia="Times New Roman" w:cs="Times New Roman"/>
          <w:szCs w:val="20"/>
          <w:lang w:eastAsia="en-AU"/>
        </w:rPr>
        <w:t>on the owner</w:t>
      </w:r>
      <w:r>
        <w:rPr>
          <w:rFonts w:eastAsia="Times New Roman" w:cs="Times New Roman"/>
          <w:szCs w:val="20"/>
          <w:lang w:eastAsia="en-AU"/>
        </w:rPr>
        <w:t>’s</w:t>
      </w:r>
      <w:r w:rsidRPr="00C6027B">
        <w:rPr>
          <w:rFonts w:eastAsia="Times New Roman" w:cs="Times New Roman"/>
          <w:szCs w:val="20"/>
          <w:lang w:eastAsia="en-AU"/>
        </w:rPr>
        <w:t xml:space="preserve"> share of the Hybrid </w:t>
      </w:r>
      <w:r w:rsidRPr="005F090E">
        <w:rPr>
          <w:rFonts w:eastAsia="Times New Roman" w:cs="Times New Roman"/>
          <w:szCs w:val="20"/>
          <w:lang w:eastAsia="en-AU"/>
        </w:rPr>
        <w:t>Entity’s</w:t>
      </w:r>
      <w:r w:rsidRPr="00C6027B">
        <w:rPr>
          <w:rFonts w:eastAsia="Times New Roman" w:cs="Times New Roman"/>
          <w:szCs w:val="20"/>
          <w:lang w:eastAsia="en-AU"/>
        </w:rPr>
        <w:t xml:space="preserve"> income under a fiscal transparency regime</w:t>
      </w:r>
      <w:r w:rsidRPr="005F090E">
        <w:rPr>
          <w:rFonts w:eastAsia="Times New Roman" w:cs="Times New Roman"/>
          <w:szCs w:val="20"/>
          <w:lang w:eastAsia="en-AU"/>
        </w:rPr>
        <w:t>,</w:t>
      </w:r>
      <w:r w:rsidRPr="00C6027B">
        <w:rPr>
          <w:rFonts w:eastAsia="Times New Roman" w:cs="Times New Roman"/>
          <w:szCs w:val="20"/>
          <w:lang w:eastAsia="en-AU"/>
        </w:rPr>
        <w:t xml:space="preserve"> the Covered Taxes </w:t>
      </w:r>
      <w:r w:rsidRPr="005F090E">
        <w:rPr>
          <w:rFonts w:eastAsia="Times New Roman" w:cs="Times New Roman"/>
          <w:szCs w:val="20"/>
          <w:lang w:eastAsia="en-AU"/>
        </w:rPr>
        <w:t>included</w:t>
      </w:r>
      <w:r w:rsidRPr="00C6027B">
        <w:rPr>
          <w:rFonts w:eastAsia="Times New Roman" w:cs="Times New Roman"/>
          <w:szCs w:val="20"/>
          <w:lang w:eastAsia="en-AU"/>
        </w:rPr>
        <w:t xml:space="preserve"> in the financial accounts of the </w:t>
      </w:r>
      <w:r>
        <w:rPr>
          <w:rFonts w:eastAsia="Times New Roman" w:cs="Times New Roman"/>
          <w:szCs w:val="20"/>
          <w:lang w:eastAsia="en-AU"/>
        </w:rPr>
        <w:t>Constituent Entity</w:t>
      </w:r>
      <w:r w:rsidRPr="00C6027B">
        <w:rPr>
          <w:rFonts w:eastAsia="Times New Roman" w:cs="Times New Roman"/>
          <w:szCs w:val="20"/>
          <w:lang w:eastAsia="en-AU"/>
        </w:rPr>
        <w:t xml:space="preserve">-owner </w:t>
      </w:r>
      <w:r>
        <w:rPr>
          <w:rFonts w:eastAsia="Times New Roman" w:cs="Times New Roman"/>
          <w:szCs w:val="20"/>
          <w:lang w:eastAsia="en-AU"/>
        </w:rPr>
        <w:t>is</w:t>
      </w:r>
      <w:r w:rsidRPr="00C6027B">
        <w:rPr>
          <w:rFonts w:eastAsia="Times New Roman" w:cs="Times New Roman"/>
          <w:szCs w:val="20"/>
          <w:lang w:eastAsia="en-AU"/>
        </w:rPr>
        <w:t xml:space="preserve"> </w:t>
      </w:r>
      <w:r w:rsidRPr="005F090E">
        <w:rPr>
          <w:rFonts w:eastAsia="Times New Roman" w:cs="Times New Roman"/>
          <w:szCs w:val="20"/>
          <w:lang w:eastAsia="en-AU"/>
        </w:rPr>
        <w:t>assigned</w:t>
      </w:r>
      <w:r w:rsidRPr="00C6027B">
        <w:rPr>
          <w:rFonts w:eastAsia="Times New Roman" w:cs="Times New Roman"/>
          <w:szCs w:val="20"/>
          <w:lang w:eastAsia="en-AU"/>
        </w:rPr>
        <w:t xml:space="preserve"> to the Hybrid Entity.</w:t>
      </w:r>
    </w:p>
    <w:p w14:paraId="6B2C32F7" w14:textId="77777777" w:rsidR="00840DA0" w:rsidRPr="005F090E" w:rsidRDefault="00840DA0" w:rsidP="00840DA0">
      <w:pPr>
        <w:pStyle w:val="Normalparatextwithnumbers"/>
        <w:numPr>
          <w:ilvl w:val="1"/>
          <w:numId w:val="16"/>
        </w:numPr>
        <w:rPr>
          <w:rFonts w:eastAsia="Times New Roman" w:cs="Times New Roman"/>
          <w:szCs w:val="20"/>
          <w:lang w:eastAsia="en-AU"/>
        </w:rPr>
      </w:pPr>
      <w:r w:rsidRPr="005F090E">
        <w:rPr>
          <w:rFonts w:eastAsia="Times New Roman" w:cs="Times New Roman"/>
          <w:szCs w:val="20"/>
          <w:lang w:eastAsia="en-AU"/>
        </w:rPr>
        <w:t xml:space="preserve"> The same general process for allocating Covered Taxes imposed on the Main Entity in respect of a Permanent Establishment </w:t>
      </w:r>
      <w:r>
        <w:rPr>
          <w:rFonts w:eastAsia="Times New Roman" w:cs="Times New Roman"/>
          <w:szCs w:val="20"/>
          <w:lang w:eastAsia="en-AU"/>
        </w:rPr>
        <w:t xml:space="preserve">under </w:t>
      </w:r>
      <w:r w:rsidRPr="005F090E">
        <w:rPr>
          <w:rFonts w:eastAsia="Times New Roman" w:cs="Times New Roman"/>
          <w:szCs w:val="20"/>
          <w:lang w:eastAsia="en-AU"/>
        </w:rPr>
        <w:t>section 4-</w:t>
      </w:r>
      <w:r>
        <w:rPr>
          <w:rFonts w:eastAsia="Times New Roman" w:cs="Times New Roman"/>
          <w:szCs w:val="20"/>
          <w:lang w:eastAsia="en-AU"/>
        </w:rPr>
        <w:t>40</w:t>
      </w:r>
      <w:r w:rsidRPr="005F090E">
        <w:rPr>
          <w:rFonts w:eastAsia="Times New Roman" w:cs="Times New Roman"/>
          <w:szCs w:val="20"/>
          <w:lang w:eastAsia="en-AU"/>
        </w:rPr>
        <w:t xml:space="preserve"> can also be used to determine the amount of taxes allocated by a Constituent Entity owner to a Hybrid Entity. However</w:t>
      </w:r>
      <w:r>
        <w:rPr>
          <w:rFonts w:eastAsia="Times New Roman" w:cs="Times New Roman"/>
          <w:szCs w:val="20"/>
          <w:lang w:eastAsia="en-AU"/>
        </w:rPr>
        <w:t>,</w:t>
      </w:r>
      <w:r w:rsidRPr="005F090E">
        <w:rPr>
          <w:rFonts w:eastAsia="Times New Roman" w:cs="Times New Roman"/>
          <w:szCs w:val="20"/>
          <w:lang w:eastAsia="en-AU"/>
        </w:rPr>
        <w:t xml:space="preserve"> any taxes allocated to a Hybrid Entity by a Constituent Entity-owner in respect of </w:t>
      </w:r>
      <w:r>
        <w:rPr>
          <w:rFonts w:eastAsia="Times New Roman" w:cs="Times New Roman"/>
          <w:szCs w:val="20"/>
          <w:lang w:eastAsia="en-AU"/>
        </w:rPr>
        <w:t>p</w:t>
      </w:r>
      <w:r w:rsidRPr="005F090E">
        <w:rPr>
          <w:rFonts w:eastAsia="Times New Roman" w:cs="Times New Roman"/>
          <w:szCs w:val="20"/>
          <w:lang w:eastAsia="en-AU"/>
        </w:rPr>
        <w:t xml:space="preserve">assive </w:t>
      </w:r>
      <w:r>
        <w:rPr>
          <w:rFonts w:eastAsia="Times New Roman" w:cs="Times New Roman"/>
          <w:szCs w:val="20"/>
          <w:lang w:eastAsia="en-AU"/>
        </w:rPr>
        <w:t>i</w:t>
      </w:r>
      <w:r w:rsidRPr="005F090E">
        <w:rPr>
          <w:rFonts w:eastAsia="Times New Roman" w:cs="Times New Roman"/>
          <w:szCs w:val="20"/>
          <w:lang w:eastAsia="en-AU"/>
        </w:rPr>
        <w:t>ncome</w:t>
      </w:r>
      <w:r>
        <w:rPr>
          <w:rFonts w:eastAsia="Times New Roman" w:cs="Times New Roman"/>
          <w:szCs w:val="20"/>
          <w:lang w:eastAsia="en-AU"/>
        </w:rPr>
        <w:t>, such as dividends and distributions</w:t>
      </w:r>
      <w:r w:rsidRPr="005F090E">
        <w:rPr>
          <w:rFonts w:eastAsia="Times New Roman" w:cs="Times New Roman"/>
          <w:szCs w:val="20"/>
          <w:lang w:eastAsia="en-AU"/>
        </w:rPr>
        <w:t xml:space="preserve"> are subject to certain limitations. </w:t>
      </w:r>
    </w:p>
    <w:p w14:paraId="19AC156F" w14:textId="77777777" w:rsidR="00840DA0" w:rsidRPr="005F090E" w:rsidRDefault="00840DA0" w:rsidP="00840DA0">
      <w:pPr>
        <w:pStyle w:val="Normalparatextwithnumbers"/>
        <w:numPr>
          <w:ilvl w:val="1"/>
          <w:numId w:val="16"/>
        </w:numPr>
        <w:rPr>
          <w:rFonts w:eastAsia="Times New Roman" w:cs="Times New Roman"/>
          <w:szCs w:val="20"/>
          <w:lang w:eastAsia="en-AU"/>
        </w:rPr>
      </w:pPr>
      <w:r w:rsidRPr="005F090E">
        <w:rPr>
          <w:rFonts w:eastAsia="Times New Roman" w:cs="Times New Roman"/>
          <w:szCs w:val="20"/>
          <w:lang w:eastAsia="en-AU"/>
        </w:rPr>
        <w:t xml:space="preserve">If the Constituent Entity-owner is subject to a withholding tax or net basis taxes on distributions from the Hybrid Entity, </w:t>
      </w:r>
      <w:r>
        <w:rPr>
          <w:rFonts w:eastAsia="Times New Roman" w:cs="Times New Roman"/>
          <w:szCs w:val="20"/>
          <w:lang w:eastAsia="en-AU"/>
        </w:rPr>
        <w:t>those</w:t>
      </w:r>
      <w:r w:rsidRPr="005F090E">
        <w:rPr>
          <w:rFonts w:eastAsia="Times New Roman" w:cs="Times New Roman"/>
          <w:szCs w:val="20"/>
          <w:lang w:eastAsia="en-AU"/>
        </w:rPr>
        <w:t xml:space="preserve"> </w:t>
      </w:r>
      <w:r>
        <w:rPr>
          <w:rFonts w:eastAsia="Times New Roman" w:cs="Times New Roman"/>
          <w:szCs w:val="20"/>
          <w:lang w:eastAsia="en-AU"/>
        </w:rPr>
        <w:t>t</w:t>
      </w:r>
      <w:r w:rsidRPr="005F090E">
        <w:rPr>
          <w:rFonts w:eastAsia="Times New Roman" w:cs="Times New Roman"/>
          <w:szCs w:val="20"/>
          <w:lang w:eastAsia="en-AU"/>
        </w:rPr>
        <w:t xml:space="preserve">axes </w:t>
      </w:r>
      <w:r>
        <w:rPr>
          <w:rFonts w:eastAsia="Times New Roman" w:cs="Times New Roman"/>
          <w:szCs w:val="20"/>
          <w:lang w:eastAsia="en-AU"/>
        </w:rPr>
        <w:t>are</w:t>
      </w:r>
      <w:r w:rsidRPr="005F090E">
        <w:rPr>
          <w:rFonts w:eastAsia="Times New Roman" w:cs="Times New Roman"/>
          <w:szCs w:val="20"/>
          <w:lang w:eastAsia="en-AU"/>
        </w:rPr>
        <w:t xml:space="preserve"> also allocated to the Hybrid Entity. </w:t>
      </w:r>
    </w:p>
    <w:p w14:paraId="304DCE48" w14:textId="77777777" w:rsidR="00840DA0" w:rsidRPr="005F090E" w:rsidRDefault="00840DA0" w:rsidP="00840DA0">
      <w:pPr>
        <w:pStyle w:val="Heading6"/>
        <w:rPr>
          <w:rFonts w:eastAsia="Times New Roman" w:cs="Times New Roman"/>
          <w:szCs w:val="20"/>
          <w:lang w:eastAsia="en-AU"/>
        </w:rPr>
      </w:pPr>
      <w:r w:rsidRPr="005F090E">
        <w:rPr>
          <w:rFonts w:eastAsia="Times New Roman" w:cs="Times New Roman"/>
          <w:szCs w:val="20"/>
          <w:lang w:eastAsia="en-AU"/>
        </w:rPr>
        <w:t xml:space="preserve">Allocation of taxes on dividends and other distributions </w:t>
      </w:r>
    </w:p>
    <w:p w14:paraId="33EF671D" w14:textId="3427B539" w:rsidR="00840DA0" w:rsidRPr="005F090E" w:rsidRDefault="00840DA0" w:rsidP="00840DA0">
      <w:pPr>
        <w:pStyle w:val="Normalparatextwithnumbers"/>
        <w:numPr>
          <w:ilvl w:val="1"/>
          <w:numId w:val="16"/>
        </w:numPr>
        <w:rPr>
          <w:rFonts w:eastAsia="Times New Roman" w:cs="Times New Roman"/>
          <w:szCs w:val="20"/>
          <w:lang w:eastAsia="en-AU"/>
        </w:rPr>
      </w:pPr>
      <w:r w:rsidRPr="005F090E">
        <w:rPr>
          <w:rFonts w:eastAsia="Times New Roman" w:cs="Times New Roman"/>
          <w:szCs w:val="20"/>
          <w:lang w:eastAsia="en-AU"/>
        </w:rPr>
        <w:t xml:space="preserve">An amount in respect of Covered Taxes for a Fiscal Year is allocated from a Constituent Entity owner to the Constituent Entity if the amount is </w:t>
      </w:r>
      <w:r>
        <w:rPr>
          <w:rFonts w:eastAsia="Times New Roman" w:cs="Times New Roman"/>
          <w:szCs w:val="20"/>
          <w:lang w:eastAsia="en-AU"/>
        </w:rPr>
        <w:t xml:space="preserve">accrued in the Constituent Entity-owner’s financial accounts and is </w:t>
      </w:r>
      <w:r w:rsidRPr="005F090E">
        <w:rPr>
          <w:rFonts w:eastAsia="Times New Roman" w:cs="Times New Roman"/>
          <w:szCs w:val="20"/>
          <w:lang w:eastAsia="en-AU"/>
        </w:rPr>
        <w:t>included in respect of distributions from the Constituent Entity to the Constituent Entity owner during the Fiscal Year.</w:t>
      </w:r>
      <w:r>
        <w:rPr>
          <w:lang w:eastAsia="en-AU"/>
        </w:rPr>
        <w:br/>
      </w:r>
      <w:r w:rsidRPr="00A50DD9">
        <w:rPr>
          <w:rStyle w:val="References"/>
          <w:lang w:eastAsia="en-AU"/>
        </w:rPr>
        <w:t xml:space="preserve">[Chapter 4, </w:t>
      </w:r>
      <w:r>
        <w:rPr>
          <w:rStyle w:val="References"/>
          <w:lang w:eastAsia="en-AU"/>
        </w:rPr>
        <w:t xml:space="preserve">section </w:t>
      </w:r>
      <w:r w:rsidRPr="00A50DD9">
        <w:rPr>
          <w:rStyle w:val="References"/>
          <w:lang w:eastAsia="en-AU"/>
        </w:rPr>
        <w:t>4-</w:t>
      </w:r>
      <w:r w:rsidR="00D87597">
        <w:rPr>
          <w:rStyle w:val="References"/>
          <w:lang w:eastAsia="en-AU"/>
        </w:rPr>
        <w:t>7</w:t>
      </w:r>
      <w:r>
        <w:rPr>
          <w:rStyle w:val="References"/>
          <w:lang w:eastAsia="en-AU"/>
        </w:rPr>
        <w:t>0</w:t>
      </w:r>
      <w:r w:rsidRPr="00A50DD9">
        <w:rPr>
          <w:rStyle w:val="References"/>
          <w:lang w:eastAsia="en-AU"/>
        </w:rPr>
        <w:t xml:space="preserve"> of the Rules]</w:t>
      </w:r>
    </w:p>
    <w:p w14:paraId="50524D3C" w14:textId="77777777" w:rsidR="001B760C" w:rsidRDefault="00840DA0">
      <w:pPr>
        <w:pStyle w:val="Normalparatextwithnumbers"/>
        <w:numPr>
          <w:ilvl w:val="1"/>
          <w:numId w:val="16"/>
        </w:numPr>
        <w:rPr>
          <w:rFonts w:eastAsia="Times New Roman" w:cs="Times New Roman"/>
          <w:szCs w:val="20"/>
          <w:lang w:eastAsia="en-AU"/>
        </w:rPr>
      </w:pPr>
      <w:r w:rsidRPr="001B760C">
        <w:rPr>
          <w:rFonts w:eastAsia="Times New Roman" w:cs="Times New Roman"/>
          <w:szCs w:val="20"/>
          <w:lang w:eastAsia="en-AU"/>
        </w:rPr>
        <w:t xml:space="preserve">This allocation includes withholding tax and net basis taxes incurred by direct Constituent Entity-owners on distributions by Constituent Entities in respect of their stock which are allocated to the distributing Constituent Entity. Withholding taxes are imposed under the laws of the distributing Constituent Entity and are collected at the source, but the income tax is the legal liability of the Constituent Entity-owner. </w:t>
      </w:r>
    </w:p>
    <w:p w14:paraId="5CDD5CA4" w14:textId="197B3223" w:rsidR="00840DA0" w:rsidRPr="001B760C" w:rsidRDefault="00840DA0">
      <w:pPr>
        <w:pStyle w:val="Normalparatextwithnumbers"/>
        <w:numPr>
          <w:ilvl w:val="1"/>
          <w:numId w:val="16"/>
        </w:numPr>
        <w:rPr>
          <w:rFonts w:eastAsia="Times New Roman" w:cs="Times New Roman"/>
          <w:szCs w:val="20"/>
          <w:lang w:eastAsia="en-AU"/>
        </w:rPr>
      </w:pPr>
      <w:r w:rsidRPr="001B760C">
        <w:rPr>
          <w:rFonts w:eastAsia="Times New Roman" w:cs="Times New Roman"/>
          <w:szCs w:val="20"/>
          <w:lang w:eastAsia="en-AU"/>
        </w:rPr>
        <w:t xml:space="preserve">The </w:t>
      </w:r>
      <w:r w:rsidR="00BB3DEB">
        <w:rPr>
          <w:rFonts w:eastAsia="Times New Roman" w:cs="Times New Roman"/>
          <w:szCs w:val="20"/>
          <w:lang w:eastAsia="en-AU"/>
        </w:rPr>
        <w:t xml:space="preserve">allocation </w:t>
      </w:r>
      <w:r w:rsidRPr="001B760C">
        <w:rPr>
          <w:rFonts w:eastAsia="Times New Roman" w:cs="Times New Roman"/>
          <w:szCs w:val="20"/>
          <w:lang w:eastAsia="en-AU"/>
        </w:rPr>
        <w:t>rule applies to taxes with respect to any type of distribution with respect to the stock of the distributing Constituent Entity. Th</w:t>
      </w:r>
      <w:r w:rsidR="00BB3DEB">
        <w:rPr>
          <w:rFonts w:eastAsia="Times New Roman" w:cs="Times New Roman"/>
          <w:szCs w:val="20"/>
          <w:lang w:eastAsia="en-AU"/>
        </w:rPr>
        <w:t>erefore</w:t>
      </w:r>
      <w:r w:rsidRPr="001B760C">
        <w:rPr>
          <w:rFonts w:eastAsia="Times New Roman" w:cs="Times New Roman"/>
          <w:szCs w:val="20"/>
          <w:lang w:eastAsia="en-AU"/>
        </w:rPr>
        <w:t xml:space="preserve">, the rule also applies to taxes in respect of a distribution that does not meet the </w:t>
      </w:r>
      <w:r w:rsidRPr="001B760C">
        <w:rPr>
          <w:rFonts w:eastAsia="Times New Roman" w:cs="Times New Roman"/>
          <w:szCs w:val="20"/>
          <w:lang w:eastAsia="en-AU"/>
        </w:rPr>
        <w:lastRenderedPageBreak/>
        <w:t xml:space="preserve">definition of a dividend for tax purposes in the recipient jurisdiction or that would not be considered a distribution of retained earnings under the UPE’s financial accounting standard. </w:t>
      </w:r>
    </w:p>
    <w:p w14:paraId="01F896E7" w14:textId="480E1397" w:rsidR="00840DA0" w:rsidRPr="000C7237" w:rsidRDefault="00840DA0">
      <w:pPr>
        <w:pStyle w:val="Normalparatextwithnumbers"/>
        <w:numPr>
          <w:ilvl w:val="1"/>
          <w:numId w:val="16"/>
        </w:numPr>
        <w:rPr>
          <w:rFonts w:eastAsia="Times New Roman" w:cs="Times New Roman"/>
          <w:szCs w:val="20"/>
          <w:lang w:eastAsia="en-AU"/>
        </w:rPr>
      </w:pPr>
      <w:r w:rsidRPr="000C7237">
        <w:rPr>
          <w:rFonts w:eastAsia="Times New Roman" w:cs="Times New Roman"/>
          <w:szCs w:val="20"/>
          <w:lang w:eastAsia="en-AU"/>
        </w:rPr>
        <w:t>In many cases, the distributing Constituent Entity is the Constituent Entity that originally earned the income. In other cases, the distributing Constituent Entity will be a direct or indirect shareholder of the Constituent Entity that originally earned the income.</w:t>
      </w:r>
      <w:r w:rsidR="000C7237">
        <w:rPr>
          <w:rFonts w:eastAsia="Times New Roman" w:cs="Times New Roman"/>
          <w:szCs w:val="20"/>
          <w:lang w:eastAsia="en-AU"/>
        </w:rPr>
        <w:t xml:space="preserve"> </w:t>
      </w:r>
      <w:r w:rsidR="00850A86">
        <w:rPr>
          <w:rFonts w:eastAsia="Times New Roman" w:cs="Times New Roman"/>
          <w:szCs w:val="20"/>
          <w:lang w:eastAsia="en-AU"/>
        </w:rPr>
        <w:t xml:space="preserve">However, given the complexity in tracing distributions through </w:t>
      </w:r>
      <w:r w:rsidR="007B007B">
        <w:rPr>
          <w:rFonts w:eastAsia="Times New Roman" w:cs="Times New Roman"/>
          <w:szCs w:val="20"/>
          <w:lang w:eastAsia="en-AU"/>
        </w:rPr>
        <w:t xml:space="preserve">the ownership chain, generally, the rule </w:t>
      </w:r>
      <w:r w:rsidRPr="000C7237">
        <w:rPr>
          <w:rFonts w:eastAsia="Times New Roman" w:cs="Times New Roman"/>
          <w:szCs w:val="20"/>
          <w:lang w:eastAsia="en-AU"/>
        </w:rPr>
        <w:t>assign</w:t>
      </w:r>
      <w:r w:rsidR="007B007B">
        <w:rPr>
          <w:rFonts w:eastAsia="Times New Roman" w:cs="Times New Roman"/>
          <w:szCs w:val="20"/>
          <w:lang w:eastAsia="en-AU"/>
        </w:rPr>
        <w:t>s taxes</w:t>
      </w:r>
      <w:r w:rsidRPr="000C7237">
        <w:rPr>
          <w:rFonts w:eastAsia="Times New Roman" w:cs="Times New Roman"/>
          <w:szCs w:val="20"/>
          <w:lang w:eastAsia="en-AU"/>
        </w:rPr>
        <w:t xml:space="preserve"> to the jurisdiction of the immediate Constituent Entity that distributed the dividend that triggered the tax liability</w:t>
      </w:r>
      <w:r w:rsidR="007B007B">
        <w:rPr>
          <w:rFonts w:eastAsia="Times New Roman" w:cs="Times New Roman"/>
          <w:szCs w:val="20"/>
          <w:lang w:eastAsia="en-AU"/>
        </w:rPr>
        <w:t>, see paragraphs 60 to 61 on pages 126 and 127 of the Consolidated Commentary</w:t>
      </w:r>
      <w:r w:rsidRPr="000C7237">
        <w:rPr>
          <w:rFonts w:eastAsia="Times New Roman" w:cs="Times New Roman"/>
          <w:szCs w:val="20"/>
          <w:lang w:eastAsia="en-AU"/>
        </w:rPr>
        <w:t>.</w:t>
      </w:r>
    </w:p>
    <w:p w14:paraId="38C1C5F4" w14:textId="77777777" w:rsidR="00840DA0" w:rsidRPr="005F090E" w:rsidRDefault="00840DA0" w:rsidP="00840DA0">
      <w:pPr>
        <w:pStyle w:val="Heading6"/>
        <w:rPr>
          <w:rFonts w:eastAsia="Times New Roman" w:cs="Times New Roman"/>
          <w:szCs w:val="20"/>
          <w:lang w:eastAsia="en-AU"/>
        </w:rPr>
      </w:pPr>
      <w:r w:rsidRPr="005F090E">
        <w:rPr>
          <w:rFonts w:eastAsia="Times New Roman" w:cs="Times New Roman"/>
          <w:szCs w:val="20"/>
          <w:lang w:eastAsia="en-AU"/>
        </w:rPr>
        <w:t>Deemed distributions</w:t>
      </w:r>
    </w:p>
    <w:p w14:paraId="7CD3F7A8" w14:textId="77777777" w:rsidR="00840DA0" w:rsidRDefault="00840DA0" w:rsidP="00840DA0">
      <w:pPr>
        <w:pStyle w:val="Normalparatextwithnumbers"/>
        <w:numPr>
          <w:ilvl w:val="1"/>
          <w:numId w:val="16"/>
        </w:numPr>
        <w:rPr>
          <w:rFonts w:eastAsia="Times New Roman" w:cs="Times New Roman"/>
          <w:szCs w:val="20"/>
          <w:lang w:eastAsia="en-AU"/>
        </w:rPr>
      </w:pPr>
      <w:r>
        <w:rPr>
          <w:rFonts w:eastAsia="Times New Roman" w:cs="Times New Roman"/>
          <w:szCs w:val="20"/>
          <w:lang w:eastAsia="en-AU"/>
        </w:rPr>
        <w:t>Section 4-60 of the Rules applies to Covered Taxes incurred by a Constituent Entity</w:t>
      </w:r>
      <w:r>
        <w:rPr>
          <w:rFonts w:eastAsia="Times New Roman" w:cs="Times New Roman"/>
          <w:szCs w:val="20"/>
          <w:lang w:eastAsia="en-AU"/>
        </w:rPr>
        <w:noBreakHyphen/>
        <w:t>owner in respect of deemed distributions where the underlying interest is treated as an equity interest for tax purposes in the jurisdiction imposing the tax and for financial accounting purposes.</w:t>
      </w:r>
    </w:p>
    <w:p w14:paraId="6AD0ECF4" w14:textId="214B723E" w:rsidR="00840DA0" w:rsidRPr="009350BF" w:rsidRDefault="00840DA0" w:rsidP="00840DA0">
      <w:pPr>
        <w:pStyle w:val="Normalparatextwithnumbers"/>
        <w:numPr>
          <w:ilvl w:val="1"/>
          <w:numId w:val="16"/>
        </w:numPr>
        <w:rPr>
          <w:rFonts w:eastAsia="Times New Roman" w:cs="Times New Roman"/>
          <w:szCs w:val="20"/>
          <w:lang w:eastAsia="en-AU"/>
        </w:rPr>
      </w:pPr>
      <w:r w:rsidRPr="005F090E">
        <w:rPr>
          <w:rFonts w:eastAsia="Times New Roman" w:cs="Times New Roman"/>
          <w:szCs w:val="20"/>
          <w:lang w:eastAsia="en-AU"/>
        </w:rPr>
        <w:t>Covered Taxes incurred in respect of deemed distributions include taxes (other than CFC taxes) that a jurisdiction imposes on a shareholder in connection with undistributed earnings or capital of an Entity in which it holds an Ownership Interest, such as consent dividends</w:t>
      </w:r>
      <w:r>
        <w:rPr>
          <w:rFonts w:eastAsia="Times New Roman" w:cs="Times New Roman"/>
          <w:szCs w:val="20"/>
          <w:lang w:eastAsia="en-AU"/>
        </w:rPr>
        <w:t xml:space="preserve">. </w:t>
      </w:r>
      <w:r>
        <w:rPr>
          <w:rFonts w:eastAsia="Times New Roman" w:cs="Times New Roman"/>
          <w:szCs w:val="20"/>
          <w:lang w:eastAsia="en-AU"/>
        </w:rPr>
        <w:br/>
      </w:r>
      <w:r>
        <w:rPr>
          <w:rStyle w:val="References"/>
        </w:rPr>
        <w:t>[Chapter 4, paragraph 4-</w:t>
      </w:r>
      <w:r w:rsidR="00D87597">
        <w:rPr>
          <w:rStyle w:val="References"/>
        </w:rPr>
        <w:t>7</w:t>
      </w:r>
      <w:r>
        <w:rPr>
          <w:rStyle w:val="References"/>
        </w:rPr>
        <w:t>0(a) of the Rules]</w:t>
      </w:r>
      <w:r w:rsidRPr="009350BF">
        <w:rPr>
          <w:rFonts w:eastAsia="Times New Roman" w:cs="Times New Roman"/>
          <w:szCs w:val="20"/>
          <w:lang w:eastAsia="en-AU"/>
        </w:rPr>
        <w:t xml:space="preserve">  </w:t>
      </w:r>
    </w:p>
    <w:p w14:paraId="6C1F2F78" w14:textId="77777777" w:rsidR="00840DA0" w:rsidRPr="005F090E" w:rsidRDefault="00840DA0" w:rsidP="00840DA0">
      <w:pPr>
        <w:pStyle w:val="Heading6"/>
        <w:rPr>
          <w:rFonts w:eastAsia="Times New Roman" w:cs="Times New Roman"/>
          <w:szCs w:val="20"/>
          <w:lang w:eastAsia="en-AU"/>
        </w:rPr>
      </w:pPr>
      <w:r w:rsidRPr="005F090E">
        <w:rPr>
          <w:rFonts w:eastAsia="Times New Roman" w:cs="Times New Roman"/>
          <w:szCs w:val="20"/>
          <w:lang w:eastAsia="en-AU"/>
        </w:rPr>
        <w:t xml:space="preserve">Distributions made in respect of Ownership Interest </w:t>
      </w:r>
    </w:p>
    <w:p w14:paraId="036CFEEA" w14:textId="666A7B41" w:rsidR="00840DA0" w:rsidRPr="009350BF" w:rsidRDefault="00840DA0" w:rsidP="00840DA0">
      <w:pPr>
        <w:pStyle w:val="Normalparatextwithnumbers"/>
        <w:numPr>
          <w:ilvl w:val="1"/>
          <w:numId w:val="16"/>
        </w:numPr>
        <w:rPr>
          <w:rStyle w:val="References"/>
          <w:rFonts w:eastAsia="Times New Roman" w:cs="Times New Roman"/>
          <w:b w:val="0"/>
          <w:bCs w:val="0"/>
          <w:i w:val="0"/>
          <w:iCs w:val="0"/>
          <w:szCs w:val="20"/>
          <w:lang w:eastAsia="en-AU"/>
        </w:rPr>
      </w:pPr>
      <w:r w:rsidRPr="005F090E">
        <w:rPr>
          <w:rFonts w:eastAsia="Times New Roman" w:cs="Times New Roman"/>
          <w:szCs w:val="20"/>
          <w:lang w:eastAsia="en-AU"/>
        </w:rPr>
        <w:t xml:space="preserve">This section also applies to </w:t>
      </w:r>
      <w:r>
        <w:rPr>
          <w:rFonts w:eastAsia="Times New Roman" w:cs="Times New Roman"/>
          <w:szCs w:val="20"/>
          <w:lang w:eastAsia="en-AU"/>
        </w:rPr>
        <w:t>t</w:t>
      </w:r>
      <w:r w:rsidRPr="005F090E">
        <w:rPr>
          <w:rFonts w:eastAsia="Times New Roman" w:cs="Times New Roman"/>
          <w:szCs w:val="20"/>
          <w:lang w:eastAsia="en-AU"/>
        </w:rPr>
        <w:t xml:space="preserve">axes in respect of a distribution that does not meet the definition of a dividend for tax purposes in the recipient jurisdiction, but is made in respect of an Ownership Interest in a Constituent Entity under the financial accounting standard used in the preparation of the </w:t>
      </w:r>
      <w:r>
        <w:rPr>
          <w:rFonts w:eastAsia="Times New Roman" w:cs="Times New Roman"/>
          <w:szCs w:val="20"/>
          <w:lang w:eastAsia="en-AU"/>
        </w:rPr>
        <w:t>CFS</w:t>
      </w:r>
      <w:r w:rsidRPr="005F090E">
        <w:rPr>
          <w:rFonts w:eastAsia="Times New Roman" w:cs="Times New Roman"/>
          <w:szCs w:val="20"/>
          <w:lang w:eastAsia="en-AU"/>
        </w:rPr>
        <w:t>.</w:t>
      </w:r>
      <w:r>
        <w:rPr>
          <w:rFonts w:eastAsia="Times New Roman" w:cs="Times New Roman"/>
          <w:szCs w:val="20"/>
          <w:lang w:eastAsia="en-AU"/>
        </w:rPr>
        <w:br/>
      </w:r>
      <w:r>
        <w:rPr>
          <w:rStyle w:val="References"/>
        </w:rPr>
        <w:t>[Chapter 4, paragraph 4-</w:t>
      </w:r>
      <w:r w:rsidR="00D87597">
        <w:rPr>
          <w:rStyle w:val="References"/>
        </w:rPr>
        <w:t>7</w:t>
      </w:r>
      <w:r>
        <w:rPr>
          <w:rStyle w:val="References"/>
        </w:rPr>
        <w:t>0(b) of the Rules]</w:t>
      </w:r>
    </w:p>
    <w:p w14:paraId="077C1547" w14:textId="77777777" w:rsidR="00840DA0" w:rsidRPr="005F090E" w:rsidRDefault="00840DA0" w:rsidP="00840DA0">
      <w:pPr>
        <w:pStyle w:val="Heading5"/>
        <w:numPr>
          <w:ilvl w:val="4"/>
          <w:numId w:val="2"/>
        </w:numPr>
        <w:rPr>
          <w:rFonts w:eastAsia="Times New Roman" w:cs="Times New Roman"/>
          <w:szCs w:val="20"/>
          <w:lang w:eastAsia="en-AU"/>
        </w:rPr>
      </w:pPr>
      <w:r w:rsidRPr="005F090E">
        <w:rPr>
          <w:rFonts w:eastAsia="Times New Roman" w:cs="Times New Roman"/>
          <w:szCs w:val="20"/>
          <w:lang w:eastAsia="en-AU"/>
        </w:rPr>
        <w:t xml:space="preserve">Limitation on the “Push-Down” of </w:t>
      </w:r>
      <w:r>
        <w:rPr>
          <w:rFonts w:eastAsia="Times New Roman" w:cs="Times New Roman"/>
          <w:szCs w:val="20"/>
          <w:lang w:eastAsia="en-AU"/>
        </w:rPr>
        <w:t>t</w:t>
      </w:r>
      <w:r w:rsidRPr="005F090E">
        <w:rPr>
          <w:rFonts w:eastAsia="Times New Roman" w:cs="Times New Roman"/>
          <w:szCs w:val="20"/>
          <w:lang w:eastAsia="en-AU"/>
        </w:rPr>
        <w:t xml:space="preserve">axes for Passive Income </w:t>
      </w:r>
    </w:p>
    <w:p w14:paraId="3E48F619" w14:textId="77777777" w:rsidR="00840DA0" w:rsidRPr="005F090E" w:rsidRDefault="00840DA0" w:rsidP="00840DA0">
      <w:pPr>
        <w:pStyle w:val="Normalparatextwithnumbers"/>
        <w:numPr>
          <w:ilvl w:val="1"/>
          <w:numId w:val="16"/>
        </w:numPr>
        <w:rPr>
          <w:rFonts w:eastAsia="Times New Roman" w:cs="Times New Roman"/>
          <w:szCs w:val="20"/>
          <w:lang w:eastAsia="en-AU"/>
        </w:rPr>
      </w:pPr>
      <w:r w:rsidRPr="005F090E">
        <w:rPr>
          <w:rFonts w:eastAsia="Times New Roman" w:cs="Times New Roman"/>
          <w:szCs w:val="20"/>
          <w:lang w:eastAsia="en-AU"/>
        </w:rPr>
        <w:t>Taxes from a Constituent Entity-owner that are attributable to Passive Income of the subsidiary Constituent Entity are subject to a limitation on the “push</w:t>
      </w:r>
      <w:r>
        <w:rPr>
          <w:rFonts w:eastAsia="Times New Roman" w:cs="Times New Roman"/>
          <w:szCs w:val="20"/>
          <w:lang w:eastAsia="en-AU"/>
        </w:rPr>
        <w:noBreakHyphen/>
      </w:r>
      <w:r w:rsidRPr="005F090E">
        <w:rPr>
          <w:rFonts w:eastAsia="Times New Roman" w:cs="Times New Roman"/>
          <w:szCs w:val="20"/>
          <w:lang w:eastAsia="en-AU"/>
        </w:rPr>
        <w:t xml:space="preserve">down” of such </w:t>
      </w:r>
      <w:r>
        <w:rPr>
          <w:rFonts w:eastAsia="Times New Roman" w:cs="Times New Roman"/>
          <w:szCs w:val="20"/>
          <w:lang w:eastAsia="en-AU"/>
        </w:rPr>
        <w:t>t</w:t>
      </w:r>
      <w:r w:rsidRPr="005F090E">
        <w:rPr>
          <w:rFonts w:eastAsia="Times New Roman" w:cs="Times New Roman"/>
          <w:szCs w:val="20"/>
          <w:lang w:eastAsia="en-AU"/>
        </w:rPr>
        <w:t>axes.</w:t>
      </w:r>
    </w:p>
    <w:p w14:paraId="1015E47E" w14:textId="77777777" w:rsidR="00840DA0" w:rsidRPr="005F090E" w:rsidRDefault="00840DA0" w:rsidP="00840DA0">
      <w:pPr>
        <w:pStyle w:val="Normalparatextwithnumbers"/>
        <w:numPr>
          <w:ilvl w:val="1"/>
          <w:numId w:val="16"/>
        </w:numPr>
        <w:rPr>
          <w:rFonts w:eastAsia="Times New Roman" w:cs="Times New Roman"/>
          <w:szCs w:val="20"/>
          <w:lang w:eastAsia="en-AU"/>
        </w:rPr>
      </w:pPr>
      <w:r w:rsidRPr="005F090E">
        <w:rPr>
          <w:rFonts w:eastAsia="Times New Roman" w:cs="Times New Roman"/>
          <w:szCs w:val="20"/>
          <w:lang w:eastAsia="en-AU"/>
        </w:rPr>
        <w:t xml:space="preserve">This rule is designed to maintain the integrity of the jurisdictional blending rules in relation to mobile income. Without this limitation the allocation rules that allocate </w:t>
      </w:r>
      <w:r>
        <w:rPr>
          <w:rFonts w:eastAsia="Times New Roman" w:cs="Times New Roman"/>
          <w:szCs w:val="20"/>
          <w:lang w:eastAsia="en-AU"/>
        </w:rPr>
        <w:t>t</w:t>
      </w:r>
      <w:r w:rsidRPr="005F090E">
        <w:rPr>
          <w:rFonts w:eastAsia="Times New Roman" w:cs="Times New Roman"/>
          <w:szCs w:val="20"/>
          <w:lang w:eastAsia="en-AU"/>
        </w:rPr>
        <w:t xml:space="preserve">axes paid by a Constituent Entity-owner under a CFC Tax Regime or in respect of a Hybrid Entity, </w:t>
      </w:r>
      <w:r>
        <w:rPr>
          <w:rFonts w:eastAsia="Times New Roman" w:cs="Times New Roman"/>
          <w:szCs w:val="20"/>
          <w:lang w:eastAsia="en-AU"/>
        </w:rPr>
        <w:t>could</w:t>
      </w:r>
      <w:r w:rsidRPr="005F090E">
        <w:rPr>
          <w:rFonts w:eastAsia="Times New Roman" w:cs="Times New Roman"/>
          <w:szCs w:val="20"/>
          <w:lang w:eastAsia="en-AU"/>
        </w:rPr>
        <w:t xml:space="preserve"> effectively blend the Taxes paid on that mobile income in the Constituent Entity-owner’s high tax jurisdiction with other income arising in the </w:t>
      </w:r>
      <w:r>
        <w:rPr>
          <w:rFonts w:eastAsia="Times New Roman" w:cs="Times New Roman"/>
          <w:szCs w:val="20"/>
          <w:lang w:eastAsia="en-AU"/>
        </w:rPr>
        <w:t>CFC’s</w:t>
      </w:r>
      <w:r w:rsidRPr="005F090E">
        <w:rPr>
          <w:rFonts w:eastAsia="Times New Roman" w:cs="Times New Roman"/>
          <w:szCs w:val="20"/>
          <w:lang w:eastAsia="en-AU"/>
        </w:rPr>
        <w:t xml:space="preserve"> Low-Tax Jurisdiction. </w:t>
      </w:r>
    </w:p>
    <w:p w14:paraId="32EB6D39" w14:textId="77777777" w:rsidR="00840DA0" w:rsidRPr="005F090E" w:rsidRDefault="00840DA0" w:rsidP="00840DA0">
      <w:pPr>
        <w:pStyle w:val="Normalparatextwithnumbers"/>
        <w:numPr>
          <w:ilvl w:val="1"/>
          <w:numId w:val="16"/>
        </w:numPr>
        <w:rPr>
          <w:rFonts w:eastAsia="Times New Roman" w:cs="Times New Roman"/>
          <w:szCs w:val="20"/>
          <w:lang w:eastAsia="en-AU"/>
        </w:rPr>
      </w:pPr>
      <w:r w:rsidRPr="005F090E">
        <w:rPr>
          <w:rFonts w:eastAsia="Times New Roman" w:cs="Times New Roman"/>
          <w:szCs w:val="20"/>
          <w:lang w:eastAsia="en-AU"/>
        </w:rPr>
        <w:lastRenderedPageBreak/>
        <w:t xml:space="preserve">Therefore, without this limitation, an MNE Group could shift mobile income from high-tax jurisdictions to Low-Tax Jurisdictions to reduce overall tax liability (including </w:t>
      </w:r>
      <w:r>
        <w:rPr>
          <w:rFonts w:eastAsia="Times New Roman" w:cs="Times New Roman"/>
          <w:szCs w:val="20"/>
          <w:lang w:eastAsia="en-AU"/>
        </w:rPr>
        <w:t>top</w:t>
      </w:r>
      <w:r w:rsidRPr="005F090E">
        <w:rPr>
          <w:rFonts w:eastAsia="Times New Roman" w:cs="Times New Roman"/>
          <w:szCs w:val="20"/>
          <w:lang w:eastAsia="en-AU"/>
        </w:rPr>
        <w:t xml:space="preserve">-up </w:t>
      </w:r>
      <w:r>
        <w:rPr>
          <w:rFonts w:eastAsia="Times New Roman" w:cs="Times New Roman"/>
          <w:szCs w:val="20"/>
          <w:lang w:eastAsia="en-AU"/>
        </w:rPr>
        <w:t>tax</w:t>
      </w:r>
      <w:r w:rsidRPr="005F090E">
        <w:rPr>
          <w:rFonts w:eastAsia="Times New Roman" w:cs="Times New Roman"/>
          <w:szCs w:val="20"/>
          <w:lang w:eastAsia="en-AU"/>
        </w:rPr>
        <w:t xml:space="preserve"> liability) in the MNE Group.  </w:t>
      </w:r>
    </w:p>
    <w:p w14:paraId="0CC9E712" w14:textId="53881428" w:rsidR="00840DA0" w:rsidRPr="005F090E" w:rsidRDefault="00840DA0" w:rsidP="00840DA0">
      <w:pPr>
        <w:pStyle w:val="Normalparatextwithnumbers"/>
        <w:numPr>
          <w:ilvl w:val="1"/>
          <w:numId w:val="16"/>
        </w:numPr>
        <w:rPr>
          <w:rFonts w:eastAsia="Times New Roman" w:cs="Times New Roman"/>
          <w:szCs w:val="20"/>
          <w:lang w:eastAsia="en-AU"/>
        </w:rPr>
      </w:pPr>
      <w:r w:rsidRPr="005F090E">
        <w:rPr>
          <w:rFonts w:eastAsia="Times New Roman" w:cs="Times New Roman"/>
          <w:szCs w:val="20"/>
          <w:lang w:eastAsia="en-AU"/>
        </w:rPr>
        <w:t xml:space="preserve"> If an amount in respect of Covered Taxes for a Fiscal Year is allocated to a Constituent Entity of an MNE Group </w:t>
      </w:r>
      <w:r>
        <w:rPr>
          <w:rFonts w:eastAsia="Times New Roman" w:cs="Times New Roman"/>
          <w:szCs w:val="20"/>
          <w:lang w:eastAsia="en-AU"/>
        </w:rPr>
        <w:t xml:space="preserve">because of the </w:t>
      </w:r>
      <w:r w:rsidRPr="005F090E">
        <w:rPr>
          <w:rFonts w:eastAsia="Times New Roman" w:cs="Times New Roman"/>
          <w:szCs w:val="20"/>
          <w:lang w:eastAsia="en-AU"/>
        </w:rPr>
        <w:t xml:space="preserve">CFC </w:t>
      </w:r>
      <w:r>
        <w:rPr>
          <w:rFonts w:eastAsia="Times New Roman" w:cs="Times New Roman"/>
          <w:szCs w:val="20"/>
          <w:lang w:eastAsia="en-AU"/>
        </w:rPr>
        <w:t xml:space="preserve">Tax </w:t>
      </w:r>
      <w:r w:rsidRPr="005F090E">
        <w:rPr>
          <w:rFonts w:eastAsia="Times New Roman" w:cs="Times New Roman"/>
          <w:szCs w:val="20"/>
          <w:lang w:eastAsia="en-AU"/>
        </w:rPr>
        <w:t>Regime under section 4-</w:t>
      </w:r>
      <w:r>
        <w:rPr>
          <w:rFonts w:eastAsia="Times New Roman" w:cs="Times New Roman"/>
          <w:szCs w:val="20"/>
          <w:lang w:eastAsia="en-AU"/>
        </w:rPr>
        <w:t>50</w:t>
      </w:r>
      <w:r w:rsidRPr="005F090E">
        <w:rPr>
          <w:rFonts w:eastAsia="Times New Roman" w:cs="Times New Roman"/>
          <w:szCs w:val="20"/>
          <w:lang w:eastAsia="en-AU"/>
        </w:rPr>
        <w:t xml:space="preserve"> </w:t>
      </w:r>
      <w:r>
        <w:rPr>
          <w:rFonts w:eastAsia="Times New Roman" w:cs="Times New Roman"/>
          <w:szCs w:val="20"/>
          <w:lang w:eastAsia="en-AU"/>
        </w:rPr>
        <w:t>of the Rules</w:t>
      </w:r>
      <w:r w:rsidRPr="005F090E">
        <w:rPr>
          <w:rFonts w:eastAsia="Times New Roman" w:cs="Times New Roman"/>
          <w:szCs w:val="20"/>
          <w:lang w:eastAsia="en-AU"/>
        </w:rPr>
        <w:t xml:space="preserve"> or </w:t>
      </w:r>
      <w:r>
        <w:rPr>
          <w:rFonts w:eastAsia="Times New Roman" w:cs="Times New Roman"/>
          <w:szCs w:val="20"/>
          <w:lang w:eastAsia="en-AU"/>
        </w:rPr>
        <w:t xml:space="preserve">due to a </w:t>
      </w:r>
      <w:r w:rsidRPr="005F090E">
        <w:rPr>
          <w:rFonts w:eastAsia="Times New Roman" w:cs="Times New Roman"/>
          <w:szCs w:val="20"/>
          <w:lang w:eastAsia="en-AU"/>
        </w:rPr>
        <w:t xml:space="preserve">Hybrid Entity </w:t>
      </w:r>
      <w:r>
        <w:rPr>
          <w:rFonts w:eastAsia="Times New Roman" w:cs="Times New Roman"/>
          <w:szCs w:val="20"/>
          <w:lang w:eastAsia="en-AU"/>
        </w:rPr>
        <w:t xml:space="preserve">under section </w:t>
      </w:r>
      <w:r w:rsidRPr="005F090E">
        <w:rPr>
          <w:rFonts w:eastAsia="Times New Roman" w:cs="Times New Roman"/>
          <w:szCs w:val="20"/>
          <w:lang w:eastAsia="en-AU"/>
        </w:rPr>
        <w:t>4</w:t>
      </w:r>
      <w:r>
        <w:rPr>
          <w:rFonts w:eastAsia="Times New Roman" w:cs="Times New Roman"/>
          <w:szCs w:val="20"/>
          <w:lang w:eastAsia="en-AU"/>
        </w:rPr>
        <w:noBreakHyphen/>
      </w:r>
      <w:r w:rsidRPr="005F090E">
        <w:rPr>
          <w:rFonts w:eastAsia="Times New Roman" w:cs="Times New Roman"/>
          <w:szCs w:val="20"/>
          <w:lang w:eastAsia="en-AU"/>
        </w:rPr>
        <w:t>5</w:t>
      </w:r>
      <w:r w:rsidR="00D87597">
        <w:rPr>
          <w:rFonts w:eastAsia="Times New Roman" w:cs="Times New Roman"/>
          <w:szCs w:val="20"/>
          <w:lang w:eastAsia="en-AU"/>
        </w:rPr>
        <w:t>5</w:t>
      </w:r>
      <w:r w:rsidRPr="005F090E">
        <w:rPr>
          <w:rFonts w:eastAsia="Times New Roman" w:cs="Times New Roman"/>
          <w:szCs w:val="20"/>
          <w:lang w:eastAsia="en-AU"/>
        </w:rPr>
        <w:t xml:space="preserve"> </w:t>
      </w:r>
      <w:r>
        <w:rPr>
          <w:rFonts w:eastAsia="Times New Roman" w:cs="Times New Roman"/>
          <w:szCs w:val="20"/>
          <w:lang w:eastAsia="en-AU"/>
        </w:rPr>
        <w:t>of the Rules</w:t>
      </w:r>
      <w:r w:rsidRPr="005F090E">
        <w:rPr>
          <w:rFonts w:eastAsia="Times New Roman" w:cs="Times New Roman"/>
          <w:szCs w:val="20"/>
          <w:lang w:eastAsia="en-AU"/>
        </w:rPr>
        <w:t xml:space="preserve"> in respect of Passive Income, </w:t>
      </w:r>
      <w:r>
        <w:rPr>
          <w:rFonts w:eastAsia="Times New Roman" w:cs="Times New Roman"/>
          <w:szCs w:val="20"/>
          <w:lang w:eastAsia="en-AU"/>
        </w:rPr>
        <w:t>section 4-</w:t>
      </w:r>
      <w:r w:rsidR="00D87597">
        <w:rPr>
          <w:rFonts w:eastAsia="Times New Roman" w:cs="Times New Roman"/>
          <w:szCs w:val="20"/>
          <w:lang w:eastAsia="en-AU"/>
        </w:rPr>
        <w:t>7</w:t>
      </w:r>
      <w:r>
        <w:rPr>
          <w:rFonts w:eastAsia="Times New Roman" w:cs="Times New Roman"/>
          <w:szCs w:val="20"/>
          <w:lang w:eastAsia="en-AU"/>
        </w:rPr>
        <w:t>5 determine</w:t>
      </w:r>
      <w:r w:rsidR="00376C9E">
        <w:rPr>
          <w:rFonts w:eastAsia="Times New Roman" w:cs="Times New Roman"/>
          <w:szCs w:val="20"/>
          <w:lang w:eastAsia="en-AU"/>
        </w:rPr>
        <w:t>s</w:t>
      </w:r>
      <w:r>
        <w:rPr>
          <w:rFonts w:eastAsia="Times New Roman" w:cs="Times New Roman"/>
          <w:szCs w:val="20"/>
          <w:lang w:eastAsia="en-AU"/>
        </w:rPr>
        <w:t xml:space="preserve"> the</w:t>
      </w:r>
      <w:r w:rsidRPr="005F090E">
        <w:rPr>
          <w:rFonts w:eastAsia="Times New Roman" w:cs="Times New Roman"/>
          <w:szCs w:val="20"/>
          <w:lang w:eastAsia="en-AU"/>
        </w:rPr>
        <w:t xml:space="preserve"> amount </w:t>
      </w:r>
      <w:r>
        <w:rPr>
          <w:rFonts w:eastAsia="Times New Roman" w:cs="Times New Roman"/>
          <w:szCs w:val="20"/>
          <w:lang w:eastAsia="en-AU"/>
        </w:rPr>
        <w:t>that</w:t>
      </w:r>
      <w:r w:rsidRPr="005F090E">
        <w:rPr>
          <w:rFonts w:eastAsia="Times New Roman" w:cs="Times New Roman"/>
          <w:szCs w:val="20"/>
          <w:lang w:eastAsia="en-AU"/>
        </w:rPr>
        <w:t xml:space="preserve"> is included in the Constituent Entity’s Adjusted Covered Taxes for the Fiscal Year. </w:t>
      </w:r>
    </w:p>
    <w:p w14:paraId="38B25C54" w14:textId="3E5935E4" w:rsidR="00840DA0" w:rsidRPr="005F090E" w:rsidRDefault="00840DA0" w:rsidP="00840DA0">
      <w:pPr>
        <w:pStyle w:val="Normalparatextwithnumbers"/>
        <w:numPr>
          <w:ilvl w:val="1"/>
          <w:numId w:val="16"/>
        </w:numPr>
        <w:rPr>
          <w:rFonts w:eastAsia="Times New Roman" w:cs="Times New Roman"/>
          <w:szCs w:val="20"/>
          <w:lang w:eastAsia="en-AU"/>
        </w:rPr>
      </w:pPr>
      <w:r w:rsidRPr="005F090E">
        <w:rPr>
          <w:rFonts w:eastAsia="Times New Roman" w:cs="Times New Roman"/>
          <w:szCs w:val="20"/>
          <w:lang w:eastAsia="en-AU"/>
        </w:rPr>
        <w:t>The amount of Covered Taxes allocated under sections 4-</w:t>
      </w:r>
      <w:r>
        <w:rPr>
          <w:rFonts w:eastAsia="Times New Roman" w:cs="Times New Roman"/>
          <w:szCs w:val="20"/>
          <w:lang w:eastAsia="en-AU"/>
        </w:rPr>
        <w:t>5</w:t>
      </w:r>
      <w:r w:rsidR="00D87597">
        <w:rPr>
          <w:rFonts w:eastAsia="Times New Roman" w:cs="Times New Roman"/>
          <w:szCs w:val="20"/>
          <w:lang w:eastAsia="en-AU"/>
        </w:rPr>
        <w:t>5</w:t>
      </w:r>
      <w:r w:rsidRPr="005F090E">
        <w:rPr>
          <w:rFonts w:eastAsia="Times New Roman" w:cs="Times New Roman"/>
          <w:szCs w:val="20"/>
          <w:lang w:eastAsia="en-AU"/>
        </w:rPr>
        <w:t xml:space="preserve"> </w:t>
      </w:r>
      <w:r>
        <w:rPr>
          <w:rFonts w:eastAsia="Times New Roman" w:cs="Times New Roman"/>
          <w:szCs w:val="20"/>
          <w:lang w:eastAsia="en-AU"/>
        </w:rPr>
        <w:t>of the Rules</w:t>
      </w:r>
      <w:r w:rsidRPr="005F090E">
        <w:rPr>
          <w:rFonts w:eastAsia="Times New Roman" w:cs="Times New Roman"/>
          <w:szCs w:val="20"/>
          <w:lang w:eastAsia="en-AU"/>
        </w:rPr>
        <w:t xml:space="preserve"> (CFC Regime) or 4-</w:t>
      </w:r>
      <w:r w:rsidR="00D87597">
        <w:rPr>
          <w:rFonts w:eastAsia="Times New Roman" w:cs="Times New Roman"/>
          <w:szCs w:val="20"/>
          <w:lang w:eastAsia="en-AU"/>
        </w:rPr>
        <w:t>6</w:t>
      </w:r>
      <w:r>
        <w:rPr>
          <w:rFonts w:eastAsia="Times New Roman" w:cs="Times New Roman"/>
          <w:szCs w:val="20"/>
          <w:lang w:eastAsia="en-AU"/>
        </w:rPr>
        <w:t>5 of the Rules</w:t>
      </w:r>
      <w:r w:rsidRPr="005F090E">
        <w:rPr>
          <w:rFonts w:eastAsia="Times New Roman" w:cs="Times New Roman"/>
          <w:szCs w:val="20"/>
          <w:lang w:eastAsia="en-AU"/>
        </w:rPr>
        <w:t xml:space="preserve"> (Hybrid Entity) from a Constituent Entity-owner to a subsidiary in respect of Passive Income</w:t>
      </w:r>
      <w:r>
        <w:rPr>
          <w:rFonts w:eastAsia="Times New Roman" w:cs="Times New Roman"/>
          <w:szCs w:val="20"/>
          <w:lang w:eastAsia="en-AU"/>
        </w:rPr>
        <w:t xml:space="preserve"> is</w:t>
      </w:r>
      <w:r w:rsidRPr="005F090E">
        <w:rPr>
          <w:rFonts w:eastAsia="Times New Roman" w:cs="Times New Roman"/>
          <w:szCs w:val="20"/>
          <w:lang w:eastAsia="en-AU"/>
        </w:rPr>
        <w:t xml:space="preserve"> limited to the lesser of: </w:t>
      </w:r>
    </w:p>
    <w:p w14:paraId="2D8CE499" w14:textId="77777777" w:rsidR="00840DA0" w:rsidRPr="005F090E" w:rsidRDefault="00840DA0" w:rsidP="00B7652D">
      <w:pPr>
        <w:pStyle w:val="Dotpoint1"/>
        <w:rPr>
          <w:lang w:eastAsia="en-AU"/>
        </w:rPr>
      </w:pPr>
      <w:r w:rsidRPr="005F090E">
        <w:rPr>
          <w:lang w:eastAsia="en-AU"/>
        </w:rPr>
        <w:t xml:space="preserve">the actual amount of Covered Taxes </w:t>
      </w:r>
      <w:r>
        <w:rPr>
          <w:lang w:eastAsia="en-AU"/>
        </w:rPr>
        <w:t>allocated</w:t>
      </w:r>
      <w:r w:rsidRPr="005F090E">
        <w:rPr>
          <w:lang w:eastAsia="en-AU"/>
        </w:rPr>
        <w:t xml:space="preserve"> in respect of such Passive Income</w:t>
      </w:r>
      <w:r>
        <w:rPr>
          <w:lang w:eastAsia="en-AU"/>
        </w:rPr>
        <w:t>;</w:t>
      </w:r>
      <w:r w:rsidRPr="005F090E">
        <w:rPr>
          <w:lang w:eastAsia="en-AU"/>
        </w:rPr>
        <w:t xml:space="preserve"> or </w:t>
      </w:r>
    </w:p>
    <w:p w14:paraId="112A9282" w14:textId="287E9532" w:rsidR="00840DA0" w:rsidRPr="005F090E" w:rsidRDefault="00840DA0" w:rsidP="00B7652D">
      <w:pPr>
        <w:pStyle w:val="Dotpoint1"/>
        <w:rPr>
          <w:lang w:eastAsia="en-AU"/>
        </w:rPr>
      </w:pPr>
      <w:r w:rsidRPr="005F090E">
        <w:rPr>
          <w:lang w:eastAsia="en-AU"/>
        </w:rPr>
        <w:t xml:space="preserve">the </w:t>
      </w:r>
      <w:r>
        <w:rPr>
          <w:lang w:eastAsia="en-AU"/>
        </w:rPr>
        <w:t>top</w:t>
      </w:r>
      <w:r w:rsidRPr="005F090E">
        <w:rPr>
          <w:lang w:eastAsia="en-AU"/>
        </w:rPr>
        <w:t xml:space="preserve">-up </w:t>
      </w:r>
      <w:r>
        <w:rPr>
          <w:lang w:eastAsia="en-AU"/>
        </w:rPr>
        <w:t>tax</w:t>
      </w:r>
      <w:r w:rsidRPr="005F090E">
        <w:rPr>
          <w:lang w:eastAsia="en-AU"/>
        </w:rPr>
        <w:t xml:space="preserve"> Percentage for the Fiscal Year of the MNE Group for the jurisdiction in which the Constituent Entity is located</w:t>
      </w:r>
      <w:r w:rsidR="00A6151E">
        <w:rPr>
          <w:lang w:eastAsia="en-AU"/>
        </w:rPr>
        <w:t xml:space="preserve"> </w:t>
      </w:r>
      <w:r w:rsidRPr="005F090E">
        <w:rPr>
          <w:lang w:eastAsia="en-AU"/>
        </w:rPr>
        <w:t xml:space="preserve">multiplied by the Constituent Entity’s Passive Income for the Fiscal Year to the extent that is includible under any CFC Tax Regime or fiscal transparency rule. </w:t>
      </w:r>
      <w:r w:rsidR="0053576F">
        <w:rPr>
          <w:lang w:eastAsia="en-AU"/>
        </w:rPr>
        <w:br/>
      </w:r>
      <w:r w:rsidR="0053576F" w:rsidRPr="005F090E">
        <w:rPr>
          <w:rStyle w:val="References"/>
          <w:lang w:eastAsia="en-AU"/>
        </w:rPr>
        <w:t>[Chapter 4,</w:t>
      </w:r>
      <w:r w:rsidR="0053576F">
        <w:rPr>
          <w:rStyle w:val="References"/>
          <w:lang w:eastAsia="en-AU"/>
        </w:rPr>
        <w:t xml:space="preserve"> </w:t>
      </w:r>
      <w:r w:rsidR="00400957">
        <w:rPr>
          <w:rStyle w:val="References"/>
          <w:lang w:eastAsia="en-AU"/>
        </w:rPr>
        <w:t>sub</w:t>
      </w:r>
      <w:r w:rsidR="0053576F" w:rsidRPr="005F090E">
        <w:rPr>
          <w:rStyle w:val="References"/>
          <w:lang w:eastAsia="en-AU"/>
        </w:rPr>
        <w:t>section 4-</w:t>
      </w:r>
      <w:r w:rsidR="0053576F">
        <w:rPr>
          <w:rStyle w:val="References"/>
          <w:lang w:eastAsia="en-AU"/>
        </w:rPr>
        <w:t>65</w:t>
      </w:r>
      <w:r w:rsidR="00400957">
        <w:rPr>
          <w:rStyle w:val="References"/>
          <w:lang w:eastAsia="en-AU"/>
        </w:rPr>
        <w:t>(1)</w:t>
      </w:r>
      <w:r w:rsidR="0053576F" w:rsidRPr="005F090E">
        <w:rPr>
          <w:rStyle w:val="References"/>
          <w:lang w:eastAsia="en-AU"/>
        </w:rPr>
        <w:t xml:space="preserve"> of the Rules]</w:t>
      </w:r>
    </w:p>
    <w:p w14:paraId="29433F4C" w14:textId="23B4B833" w:rsidR="00840DA0" w:rsidRPr="005F090E" w:rsidRDefault="00840DA0" w:rsidP="00840DA0">
      <w:pPr>
        <w:pStyle w:val="Normalparatextwithnumbers"/>
        <w:numPr>
          <w:ilvl w:val="1"/>
          <w:numId w:val="16"/>
        </w:numPr>
        <w:rPr>
          <w:rFonts w:eastAsia="Times New Roman" w:cs="Times New Roman"/>
          <w:szCs w:val="20"/>
          <w:lang w:eastAsia="en-AU"/>
        </w:rPr>
      </w:pPr>
      <w:r w:rsidRPr="005F090E">
        <w:rPr>
          <w:rFonts w:eastAsia="Times New Roman" w:cs="Times New Roman"/>
          <w:szCs w:val="20"/>
          <w:lang w:eastAsia="en-AU"/>
        </w:rPr>
        <w:t xml:space="preserve">The </w:t>
      </w:r>
      <w:r>
        <w:rPr>
          <w:rFonts w:eastAsia="Times New Roman" w:cs="Times New Roman"/>
          <w:szCs w:val="20"/>
          <w:lang w:eastAsia="en-AU"/>
        </w:rPr>
        <w:t>top</w:t>
      </w:r>
      <w:r w:rsidRPr="005F090E">
        <w:rPr>
          <w:rFonts w:eastAsia="Times New Roman" w:cs="Times New Roman"/>
          <w:szCs w:val="20"/>
          <w:lang w:eastAsia="en-AU"/>
        </w:rPr>
        <w:t xml:space="preserve">-up </w:t>
      </w:r>
      <w:r>
        <w:rPr>
          <w:rFonts w:eastAsia="Times New Roman" w:cs="Times New Roman"/>
          <w:szCs w:val="20"/>
          <w:lang w:eastAsia="en-AU"/>
        </w:rPr>
        <w:t>tax</w:t>
      </w:r>
      <w:r w:rsidRPr="005F090E">
        <w:rPr>
          <w:rFonts w:eastAsia="Times New Roman" w:cs="Times New Roman"/>
          <w:szCs w:val="20"/>
          <w:lang w:eastAsia="en-AU"/>
        </w:rPr>
        <w:t xml:space="preserve"> </w:t>
      </w:r>
      <w:r>
        <w:rPr>
          <w:rFonts w:eastAsia="Times New Roman" w:cs="Times New Roman"/>
          <w:szCs w:val="20"/>
          <w:lang w:eastAsia="en-AU"/>
        </w:rPr>
        <w:t>p</w:t>
      </w:r>
      <w:r w:rsidRPr="005F090E">
        <w:rPr>
          <w:rFonts w:eastAsia="Times New Roman" w:cs="Times New Roman"/>
          <w:szCs w:val="20"/>
          <w:lang w:eastAsia="en-AU"/>
        </w:rPr>
        <w:t xml:space="preserve">ercentage used for this computation disregards the taxes to be pushed down to the subsidiary under the CFC Tax Regime or fiscal transparency rule. Any Covered Taxes of the Constituent Entity-owner incurred with respect to </w:t>
      </w:r>
      <w:r>
        <w:rPr>
          <w:rFonts w:eastAsia="Times New Roman" w:cs="Times New Roman"/>
          <w:szCs w:val="20"/>
          <w:lang w:eastAsia="en-AU"/>
        </w:rPr>
        <w:t xml:space="preserve">the </w:t>
      </w:r>
      <w:r w:rsidRPr="005F090E">
        <w:rPr>
          <w:rFonts w:eastAsia="Times New Roman" w:cs="Times New Roman"/>
          <w:szCs w:val="20"/>
          <w:lang w:eastAsia="en-AU"/>
        </w:rPr>
        <w:t>Passive Income that remain</w:t>
      </w:r>
      <w:r>
        <w:rPr>
          <w:rFonts w:eastAsia="Times New Roman" w:cs="Times New Roman"/>
          <w:szCs w:val="20"/>
          <w:lang w:eastAsia="en-AU"/>
        </w:rPr>
        <w:t>s</w:t>
      </w:r>
      <w:r w:rsidRPr="005F090E">
        <w:rPr>
          <w:rFonts w:eastAsia="Times New Roman" w:cs="Times New Roman"/>
          <w:szCs w:val="20"/>
          <w:lang w:eastAsia="en-AU"/>
        </w:rPr>
        <w:t xml:space="preserve"> after the application of this rule is not allocated under sections 4-</w:t>
      </w:r>
      <w:r>
        <w:rPr>
          <w:rFonts w:eastAsia="Times New Roman" w:cs="Times New Roman"/>
          <w:szCs w:val="20"/>
          <w:lang w:eastAsia="en-AU"/>
        </w:rPr>
        <w:t>5</w:t>
      </w:r>
      <w:r w:rsidR="00D87597">
        <w:rPr>
          <w:rFonts w:eastAsia="Times New Roman" w:cs="Times New Roman"/>
          <w:szCs w:val="20"/>
          <w:lang w:eastAsia="en-AU"/>
        </w:rPr>
        <w:t>5</w:t>
      </w:r>
      <w:r w:rsidRPr="005F090E">
        <w:rPr>
          <w:rFonts w:eastAsia="Times New Roman" w:cs="Times New Roman"/>
          <w:szCs w:val="20"/>
          <w:lang w:eastAsia="en-AU"/>
        </w:rPr>
        <w:t xml:space="preserve"> or 4-</w:t>
      </w:r>
      <w:r w:rsidR="00D87597">
        <w:rPr>
          <w:rFonts w:eastAsia="Times New Roman" w:cs="Times New Roman"/>
          <w:szCs w:val="20"/>
          <w:lang w:eastAsia="en-AU"/>
        </w:rPr>
        <w:t>6</w:t>
      </w:r>
      <w:r>
        <w:rPr>
          <w:rFonts w:eastAsia="Times New Roman" w:cs="Times New Roman"/>
          <w:szCs w:val="20"/>
          <w:lang w:eastAsia="en-AU"/>
        </w:rPr>
        <w:t>5 of the Rules and remains with the Constituent Entity-owner</w:t>
      </w:r>
      <w:r w:rsidR="00D57398">
        <w:rPr>
          <w:rFonts w:eastAsia="Times New Roman" w:cs="Times New Roman"/>
          <w:szCs w:val="20"/>
          <w:lang w:eastAsia="en-AU"/>
        </w:rPr>
        <w:t>.</w:t>
      </w:r>
      <w:r w:rsidR="00D57398">
        <w:rPr>
          <w:rStyle w:val="Heading1Char"/>
          <w:lang w:eastAsia="en-AU"/>
        </w:rPr>
        <w:br/>
      </w:r>
      <w:r w:rsidR="00400957" w:rsidRPr="005F090E">
        <w:rPr>
          <w:rStyle w:val="References"/>
          <w:lang w:eastAsia="en-AU"/>
        </w:rPr>
        <w:t>[Chapter 4,</w:t>
      </w:r>
      <w:r w:rsidR="00400957">
        <w:rPr>
          <w:rStyle w:val="References"/>
          <w:lang w:eastAsia="en-AU"/>
        </w:rPr>
        <w:t xml:space="preserve"> sub</w:t>
      </w:r>
      <w:r w:rsidR="00400957" w:rsidRPr="005F090E">
        <w:rPr>
          <w:rStyle w:val="References"/>
          <w:lang w:eastAsia="en-AU"/>
        </w:rPr>
        <w:t>section 4-</w:t>
      </w:r>
      <w:r w:rsidR="00400957">
        <w:rPr>
          <w:rStyle w:val="References"/>
          <w:lang w:eastAsia="en-AU"/>
        </w:rPr>
        <w:t>65(</w:t>
      </w:r>
      <w:r w:rsidR="00D57398">
        <w:rPr>
          <w:rStyle w:val="References"/>
          <w:lang w:eastAsia="en-AU"/>
        </w:rPr>
        <w:t>2</w:t>
      </w:r>
      <w:r w:rsidR="00400957">
        <w:rPr>
          <w:rStyle w:val="References"/>
          <w:lang w:eastAsia="en-AU"/>
        </w:rPr>
        <w:t>)</w:t>
      </w:r>
      <w:r w:rsidR="00400957" w:rsidRPr="005F090E">
        <w:rPr>
          <w:rStyle w:val="References"/>
          <w:lang w:eastAsia="en-AU"/>
        </w:rPr>
        <w:t xml:space="preserve"> of the Rules]</w:t>
      </w:r>
    </w:p>
    <w:p w14:paraId="13E017AF" w14:textId="77777777" w:rsidR="00840DA0" w:rsidRPr="005F090E" w:rsidRDefault="00840DA0" w:rsidP="00840DA0">
      <w:pPr>
        <w:pStyle w:val="Heading5"/>
        <w:numPr>
          <w:ilvl w:val="4"/>
          <w:numId w:val="2"/>
        </w:numPr>
        <w:rPr>
          <w:rFonts w:eastAsia="Times New Roman" w:cs="Times New Roman"/>
          <w:szCs w:val="20"/>
          <w:lang w:eastAsia="en-AU"/>
        </w:rPr>
      </w:pPr>
      <w:r w:rsidRPr="005F090E">
        <w:rPr>
          <w:rFonts w:eastAsia="Times New Roman" w:cs="Times New Roman"/>
          <w:szCs w:val="20"/>
          <w:lang w:eastAsia="en-AU"/>
        </w:rPr>
        <w:t xml:space="preserve">Adjusted Covered Taxes for Permanent Establishments and Main Entities </w:t>
      </w:r>
    </w:p>
    <w:p w14:paraId="16F95C95" w14:textId="548DA73D" w:rsidR="00840DA0" w:rsidRPr="005F090E" w:rsidRDefault="00840DA0" w:rsidP="00840DA0">
      <w:pPr>
        <w:pStyle w:val="Normalparatextwithnumbers"/>
        <w:numPr>
          <w:ilvl w:val="1"/>
          <w:numId w:val="16"/>
        </w:numPr>
        <w:rPr>
          <w:rFonts w:eastAsia="Times New Roman" w:cs="Times New Roman"/>
          <w:szCs w:val="20"/>
          <w:lang w:eastAsia="en-AU"/>
        </w:rPr>
      </w:pPr>
      <w:r w:rsidRPr="003F799E">
        <w:rPr>
          <w:rFonts w:eastAsia="Times New Roman" w:cs="Times New Roman"/>
          <w:szCs w:val="20"/>
          <w:lang w:eastAsia="en-AU"/>
        </w:rPr>
        <w:t>Any Covered Taxes that arise in the Permanent Establishment’s jurisdiction and are related to the income of the Permanent Establishment that is allocated to the Main Entity under section 3</w:t>
      </w:r>
      <w:r w:rsidRPr="003F799E">
        <w:rPr>
          <w:rFonts w:eastAsia="Times New Roman" w:cs="Times New Roman"/>
          <w:szCs w:val="20"/>
          <w:lang w:eastAsia="en-AU"/>
        </w:rPr>
        <w:noBreakHyphen/>
        <w:t>25</w:t>
      </w:r>
      <w:r w:rsidR="00D87597">
        <w:rPr>
          <w:rFonts w:eastAsia="Times New Roman" w:cs="Times New Roman"/>
          <w:szCs w:val="20"/>
          <w:lang w:eastAsia="en-AU"/>
        </w:rPr>
        <w:t>0</w:t>
      </w:r>
      <w:r w:rsidRPr="003F799E">
        <w:rPr>
          <w:rFonts w:eastAsia="Times New Roman" w:cs="Times New Roman"/>
          <w:szCs w:val="20"/>
          <w:lang w:eastAsia="en-AU"/>
        </w:rPr>
        <w:t xml:space="preserve"> of the Rules are also allocated to the Main Entity. However, the</w:t>
      </w:r>
      <w:r w:rsidRPr="005F090E">
        <w:rPr>
          <w:rFonts w:eastAsia="Times New Roman" w:cs="Times New Roman"/>
          <w:szCs w:val="20"/>
          <w:lang w:eastAsia="en-AU"/>
        </w:rPr>
        <w:t xml:space="preserve"> allocated amount is capped at the amount that is the result of multiplying the income with the highest corporate tax rate on ordinary income in the </w:t>
      </w:r>
      <w:r w:rsidRPr="003F799E">
        <w:rPr>
          <w:rFonts w:eastAsia="Times New Roman" w:cs="Times New Roman"/>
          <w:szCs w:val="20"/>
          <w:lang w:eastAsia="en-AU"/>
        </w:rPr>
        <w:t>Main Entity</w:t>
      </w:r>
      <w:r>
        <w:rPr>
          <w:rFonts w:eastAsia="Times New Roman" w:cs="Times New Roman"/>
          <w:szCs w:val="20"/>
          <w:lang w:eastAsia="en-AU"/>
        </w:rPr>
        <w:t>’</w:t>
      </w:r>
      <w:r w:rsidRPr="003F799E">
        <w:rPr>
          <w:rFonts w:eastAsia="Times New Roman" w:cs="Times New Roman"/>
          <w:szCs w:val="20"/>
          <w:lang w:eastAsia="en-AU"/>
        </w:rPr>
        <w:t>s jurisdiction</w:t>
      </w:r>
      <w:r w:rsidRPr="005F090E">
        <w:rPr>
          <w:rFonts w:eastAsia="Times New Roman" w:cs="Times New Roman"/>
          <w:szCs w:val="20"/>
          <w:lang w:eastAsia="en-AU"/>
        </w:rPr>
        <w:t xml:space="preserve">. </w:t>
      </w:r>
      <w:r>
        <w:rPr>
          <w:rFonts w:eastAsia="Times New Roman" w:cs="Times New Roman"/>
          <w:szCs w:val="20"/>
          <w:lang w:eastAsia="en-AU"/>
        </w:rPr>
        <w:br/>
      </w:r>
      <w:r w:rsidRPr="005F090E">
        <w:rPr>
          <w:rStyle w:val="References"/>
          <w:lang w:eastAsia="en-AU"/>
        </w:rPr>
        <w:t xml:space="preserve">[Chapter 4, </w:t>
      </w:r>
      <w:r w:rsidR="009A45FD">
        <w:rPr>
          <w:rStyle w:val="References"/>
          <w:lang w:eastAsia="en-AU"/>
        </w:rPr>
        <w:t>section</w:t>
      </w:r>
      <w:r w:rsidRPr="005F090E">
        <w:rPr>
          <w:rStyle w:val="References"/>
          <w:lang w:eastAsia="en-AU"/>
        </w:rPr>
        <w:t xml:space="preserve"> 4-</w:t>
      </w:r>
      <w:r>
        <w:rPr>
          <w:rStyle w:val="References"/>
          <w:lang w:eastAsia="en-AU"/>
        </w:rPr>
        <w:t>70</w:t>
      </w:r>
      <w:r w:rsidRPr="005F090E">
        <w:rPr>
          <w:rStyle w:val="References"/>
          <w:lang w:eastAsia="en-AU"/>
        </w:rPr>
        <w:t xml:space="preserve"> of the Rules]</w:t>
      </w:r>
    </w:p>
    <w:p w14:paraId="776188F5" w14:textId="77777777" w:rsidR="00840DA0" w:rsidRPr="005F090E" w:rsidRDefault="00840DA0" w:rsidP="00840DA0">
      <w:pPr>
        <w:pStyle w:val="Normalparatextwithnumbers"/>
        <w:numPr>
          <w:ilvl w:val="1"/>
          <w:numId w:val="16"/>
        </w:numPr>
        <w:rPr>
          <w:rFonts w:eastAsia="Times New Roman" w:cs="Times New Roman"/>
          <w:szCs w:val="20"/>
          <w:lang w:eastAsia="en-AU"/>
        </w:rPr>
      </w:pPr>
      <w:r w:rsidRPr="005F090E">
        <w:rPr>
          <w:rFonts w:eastAsia="Times New Roman" w:cs="Times New Roman"/>
          <w:szCs w:val="20"/>
          <w:lang w:eastAsia="en-AU"/>
        </w:rPr>
        <w:t xml:space="preserve">The highest corporate tax rate on ordinary income means the full marginal rate which a jurisdiction generally applies to categories of income which do not benefit from any exemption, exclusion, credit or other tax relief applicable to particular types of payments. This </w:t>
      </w:r>
      <w:r>
        <w:rPr>
          <w:rFonts w:eastAsia="Times New Roman" w:cs="Times New Roman"/>
          <w:szCs w:val="20"/>
          <w:lang w:eastAsia="en-AU"/>
        </w:rPr>
        <w:t>ex</w:t>
      </w:r>
      <w:r w:rsidRPr="005F090E">
        <w:rPr>
          <w:rFonts w:eastAsia="Times New Roman" w:cs="Times New Roman"/>
          <w:szCs w:val="20"/>
          <w:lang w:eastAsia="en-AU"/>
        </w:rPr>
        <w:t>clude</w:t>
      </w:r>
      <w:r>
        <w:rPr>
          <w:rFonts w:eastAsia="Times New Roman" w:cs="Times New Roman"/>
          <w:szCs w:val="20"/>
          <w:lang w:eastAsia="en-AU"/>
        </w:rPr>
        <w:t>s</w:t>
      </w:r>
      <w:r w:rsidRPr="005F090E">
        <w:rPr>
          <w:rFonts w:eastAsia="Times New Roman" w:cs="Times New Roman"/>
          <w:szCs w:val="20"/>
          <w:lang w:eastAsia="en-AU"/>
        </w:rPr>
        <w:t xml:space="preserve"> rates which are only applied to particular business sectors</w:t>
      </w:r>
      <w:r>
        <w:rPr>
          <w:rFonts w:eastAsia="Times New Roman" w:cs="Times New Roman"/>
          <w:szCs w:val="20"/>
          <w:lang w:eastAsia="en-AU"/>
        </w:rPr>
        <w:t xml:space="preserve">, and a DMT that is higher than the </w:t>
      </w:r>
      <w:r w:rsidRPr="006C10EA">
        <w:t>regular C</w:t>
      </w:r>
      <w:r>
        <w:t xml:space="preserve">orporate </w:t>
      </w:r>
      <w:r w:rsidRPr="006C10EA">
        <w:t>I</w:t>
      </w:r>
      <w:r>
        <w:t xml:space="preserve">ncome </w:t>
      </w:r>
      <w:r w:rsidRPr="006C10EA">
        <w:t>T</w:t>
      </w:r>
      <w:r>
        <w:t>ax</w:t>
      </w:r>
      <w:r w:rsidRPr="006C10EA">
        <w:t xml:space="preserve"> rate </w:t>
      </w:r>
      <w:r>
        <w:t xml:space="preserve">where that rate </w:t>
      </w:r>
      <w:r w:rsidRPr="006C10EA">
        <w:t>is lower than 15</w:t>
      </w:r>
      <w:r>
        <w:t xml:space="preserve"> per cent</w:t>
      </w:r>
      <w:r w:rsidRPr="006C10EA">
        <w:t>.</w:t>
      </w:r>
    </w:p>
    <w:p w14:paraId="73D00E1F" w14:textId="0FB20CE7" w:rsidR="00840DA0" w:rsidRPr="005F090E" w:rsidRDefault="00840DA0" w:rsidP="00840DA0">
      <w:pPr>
        <w:pStyle w:val="Normalparatextwithnumbers"/>
        <w:numPr>
          <w:ilvl w:val="1"/>
          <w:numId w:val="16"/>
        </w:numPr>
        <w:rPr>
          <w:rFonts w:eastAsia="Times New Roman" w:cs="Times New Roman"/>
          <w:szCs w:val="20"/>
          <w:lang w:eastAsia="en-AU"/>
        </w:rPr>
      </w:pPr>
      <w:r w:rsidRPr="005F090E">
        <w:rPr>
          <w:rFonts w:eastAsia="Times New Roman" w:cs="Times New Roman"/>
          <w:szCs w:val="20"/>
          <w:lang w:eastAsia="en-AU"/>
        </w:rPr>
        <w:lastRenderedPageBreak/>
        <w:t>Th</w:t>
      </w:r>
      <w:r>
        <w:rPr>
          <w:rFonts w:eastAsia="Times New Roman" w:cs="Times New Roman"/>
          <w:szCs w:val="20"/>
          <w:lang w:eastAsia="en-AU"/>
        </w:rPr>
        <w:t>e allocation of Covered Taxes of the Permanent Establishment to the Main Entity generally only</w:t>
      </w:r>
      <w:r w:rsidRPr="005F090E">
        <w:rPr>
          <w:rFonts w:eastAsia="Times New Roman" w:cs="Times New Roman"/>
          <w:szCs w:val="20"/>
          <w:lang w:eastAsia="en-AU"/>
        </w:rPr>
        <w:t xml:space="preserve"> arises </w:t>
      </w:r>
      <w:r>
        <w:rPr>
          <w:rFonts w:eastAsia="Times New Roman" w:cs="Times New Roman"/>
          <w:szCs w:val="20"/>
          <w:lang w:eastAsia="en-AU"/>
        </w:rPr>
        <w:t>where</w:t>
      </w:r>
      <w:r w:rsidRPr="005F090E">
        <w:rPr>
          <w:rFonts w:eastAsia="Times New Roman" w:cs="Times New Roman"/>
          <w:szCs w:val="20"/>
          <w:lang w:eastAsia="en-AU"/>
        </w:rPr>
        <w:t xml:space="preserve"> a loss of a Permanent Establishment </w:t>
      </w:r>
      <w:r>
        <w:rPr>
          <w:rFonts w:eastAsia="Times New Roman" w:cs="Times New Roman"/>
          <w:szCs w:val="20"/>
          <w:lang w:eastAsia="en-AU"/>
        </w:rPr>
        <w:t>is</w:t>
      </w:r>
      <w:r w:rsidRPr="005F090E">
        <w:rPr>
          <w:rFonts w:eastAsia="Times New Roman" w:cs="Times New Roman"/>
          <w:szCs w:val="20"/>
          <w:lang w:eastAsia="en-AU"/>
        </w:rPr>
        <w:t xml:space="preserve"> treated as a</w:t>
      </w:r>
      <w:r>
        <w:rPr>
          <w:rFonts w:eastAsia="Times New Roman" w:cs="Times New Roman"/>
          <w:szCs w:val="20"/>
          <w:lang w:eastAsia="en-AU"/>
        </w:rPr>
        <w:t>n expense</w:t>
      </w:r>
      <w:r w:rsidRPr="005F090E">
        <w:rPr>
          <w:rFonts w:eastAsia="Times New Roman" w:cs="Times New Roman"/>
          <w:szCs w:val="20"/>
          <w:lang w:eastAsia="en-AU"/>
        </w:rPr>
        <w:t xml:space="preserve"> of </w:t>
      </w:r>
      <w:r>
        <w:rPr>
          <w:rFonts w:eastAsia="Times New Roman" w:cs="Times New Roman"/>
          <w:szCs w:val="20"/>
          <w:lang w:eastAsia="en-AU"/>
        </w:rPr>
        <w:t>the</w:t>
      </w:r>
      <w:r w:rsidRPr="005F090E">
        <w:rPr>
          <w:rFonts w:eastAsia="Times New Roman" w:cs="Times New Roman"/>
          <w:szCs w:val="20"/>
          <w:lang w:eastAsia="en-AU"/>
        </w:rPr>
        <w:t xml:space="preserve"> Main Entity under </w:t>
      </w:r>
      <w:r>
        <w:rPr>
          <w:rFonts w:eastAsia="Times New Roman" w:cs="Times New Roman"/>
          <w:szCs w:val="20"/>
          <w:lang w:eastAsia="en-AU"/>
        </w:rPr>
        <w:t>subsection</w:t>
      </w:r>
      <w:r w:rsidRPr="005031D1">
        <w:rPr>
          <w:rFonts w:eastAsia="Times New Roman" w:cs="Times New Roman"/>
          <w:szCs w:val="20"/>
          <w:lang w:eastAsia="en-AU"/>
        </w:rPr>
        <w:t xml:space="preserve"> 3</w:t>
      </w:r>
      <w:r>
        <w:rPr>
          <w:rFonts w:eastAsia="Times New Roman" w:cs="Times New Roman"/>
          <w:szCs w:val="20"/>
          <w:lang w:eastAsia="en-AU"/>
        </w:rPr>
        <w:noBreakHyphen/>
        <w:t>25</w:t>
      </w:r>
      <w:r w:rsidR="00D87597">
        <w:rPr>
          <w:rFonts w:eastAsia="Times New Roman" w:cs="Times New Roman"/>
          <w:szCs w:val="20"/>
          <w:lang w:eastAsia="en-AU"/>
        </w:rPr>
        <w:t>0</w:t>
      </w:r>
      <w:r w:rsidRPr="005031D1">
        <w:rPr>
          <w:rFonts w:eastAsia="Times New Roman" w:cs="Times New Roman"/>
          <w:szCs w:val="20"/>
          <w:lang w:eastAsia="en-AU"/>
        </w:rPr>
        <w:t>(2) of the Rules</w:t>
      </w:r>
      <w:r>
        <w:rPr>
          <w:rFonts w:eastAsia="Times New Roman" w:cs="Times New Roman"/>
          <w:szCs w:val="20"/>
          <w:lang w:eastAsia="en-AU"/>
        </w:rPr>
        <w:t>.</w:t>
      </w:r>
      <w:r w:rsidRPr="005F090E">
        <w:rPr>
          <w:rFonts w:eastAsia="Times New Roman" w:cs="Times New Roman"/>
          <w:szCs w:val="20"/>
          <w:lang w:eastAsia="en-AU"/>
        </w:rPr>
        <w:t xml:space="preserve"> In most cases, there will not be </w:t>
      </w:r>
      <w:r>
        <w:rPr>
          <w:rFonts w:eastAsia="Times New Roman" w:cs="Times New Roman"/>
          <w:szCs w:val="20"/>
          <w:lang w:eastAsia="en-AU"/>
        </w:rPr>
        <w:t>t</w:t>
      </w:r>
      <w:r w:rsidRPr="005F090E">
        <w:rPr>
          <w:rFonts w:eastAsia="Times New Roman" w:cs="Times New Roman"/>
          <w:szCs w:val="20"/>
          <w:lang w:eastAsia="en-AU"/>
        </w:rPr>
        <w:t xml:space="preserve">axes in the location of the Permanent Establishment, either because the jurisdiction allows the Permanent Establishment to carry-forward its loss or the Permanent Establishment is not subject to </w:t>
      </w:r>
      <w:r>
        <w:rPr>
          <w:rFonts w:eastAsia="Times New Roman" w:cs="Times New Roman"/>
          <w:szCs w:val="20"/>
          <w:lang w:eastAsia="en-AU"/>
        </w:rPr>
        <w:t>t</w:t>
      </w:r>
      <w:r w:rsidRPr="005F090E">
        <w:rPr>
          <w:rFonts w:eastAsia="Times New Roman" w:cs="Times New Roman"/>
          <w:szCs w:val="20"/>
          <w:lang w:eastAsia="en-AU"/>
        </w:rPr>
        <w:t>ax.</w:t>
      </w:r>
    </w:p>
    <w:p w14:paraId="0FBAA37E" w14:textId="6CE729D7" w:rsidR="00840DA0" w:rsidRPr="007C7F9F" w:rsidRDefault="00840DA0" w:rsidP="00840DA0">
      <w:pPr>
        <w:pStyle w:val="Normalparatextwithnumbers"/>
        <w:numPr>
          <w:ilvl w:val="1"/>
          <w:numId w:val="16"/>
        </w:numPr>
        <w:rPr>
          <w:rFonts w:eastAsia="Times New Roman" w:cs="Times New Roman"/>
          <w:szCs w:val="20"/>
          <w:lang w:eastAsia="en-AU"/>
        </w:rPr>
      </w:pPr>
      <w:r w:rsidRPr="007C7F9F">
        <w:rPr>
          <w:rFonts w:eastAsia="Times New Roman" w:cs="Times New Roman"/>
          <w:szCs w:val="20"/>
          <w:lang w:eastAsia="en-AU"/>
        </w:rPr>
        <w:t>The Adjusted Covered Taxes of the Permanent Establishment jurisdiction or Main Entity jurisdiction will not increase or decrease where</w:t>
      </w:r>
      <w:r w:rsidRPr="005F090E">
        <w:rPr>
          <w:rFonts w:eastAsia="Times New Roman" w:cs="Times New Roman"/>
          <w:szCs w:val="20"/>
          <w:lang w:eastAsia="en-AU"/>
        </w:rPr>
        <w:t xml:space="preserve"> a GloBE Loss of a Permanent Establishment is treated as an expense of a Main Entity under </w:t>
      </w:r>
      <w:r>
        <w:rPr>
          <w:rFonts w:eastAsia="Times New Roman" w:cs="Times New Roman"/>
          <w:szCs w:val="20"/>
          <w:lang w:eastAsia="en-AU"/>
        </w:rPr>
        <w:t>subsection 3-</w:t>
      </w:r>
      <w:r w:rsidRPr="007C7F9F">
        <w:rPr>
          <w:rFonts w:eastAsia="Times New Roman" w:cs="Times New Roman"/>
          <w:szCs w:val="20"/>
          <w:lang w:eastAsia="en-AU"/>
        </w:rPr>
        <w:t>25</w:t>
      </w:r>
      <w:r w:rsidR="00D87597">
        <w:rPr>
          <w:rFonts w:eastAsia="Times New Roman" w:cs="Times New Roman"/>
          <w:szCs w:val="20"/>
          <w:lang w:eastAsia="en-AU"/>
        </w:rPr>
        <w:t>0</w:t>
      </w:r>
      <w:r>
        <w:rPr>
          <w:rFonts w:eastAsia="Times New Roman" w:cs="Times New Roman"/>
          <w:szCs w:val="20"/>
          <w:lang w:eastAsia="en-AU"/>
        </w:rPr>
        <w:t xml:space="preserve">(2) of the Rules and: </w:t>
      </w:r>
      <w:r w:rsidRPr="007C7F9F">
        <w:rPr>
          <w:rFonts w:eastAsia="Times New Roman" w:cs="Times New Roman"/>
          <w:szCs w:val="20"/>
          <w:lang w:eastAsia="en-AU"/>
        </w:rPr>
        <w:t xml:space="preserve"> </w:t>
      </w:r>
    </w:p>
    <w:p w14:paraId="061EBF5E" w14:textId="77777777" w:rsidR="00840DA0" w:rsidRPr="005F090E" w:rsidRDefault="00840DA0" w:rsidP="00B7652D">
      <w:pPr>
        <w:pStyle w:val="Dotpoint1"/>
        <w:rPr>
          <w:lang w:eastAsia="en-AU"/>
        </w:rPr>
      </w:pPr>
      <w:r w:rsidRPr="005F090E">
        <w:rPr>
          <w:lang w:eastAsia="en-AU"/>
        </w:rPr>
        <w:t xml:space="preserve">any deferred tax asset </w:t>
      </w:r>
      <w:r>
        <w:rPr>
          <w:lang w:eastAsia="en-AU"/>
        </w:rPr>
        <w:t xml:space="preserve">is </w:t>
      </w:r>
      <w:r w:rsidRPr="005F090E">
        <w:rPr>
          <w:lang w:eastAsia="en-AU"/>
        </w:rPr>
        <w:t>established with respect to a tax loss of the Permanent Establishment jurisdiction</w:t>
      </w:r>
      <w:r>
        <w:rPr>
          <w:lang w:eastAsia="en-AU"/>
        </w:rPr>
        <w:t xml:space="preserve">; or </w:t>
      </w:r>
    </w:p>
    <w:p w14:paraId="64A01B2A" w14:textId="77777777" w:rsidR="00840DA0" w:rsidRPr="009B5E87" w:rsidRDefault="00840DA0" w:rsidP="00B7652D">
      <w:pPr>
        <w:pStyle w:val="Dotpoint1"/>
        <w:rPr>
          <w:lang w:eastAsia="en-AU"/>
        </w:rPr>
      </w:pPr>
      <w:r w:rsidRPr="005F090E">
        <w:rPr>
          <w:lang w:eastAsia="en-AU"/>
        </w:rPr>
        <w:t>the deferred tax asset established reverses in the Permanent Establishment jurisdiction</w:t>
      </w:r>
      <w:r>
        <w:rPr>
          <w:lang w:eastAsia="en-AU"/>
        </w:rPr>
        <w:t xml:space="preserve"> (see paragraphs 64 to 66 on pages 127-128 of the Consolidated Commentary)</w:t>
      </w:r>
      <w:r w:rsidRPr="009B5E87">
        <w:rPr>
          <w:rFonts w:eastAsia="Times New Roman" w:cs="Times New Roman"/>
          <w:szCs w:val="20"/>
          <w:lang w:eastAsia="en-AU"/>
        </w:rPr>
        <w:t xml:space="preserve">.  </w:t>
      </w:r>
    </w:p>
    <w:p w14:paraId="6D3F05ED" w14:textId="77777777" w:rsidR="00840DA0" w:rsidRPr="005F090E" w:rsidRDefault="00840DA0" w:rsidP="00AB22A5">
      <w:pPr>
        <w:pStyle w:val="Heading3"/>
        <w:rPr>
          <w:rFonts w:hint="eastAsia"/>
          <w:lang w:eastAsia="en-AU"/>
        </w:rPr>
      </w:pPr>
      <w:bookmarkStart w:id="145" w:name="_Toc181104515"/>
      <w:bookmarkStart w:id="146" w:name="_Toc183786651"/>
      <w:bookmarkStart w:id="147" w:name="_Toc185502998"/>
      <w:r w:rsidRPr="00DD45E0">
        <w:rPr>
          <w:lang w:eastAsia="en-AU"/>
        </w:rPr>
        <w:t>Mechanism to address temporary differences</w:t>
      </w:r>
      <w:bookmarkEnd w:id="145"/>
      <w:bookmarkEnd w:id="146"/>
      <w:bookmarkEnd w:id="147"/>
    </w:p>
    <w:p w14:paraId="25D355FA" w14:textId="77777777" w:rsidR="00840DA0" w:rsidRPr="005F090E" w:rsidRDefault="00840DA0" w:rsidP="00840DA0">
      <w:pPr>
        <w:pStyle w:val="Normalparatextwithnumbers"/>
        <w:numPr>
          <w:ilvl w:val="1"/>
          <w:numId w:val="16"/>
        </w:numPr>
        <w:rPr>
          <w:rFonts w:eastAsia="Times New Roman" w:cs="Times New Roman"/>
          <w:lang w:eastAsia="en-AU"/>
        </w:rPr>
      </w:pPr>
      <w:r w:rsidRPr="1834C591">
        <w:rPr>
          <w:rFonts w:eastAsia="Times New Roman" w:cs="Times New Roman"/>
          <w:lang w:eastAsia="en-AU"/>
        </w:rPr>
        <w:t xml:space="preserve">Part 44 of the Rules builds on the principles of deferred tax accounting and provides the mechanism to address temporary differences that arise when income or loss is recognised in a different year for financial accounting and tax. This is achieved by determining the Total Deferred Tax Adjustment Amount which is added to Adjusted Covered Taxes under Part 4-1 of the Rules. </w:t>
      </w:r>
      <w:r>
        <w:t xml:space="preserve">The Total Deferred Tax Adjustment Amount adjusts the Covered Taxes of a Constituent Entity to take certain deferred tax assets and liabilities into account to address the impact of temporary differences. </w:t>
      </w:r>
    </w:p>
    <w:p w14:paraId="37961B7B" w14:textId="77777777" w:rsidR="00840DA0" w:rsidRPr="000E2843" w:rsidRDefault="00840DA0" w:rsidP="00840DA0">
      <w:pPr>
        <w:pStyle w:val="Normalparatextwithnumbers"/>
        <w:numPr>
          <w:ilvl w:val="1"/>
          <w:numId w:val="16"/>
        </w:numPr>
        <w:rPr>
          <w:rFonts w:eastAsia="Times New Roman" w:cs="Times New Roman"/>
          <w:szCs w:val="20"/>
          <w:lang w:eastAsia="en-AU"/>
        </w:rPr>
      </w:pPr>
      <w:r w:rsidRPr="000E2843">
        <w:rPr>
          <w:rFonts w:eastAsia="Times New Roman" w:cs="Times New Roman"/>
          <w:szCs w:val="20"/>
          <w:lang w:eastAsia="en-AU"/>
        </w:rPr>
        <w:t xml:space="preserve">While Part </w:t>
      </w:r>
      <w:r>
        <w:rPr>
          <w:rFonts w:eastAsia="Times New Roman" w:cs="Times New Roman"/>
          <w:szCs w:val="20"/>
          <w:lang w:eastAsia="en-AU"/>
        </w:rPr>
        <w:t>4-4 of the Rules builds on</w:t>
      </w:r>
      <w:r w:rsidRPr="000E2843">
        <w:rPr>
          <w:rFonts w:eastAsia="Times New Roman" w:cs="Times New Roman"/>
          <w:szCs w:val="20"/>
          <w:lang w:eastAsia="en-AU"/>
        </w:rPr>
        <w:t xml:space="preserve"> existing deferred tax accounts maintained by </w:t>
      </w:r>
      <w:r>
        <w:rPr>
          <w:rFonts w:eastAsia="Times New Roman" w:cs="Times New Roman"/>
          <w:szCs w:val="20"/>
          <w:lang w:eastAsia="en-AU"/>
        </w:rPr>
        <w:t xml:space="preserve">individual Constituent Entities and </w:t>
      </w:r>
      <w:r w:rsidRPr="000E2843">
        <w:rPr>
          <w:rFonts w:eastAsia="Times New Roman" w:cs="Times New Roman"/>
          <w:szCs w:val="20"/>
          <w:lang w:eastAsia="en-AU"/>
        </w:rPr>
        <w:t xml:space="preserve">MNE Groups, certain adjustments are required </w:t>
      </w:r>
      <w:r>
        <w:rPr>
          <w:rFonts w:eastAsia="Times New Roman" w:cs="Times New Roman"/>
          <w:szCs w:val="20"/>
          <w:lang w:eastAsia="en-AU"/>
        </w:rPr>
        <w:t>to arrive at an accurate ETR computation, including</w:t>
      </w:r>
      <w:r w:rsidRPr="000E2843">
        <w:rPr>
          <w:rFonts w:eastAsia="Times New Roman" w:cs="Times New Roman"/>
          <w:szCs w:val="20"/>
          <w:lang w:eastAsia="en-AU"/>
        </w:rPr>
        <w:t xml:space="preserve">: </w:t>
      </w:r>
    </w:p>
    <w:p w14:paraId="14A9185A" w14:textId="77777777" w:rsidR="00840DA0" w:rsidRPr="000E2843" w:rsidRDefault="00840DA0" w:rsidP="00B7652D">
      <w:pPr>
        <w:pStyle w:val="Dotpoint1"/>
        <w:rPr>
          <w:lang w:eastAsia="en-AU"/>
        </w:rPr>
      </w:pPr>
      <w:r>
        <w:rPr>
          <w:lang w:eastAsia="en-AU"/>
        </w:rPr>
        <w:t>u</w:t>
      </w:r>
      <w:r w:rsidRPr="000E2843">
        <w:rPr>
          <w:lang w:eastAsia="en-AU"/>
        </w:rPr>
        <w:t>sing the lower of the Minimum Rate or the applicable tax rate to calculate deferred tax assets and liabilities to prevent deferred tax amounts from sheltering unrelated GloBE Income</w:t>
      </w:r>
      <w:r>
        <w:rPr>
          <w:lang w:eastAsia="en-AU"/>
        </w:rPr>
        <w:t>; or</w:t>
      </w:r>
      <w:r w:rsidRPr="000E2843">
        <w:rPr>
          <w:lang w:eastAsia="en-AU"/>
        </w:rPr>
        <w:t xml:space="preserve"> </w:t>
      </w:r>
    </w:p>
    <w:p w14:paraId="3617DFEE" w14:textId="77777777" w:rsidR="00840DA0" w:rsidRDefault="00840DA0" w:rsidP="00B7652D">
      <w:pPr>
        <w:pStyle w:val="Dotpoint1"/>
        <w:rPr>
          <w:lang w:eastAsia="en-AU"/>
        </w:rPr>
      </w:pPr>
      <w:r>
        <w:rPr>
          <w:lang w:eastAsia="en-AU"/>
        </w:rPr>
        <w:t>t</w:t>
      </w:r>
      <w:r w:rsidRPr="000E2843">
        <w:rPr>
          <w:lang w:eastAsia="en-AU"/>
        </w:rPr>
        <w:t xml:space="preserve">he recapture of certain amounts claimed as deferred tax liabilities that are not paid within five years. </w:t>
      </w:r>
    </w:p>
    <w:p w14:paraId="4CF67FE2" w14:textId="77777777" w:rsidR="00840DA0" w:rsidRPr="000E2843" w:rsidRDefault="00840DA0" w:rsidP="00840DA0">
      <w:pPr>
        <w:pStyle w:val="Normalparatextwithnumbers"/>
        <w:numPr>
          <w:ilvl w:val="1"/>
          <w:numId w:val="16"/>
        </w:numPr>
        <w:rPr>
          <w:lang w:eastAsia="en-AU"/>
        </w:rPr>
      </w:pPr>
      <w:r w:rsidRPr="000E2843">
        <w:rPr>
          <w:lang w:eastAsia="en-AU"/>
        </w:rPr>
        <w:t xml:space="preserve">However, exceptions are provided for the most common and material book to tax differences when they relate to substance in a jurisdiction or are not prone to taxpayer manipulation since these amounts do not require monitoring for recapture. </w:t>
      </w:r>
    </w:p>
    <w:p w14:paraId="2794D373" w14:textId="77777777" w:rsidR="00840DA0" w:rsidRDefault="00840DA0" w:rsidP="00840DA0">
      <w:pPr>
        <w:pStyle w:val="Heading3"/>
        <w:rPr>
          <w:rFonts w:hint="eastAsia"/>
        </w:rPr>
      </w:pPr>
      <w:bookmarkStart w:id="148" w:name="_Toc183786652"/>
      <w:bookmarkStart w:id="149" w:name="_Toc185502999"/>
      <w:r>
        <w:lastRenderedPageBreak/>
        <w:t>Total Deferred Tax Adjustment Amount</w:t>
      </w:r>
      <w:bookmarkEnd w:id="148"/>
      <w:bookmarkEnd w:id="149"/>
      <w:r>
        <w:t xml:space="preserve"> </w:t>
      </w:r>
    </w:p>
    <w:p w14:paraId="1380AE29" w14:textId="4DC3E1CB" w:rsidR="00840DA0" w:rsidRDefault="00840DA0" w:rsidP="00840DA0">
      <w:pPr>
        <w:pStyle w:val="Normalparatextwithnumbers"/>
        <w:numPr>
          <w:ilvl w:val="1"/>
          <w:numId w:val="16"/>
        </w:numPr>
      </w:pPr>
      <w:r w:rsidRPr="00321C7C">
        <w:rPr>
          <w:rFonts w:eastAsia="Times New Roman" w:cs="Times New Roman"/>
          <w:szCs w:val="20"/>
          <w:lang w:eastAsia="en-AU"/>
        </w:rPr>
        <w:t xml:space="preserve">The starting point for the Total Deferred Tax Adjustment Amount </w:t>
      </w:r>
      <w:r>
        <w:rPr>
          <w:rFonts w:eastAsia="Times New Roman" w:cs="Times New Roman"/>
          <w:szCs w:val="20"/>
          <w:lang w:eastAsia="en-AU"/>
        </w:rPr>
        <w:t xml:space="preserve">is the deferred tax expense, but the amount depends on whether the Constituent </w:t>
      </w:r>
      <w:r w:rsidR="0053330F">
        <w:rPr>
          <w:rFonts w:eastAsia="Times New Roman" w:cs="Times New Roman"/>
          <w:szCs w:val="20"/>
          <w:lang w:eastAsia="en-AU"/>
        </w:rPr>
        <w:t>E</w:t>
      </w:r>
      <w:r>
        <w:rPr>
          <w:rFonts w:eastAsia="Times New Roman" w:cs="Times New Roman"/>
          <w:szCs w:val="20"/>
          <w:lang w:eastAsia="en-AU"/>
        </w:rPr>
        <w:t xml:space="preserve">ntity is subject to an applicable tax rate above or </w:t>
      </w:r>
      <w:r>
        <w:t>below the Minimum Rate of 15 per cent:</w:t>
      </w:r>
    </w:p>
    <w:p w14:paraId="4AA60408" w14:textId="77777777" w:rsidR="00840DA0" w:rsidRDefault="00840DA0" w:rsidP="00B7652D">
      <w:pPr>
        <w:pStyle w:val="Dotpoint1"/>
      </w:pPr>
      <w:r>
        <w:t xml:space="preserve">below 15 per cent – then the relevant deferred tax expense is equal to the amount of deferred tax expense accrued in the financial accounts for the Fiscal Year; or </w:t>
      </w:r>
    </w:p>
    <w:p w14:paraId="5DF57607" w14:textId="02411172" w:rsidR="00840DA0" w:rsidRDefault="00840DA0" w:rsidP="00B7652D">
      <w:pPr>
        <w:pStyle w:val="Dotpoint1"/>
      </w:pPr>
      <w:r>
        <w:t>greater than or equal to 15 per cent – the deferred tax expense is recast at 15 per cent.</w:t>
      </w:r>
      <w:r>
        <w:br/>
      </w:r>
      <w:r w:rsidRPr="00A659AB">
        <w:rPr>
          <w:rStyle w:val="References"/>
        </w:rPr>
        <w:t xml:space="preserve">[Chapter 4, </w:t>
      </w:r>
      <w:r w:rsidR="00140D67">
        <w:rPr>
          <w:rStyle w:val="References"/>
        </w:rPr>
        <w:t xml:space="preserve">subsection </w:t>
      </w:r>
      <w:r w:rsidRPr="00A659AB">
        <w:rPr>
          <w:rStyle w:val="References"/>
        </w:rPr>
        <w:t>4-</w:t>
      </w:r>
      <w:r w:rsidR="006358F3">
        <w:rPr>
          <w:rStyle w:val="References"/>
        </w:rPr>
        <w:t>85</w:t>
      </w:r>
      <w:r w:rsidRPr="00A659AB">
        <w:rPr>
          <w:rStyle w:val="References"/>
        </w:rPr>
        <w:t>(1) of the Rules]</w:t>
      </w:r>
    </w:p>
    <w:p w14:paraId="2CBDE38E" w14:textId="00735F8B" w:rsidR="00840DA0" w:rsidRDefault="00840DA0" w:rsidP="00840DA0">
      <w:pPr>
        <w:pStyle w:val="Normalparatextwithnumbers"/>
        <w:numPr>
          <w:ilvl w:val="1"/>
          <w:numId w:val="16"/>
        </w:numPr>
      </w:pPr>
      <w:r>
        <w:t xml:space="preserve">The recasting of the </w:t>
      </w:r>
      <w:r w:rsidRPr="00A659AB">
        <w:rPr>
          <w:b/>
          <w:bCs/>
          <w:i/>
          <w:iCs/>
        </w:rPr>
        <w:t>relevant deferred tax expense</w:t>
      </w:r>
      <w:r>
        <w:t xml:space="preserve"> can be done either for each item or in aggregate for items recorded at the same rate, ensuring consistent results. Generally, deferred tax expenses may be recorded in the individual accounts of a Constituent Entity or in the </w:t>
      </w:r>
      <w:r w:rsidR="002330EF">
        <w:t>MNE Group</w:t>
      </w:r>
      <w:r>
        <w:t>’s consolidated accounts. Regardless of where it is recorded, and provided that it is only recorded once, that amount is included in the computation of Adjusted Covered Taxes.</w:t>
      </w:r>
    </w:p>
    <w:p w14:paraId="0BCF7F7A" w14:textId="77777777" w:rsidR="00840DA0" w:rsidRDefault="00840DA0" w:rsidP="00840DA0">
      <w:pPr>
        <w:pStyle w:val="Heading5"/>
        <w:numPr>
          <w:ilvl w:val="4"/>
          <w:numId w:val="2"/>
        </w:numPr>
      </w:pPr>
      <w:r>
        <w:t>Exclusions from the Total Deferred Tax Adjustment Amount</w:t>
      </w:r>
    </w:p>
    <w:p w14:paraId="325A2A56" w14:textId="77777777" w:rsidR="00840DA0" w:rsidRDefault="00840DA0" w:rsidP="00840DA0">
      <w:pPr>
        <w:pStyle w:val="Heading6"/>
        <w:rPr>
          <w:rFonts w:hint="eastAsia"/>
        </w:rPr>
      </w:pPr>
      <w:r>
        <w:t xml:space="preserve">Items excluded from GloBE income or Loss </w:t>
      </w:r>
    </w:p>
    <w:p w14:paraId="4816F5DD" w14:textId="64E60A00" w:rsidR="00840DA0" w:rsidRPr="001E217A" w:rsidRDefault="00840DA0" w:rsidP="00840DA0">
      <w:pPr>
        <w:pStyle w:val="Normalparatextwithnumbers"/>
        <w:numPr>
          <w:ilvl w:val="1"/>
          <w:numId w:val="16"/>
        </w:numPr>
      </w:pPr>
      <w:r w:rsidRPr="001E217A">
        <w:t xml:space="preserve">Any amount of relevant deferred tax expense related to items that are excluded from the computation of GloBE Income or Loss is excluded from the Total Deferred Tax Adjustment Amount. </w:t>
      </w:r>
      <w:r>
        <w:br/>
      </w:r>
      <w:r w:rsidRPr="001E217A">
        <w:rPr>
          <w:rStyle w:val="References"/>
        </w:rPr>
        <w:t xml:space="preserve">[Chapter 4, </w:t>
      </w:r>
      <w:r w:rsidR="009A45FD">
        <w:rPr>
          <w:rStyle w:val="References"/>
        </w:rPr>
        <w:t>paragraph</w:t>
      </w:r>
      <w:r w:rsidRPr="001E217A">
        <w:rPr>
          <w:rStyle w:val="References"/>
        </w:rPr>
        <w:t xml:space="preserve"> 4-</w:t>
      </w:r>
      <w:r w:rsidR="00D87597">
        <w:rPr>
          <w:rStyle w:val="References"/>
        </w:rPr>
        <w:t>8</w:t>
      </w:r>
      <w:r>
        <w:rPr>
          <w:rStyle w:val="References"/>
        </w:rPr>
        <w:t>5</w:t>
      </w:r>
      <w:r w:rsidRPr="001E217A">
        <w:rPr>
          <w:rStyle w:val="References"/>
        </w:rPr>
        <w:t>(2)(a) of the Rules]</w:t>
      </w:r>
    </w:p>
    <w:p w14:paraId="33E30A35" w14:textId="77777777" w:rsidR="00840DA0" w:rsidRPr="001E217A" w:rsidRDefault="00840DA0" w:rsidP="00840DA0">
      <w:pPr>
        <w:pStyle w:val="Normalparatextwithnumbers"/>
        <w:numPr>
          <w:ilvl w:val="1"/>
          <w:numId w:val="16"/>
        </w:numPr>
      </w:pPr>
      <w:r w:rsidRPr="001E217A">
        <w:t xml:space="preserve">Excluding amounts related to items not included in the GloBE Income or Loss calculation prevents the artificial inflation of Adjusted Covered Taxes and overstatement of jurisdictional ETR. </w:t>
      </w:r>
    </w:p>
    <w:p w14:paraId="280B74D0" w14:textId="0031954C" w:rsidR="00840DA0" w:rsidRPr="00D1322C" w:rsidRDefault="00840DA0" w:rsidP="00840DA0">
      <w:pPr>
        <w:pStyle w:val="Normalparatextwithnumbers"/>
        <w:numPr>
          <w:ilvl w:val="1"/>
          <w:numId w:val="16"/>
        </w:numPr>
      </w:pPr>
      <w:r>
        <w:t>For example, if a</w:t>
      </w:r>
      <w:r w:rsidRPr="00D1322C">
        <w:t xml:space="preserve"> </w:t>
      </w:r>
      <w:r>
        <w:t>Constituent Entity</w:t>
      </w:r>
      <w:r w:rsidRPr="00D1322C">
        <w:t xml:space="preserve"> </w:t>
      </w:r>
      <w:r>
        <w:t>records</w:t>
      </w:r>
      <w:r w:rsidRPr="00D1322C">
        <w:t xml:space="preserve"> a deferred tax asset related to income excluded from the GloBE Income or Loss computation</w:t>
      </w:r>
      <w:r>
        <w:t>, the</w:t>
      </w:r>
      <w:r w:rsidRPr="00D1322C">
        <w:t xml:space="preserve"> deferred tax asset </w:t>
      </w:r>
      <w:r>
        <w:t xml:space="preserve">is not taken into account as a reduction to Adjusted Covered Taxes. Further, the subsequent reversal of the deferred tax asset will not be used to increase </w:t>
      </w:r>
      <w:r w:rsidRPr="00D1322C">
        <w:t xml:space="preserve">the Adjusted Covered Taxes. </w:t>
      </w:r>
      <w:r>
        <w:t>The current tax expense in the year of payment of the tax is also excluded from Adjusted Covered Taxes in accordance with paragraph 4-20(1)(a)</w:t>
      </w:r>
      <w:r w:rsidR="00CF37FE">
        <w:t xml:space="preserve"> of the Rules</w:t>
      </w:r>
      <w:r>
        <w:t>.</w:t>
      </w:r>
    </w:p>
    <w:p w14:paraId="5A8D1612" w14:textId="77777777" w:rsidR="00840DA0" w:rsidRDefault="00840DA0" w:rsidP="00840DA0">
      <w:pPr>
        <w:pStyle w:val="Heading6"/>
        <w:rPr>
          <w:rFonts w:hint="eastAsia"/>
        </w:rPr>
      </w:pPr>
      <w:r>
        <w:t>Amounts relating to Disallowed and Unclaimed Accruals</w:t>
      </w:r>
    </w:p>
    <w:p w14:paraId="71948774" w14:textId="5604EF2F" w:rsidR="00840DA0" w:rsidRPr="006A61D9" w:rsidRDefault="00840DA0" w:rsidP="00840DA0">
      <w:pPr>
        <w:pStyle w:val="Normalparatextwithnumbers"/>
        <w:numPr>
          <w:ilvl w:val="1"/>
          <w:numId w:val="16"/>
        </w:numPr>
      </w:pPr>
      <w:r>
        <w:t xml:space="preserve">Movements in deferred tax expenses accrued in the financial accounts relating to uncertain tax positions or distributions from any Constituent Entity of the Group are referred to as a </w:t>
      </w:r>
      <w:r w:rsidRPr="00637EDA">
        <w:rPr>
          <w:b/>
          <w:i/>
        </w:rPr>
        <w:t>Disallowed Accrual</w:t>
      </w:r>
      <w:r>
        <w:t xml:space="preserve">. An </w:t>
      </w:r>
      <w:r w:rsidRPr="00637EDA">
        <w:rPr>
          <w:b/>
          <w:i/>
        </w:rPr>
        <w:t>Unclaimed Accrual</w:t>
      </w:r>
      <w:r>
        <w:t xml:space="preserve"> is an increase in the deferred tax liability recorded in the financial accounts of a </w:t>
      </w:r>
      <w:r>
        <w:lastRenderedPageBreak/>
        <w:t xml:space="preserve">Constituent Entity if the liability is not expected to be paid within five subsequent Fiscal Years and an election not to include the amount in Total Deferred Tax </w:t>
      </w:r>
      <w:r w:rsidRPr="00A11DE3">
        <w:t>Adjustment Amount is made by the Filing Constituent Entity applies to the Constituent Entity.</w:t>
      </w:r>
      <w:r>
        <w:br/>
      </w:r>
      <w:r w:rsidRPr="00B80396">
        <w:rPr>
          <w:rStyle w:val="References"/>
        </w:rPr>
        <w:t>[</w:t>
      </w:r>
      <w:r>
        <w:rPr>
          <w:rStyle w:val="References"/>
        </w:rPr>
        <w:t>Chapter 4, section 4-</w:t>
      </w:r>
      <w:r w:rsidR="00D87597">
        <w:rPr>
          <w:rStyle w:val="References"/>
        </w:rPr>
        <w:t>11</w:t>
      </w:r>
      <w:r>
        <w:rPr>
          <w:rStyle w:val="References"/>
        </w:rPr>
        <w:t>5 of the Rules</w:t>
      </w:r>
      <w:r w:rsidRPr="00B80396" w:rsidDel="008477F6">
        <w:rPr>
          <w:rStyle w:val="References"/>
        </w:rPr>
        <w:t>]</w:t>
      </w:r>
      <w:r w:rsidRPr="006A61D9">
        <w:t xml:space="preserve"> </w:t>
      </w:r>
    </w:p>
    <w:p w14:paraId="6A1D61F4" w14:textId="77777777" w:rsidR="00840DA0" w:rsidRDefault="00840DA0" w:rsidP="00840DA0">
      <w:pPr>
        <w:pStyle w:val="Normalparatextwithnumbers"/>
        <w:numPr>
          <w:ilvl w:val="1"/>
          <w:numId w:val="16"/>
        </w:numPr>
      </w:pPr>
      <w:r>
        <w:t>Until such amounts are paid, they are speculative in nature. For Disallowed Accruals, there is speculation about whether these amounts will ever be paid. For Unclaimed Accruals, the uncertainty lies in the timing of the payment.</w:t>
      </w:r>
    </w:p>
    <w:p w14:paraId="0443AE61" w14:textId="060045F0" w:rsidR="00840DA0" w:rsidRDefault="00840DA0" w:rsidP="00840DA0">
      <w:pPr>
        <w:pStyle w:val="Normalparatextwithnumbers"/>
        <w:numPr>
          <w:ilvl w:val="1"/>
          <w:numId w:val="16"/>
        </w:numPr>
      </w:pPr>
      <w:r>
        <w:t>The uncertainty surrounding these accruals means that any amounts of relevant deferred tax expense that relate to Disallowed Accruals and Unclaimed Accruals, are excluded from the Total Deferred Tax Adjustment Amount.</w:t>
      </w:r>
      <w:r>
        <w:br/>
      </w:r>
      <w:r w:rsidRPr="00296A5F">
        <w:rPr>
          <w:rStyle w:val="References"/>
        </w:rPr>
        <w:t xml:space="preserve">[Chapter 4, </w:t>
      </w:r>
      <w:r>
        <w:rPr>
          <w:rStyle w:val="References"/>
        </w:rPr>
        <w:t>subsection</w:t>
      </w:r>
      <w:r w:rsidRPr="00296A5F">
        <w:rPr>
          <w:rStyle w:val="References"/>
        </w:rPr>
        <w:t xml:space="preserve"> 4-</w:t>
      </w:r>
      <w:r w:rsidR="005A4FF3">
        <w:rPr>
          <w:rStyle w:val="References"/>
        </w:rPr>
        <w:t>8</w:t>
      </w:r>
      <w:r>
        <w:rPr>
          <w:rStyle w:val="References"/>
        </w:rPr>
        <w:t>5</w:t>
      </w:r>
      <w:r w:rsidRPr="00296A5F">
        <w:rPr>
          <w:rStyle w:val="References"/>
        </w:rPr>
        <w:t>(2)(b) of the Rules]</w:t>
      </w:r>
    </w:p>
    <w:p w14:paraId="33855F75" w14:textId="77777777" w:rsidR="00840DA0" w:rsidRPr="00167665" w:rsidRDefault="00840DA0" w:rsidP="00840DA0">
      <w:pPr>
        <w:pStyle w:val="Heading6"/>
        <w:rPr>
          <w:rFonts w:hint="eastAsia"/>
        </w:rPr>
      </w:pPr>
      <w:r w:rsidRPr="00167665">
        <w:t>Valuation allowance or accounting recognition adjustment</w:t>
      </w:r>
    </w:p>
    <w:p w14:paraId="6A9FED10" w14:textId="7F693653" w:rsidR="00840DA0" w:rsidRPr="00555447" w:rsidRDefault="00840DA0">
      <w:pPr>
        <w:pStyle w:val="Normalparatextwithnumbers"/>
        <w:numPr>
          <w:ilvl w:val="1"/>
          <w:numId w:val="16"/>
        </w:numPr>
        <w:rPr>
          <w:rStyle w:val="References"/>
          <w:b w:val="0"/>
          <w:bCs w:val="0"/>
          <w:i w:val="0"/>
          <w:iCs w:val="0"/>
        </w:rPr>
      </w:pPr>
      <w:r>
        <w:t xml:space="preserve">When it is not </w:t>
      </w:r>
      <w:r w:rsidR="00420E45">
        <w:t>likely</w:t>
      </w:r>
      <w:r>
        <w:t xml:space="preserve"> that taxable profit will arise in the future against which all or part of a domestic tax loss can be applied, a valuation allowance or accounting recognition adjustment is generally required for financial accounting purposes. When accounting rules require a valuation allowance, the deferred tax asset associated with the domestic tax loss is recorded in the financial statements as a deferred tax asset, however, an offsetting liability is recorded as a valuation allowance to the extent of the deferred tax asset that is not forecast to be usable.</w:t>
      </w:r>
    </w:p>
    <w:p w14:paraId="50DE6177" w14:textId="77777777" w:rsidR="00840DA0" w:rsidRDefault="00840DA0" w:rsidP="00840DA0">
      <w:pPr>
        <w:pStyle w:val="Normalparatextwithnumbers"/>
        <w:numPr>
          <w:ilvl w:val="1"/>
          <w:numId w:val="16"/>
        </w:numPr>
      </w:pPr>
      <w:r>
        <w:t xml:space="preserve">If financial forecasts change in a future period and it becomes probable that taxable profit will arise in current period or a future period, the accounting recognition adjustment or valuation allowance is reversed in the period in which the forecast changes. </w:t>
      </w:r>
    </w:p>
    <w:p w14:paraId="7E4E046B" w14:textId="3367E3F0" w:rsidR="00840DA0" w:rsidRDefault="00840DA0" w:rsidP="00840DA0">
      <w:pPr>
        <w:pStyle w:val="Normalparatextwithnumbers"/>
        <w:numPr>
          <w:ilvl w:val="1"/>
          <w:numId w:val="16"/>
        </w:numPr>
      </w:pPr>
      <w:r>
        <w:t>Since the generation of deferred tax assets reduces Adjusted Covered Taxes, it is necessary to ensure that a deferred tax asset relating to a domestic tax loss is recorded in the same year as such loss for GloBE purposes.</w:t>
      </w:r>
      <w:r w:rsidR="00E1458C">
        <w:t xml:space="preserve"> </w:t>
      </w:r>
      <w:r>
        <w:t>Accordingly</w:t>
      </w:r>
      <w:r w:rsidR="00E1458C">
        <w:t>,</w:t>
      </w:r>
      <w:r>
        <w:t xml:space="preserve"> the deferred tax asset is recorded for GloBE purposes in the same year as the economic loss which gave rise to such asset</w:t>
      </w:r>
      <w:r w:rsidR="00BD0CCF">
        <w:t xml:space="preserve">, consistent with paragraph 77 </w:t>
      </w:r>
      <w:r w:rsidR="0083030D">
        <w:t>on page 130 of the Consolidated Commentary</w:t>
      </w:r>
      <w:r>
        <w:t xml:space="preserve">. </w:t>
      </w:r>
    </w:p>
    <w:p w14:paraId="120C762F" w14:textId="6F4E87A3" w:rsidR="00840DA0" w:rsidRPr="00D853FC" w:rsidRDefault="00840DA0" w:rsidP="00840DA0">
      <w:pPr>
        <w:pStyle w:val="Normalparatextwithnumbers"/>
        <w:numPr>
          <w:ilvl w:val="1"/>
          <w:numId w:val="16"/>
        </w:numPr>
        <w:rPr>
          <w:rStyle w:val="References"/>
          <w:b w:val="0"/>
          <w:bCs w:val="0"/>
          <w:i w:val="0"/>
          <w:iCs w:val="0"/>
        </w:rPr>
      </w:pPr>
      <w:r>
        <w:t xml:space="preserve">Because valuation allowances and accounting recognition adjustments are disregarded under the GloBE Rules, a deferred tax asset will be recorded in respect of a domestic tax loss (regardless of whether there is a forecast of probable future use of such attribute). </w:t>
      </w:r>
    </w:p>
    <w:p w14:paraId="031E9F8D" w14:textId="77777777" w:rsidR="00840DA0" w:rsidRDefault="00840DA0" w:rsidP="00840DA0">
      <w:pPr>
        <w:pStyle w:val="Normalparatextwithnumbers"/>
        <w:numPr>
          <w:ilvl w:val="1"/>
          <w:numId w:val="16"/>
        </w:numPr>
      </w:pPr>
      <w:r>
        <w:t xml:space="preserve">As a result, a taxpayer may have recorded a GloBE deferred tax asset in respect of a carry-forward domestic tax loss that expires. A carry-forward loss cannot be used under domestic law when it is not available to offset domestic taxable income. The financial accounting rules treat deferred tax assets arising from domestic carry-forward losses as reversed when they are used to offset domestic taxable income. </w:t>
      </w:r>
    </w:p>
    <w:p w14:paraId="48DB99B9" w14:textId="77777777" w:rsidR="00840DA0" w:rsidRDefault="00840DA0" w:rsidP="00840DA0">
      <w:pPr>
        <w:pStyle w:val="Normalparatextwithnumbers"/>
        <w:numPr>
          <w:ilvl w:val="1"/>
          <w:numId w:val="16"/>
        </w:numPr>
      </w:pPr>
      <w:r>
        <w:lastRenderedPageBreak/>
        <w:t xml:space="preserve">Therefore, such losses will not be available for use for GloBE purposes to the extent they cannot be used under domestic law. It follows that when a loss is not available for domestic law purposes, it cannot reverse under financial accounting rules, and therefore it will not be available for GloBE purposes to increase Adjusted Covered Taxes. </w:t>
      </w:r>
    </w:p>
    <w:p w14:paraId="2BA51C36" w14:textId="376520CB" w:rsidR="00840DA0" w:rsidRPr="00296A5F" w:rsidRDefault="00840DA0" w:rsidP="00840DA0">
      <w:pPr>
        <w:pStyle w:val="Normalparatextwithnumbers"/>
        <w:numPr>
          <w:ilvl w:val="1"/>
          <w:numId w:val="16"/>
        </w:numPr>
        <w:rPr>
          <w:rStyle w:val="References"/>
          <w:b w:val="0"/>
          <w:bCs w:val="0"/>
          <w:i w:val="0"/>
          <w:iCs w:val="0"/>
        </w:rPr>
      </w:pPr>
      <w:r>
        <w:t>To prevent this, the Total Deferred Tax Adjustment Amount excludes valuation adjustments or accounting recognition adjustments with respect to deferred tax assets.</w:t>
      </w:r>
      <w:r>
        <w:br/>
      </w:r>
      <w:r w:rsidRPr="00296A5F">
        <w:rPr>
          <w:rStyle w:val="References"/>
        </w:rPr>
        <w:t xml:space="preserve">[Chapter 4, </w:t>
      </w:r>
      <w:r w:rsidR="009A45FD">
        <w:rPr>
          <w:rStyle w:val="References"/>
        </w:rPr>
        <w:t>paragraph</w:t>
      </w:r>
      <w:r w:rsidRPr="00296A5F">
        <w:rPr>
          <w:rStyle w:val="References"/>
        </w:rPr>
        <w:t xml:space="preserve"> 4-</w:t>
      </w:r>
      <w:r w:rsidR="005A4FF3">
        <w:rPr>
          <w:rStyle w:val="References"/>
        </w:rPr>
        <w:t>8</w:t>
      </w:r>
      <w:r>
        <w:rPr>
          <w:rStyle w:val="References"/>
        </w:rPr>
        <w:t>5</w:t>
      </w:r>
      <w:r w:rsidRPr="00296A5F">
        <w:rPr>
          <w:rStyle w:val="References"/>
        </w:rPr>
        <w:t>(2)(c) of the Rules]</w:t>
      </w:r>
    </w:p>
    <w:p w14:paraId="4EB951E2" w14:textId="77777777" w:rsidR="00A55434" w:rsidRDefault="00A55434" w:rsidP="00A55434">
      <w:pPr>
        <w:pStyle w:val="ExampleHeading"/>
        <w:numPr>
          <w:ilvl w:val="3"/>
          <w:numId w:val="16"/>
        </w:numPr>
        <w:tabs>
          <w:tab w:val="num" w:pos="360"/>
        </w:tabs>
        <w:ind w:left="0" w:firstLine="0"/>
      </w:pPr>
      <w:r>
        <w:t>Disregarding impact of valuation adjustments or accounting recognition adjustments</w:t>
      </w:r>
    </w:p>
    <w:p w14:paraId="36872D8F" w14:textId="77777777" w:rsidR="00A55434" w:rsidRDefault="00A55434" w:rsidP="006A3243">
      <w:pPr>
        <w:pStyle w:val="Exampletext"/>
      </w:pPr>
      <w:r>
        <w:t xml:space="preserve">In Year 1 a Constituent Entity incurs a GloBE Loss of (100) and a deferred tax asset of (15) (100 x 15%) is generated, however, financial forecasts indicate that the tax loss will not be used in the future. The benefit of this tax loss is not recorded due to valuation adjustments or accounting recognition adjustments.  </w:t>
      </w:r>
    </w:p>
    <w:p w14:paraId="7AEB9459" w14:textId="77777777" w:rsidR="00A55434" w:rsidRDefault="00A55434" w:rsidP="006A3243">
      <w:pPr>
        <w:pStyle w:val="Exampletext"/>
      </w:pPr>
      <w:r>
        <w:t xml:space="preserve">In Year 2, the Constituent Entity continues to have a GloBE Loss, but forecast changes and the valuation adjustment or accounting recognition adjustment is reversed. This is also disregarded for GloBE purposes. </w:t>
      </w:r>
    </w:p>
    <w:p w14:paraId="3AA70C86" w14:textId="77777777" w:rsidR="00A55434" w:rsidRDefault="00A55434" w:rsidP="006A3243">
      <w:pPr>
        <w:pStyle w:val="Exampletext"/>
      </w:pPr>
      <w:r>
        <w:t xml:space="preserve">In Year 3, the Constituent Entity records a GloBE Income of 100 and the deferred tax asset generated in Year 1 is used and reversed. </w:t>
      </w:r>
    </w:p>
    <w:p w14:paraId="359843A0" w14:textId="74EFEDCF" w:rsidR="00A55434" w:rsidRPr="003A754B" w:rsidRDefault="00A55434" w:rsidP="006A3243">
      <w:pPr>
        <w:pStyle w:val="Exampletext"/>
      </w:pPr>
      <w:r>
        <w:t>The application of paragraph 4-</w:t>
      </w:r>
      <w:r w:rsidR="005A4FF3">
        <w:t>8</w:t>
      </w:r>
      <w:r>
        <w:t>5(2)(c) prevents top</w:t>
      </w:r>
      <w:r>
        <w:noBreakHyphen/>
        <w:t>up tax arising due to the application of section 4</w:t>
      </w:r>
      <w:r>
        <w:noBreakHyphen/>
        <w:t>30 from a deferred tax adjustment from generating in Year 2 and reducing Adjusted Covered Taxes when there is no Net GloBE Income.</w:t>
      </w:r>
    </w:p>
    <w:p w14:paraId="78381177" w14:textId="77777777" w:rsidR="00840DA0" w:rsidRPr="0071644A" w:rsidRDefault="00840DA0" w:rsidP="00840DA0">
      <w:pPr>
        <w:pStyle w:val="Heading6"/>
        <w:rPr>
          <w:rFonts w:hint="eastAsia"/>
        </w:rPr>
      </w:pPr>
      <w:r w:rsidRPr="00150355">
        <w:rPr>
          <w:rFonts w:hint="eastAsia"/>
        </w:rPr>
        <w:t>Exclude</w:t>
      </w:r>
      <w:r w:rsidRPr="0071644A">
        <w:t xml:space="preserve"> amounts that result from a re-measurement of tax rates </w:t>
      </w:r>
    </w:p>
    <w:p w14:paraId="1A02F7DF" w14:textId="7233109C" w:rsidR="00840DA0" w:rsidRPr="0071644A" w:rsidRDefault="00840DA0" w:rsidP="00840DA0">
      <w:pPr>
        <w:pStyle w:val="Normalparatextwithnumbers"/>
        <w:numPr>
          <w:ilvl w:val="1"/>
          <w:numId w:val="16"/>
        </w:numPr>
      </w:pPr>
      <w:r w:rsidRPr="0071644A">
        <w:t xml:space="preserve">If additional relevant deferred tax expense amounts </w:t>
      </w:r>
      <w:r>
        <w:t>are accrued</w:t>
      </w:r>
      <w:r w:rsidRPr="0071644A">
        <w:t xml:space="preserve"> </w:t>
      </w:r>
      <w:r w:rsidR="00154A73">
        <w:t xml:space="preserve">in </w:t>
      </w:r>
      <w:r w:rsidRPr="0071644A">
        <w:t>the financial statements because of a change in the applicable domestic tax rate, such amounts should not be added to Covered Taxes. This is because these amounts do not relate to GloBE Income in the current Fiscal Year.</w:t>
      </w:r>
    </w:p>
    <w:p w14:paraId="7EEBE061" w14:textId="502D9780" w:rsidR="00840DA0" w:rsidRPr="0071644A" w:rsidRDefault="00840DA0" w:rsidP="00840DA0">
      <w:pPr>
        <w:pStyle w:val="Normalparatextwithnumbers"/>
        <w:numPr>
          <w:ilvl w:val="1"/>
          <w:numId w:val="16"/>
        </w:numPr>
      </w:pPr>
      <w:r w:rsidRPr="0071644A">
        <w:t>Amounts accrued due to such re-measurements are simply changes to amounts already accrued and therefore, such amounts are excluded from the Total Deferred Tax Adjustment Amount.</w:t>
      </w:r>
      <w:r>
        <w:br/>
      </w:r>
      <w:r w:rsidRPr="0071644A">
        <w:rPr>
          <w:rStyle w:val="References"/>
        </w:rPr>
        <w:t xml:space="preserve">[Chapter 4, </w:t>
      </w:r>
      <w:r w:rsidR="009A45FD">
        <w:rPr>
          <w:rStyle w:val="References"/>
        </w:rPr>
        <w:t>paragraph</w:t>
      </w:r>
      <w:r w:rsidRPr="0071644A">
        <w:rPr>
          <w:rStyle w:val="References"/>
        </w:rPr>
        <w:t xml:space="preserve"> 4-</w:t>
      </w:r>
      <w:r w:rsidR="005A4FF3">
        <w:rPr>
          <w:rStyle w:val="References"/>
        </w:rPr>
        <w:t>8</w:t>
      </w:r>
      <w:r>
        <w:rPr>
          <w:rStyle w:val="References"/>
        </w:rPr>
        <w:t>5</w:t>
      </w:r>
      <w:r w:rsidRPr="0071644A">
        <w:rPr>
          <w:rStyle w:val="References"/>
        </w:rPr>
        <w:t>(2)(d) of the Rules]</w:t>
      </w:r>
    </w:p>
    <w:p w14:paraId="4CDC8798" w14:textId="77777777" w:rsidR="009260C7" w:rsidRPr="00167665" w:rsidRDefault="009260C7" w:rsidP="009260C7">
      <w:pPr>
        <w:pStyle w:val="Heading6"/>
        <w:rPr>
          <w:rFonts w:hint="eastAsia"/>
        </w:rPr>
      </w:pPr>
      <w:r w:rsidRPr="00167665">
        <w:t xml:space="preserve">Excluding tax credits from the Total Deferred Tax Adjustment Amount </w:t>
      </w:r>
    </w:p>
    <w:p w14:paraId="434AB952" w14:textId="78C9C4A4" w:rsidR="009260C7" w:rsidRDefault="009260C7" w:rsidP="009260C7">
      <w:pPr>
        <w:pStyle w:val="Normalparatextwithnumbers"/>
        <w:numPr>
          <w:ilvl w:val="1"/>
          <w:numId w:val="16"/>
        </w:numPr>
      </w:pPr>
      <w:r>
        <w:t xml:space="preserve">Tax credits are excluded from the Total Deferred Tax Adjustment Amount because the inclusion of such amounts could lead to distortions in GloBE results. This exclusion captures the deferred tax benefit with respect to the </w:t>
      </w:r>
      <w:r w:rsidR="00486BF4">
        <w:lastRenderedPageBreak/>
        <w:t xml:space="preserve">generation and use of tax credits, </w:t>
      </w:r>
      <w:r w:rsidR="00A00ED3">
        <w:t xml:space="preserve">in addition to </w:t>
      </w:r>
      <w:r w:rsidR="00486BF4">
        <w:t>related deferred tax expense arising from the generation and use of such tax credits</w:t>
      </w:r>
      <w:r w:rsidR="000C08F0">
        <w:t xml:space="preserve">. </w:t>
      </w:r>
      <w:r>
        <w:t>It does not address Qualified Refundable Tax Credits, as they are addressed separately under paragraph 4</w:t>
      </w:r>
      <w:r>
        <w:noBreakHyphen/>
        <w:t>15(e) of the Rules</w:t>
      </w:r>
      <w:r>
        <w:br/>
      </w:r>
      <w:r w:rsidRPr="0071644A">
        <w:rPr>
          <w:rStyle w:val="References"/>
        </w:rPr>
        <w:t xml:space="preserve">[Chapter 4, </w:t>
      </w:r>
      <w:r>
        <w:rPr>
          <w:rStyle w:val="References"/>
        </w:rPr>
        <w:t>paragraph</w:t>
      </w:r>
      <w:r w:rsidRPr="0071644A">
        <w:rPr>
          <w:rStyle w:val="References"/>
        </w:rPr>
        <w:t xml:space="preserve"> 4-</w:t>
      </w:r>
      <w:r w:rsidR="005A4FF3">
        <w:rPr>
          <w:rStyle w:val="References"/>
        </w:rPr>
        <w:t>8</w:t>
      </w:r>
      <w:r>
        <w:rPr>
          <w:rStyle w:val="References"/>
        </w:rPr>
        <w:t>5</w:t>
      </w:r>
      <w:r w:rsidRPr="0071644A">
        <w:rPr>
          <w:rStyle w:val="References"/>
        </w:rPr>
        <w:t>(2)(e) of the Rules]</w:t>
      </w:r>
      <w:r>
        <w:t xml:space="preserve">  </w:t>
      </w:r>
    </w:p>
    <w:p w14:paraId="4ED4A765" w14:textId="77777777" w:rsidR="00365474" w:rsidRDefault="00840DA0" w:rsidP="00365474">
      <w:pPr>
        <w:pStyle w:val="Normalparatextwithnumbers"/>
        <w:numPr>
          <w:ilvl w:val="1"/>
          <w:numId w:val="16"/>
        </w:numPr>
      </w:pPr>
      <w:r>
        <w:t xml:space="preserve">A tax credit is an amount that taxpayers can subtract directly from taxes owed to a government. Tax credits directly reduce the amount of tax owed and are different from deductions (which reduce the amount of taxable income). </w:t>
      </w:r>
      <w:r w:rsidR="00365474">
        <w:t xml:space="preserve">Tax credits captured by this exclusion include tax credits granted in a jurisdiction due to a tax liability imposed in another jurisdiction or imposed on profits distributed by another entity such as foreign tax credits. </w:t>
      </w:r>
    </w:p>
    <w:p w14:paraId="602BB570" w14:textId="776B90AE" w:rsidR="00840DA0" w:rsidRDefault="00365474" w:rsidP="00840DA0">
      <w:pPr>
        <w:pStyle w:val="Normalparatextwithnumbers"/>
        <w:numPr>
          <w:ilvl w:val="1"/>
          <w:numId w:val="16"/>
        </w:numPr>
      </w:pPr>
      <w:r>
        <w:t xml:space="preserve">An </w:t>
      </w:r>
      <w:r w:rsidR="00840DA0">
        <w:t xml:space="preserve">example of a tax credit is an investment tax credit whereby the government provides the taxpayer that incurs certain qualifying expenditure with a reduction in a future tax payable that is calculated as a percentage of the expenditure incurred. </w:t>
      </w:r>
    </w:p>
    <w:p w14:paraId="05721A1D" w14:textId="3A8F4F5E" w:rsidR="00840DA0" w:rsidRDefault="00840DA0" w:rsidP="00840DA0">
      <w:pPr>
        <w:pStyle w:val="Normalparatextwithnumbers"/>
        <w:numPr>
          <w:ilvl w:val="1"/>
          <w:numId w:val="16"/>
        </w:numPr>
      </w:pPr>
      <w:r>
        <w:t>For example, when an excess foreign tax credit carry-forward is generated, the deferred tax asset associated with such carry-forward will not reduce Adjusted Covered Taxes since it is excluded from the Total Deferred Tax Adjustment Amount. Conversely, when such foreign tax credit carry</w:t>
      </w:r>
      <w:r w:rsidR="000C08F0">
        <w:noBreakHyphen/>
      </w:r>
      <w:r>
        <w:t>forward is used in a subsequent Fiscal Year, the use of such deferred tax asset will not result in an increase to Adjusted Covered Taxes for the same reason. This results in the same outcome as if no deferred tax asset for the carry</w:t>
      </w:r>
      <w:r w:rsidR="00914D56">
        <w:noBreakHyphen/>
      </w:r>
      <w:r>
        <w:t xml:space="preserve">forward of a foreign tax credit was recorded at all. </w:t>
      </w:r>
    </w:p>
    <w:p w14:paraId="5F7EE567" w14:textId="77777777" w:rsidR="00840DA0" w:rsidRPr="00D1322C" w:rsidRDefault="00840DA0" w:rsidP="00840DA0">
      <w:pPr>
        <w:pStyle w:val="ExampleHeading"/>
        <w:numPr>
          <w:ilvl w:val="3"/>
          <w:numId w:val="16"/>
        </w:numPr>
        <w:tabs>
          <w:tab w:val="num" w:pos="360"/>
        </w:tabs>
        <w:ind w:left="0" w:firstLine="0"/>
      </w:pPr>
      <w:r>
        <w:t xml:space="preserve">Excluding deferred tax expense items </w:t>
      </w:r>
      <w:r w:rsidRPr="00CE42BD">
        <w:t>excluded from GloBE income or Loss</w:t>
      </w:r>
    </w:p>
    <w:p w14:paraId="22337EC1" w14:textId="77777777" w:rsidR="00840DA0" w:rsidRPr="00D1322C" w:rsidRDefault="00840DA0" w:rsidP="00840DA0">
      <w:pPr>
        <w:pStyle w:val="Exampletext"/>
      </w:pPr>
      <w:r>
        <w:t>A Constituent Entity</w:t>
      </w:r>
      <w:r w:rsidRPr="00D1322C">
        <w:t xml:space="preserve"> </w:t>
      </w:r>
      <w:r>
        <w:t xml:space="preserve">(M Co) </w:t>
      </w:r>
      <w:r w:rsidRPr="00D1322C">
        <w:t xml:space="preserve">in Country C </w:t>
      </w:r>
      <w:r>
        <w:t xml:space="preserve">has </w:t>
      </w:r>
      <w:r w:rsidRPr="00D1322C">
        <w:t xml:space="preserve">a 15% corporate tax rate, which taxes Excluded Equity Gains and Losses. In a specific Fiscal Year, M Co has a GloBE Loss of (300) and an Excluded Equity Loss of (100). </w:t>
      </w:r>
    </w:p>
    <w:p w14:paraId="2C927FE4" w14:textId="77777777" w:rsidR="00840DA0" w:rsidRPr="00D1322C" w:rsidRDefault="00840DA0" w:rsidP="00840DA0">
      <w:pPr>
        <w:pStyle w:val="Exampletext"/>
      </w:pPr>
      <w:r w:rsidRPr="00D1322C">
        <w:t xml:space="preserve">This Excluded Equity Loss is not </w:t>
      </w:r>
      <w:r>
        <w:t>included in the calculation</w:t>
      </w:r>
      <w:r w:rsidRPr="00D1322C">
        <w:t xml:space="preserve"> of the GloBE Income or Loss for Country C</w:t>
      </w:r>
      <w:r>
        <w:t>.</w:t>
      </w:r>
    </w:p>
    <w:p w14:paraId="0B411623" w14:textId="77777777" w:rsidR="00840DA0" w:rsidRPr="00D1322C" w:rsidRDefault="00840DA0" w:rsidP="00840DA0">
      <w:pPr>
        <w:pStyle w:val="Exampletext"/>
      </w:pPr>
      <w:r>
        <w:t>Assuming that t</w:t>
      </w:r>
      <w:r w:rsidRPr="00D1322C">
        <w:t xml:space="preserve">he GloBE Loss for Country C </w:t>
      </w:r>
      <w:r>
        <w:t>remains</w:t>
      </w:r>
      <w:r w:rsidRPr="00D1322C">
        <w:t xml:space="preserve"> at (300), </w:t>
      </w:r>
      <w:r>
        <w:t xml:space="preserve">and </w:t>
      </w:r>
      <w:r w:rsidRPr="00D1322C">
        <w:t xml:space="preserve">the domestic tax loss for Country C is (400). </w:t>
      </w:r>
    </w:p>
    <w:p w14:paraId="5AFAFB0E" w14:textId="77777777" w:rsidR="00840DA0" w:rsidRPr="00D1322C" w:rsidRDefault="00840DA0" w:rsidP="00840DA0">
      <w:pPr>
        <w:pStyle w:val="Exampletext"/>
      </w:pPr>
      <w:r w:rsidRPr="00D1322C">
        <w:t>A deferred tax asset of 60 is established</w:t>
      </w:r>
      <w:r>
        <w:t xml:space="preserve"> in respect of the (400) domestic tax loss (400 x 15%)</w:t>
      </w:r>
      <w:r w:rsidRPr="00D1322C">
        <w:t xml:space="preserve">. However, for GloBE purposes, only 45 </w:t>
      </w:r>
      <w:r>
        <w:t xml:space="preserve">((400-100)) x 15%) </w:t>
      </w:r>
      <w:r w:rsidRPr="00D1322C">
        <w:t xml:space="preserve">of this </w:t>
      </w:r>
      <w:r>
        <w:t>deferred tax asset</w:t>
      </w:r>
      <w:r w:rsidRPr="00D1322C">
        <w:t xml:space="preserve"> can be considered because 15 </w:t>
      </w:r>
      <w:r>
        <w:t xml:space="preserve">(100 x 15%) </w:t>
      </w:r>
      <w:r w:rsidRPr="00D1322C">
        <w:t>of the deferred tax asset is associated with the Excluded Equity Loss of 100.</w:t>
      </w:r>
    </w:p>
    <w:p w14:paraId="7DB2236C" w14:textId="65F1A0B3" w:rsidR="00840DA0" w:rsidRPr="009D0B23" w:rsidRDefault="00840DA0" w:rsidP="00840DA0">
      <w:pPr>
        <w:pStyle w:val="Heading6"/>
        <w:rPr>
          <w:rFonts w:cs="Times New Roman" w:hint="eastAsia"/>
          <w:sz w:val="24"/>
          <w:szCs w:val="24"/>
          <w:lang w:eastAsia="en-AU"/>
        </w:rPr>
      </w:pPr>
      <w:r w:rsidRPr="009B7181">
        <w:rPr>
          <w:iCs/>
        </w:rPr>
        <w:lastRenderedPageBreak/>
        <w:t>Exception</w:t>
      </w:r>
      <w:r>
        <w:rPr>
          <w:iCs/>
        </w:rPr>
        <w:t xml:space="preserve"> for </w:t>
      </w:r>
      <w:r w:rsidRPr="009D0B23">
        <w:t>Substitute Loss Carry-forward D</w:t>
      </w:r>
      <w:r w:rsidR="00CB20D6">
        <w:t xml:space="preserve">eferred </w:t>
      </w:r>
      <w:r w:rsidRPr="009D0B23">
        <w:t>T</w:t>
      </w:r>
      <w:r w:rsidR="00CB20D6">
        <w:t xml:space="preserve">ax </w:t>
      </w:r>
      <w:r w:rsidRPr="009D0B23">
        <w:t>A</w:t>
      </w:r>
      <w:r w:rsidR="00CB20D6">
        <w:t>s</w:t>
      </w:r>
      <w:r w:rsidRPr="009D0B23">
        <w:t>s</w:t>
      </w:r>
      <w:r w:rsidR="00CB20D6">
        <w:t>ets</w:t>
      </w:r>
      <w:r>
        <w:rPr>
          <w:rFonts w:cs="Times New Roman"/>
          <w:sz w:val="24"/>
          <w:szCs w:val="24"/>
          <w:lang w:eastAsia="en-AU"/>
        </w:rPr>
        <w:t xml:space="preserve"> </w:t>
      </w:r>
    </w:p>
    <w:p w14:paraId="3605F247" w14:textId="52B7F38F" w:rsidR="00840DA0" w:rsidRPr="009D0B23" w:rsidRDefault="00840DA0" w:rsidP="00840DA0">
      <w:pPr>
        <w:pStyle w:val="Normalparatextwithnumbers"/>
      </w:pPr>
      <w:r>
        <w:t xml:space="preserve">However, </w:t>
      </w:r>
      <w:r w:rsidRPr="009F418F">
        <w:t>the amount of the relevant deferred tax expense that is in respect of the generation and use of tax credits</w:t>
      </w:r>
      <w:r w:rsidR="00A55434" w:rsidRPr="00A55434">
        <w:t xml:space="preserve"> </w:t>
      </w:r>
      <w:r w:rsidR="00A55434">
        <w:t xml:space="preserve">under </w:t>
      </w:r>
      <w:r w:rsidR="00A55434" w:rsidRPr="009D0B23">
        <w:t>paragraph 4-</w:t>
      </w:r>
      <w:r w:rsidR="005A4FF3">
        <w:t>8</w:t>
      </w:r>
      <w:r w:rsidR="00A55434" w:rsidRPr="009D0B23">
        <w:t xml:space="preserve">5(2)(e) </w:t>
      </w:r>
      <w:r w:rsidR="00A55434">
        <w:t xml:space="preserve">of the Rules does </w:t>
      </w:r>
      <w:r w:rsidRPr="009D0B23">
        <w:t xml:space="preserve">not apply in the case of a Substitute Loss Carry-forward </w:t>
      </w:r>
      <w:r w:rsidR="009141CE">
        <w:t>D</w:t>
      </w:r>
      <w:r>
        <w:t xml:space="preserve">eferred </w:t>
      </w:r>
      <w:r w:rsidR="009141CE">
        <w:t>T</w:t>
      </w:r>
      <w:r>
        <w:t xml:space="preserve">ax </w:t>
      </w:r>
      <w:r w:rsidR="009141CE">
        <w:t>A</w:t>
      </w:r>
      <w:r>
        <w:t>sset</w:t>
      </w:r>
      <w:r w:rsidRPr="009D0B23">
        <w:t xml:space="preserve">. A Substitute Loss Carry-forward </w:t>
      </w:r>
      <w:r w:rsidRPr="00C479AF">
        <w:t xml:space="preserve">deferred tax asset </w:t>
      </w:r>
      <w:r w:rsidRPr="009D0B23">
        <w:t>arises where all of the following apply:</w:t>
      </w:r>
    </w:p>
    <w:p w14:paraId="1D2C5401" w14:textId="77777777" w:rsidR="00840DA0" w:rsidRPr="009D0B23" w:rsidRDefault="00840DA0" w:rsidP="00B7652D">
      <w:pPr>
        <w:pStyle w:val="Dotpoint1"/>
      </w:pPr>
      <w:r w:rsidRPr="009D0B23">
        <w:t xml:space="preserve"> the jurisdiction requires that foreign source income offset domestic source losses before foreign tax credits may be applied against tax imposed on foreign source income;</w:t>
      </w:r>
    </w:p>
    <w:p w14:paraId="489F6568" w14:textId="77777777" w:rsidR="00840DA0" w:rsidRPr="009D0B23" w:rsidRDefault="00840DA0" w:rsidP="00B7652D">
      <w:pPr>
        <w:pStyle w:val="Dotpoint1"/>
      </w:pPr>
      <w:r w:rsidRPr="009D0B23">
        <w:t>the Constituent Entity has a domestic tax loss that is fully or partially offset by foreign source income; and</w:t>
      </w:r>
    </w:p>
    <w:p w14:paraId="260225B8" w14:textId="643D8FBC" w:rsidR="00840DA0" w:rsidRPr="00D853FC" w:rsidRDefault="00840DA0" w:rsidP="00B7652D">
      <w:pPr>
        <w:pStyle w:val="Dotpoint1"/>
        <w:rPr>
          <w:rStyle w:val="References"/>
          <w:b w:val="0"/>
          <w:bCs w:val="0"/>
          <w:i w:val="0"/>
          <w:iCs w:val="0"/>
        </w:rPr>
      </w:pPr>
      <w:r w:rsidRPr="009D0B23">
        <w:t xml:space="preserve">the domestic tax regime allows foreign tax credits to be used to offset a tax liability in a subsequent </w:t>
      </w:r>
      <w:r w:rsidR="00C42510">
        <w:t>Fiscal Y</w:t>
      </w:r>
      <w:r w:rsidRPr="009D0B23">
        <w:t>ear in relation to income that is included in the computation of the Constituent Entity’s GloBE Income or Loss</w:t>
      </w:r>
      <w:r w:rsidR="00C42510">
        <w:t xml:space="preserve"> for that </w:t>
      </w:r>
      <w:r w:rsidR="003F0B4C">
        <w:t>subsequent Fiscal Year</w:t>
      </w:r>
      <w:r w:rsidRPr="009D0B23">
        <w:t>.</w:t>
      </w:r>
      <w:r>
        <w:br/>
      </w:r>
      <w:r>
        <w:rPr>
          <w:rStyle w:val="References"/>
        </w:rPr>
        <w:t>[Chapter 4, section 4-</w:t>
      </w:r>
      <w:r w:rsidR="005A4FF3">
        <w:rPr>
          <w:rStyle w:val="References"/>
        </w:rPr>
        <w:t>90</w:t>
      </w:r>
      <w:r>
        <w:rPr>
          <w:rStyle w:val="References"/>
        </w:rPr>
        <w:t xml:space="preserve"> and subsection 4-</w:t>
      </w:r>
      <w:r w:rsidR="00B64E32">
        <w:rPr>
          <w:rStyle w:val="References"/>
        </w:rPr>
        <w:t>95</w:t>
      </w:r>
      <w:r>
        <w:rPr>
          <w:rStyle w:val="References"/>
        </w:rPr>
        <w:t>(1) of the Rules]</w:t>
      </w:r>
    </w:p>
    <w:p w14:paraId="3B6DBCA4" w14:textId="5AACB350" w:rsidR="00840DA0" w:rsidRDefault="00840DA0" w:rsidP="00840DA0">
      <w:pPr>
        <w:pStyle w:val="Normalparatextwithnumbers"/>
        <w:numPr>
          <w:ilvl w:val="1"/>
          <w:numId w:val="16"/>
        </w:numPr>
      </w:pPr>
      <w:r>
        <w:t xml:space="preserve">A Constituent Entity of an MNE Group also has a </w:t>
      </w:r>
      <w:r w:rsidRPr="00925484">
        <w:t>Substitute Loss Carry</w:t>
      </w:r>
      <w:r>
        <w:noBreakHyphen/>
      </w:r>
      <w:r w:rsidRPr="00925484">
        <w:t xml:space="preserve">forward </w:t>
      </w:r>
      <w:r w:rsidR="00E660D2" w:rsidRPr="00E660D2">
        <w:t xml:space="preserve">deferred tax asset </w:t>
      </w:r>
      <w:r>
        <w:t>arsing in a Fiscal Year where:</w:t>
      </w:r>
    </w:p>
    <w:p w14:paraId="7BEAAD47" w14:textId="77777777" w:rsidR="00840DA0" w:rsidRDefault="00840DA0" w:rsidP="00B7652D">
      <w:pPr>
        <w:pStyle w:val="Dotpoint1"/>
      </w:pPr>
      <w:r>
        <w:t>the conditions in paragraphs 4-78(1)(a) and (b) are satisfied, but the condition in paragraph (1)(c) is not satisfied; and</w:t>
      </w:r>
    </w:p>
    <w:p w14:paraId="7506647E" w14:textId="77777777" w:rsidR="00840DA0" w:rsidRDefault="00840DA0" w:rsidP="00B7652D">
      <w:pPr>
        <w:pStyle w:val="Dotpoint1"/>
      </w:pPr>
      <w:r w:rsidRPr="00EE2947">
        <w:t xml:space="preserve">the </w:t>
      </w:r>
      <w:r>
        <w:t>tax law of the jurisdiction</w:t>
      </w:r>
      <w:r w:rsidRPr="00EE2947">
        <w:t xml:space="preserve"> </w:t>
      </w:r>
      <w:r w:rsidRPr="00307291">
        <w:t>permits the recharacteri</w:t>
      </w:r>
      <w:r>
        <w:t>s</w:t>
      </w:r>
      <w:r w:rsidRPr="00307291">
        <w:t>ation of</w:t>
      </w:r>
      <w:r>
        <w:t xml:space="preserve"> </w:t>
      </w:r>
      <w:r w:rsidRPr="00307291">
        <w:t xml:space="preserve">domestic source income </w:t>
      </w:r>
      <w:r>
        <w:t xml:space="preserve">of a Fiscal Year </w:t>
      </w:r>
      <w:r w:rsidRPr="00307291">
        <w:t xml:space="preserve">as foreign source </w:t>
      </w:r>
      <w:r>
        <w:t>income of a later Fiscal Year; and</w:t>
      </w:r>
    </w:p>
    <w:p w14:paraId="114A1E9A" w14:textId="6A749D7B" w:rsidR="00840DA0" w:rsidRPr="00D853FC" w:rsidRDefault="00840DA0" w:rsidP="00B7652D">
      <w:pPr>
        <w:pStyle w:val="Dotpoint1"/>
        <w:rPr>
          <w:rStyle w:val="References"/>
          <w:b w:val="0"/>
          <w:bCs w:val="0"/>
          <w:i w:val="0"/>
          <w:iCs w:val="0"/>
        </w:rPr>
      </w:pPr>
      <w:r>
        <w:t xml:space="preserve">the effect of that </w:t>
      </w:r>
      <w:r w:rsidRPr="00307291">
        <w:t>recharacteri</w:t>
      </w:r>
      <w:r>
        <w:t>s</w:t>
      </w:r>
      <w:r w:rsidRPr="00307291">
        <w:t xml:space="preserve">ation </w:t>
      </w:r>
      <w:r>
        <w:t xml:space="preserve">is to </w:t>
      </w:r>
      <w:r w:rsidRPr="00EE2947">
        <w:t xml:space="preserve">allow foreign tax credits to be used </w:t>
      </w:r>
      <w:r>
        <w:t xml:space="preserve">to </w:t>
      </w:r>
      <w:r w:rsidRPr="00E40A11">
        <w:t>offset a tax liability in a</w:t>
      </w:r>
      <w:r>
        <w:t xml:space="preserve"> </w:t>
      </w:r>
      <w:r w:rsidRPr="00E40A11">
        <w:t xml:space="preserve">subsequent </w:t>
      </w:r>
      <w:r>
        <w:t>Fiscal Year</w:t>
      </w:r>
      <w:r w:rsidRPr="00E40A11">
        <w:t xml:space="preserve"> in relation to income that is included in the computation of the</w:t>
      </w:r>
      <w:r>
        <w:t xml:space="preserve"> </w:t>
      </w:r>
      <w:r w:rsidRPr="00E40A11">
        <w:t>Constituent Entity’s GloBE Income or Loss</w:t>
      </w:r>
      <w:r>
        <w:t xml:space="preserve"> for that </w:t>
      </w:r>
      <w:r w:rsidRPr="00E40A11">
        <w:t xml:space="preserve">subsequent </w:t>
      </w:r>
      <w:r>
        <w:t>Fiscal Year</w:t>
      </w:r>
      <w:r>
        <w:br/>
      </w:r>
      <w:r>
        <w:rPr>
          <w:rStyle w:val="References"/>
        </w:rPr>
        <w:t>[Chapter 4, subsection 4-</w:t>
      </w:r>
      <w:r w:rsidR="00B64E32">
        <w:rPr>
          <w:rStyle w:val="References"/>
        </w:rPr>
        <w:t>95</w:t>
      </w:r>
      <w:r>
        <w:rPr>
          <w:rStyle w:val="References"/>
        </w:rPr>
        <w:t>(</w:t>
      </w:r>
      <w:r w:rsidR="00B64E32">
        <w:rPr>
          <w:rStyle w:val="References"/>
        </w:rPr>
        <w:t>2</w:t>
      </w:r>
      <w:r>
        <w:rPr>
          <w:rStyle w:val="References"/>
        </w:rPr>
        <w:t>) of the Rules]</w:t>
      </w:r>
    </w:p>
    <w:p w14:paraId="6384B1EA" w14:textId="77777777" w:rsidR="00840DA0" w:rsidRDefault="00840DA0" w:rsidP="00840DA0">
      <w:pPr>
        <w:pStyle w:val="Normalparatextwithnumbers"/>
        <w:numPr>
          <w:ilvl w:val="1"/>
          <w:numId w:val="16"/>
        </w:numPr>
      </w:pPr>
      <w:r w:rsidRPr="00697D71">
        <w:t>The amount of a Substitute Loss Carry-forward DTA is equal to lesser of</w:t>
      </w:r>
      <w:r>
        <w:t>:</w:t>
      </w:r>
      <w:r w:rsidRPr="00697D71">
        <w:t xml:space="preserve"> </w:t>
      </w:r>
    </w:p>
    <w:p w14:paraId="74AA5225" w14:textId="099440E1" w:rsidR="00840DA0" w:rsidRDefault="00840DA0" w:rsidP="00B7652D">
      <w:pPr>
        <w:pStyle w:val="Dotpoint1"/>
      </w:pPr>
      <w:r w:rsidRPr="00697D71">
        <w:t xml:space="preserve">the amount of the foreign tax credit that the domestic tax regime allows to be carried forward from the year in which the Constituent Entity had a tax loss to a subsequent year; and </w:t>
      </w:r>
    </w:p>
    <w:p w14:paraId="451E441C" w14:textId="717D9369" w:rsidR="00840DA0" w:rsidRPr="009F418F" w:rsidRDefault="00840DA0" w:rsidP="00B7652D">
      <w:pPr>
        <w:pStyle w:val="Dotpoint1"/>
        <w:rPr>
          <w:rStyle w:val="References"/>
          <w:b w:val="0"/>
          <w:bCs w:val="0"/>
          <w:i w:val="0"/>
          <w:iCs w:val="0"/>
        </w:rPr>
      </w:pPr>
      <w:r w:rsidRPr="00697D71">
        <w:t xml:space="preserve">the amount of the Constituent Entity’s tax loss for the tax year (before </w:t>
      </w:r>
      <w:r w:rsidR="009141CE" w:rsidRPr="00697D71">
        <w:t>considering</w:t>
      </w:r>
      <w:r w:rsidRPr="00697D71">
        <w:t xml:space="preserve"> any foreign source income) multiplied by the applicable domestic tax rate.</w:t>
      </w:r>
      <w:r>
        <w:br/>
      </w:r>
      <w:r>
        <w:rPr>
          <w:rStyle w:val="References"/>
        </w:rPr>
        <w:t>[Chapter 4, subsection 4-</w:t>
      </w:r>
      <w:r w:rsidR="00B64E32">
        <w:rPr>
          <w:rStyle w:val="References"/>
        </w:rPr>
        <w:t>95</w:t>
      </w:r>
      <w:r>
        <w:rPr>
          <w:rStyle w:val="References"/>
        </w:rPr>
        <w:t>(</w:t>
      </w:r>
      <w:r w:rsidR="00B64E32">
        <w:rPr>
          <w:rStyle w:val="References"/>
        </w:rPr>
        <w:t>3</w:t>
      </w:r>
      <w:r>
        <w:rPr>
          <w:rStyle w:val="References"/>
        </w:rPr>
        <w:t>) of the Rules]</w:t>
      </w:r>
    </w:p>
    <w:p w14:paraId="3527CAF4" w14:textId="033F52B3" w:rsidR="00840DA0" w:rsidRDefault="00840DA0" w:rsidP="00840DA0">
      <w:pPr>
        <w:pStyle w:val="Normalparatextwithnumbers"/>
        <w:numPr>
          <w:ilvl w:val="1"/>
          <w:numId w:val="16"/>
        </w:numPr>
      </w:pPr>
      <w:r w:rsidRPr="007E6BBA">
        <w:t xml:space="preserve">The Substitute Loss Carry-forward </w:t>
      </w:r>
      <w:r w:rsidR="00E660D2" w:rsidRPr="00E660D2">
        <w:t xml:space="preserve">deferred tax asset </w:t>
      </w:r>
      <w:r w:rsidRPr="007E6BBA">
        <w:t>is exclu</w:t>
      </w:r>
      <w:r>
        <w:t xml:space="preserve">ded from the Total Deferred Tax Adjustment Amount under </w:t>
      </w:r>
      <w:r w:rsidRPr="007E6BBA">
        <w:t>4-75(2)(</w:t>
      </w:r>
      <w:r>
        <w:t>e</w:t>
      </w:r>
      <w:r w:rsidRPr="007E6BBA">
        <w:t xml:space="preserve">) </w:t>
      </w:r>
      <w:r>
        <w:t>due to being a deferred tax benefit with respect to the generation of tax credits</w:t>
      </w:r>
      <w:r w:rsidRPr="007E6BBA">
        <w:t xml:space="preserve"> and must be recast at the Minimum Rate in accordance with the formula:</w:t>
      </w:r>
      <w:r>
        <w:t xml:space="preserve"> </w:t>
      </w:r>
    </w:p>
    <w:p w14:paraId="1DD9ADE5" w14:textId="7A889B77" w:rsidR="00A45F37" w:rsidRDefault="00A45F37" w:rsidP="007133F0">
      <w:pPr>
        <w:pStyle w:val="Normalparatextwithnumbers"/>
        <w:numPr>
          <w:ilvl w:val="0"/>
          <w:numId w:val="0"/>
        </w:numPr>
        <w:ind w:left="709"/>
      </w:pPr>
      <w:r w:rsidRPr="00A45F37">
        <w:rPr>
          <w:noProof/>
        </w:rPr>
        <w:lastRenderedPageBreak/>
        <w:drawing>
          <wp:inline distT="0" distB="0" distL="0" distR="0" wp14:anchorId="5CAE4CAE" wp14:editId="2E858A99">
            <wp:extent cx="4895850" cy="495300"/>
            <wp:effectExtent l="0" t="0" r="0" b="0"/>
            <wp:docPr id="1347371224" name="Picture 24" descr="The Substitute Loss Carry-forward deferred tax asset is excluded from the Total Deferred Tax Adjustment Amount under 4-75(2)(e) due to being a deferred tax benefit with respect to the generation of tax credits and must be recast at the Minimum Rate in accordance with th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371224" name="Picture 24" descr="The Substitute Loss Carry-forward deferred tax asset is excluded from the Total Deferred Tax Adjustment Amount under 4-75(2)(e) due to being a deferred tax benefit with respect to the generation of tax credits and must be recast at the Minimum Rate in accordance with the formul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895850" cy="495300"/>
                    </a:xfrm>
                    <a:prstGeom prst="rect">
                      <a:avLst/>
                    </a:prstGeom>
                    <a:noFill/>
                    <a:ln>
                      <a:noFill/>
                    </a:ln>
                  </pic:spPr>
                </pic:pic>
              </a:graphicData>
            </a:graphic>
          </wp:inline>
        </w:drawing>
      </w:r>
    </w:p>
    <w:p w14:paraId="52A1B1E1" w14:textId="77777777" w:rsidR="00840DA0" w:rsidRDefault="00840DA0" w:rsidP="00840DA0">
      <w:pPr>
        <w:pStyle w:val="Heading4"/>
        <w:numPr>
          <w:ilvl w:val="3"/>
          <w:numId w:val="2"/>
        </w:numPr>
      </w:pPr>
      <w:r>
        <w:t xml:space="preserve">Adjustments to the Total Deferred Tax Adjustment Amount </w:t>
      </w:r>
    </w:p>
    <w:p w14:paraId="2031EA45" w14:textId="20E4805E" w:rsidR="00840DA0" w:rsidRDefault="00840DA0" w:rsidP="00840DA0">
      <w:pPr>
        <w:pStyle w:val="Normalparatextwithnumbers"/>
        <w:numPr>
          <w:ilvl w:val="1"/>
          <w:numId w:val="16"/>
        </w:numPr>
      </w:pPr>
      <w:r>
        <w:t xml:space="preserve">The Total Deferred Tax Adjustment Amount is adjusted by increasing its amount by the amount of any Unclaimed Accrual paid during the Fiscal Year. </w:t>
      </w:r>
      <w:r>
        <w:br/>
      </w:r>
      <w:r w:rsidRPr="00E82AB3">
        <w:rPr>
          <w:rStyle w:val="References"/>
        </w:rPr>
        <w:t xml:space="preserve">[Chapter 4, </w:t>
      </w:r>
      <w:r w:rsidR="009A45FD">
        <w:rPr>
          <w:rStyle w:val="References"/>
        </w:rPr>
        <w:t>paragraph</w:t>
      </w:r>
      <w:r w:rsidRPr="00E82AB3">
        <w:rPr>
          <w:rStyle w:val="References"/>
        </w:rPr>
        <w:t xml:space="preserve"> 4-</w:t>
      </w:r>
      <w:r w:rsidR="00B64E32">
        <w:rPr>
          <w:rStyle w:val="References"/>
        </w:rPr>
        <w:t>8</w:t>
      </w:r>
      <w:r>
        <w:rPr>
          <w:rStyle w:val="References"/>
        </w:rPr>
        <w:t>5</w:t>
      </w:r>
      <w:r w:rsidRPr="00E82AB3">
        <w:rPr>
          <w:rStyle w:val="References"/>
        </w:rPr>
        <w:t>(3)(a) of the Rules]</w:t>
      </w:r>
    </w:p>
    <w:p w14:paraId="35F51143" w14:textId="77777777" w:rsidR="00840DA0" w:rsidRPr="00E82AB3" w:rsidRDefault="00840DA0" w:rsidP="00840DA0">
      <w:pPr>
        <w:pStyle w:val="Heading5"/>
        <w:numPr>
          <w:ilvl w:val="4"/>
          <w:numId w:val="2"/>
        </w:numPr>
      </w:pPr>
      <w:r w:rsidRPr="00E82AB3">
        <w:t xml:space="preserve">Unclaimed Accruals </w:t>
      </w:r>
    </w:p>
    <w:p w14:paraId="15A41A06" w14:textId="368F3E58" w:rsidR="00840DA0" w:rsidRDefault="009E5760" w:rsidP="00840DA0">
      <w:pPr>
        <w:pStyle w:val="Normalparatextwithnumbers"/>
        <w:numPr>
          <w:ilvl w:val="1"/>
          <w:numId w:val="16"/>
        </w:numPr>
      </w:pPr>
      <w:r>
        <w:t>To</w:t>
      </w:r>
      <w:r w:rsidR="00840DA0">
        <w:t xml:space="preserve"> ensure that the paid taxes are taken into account for GloBE purposes, the Total Deferred Tax Adjustment Amount is increased by the amount of any Unclaimed Accrual paid during the Fiscal Year to ensure there is no net movement in the Total Deferred Tax Adjustment Amount. An Unclaimed Accrual may also increase the Total Deferred Tax Adjustment Amount if there is an increase in a deferred tax liability recorded in the financial accounts of the Constituent Entity for the Fiscal Year (the current year) and:</w:t>
      </w:r>
    </w:p>
    <w:p w14:paraId="5387141F" w14:textId="77777777" w:rsidR="00840DA0" w:rsidRDefault="00840DA0" w:rsidP="00B7652D">
      <w:pPr>
        <w:pStyle w:val="Dotpoint1"/>
      </w:pPr>
      <w:r>
        <w:t>it is not expected to be paid by the end of the fifth following Fiscal Year, (which is consistent with the period set out in subsection 4</w:t>
      </w:r>
      <w:r>
        <w:noBreakHyphen/>
        <w:t>95(2); and</w:t>
      </w:r>
    </w:p>
    <w:p w14:paraId="001BCF18" w14:textId="4103852F" w:rsidR="00840DA0" w:rsidRDefault="00840DA0" w:rsidP="00B7652D">
      <w:pPr>
        <w:pStyle w:val="Dotpoint1"/>
      </w:pPr>
      <w:r>
        <w:t xml:space="preserve">a Filing Constituent Entity has made an </w:t>
      </w:r>
      <w:r w:rsidR="002330EF">
        <w:t>Annual Election</w:t>
      </w:r>
      <w:r>
        <w:t xml:space="preserve"> that applies to the Constituent Entity for the current year.</w:t>
      </w:r>
      <w:r>
        <w:br/>
      </w:r>
      <w:r w:rsidRPr="00E82AB3">
        <w:rPr>
          <w:rStyle w:val="References"/>
        </w:rPr>
        <w:t>[Chapter 4, subsections 4-</w:t>
      </w:r>
      <w:r w:rsidR="00B64E32">
        <w:rPr>
          <w:rStyle w:val="References"/>
        </w:rPr>
        <w:t>11</w:t>
      </w:r>
      <w:r>
        <w:rPr>
          <w:rStyle w:val="References"/>
        </w:rPr>
        <w:t>5</w:t>
      </w:r>
      <w:r w:rsidRPr="00E82AB3">
        <w:rPr>
          <w:rStyle w:val="References"/>
        </w:rPr>
        <w:t>(2) and (3) of the Rules]</w:t>
      </w:r>
    </w:p>
    <w:p w14:paraId="45E4796D" w14:textId="66C7899B" w:rsidR="00840DA0" w:rsidRDefault="00840DA0" w:rsidP="00840DA0">
      <w:pPr>
        <w:pStyle w:val="Normalparatextwithnumbers"/>
        <w:numPr>
          <w:ilvl w:val="1"/>
          <w:numId w:val="16"/>
        </w:numPr>
      </w:pPr>
      <w:r>
        <w:t xml:space="preserve">The </w:t>
      </w:r>
      <w:r w:rsidR="002330EF">
        <w:t>Annual Election</w:t>
      </w:r>
      <w:r>
        <w:t xml:space="preserve"> is a compliance simplification option with respect to the recapture rule and allows a Constituent Entity to exclude from the Total Deferred Tax Adjustment Amount any deferred tax liability that is not expected to be paid within the period. The simplification allows for the exclusion of deferred tax liabilities that are almost certain to require recapture, which reduces compliance monitoring such liabilities and recalculating top</w:t>
      </w:r>
      <w:r w:rsidR="00E660D2">
        <w:noBreakHyphen/>
      </w:r>
      <w:r>
        <w:t>up tax several years later.</w:t>
      </w:r>
    </w:p>
    <w:p w14:paraId="69131CCB" w14:textId="26DF85FB" w:rsidR="00840DA0" w:rsidRDefault="00840DA0" w:rsidP="00840DA0">
      <w:pPr>
        <w:pStyle w:val="Normalparatextwithnumbers"/>
        <w:numPr>
          <w:ilvl w:val="1"/>
          <w:numId w:val="16"/>
        </w:numPr>
      </w:pPr>
      <w:r>
        <w:t xml:space="preserve">Amounts of Unclaimed Accrual are not </w:t>
      </w:r>
      <w:r w:rsidR="009E5760">
        <w:t>considered</w:t>
      </w:r>
      <w:r>
        <w:t xml:space="preserve"> when generated due to their speculative nature of when and whether such taxes would be paid. It is only once such taxes are paid that it is appropriate to take them into account under the Rules. </w:t>
      </w:r>
    </w:p>
    <w:p w14:paraId="1D4489F0" w14:textId="65C336B2" w:rsidR="00840DA0" w:rsidRDefault="00840DA0" w:rsidP="00840DA0">
      <w:pPr>
        <w:pStyle w:val="Normalparatextwithnumbers"/>
        <w:numPr>
          <w:ilvl w:val="1"/>
          <w:numId w:val="16"/>
        </w:numPr>
      </w:pPr>
      <w:r>
        <w:t xml:space="preserve">The inclusion of an Unclaimed Accrual could be offset by the amount of decrease in the deferred tax liability that is included in the Total Deferred Tax Adjustment Amount, and ultimately Adjusted Covered Taxes. Whilst the exclusions from the Total Deferred Tax Adjustment Amount applies equally to exclude both increases and decreases in the relevant deferred tax expense, an Unclaimed Accrual is defined solely by reference to an increase in a deferred </w:t>
      </w:r>
      <w:r>
        <w:lastRenderedPageBreak/>
        <w:t xml:space="preserve">tax liability. Therefore, any subsequent decrease will not be captured by the exclusion in </w:t>
      </w:r>
      <w:r w:rsidR="00E660D2">
        <w:t>paragraph</w:t>
      </w:r>
      <w:r>
        <w:t xml:space="preserve"> 4-</w:t>
      </w:r>
      <w:r w:rsidR="00B64E32">
        <w:t>8</w:t>
      </w:r>
      <w:r>
        <w:t xml:space="preserve">5(2)(b) of the Rules.  </w:t>
      </w:r>
    </w:p>
    <w:p w14:paraId="696C8F22" w14:textId="77777777" w:rsidR="00840DA0" w:rsidRDefault="00840DA0" w:rsidP="00840DA0">
      <w:pPr>
        <w:pStyle w:val="Heading5"/>
        <w:numPr>
          <w:ilvl w:val="4"/>
          <w:numId w:val="2"/>
        </w:numPr>
      </w:pPr>
      <w:r>
        <w:t xml:space="preserve">Recaptured Deferred Tax Liabilities once paid </w:t>
      </w:r>
    </w:p>
    <w:p w14:paraId="04BBE81E" w14:textId="46CDB0AD" w:rsidR="00840DA0" w:rsidRDefault="00840DA0" w:rsidP="00840DA0">
      <w:pPr>
        <w:pStyle w:val="Normalparatextwithnumbers"/>
        <w:numPr>
          <w:ilvl w:val="1"/>
          <w:numId w:val="16"/>
        </w:numPr>
      </w:pPr>
      <w:r>
        <w:t xml:space="preserve">The Total Deferred Tax Adjustment Amount is increased by the amount of any Recaptured Deferred Tax Liability computed in a preceding Fiscal Year that has been paid during the Fiscal Year. </w:t>
      </w:r>
      <w:r>
        <w:br/>
      </w:r>
      <w:r w:rsidRPr="00747846">
        <w:rPr>
          <w:rStyle w:val="References"/>
        </w:rPr>
        <w:t xml:space="preserve">[Chapter 4, </w:t>
      </w:r>
      <w:r w:rsidR="009A45FD">
        <w:rPr>
          <w:rStyle w:val="References"/>
        </w:rPr>
        <w:t>paragraph</w:t>
      </w:r>
      <w:r w:rsidRPr="00747846">
        <w:rPr>
          <w:rStyle w:val="References"/>
        </w:rPr>
        <w:t xml:space="preserve"> 4-</w:t>
      </w:r>
      <w:r w:rsidR="00B64E32">
        <w:rPr>
          <w:rStyle w:val="References"/>
        </w:rPr>
        <w:t>8</w:t>
      </w:r>
      <w:r>
        <w:rPr>
          <w:rStyle w:val="References"/>
        </w:rPr>
        <w:t>5</w:t>
      </w:r>
      <w:r w:rsidRPr="00747846">
        <w:rPr>
          <w:rStyle w:val="References"/>
        </w:rPr>
        <w:t>(3)(b) of the Rules]</w:t>
      </w:r>
    </w:p>
    <w:p w14:paraId="37C4756E" w14:textId="77777777" w:rsidR="00840DA0" w:rsidRDefault="00840DA0" w:rsidP="00840DA0">
      <w:pPr>
        <w:pStyle w:val="Normalparatextwithnumbers"/>
        <w:numPr>
          <w:ilvl w:val="1"/>
          <w:numId w:val="16"/>
        </w:numPr>
      </w:pPr>
      <w:r>
        <w:t>The Total Deferred Tax Adjustment Amount is increased by the amount of any Recaptured Deferred Tax Liability computed in a preceding Fiscal Year that has been paid during the Fiscal Year. Certain amounts relating to deferred tax liabilities claimed as Adjusted Covered Taxes must be recaptured if the tax not paid within five subsequent Fiscal Years.</w:t>
      </w:r>
    </w:p>
    <w:p w14:paraId="06D9CF16" w14:textId="77777777" w:rsidR="00840DA0" w:rsidRDefault="00840DA0" w:rsidP="00840DA0">
      <w:pPr>
        <w:pStyle w:val="Heading5"/>
        <w:numPr>
          <w:ilvl w:val="4"/>
          <w:numId w:val="2"/>
        </w:numPr>
      </w:pPr>
      <w:r w:rsidRPr="00F774D8">
        <w:t>Reductions</w:t>
      </w:r>
      <w:r>
        <w:t xml:space="preserve"> to create a deemed deferred tax asset when the recognition criteria are not met </w:t>
      </w:r>
    </w:p>
    <w:p w14:paraId="6CEA3576" w14:textId="53342B77" w:rsidR="00840DA0" w:rsidRDefault="00840DA0" w:rsidP="00840DA0">
      <w:pPr>
        <w:pStyle w:val="Normalparatextwithnumbers"/>
        <w:numPr>
          <w:ilvl w:val="1"/>
          <w:numId w:val="16"/>
        </w:numPr>
      </w:pPr>
      <w:r>
        <w:t xml:space="preserve">The Total Deferred Tax Adjustment Amount is reduced by the amount that would be a reduction to the Total Deferred Tax Adjustment Amount due to the recognition of a loss deferred tax asset for a current year tax loss, where a loss deferred tax asset has not been recognised because the recognition criteria are not met. </w:t>
      </w:r>
      <w:r>
        <w:br/>
      </w:r>
      <w:r w:rsidRPr="00911798">
        <w:rPr>
          <w:rStyle w:val="References"/>
        </w:rPr>
        <w:t xml:space="preserve">[Chapter 4, </w:t>
      </w:r>
      <w:r w:rsidR="00B64E32">
        <w:rPr>
          <w:rStyle w:val="References"/>
        </w:rPr>
        <w:t>paragraph</w:t>
      </w:r>
      <w:r w:rsidRPr="00911798">
        <w:rPr>
          <w:rStyle w:val="References"/>
        </w:rPr>
        <w:t xml:space="preserve"> 4-</w:t>
      </w:r>
      <w:r w:rsidR="00B64E32">
        <w:rPr>
          <w:rStyle w:val="References"/>
        </w:rPr>
        <w:t>8</w:t>
      </w:r>
      <w:r>
        <w:rPr>
          <w:rStyle w:val="References"/>
        </w:rPr>
        <w:t>5</w:t>
      </w:r>
      <w:r w:rsidRPr="00911798">
        <w:rPr>
          <w:rStyle w:val="References"/>
        </w:rPr>
        <w:t>(3)(c) of the Rules]</w:t>
      </w:r>
    </w:p>
    <w:p w14:paraId="7011F217" w14:textId="142374CA" w:rsidR="00840DA0" w:rsidRDefault="00840DA0" w:rsidP="00840DA0">
      <w:pPr>
        <w:pStyle w:val="Normalparatextwithnumbers"/>
        <w:numPr>
          <w:ilvl w:val="1"/>
          <w:numId w:val="16"/>
        </w:numPr>
      </w:pPr>
      <w:r>
        <w:t xml:space="preserve">When a deferred tax asset should have been generated but was not because the recognition criteria had not been met, this reduction provides for the creation of a deemed deferred tax asset. This reduction is a result of the rule that disregards valuation adjustments or accounting recognition adjustments. </w:t>
      </w:r>
      <w:r>
        <w:br/>
      </w:r>
      <w:r w:rsidRPr="00911798">
        <w:rPr>
          <w:rStyle w:val="References"/>
        </w:rPr>
        <w:t xml:space="preserve">[Chapter 4, </w:t>
      </w:r>
      <w:r>
        <w:rPr>
          <w:rStyle w:val="References"/>
        </w:rPr>
        <w:t>paragraphs</w:t>
      </w:r>
      <w:r w:rsidRPr="00911798">
        <w:rPr>
          <w:rStyle w:val="References"/>
        </w:rPr>
        <w:t xml:space="preserve"> 4-</w:t>
      </w:r>
      <w:r w:rsidR="00B64E32">
        <w:rPr>
          <w:rStyle w:val="References"/>
        </w:rPr>
        <w:t>8</w:t>
      </w:r>
      <w:r>
        <w:rPr>
          <w:rStyle w:val="References"/>
        </w:rPr>
        <w:t>5</w:t>
      </w:r>
      <w:r w:rsidRPr="00911798">
        <w:rPr>
          <w:rStyle w:val="References"/>
        </w:rPr>
        <w:t xml:space="preserve">(2)(c) </w:t>
      </w:r>
      <w:r>
        <w:rPr>
          <w:rStyle w:val="References"/>
        </w:rPr>
        <w:t>and 3(c)</w:t>
      </w:r>
      <w:r w:rsidRPr="00911798">
        <w:rPr>
          <w:rStyle w:val="References"/>
        </w:rPr>
        <w:t xml:space="preserve"> of the Rules]</w:t>
      </w:r>
    </w:p>
    <w:p w14:paraId="7B8150DE" w14:textId="77777777" w:rsidR="00840DA0" w:rsidRDefault="00840DA0" w:rsidP="00840DA0">
      <w:pPr>
        <w:pStyle w:val="Normalparatextwithnumbers"/>
        <w:numPr>
          <w:ilvl w:val="1"/>
          <w:numId w:val="16"/>
        </w:numPr>
      </w:pPr>
      <w:r>
        <w:t xml:space="preserve">In some cases, the deferred tax asset in respect of such adjustments may not be recorded in the first place due to the recognition criteria not being met. By reducing the Total Deferred Tax Adjustment Amount by the amount that would be a reduction to the Total Deferred Tax Adjustment Amount due to recognition of a loss deferred tax asset for a current year tax loss, this rule provides for the creation of the deferred tax asset for GloBE purposes in the year of the loss. </w:t>
      </w:r>
    </w:p>
    <w:p w14:paraId="2B083FDF" w14:textId="4108C710" w:rsidR="00840DA0" w:rsidRDefault="00840DA0" w:rsidP="00840DA0">
      <w:pPr>
        <w:pStyle w:val="Normalparatextwithnumbers"/>
        <w:numPr>
          <w:ilvl w:val="1"/>
          <w:numId w:val="16"/>
        </w:numPr>
      </w:pPr>
      <w:r>
        <w:t xml:space="preserve">When the recognition criteria is met in subsequent years, the exclusion rule in </w:t>
      </w:r>
      <w:r w:rsidR="00524091">
        <w:t>paragraph</w:t>
      </w:r>
      <w:r>
        <w:t xml:space="preserve"> 4-</w:t>
      </w:r>
      <w:r w:rsidR="00B64E32">
        <w:t>8</w:t>
      </w:r>
      <w:r>
        <w:t xml:space="preserve">5(2)(c) of the Rules disregards the creation of such deferred tax asset in subsequent years. This aligns the deemed deferred tax asset generated with the loss to ensure that top-up tax is not triggered under the special rule under section 4-30 of the Rules, simply </w:t>
      </w:r>
      <w:r w:rsidR="00153B55">
        <w:t>because</w:t>
      </w:r>
      <w:r>
        <w:t xml:space="preserve"> the recognition criteria have not been met.  </w:t>
      </w:r>
    </w:p>
    <w:p w14:paraId="76872526" w14:textId="469AB972" w:rsidR="00840DA0" w:rsidRDefault="00840DA0" w:rsidP="00840DA0">
      <w:pPr>
        <w:pStyle w:val="Normalparatextwithnumbers"/>
        <w:numPr>
          <w:ilvl w:val="1"/>
          <w:numId w:val="16"/>
        </w:numPr>
      </w:pPr>
      <w:r w:rsidRPr="009D0B23">
        <w:t xml:space="preserve">This rule also extends beyond loss deferred tax assets to other types of deferred tax assets, including a deferred tax asset generated due to the carry forward of </w:t>
      </w:r>
      <w:r w:rsidRPr="009D0B23">
        <w:lastRenderedPageBreak/>
        <w:t xml:space="preserve">future deductible items, such as </w:t>
      </w:r>
      <w:r>
        <w:t>the disallowed amount under</w:t>
      </w:r>
      <w:r w:rsidRPr="009D0B23">
        <w:t xml:space="preserve"> </w:t>
      </w:r>
      <w:r>
        <w:t>fixed ratio test</w:t>
      </w:r>
      <w:r w:rsidRPr="009D0B23">
        <w:t xml:space="preserve"> </w:t>
      </w:r>
      <w:r>
        <w:t xml:space="preserve">in </w:t>
      </w:r>
      <w:r w:rsidRPr="009D0B23">
        <w:t xml:space="preserve">Australia’s </w:t>
      </w:r>
      <w:r w:rsidR="00524091">
        <w:t>T</w:t>
      </w:r>
      <w:r w:rsidRPr="009D0B23">
        <w:t xml:space="preserve">hin </w:t>
      </w:r>
      <w:r w:rsidR="00524091">
        <w:t>C</w:t>
      </w:r>
      <w:r w:rsidRPr="009D0B23">
        <w:t xml:space="preserve">apitalisation regime </w:t>
      </w:r>
      <w:r>
        <w:t>under</w:t>
      </w:r>
      <w:r w:rsidRPr="009D0B23">
        <w:t xml:space="preserve"> section 820-56</w:t>
      </w:r>
      <w:r>
        <w:t xml:space="preserve"> of the</w:t>
      </w:r>
      <w:r w:rsidRPr="009D0B23">
        <w:t xml:space="preserve"> </w:t>
      </w:r>
      <w:r w:rsidRPr="00F206AC">
        <w:t>ITAA 1997</w:t>
      </w:r>
      <w:r w:rsidRPr="00523DE4">
        <w:rPr>
          <w:i/>
          <w:iCs/>
        </w:rPr>
        <w:t>.</w:t>
      </w:r>
    </w:p>
    <w:p w14:paraId="39A92C86" w14:textId="77777777" w:rsidR="00840DA0" w:rsidRDefault="00840DA0" w:rsidP="00840DA0">
      <w:pPr>
        <w:pStyle w:val="Heading6"/>
        <w:rPr>
          <w:rFonts w:hint="eastAsia"/>
        </w:rPr>
      </w:pPr>
      <w:r w:rsidRPr="000B0BE0">
        <w:t>Meaning of recognition criteria</w:t>
      </w:r>
      <w:r>
        <w:t xml:space="preserve"> </w:t>
      </w:r>
    </w:p>
    <w:p w14:paraId="2A1DE520" w14:textId="1B1DAA22" w:rsidR="00840DA0" w:rsidRDefault="00840DA0" w:rsidP="00840DA0">
      <w:pPr>
        <w:pStyle w:val="Normalparatextwithnumbers"/>
        <w:numPr>
          <w:ilvl w:val="1"/>
          <w:numId w:val="16"/>
        </w:numPr>
      </w:pPr>
      <w:r>
        <w:t>Recognition criteria is not defined in the Rules as it is intended to take the financial accounting meaning, consistent with paragraph 2 on page 235 of the Consolidated Commentary. In accounting and</w:t>
      </w:r>
      <w:r w:rsidRPr="00A4095E">
        <w:t xml:space="preserve"> </w:t>
      </w:r>
      <w:r>
        <w:t xml:space="preserve">in the context of a deferred tax asset, the </w:t>
      </w:r>
      <w:r w:rsidR="00524091">
        <w:t>‘</w:t>
      </w:r>
      <w:r>
        <w:t>recognition criteria</w:t>
      </w:r>
      <w:r w:rsidR="00524091">
        <w:t>’</w:t>
      </w:r>
      <w:r>
        <w:t xml:space="preserve"> relates to an accounting judgement whether there is an expectation that a sufficient future taxable income would be available to deductible temporary difference or carry forward of unused tax losses or tax credits. The recognition criteria determines whether an element should be recognised if:</w:t>
      </w:r>
    </w:p>
    <w:p w14:paraId="57EBCB4C" w14:textId="77777777" w:rsidR="00840DA0" w:rsidRDefault="00840DA0" w:rsidP="00B7652D">
      <w:pPr>
        <w:pStyle w:val="Dotpoint1"/>
      </w:pPr>
      <w:r>
        <w:t>it is probable that any future economic benefit associated with the item will flow to or from the entity; and</w:t>
      </w:r>
    </w:p>
    <w:p w14:paraId="0BE3182D" w14:textId="77777777" w:rsidR="00840DA0" w:rsidRDefault="00840DA0" w:rsidP="00B7652D">
      <w:pPr>
        <w:pStyle w:val="Dotpoint1"/>
      </w:pPr>
      <w:r>
        <w:t>the item has a cost or value that can be measured with reliability.</w:t>
      </w:r>
    </w:p>
    <w:p w14:paraId="2223299A" w14:textId="77777777" w:rsidR="00840DA0" w:rsidRDefault="00840DA0" w:rsidP="00840DA0">
      <w:pPr>
        <w:pStyle w:val="ExampleHeading"/>
        <w:numPr>
          <w:ilvl w:val="3"/>
          <w:numId w:val="16"/>
        </w:numPr>
        <w:tabs>
          <w:tab w:val="num" w:pos="360"/>
        </w:tabs>
        <w:ind w:left="0" w:firstLine="0"/>
      </w:pPr>
      <w:r>
        <w:t>Reduction to Total Deferred Tax Adjustment Amount relating to deferred tax assets not meeting recognition criteria</w:t>
      </w:r>
    </w:p>
    <w:p w14:paraId="39FFB5B6" w14:textId="77777777" w:rsidR="00840DA0" w:rsidRDefault="00840DA0" w:rsidP="00840DA0">
      <w:pPr>
        <w:pStyle w:val="Exampletext"/>
      </w:pPr>
      <w:r>
        <w:t xml:space="preserve">In Year 1, a Constituent Entity generates a GloBE Loss and local tax loss of (100). No deferred tax asset is generated for financial accounting purposes because the recognition criteria have not been. met because there is no forecast of future profits. Consequently, a deferred tax asset of 15 (100 x 15%) is generated in Year 1. </w:t>
      </w:r>
    </w:p>
    <w:p w14:paraId="21EAECDF" w14:textId="77777777" w:rsidR="00840DA0" w:rsidRDefault="00840DA0" w:rsidP="00840DA0">
      <w:pPr>
        <w:pStyle w:val="Exampletext"/>
      </w:pPr>
      <w:r>
        <w:t>In Year 2, the Constituent Entity does not have a taxable income or loss or GloBE Income or Loss, however, the future forecasts change and the DTA of 15 is recorded for financial accounting purposes because the recognition criteria are met, but this is excluded because of paragraph 4-75(2)(c).</w:t>
      </w:r>
    </w:p>
    <w:p w14:paraId="4C8DF41D" w14:textId="77777777" w:rsidR="00840DA0" w:rsidRDefault="00840DA0" w:rsidP="00840DA0">
      <w:pPr>
        <w:pStyle w:val="Exampletext"/>
      </w:pPr>
      <w:r>
        <w:t>In Year 3, the Constituent Entity earns GloBE Income of 100 and applies its domestic tax loss carry-forward. The DTA of 15 is applied in Year 3.</w:t>
      </w:r>
    </w:p>
    <w:p w14:paraId="7CDAD2D9" w14:textId="77777777" w:rsidR="00840DA0" w:rsidRDefault="00840DA0" w:rsidP="00840DA0">
      <w:pPr>
        <w:pStyle w:val="Heading5"/>
        <w:numPr>
          <w:ilvl w:val="4"/>
          <w:numId w:val="2"/>
        </w:numPr>
      </w:pPr>
      <w:r>
        <w:t xml:space="preserve">Recasting Deferred Tax Assets at the Minimum Rate </w:t>
      </w:r>
    </w:p>
    <w:p w14:paraId="71D7D89F" w14:textId="4C7B51FA" w:rsidR="00840DA0" w:rsidRDefault="00840DA0" w:rsidP="00840DA0">
      <w:pPr>
        <w:pStyle w:val="Normalparatextwithnumbers"/>
        <w:numPr>
          <w:ilvl w:val="1"/>
          <w:numId w:val="16"/>
        </w:numPr>
      </w:pPr>
      <w:r>
        <w:t xml:space="preserve">If a deferred tax asset is generated due to a GloBE loss and has been recorded at a rate lower than 15 per cent then, then the deferred tax asset must be recast at the minimum rate of 15 per cent. The final figure after recasting is subtracted from the Total Deferred Tax Adjustment Amount.  </w:t>
      </w:r>
      <w:r>
        <w:br/>
      </w:r>
      <w:r w:rsidRPr="00911798">
        <w:rPr>
          <w:rStyle w:val="References"/>
        </w:rPr>
        <w:t>[Chapter 4, subsections 4-</w:t>
      </w:r>
      <w:r w:rsidR="00B64E32">
        <w:rPr>
          <w:rStyle w:val="References"/>
        </w:rPr>
        <w:t>8</w:t>
      </w:r>
      <w:r>
        <w:rPr>
          <w:rStyle w:val="References"/>
        </w:rPr>
        <w:t>5</w:t>
      </w:r>
      <w:r w:rsidRPr="00911798">
        <w:rPr>
          <w:rStyle w:val="References"/>
        </w:rPr>
        <w:t>(4) and (5) of the Rules]</w:t>
      </w:r>
    </w:p>
    <w:p w14:paraId="009E4D77" w14:textId="77777777" w:rsidR="00840DA0" w:rsidRPr="00D1322C" w:rsidRDefault="00840DA0" w:rsidP="00840DA0">
      <w:pPr>
        <w:pStyle w:val="Normalparatextwithnumbers"/>
        <w:numPr>
          <w:ilvl w:val="1"/>
          <w:numId w:val="16"/>
        </w:numPr>
      </w:pPr>
      <w:r>
        <w:t>T</w:t>
      </w:r>
      <w:r w:rsidRPr="0020785B">
        <w:t>he recast</w:t>
      </w:r>
      <w:r>
        <w:t xml:space="preserve">ing of the deferred tax asset </w:t>
      </w:r>
      <w:r w:rsidRPr="0020785B">
        <w:t xml:space="preserve">must be done in the Fiscal Year in which the </w:t>
      </w:r>
      <w:r w:rsidRPr="005D6AA5">
        <w:t>tax</w:t>
      </w:r>
      <w:r>
        <w:t xml:space="preserve"> </w:t>
      </w:r>
      <w:r w:rsidRPr="0020785B">
        <w:t xml:space="preserve">loss becomes a GloBE Loss to prevent distortive outcomes. </w:t>
      </w:r>
      <w:r>
        <w:t xml:space="preserve">As a result of </w:t>
      </w:r>
      <w:r w:rsidRPr="0020785B">
        <w:t xml:space="preserve">the </w:t>
      </w:r>
      <w:r>
        <w:t xml:space="preserve">recasting may increase the </w:t>
      </w:r>
      <w:r w:rsidRPr="0020785B">
        <w:t xml:space="preserve">deferred tax asset </w:t>
      </w:r>
      <w:r>
        <w:t>and consequently</w:t>
      </w:r>
      <w:r w:rsidRPr="0020785B">
        <w:t xml:space="preserve">, the </w:t>
      </w:r>
      <w:r w:rsidRPr="0020785B">
        <w:lastRenderedPageBreak/>
        <w:t xml:space="preserve">Total Deferred Tax Adjustment Amount is </w:t>
      </w:r>
      <w:r>
        <w:t xml:space="preserve">also </w:t>
      </w:r>
      <w:r w:rsidRPr="0020785B">
        <w:t xml:space="preserve">decreased by the amount of incremental deferred tax asset generated. </w:t>
      </w:r>
    </w:p>
    <w:p w14:paraId="540E91E4" w14:textId="77777777" w:rsidR="00840DA0" w:rsidRDefault="00840DA0" w:rsidP="00840DA0">
      <w:pPr>
        <w:pStyle w:val="Normalparatextwithnumbers"/>
        <w:numPr>
          <w:ilvl w:val="1"/>
          <w:numId w:val="16"/>
        </w:numPr>
      </w:pPr>
      <w:r>
        <w:t xml:space="preserve">This rule preserves the basic tenet that an amount of a GloBE Loss should offset GloBE Income of the same amount. </w:t>
      </w:r>
      <w:r w:rsidRPr="0020785B">
        <w:t xml:space="preserve">For example, recasting in a year after the GloBE Loss is incurred could result in such recast resulting in additional </w:t>
      </w:r>
      <w:r>
        <w:t>current</w:t>
      </w:r>
      <w:r w:rsidRPr="0020785B">
        <w:t xml:space="preserve"> </w:t>
      </w:r>
      <w:r>
        <w:t>top</w:t>
      </w:r>
      <w:r w:rsidRPr="0020785B">
        <w:t xml:space="preserve">-up </w:t>
      </w:r>
      <w:r>
        <w:t>tax</w:t>
      </w:r>
      <w:r w:rsidRPr="0020785B">
        <w:t xml:space="preserve"> under </w:t>
      </w:r>
      <w:r w:rsidRPr="005D6AA5">
        <w:t>section 4-</w:t>
      </w:r>
      <w:r>
        <w:t>30</w:t>
      </w:r>
      <w:r w:rsidRPr="005D6AA5">
        <w:t xml:space="preserve"> of the Rules.</w:t>
      </w:r>
      <w:r>
        <w:t xml:space="preserve"> It is at the discretion of the Constituent Entity to recast the deferred tax asset at the Minimum Rate of 15 per cent, if the deferred tax asset was recorded at a rate higher than 15 per cent.</w:t>
      </w:r>
    </w:p>
    <w:p w14:paraId="4DFFB27E" w14:textId="77777777" w:rsidR="00840DA0" w:rsidRDefault="00840DA0" w:rsidP="00840DA0">
      <w:pPr>
        <w:pStyle w:val="Heading4"/>
        <w:numPr>
          <w:ilvl w:val="3"/>
          <w:numId w:val="2"/>
        </w:numPr>
      </w:pPr>
      <w:r>
        <w:t>Recaptured Deferred Tax Liability and Recapture Exception Accrual</w:t>
      </w:r>
    </w:p>
    <w:p w14:paraId="656F68D5" w14:textId="5350B79A" w:rsidR="00840DA0" w:rsidRDefault="00840DA0" w:rsidP="00840DA0">
      <w:pPr>
        <w:pStyle w:val="Normalparatextwithnumbers"/>
        <w:numPr>
          <w:ilvl w:val="1"/>
          <w:numId w:val="16"/>
        </w:numPr>
      </w:pPr>
      <w:bookmarkStart w:id="150" w:name="_Ref159842773"/>
      <w:r>
        <w:t>The recapture rule ensures that deferred tax liabilities recorded with respect to categories that do not relate to specific policy allowed categories are settled within a certain period.</w:t>
      </w:r>
      <w:bookmarkEnd w:id="150"/>
      <w:r>
        <w:t xml:space="preserve">  </w:t>
      </w:r>
    </w:p>
    <w:p w14:paraId="7E15A424" w14:textId="77777777" w:rsidR="00840DA0" w:rsidRDefault="00840DA0" w:rsidP="00840DA0">
      <w:pPr>
        <w:pStyle w:val="Heading5"/>
        <w:numPr>
          <w:ilvl w:val="4"/>
          <w:numId w:val="2"/>
        </w:numPr>
      </w:pPr>
      <w:r>
        <w:t xml:space="preserve">Recaptured Deferred Tax Liability </w:t>
      </w:r>
    </w:p>
    <w:p w14:paraId="1F470772" w14:textId="77777777" w:rsidR="00840DA0" w:rsidRDefault="00840DA0" w:rsidP="00840DA0">
      <w:pPr>
        <w:pStyle w:val="Normalparatextwithnumbers"/>
        <w:numPr>
          <w:ilvl w:val="1"/>
          <w:numId w:val="16"/>
        </w:numPr>
      </w:pPr>
      <w:r>
        <w:t xml:space="preserve">Deferred tax liabilities that do not reverse within five years must be recaptured in the Fiscal Year in which the increase in the Recaptured Deferred Tax Liability was initially included in the Total Deferred Tax Adjustment Amount. This is only relevant for items of deferred tax liabilities that do not meet the specific policy-allowed categories defined under the Recapture Exception Accruals. </w:t>
      </w:r>
    </w:p>
    <w:p w14:paraId="02F55864" w14:textId="77777777" w:rsidR="00840DA0" w:rsidRDefault="00840DA0" w:rsidP="00840DA0">
      <w:pPr>
        <w:pStyle w:val="Normalparatextwithnumbers"/>
        <w:numPr>
          <w:ilvl w:val="1"/>
          <w:numId w:val="16"/>
        </w:numPr>
      </w:pPr>
      <w:r>
        <w:t xml:space="preserve">The Recaptured Deferred Tax Liability for a Constituent Entity for a Fiscal Year is the amount of a deferred tax liability that was included in the Total Deferred Tax Adjustment Amount for the Constituent Entity for the fifth preceding Fiscal Year and: </w:t>
      </w:r>
    </w:p>
    <w:p w14:paraId="194C9BBE" w14:textId="77777777" w:rsidR="00840DA0" w:rsidRDefault="00840DA0" w:rsidP="00B7652D">
      <w:pPr>
        <w:pStyle w:val="Dotpoint1"/>
      </w:pPr>
      <w:r>
        <w:t>has not reversed by the end of the last day of the Fiscal Year, and</w:t>
      </w:r>
    </w:p>
    <w:p w14:paraId="2AFF9055" w14:textId="42FD2967" w:rsidR="00840DA0" w:rsidRDefault="00840DA0" w:rsidP="00B7652D">
      <w:pPr>
        <w:pStyle w:val="Dotpoint1"/>
      </w:pPr>
      <w:r>
        <w:t>does not relate to a Recapture Exception Accrual.</w:t>
      </w:r>
      <w:r>
        <w:br/>
      </w:r>
      <w:r w:rsidRPr="00911798">
        <w:rPr>
          <w:rStyle w:val="References"/>
        </w:rPr>
        <w:t xml:space="preserve"> [Chapter 4, section 4-</w:t>
      </w:r>
      <w:r w:rsidR="00B64E32">
        <w:rPr>
          <w:rStyle w:val="References"/>
        </w:rPr>
        <w:t>10</w:t>
      </w:r>
      <w:r>
        <w:rPr>
          <w:rStyle w:val="References"/>
        </w:rPr>
        <w:t>5</w:t>
      </w:r>
      <w:r w:rsidRPr="00911798">
        <w:rPr>
          <w:rStyle w:val="References"/>
        </w:rPr>
        <w:t xml:space="preserve"> of the Rules]</w:t>
      </w:r>
    </w:p>
    <w:p w14:paraId="2950E239" w14:textId="0811C5AD" w:rsidR="00840DA0" w:rsidRPr="00A356F1" w:rsidRDefault="00840DA0" w:rsidP="00840DA0">
      <w:pPr>
        <w:pStyle w:val="Normalparatextwithnumbers"/>
        <w:numPr>
          <w:ilvl w:val="1"/>
          <w:numId w:val="16"/>
        </w:numPr>
        <w:rPr>
          <w:rStyle w:val="References"/>
          <w:b w:val="0"/>
          <w:bCs w:val="0"/>
          <w:i w:val="0"/>
          <w:iCs w:val="0"/>
        </w:rPr>
      </w:pPr>
      <w:r>
        <w:t xml:space="preserve">For a Fiscal Year where there is a Recaptured Deferred Tax Liability for a Constituent Entity, the amount of this Recaptured Deferred Tax Liability is treated as a reduction to Covered Taxes in the fifth preceding Fiscal Year. The ETR and </w:t>
      </w:r>
      <w:r w:rsidRPr="0013622E">
        <w:t>top-</w:t>
      </w:r>
      <w:r>
        <w:t xml:space="preserve">up </w:t>
      </w:r>
      <w:r w:rsidRPr="0013622E">
        <w:t>tax</w:t>
      </w:r>
      <w:r>
        <w:t xml:space="preserve"> of the fifth preceding year must be recalculated in accordance with Additional Current Top</w:t>
      </w:r>
      <w:r>
        <w:noBreakHyphen/>
        <w:t xml:space="preserve">up Tax under section 5-90 of the Rules. </w:t>
      </w:r>
      <w:r>
        <w:br/>
      </w:r>
      <w:r w:rsidRPr="00911798">
        <w:rPr>
          <w:rStyle w:val="References"/>
        </w:rPr>
        <w:t>[Chapter 4, section 4-</w:t>
      </w:r>
      <w:r w:rsidR="00604A38">
        <w:rPr>
          <w:rStyle w:val="References"/>
        </w:rPr>
        <w:t>10</w:t>
      </w:r>
      <w:r>
        <w:rPr>
          <w:rStyle w:val="References"/>
        </w:rPr>
        <w:t>0</w:t>
      </w:r>
      <w:r w:rsidRPr="00911798">
        <w:rPr>
          <w:rStyle w:val="References"/>
        </w:rPr>
        <w:t xml:space="preserve"> of the Rules]</w:t>
      </w:r>
    </w:p>
    <w:p w14:paraId="1F037A47" w14:textId="77777777" w:rsidR="00840DA0" w:rsidRDefault="00840DA0" w:rsidP="00840DA0">
      <w:pPr>
        <w:pStyle w:val="Heading5"/>
        <w:numPr>
          <w:ilvl w:val="4"/>
          <w:numId w:val="2"/>
        </w:numPr>
      </w:pPr>
      <w:r>
        <w:lastRenderedPageBreak/>
        <w:t>Recapture Exception Accrual</w:t>
      </w:r>
    </w:p>
    <w:p w14:paraId="6376B9E7" w14:textId="77777777" w:rsidR="00840DA0" w:rsidRDefault="00840DA0" w:rsidP="00840DA0">
      <w:pPr>
        <w:pStyle w:val="Normalparatextwithnumbers"/>
        <w:numPr>
          <w:ilvl w:val="1"/>
          <w:numId w:val="16"/>
        </w:numPr>
      </w:pPr>
      <w:r>
        <w:t xml:space="preserve">The Recapture Exception Accrual provides categories of deferred tax liabilities that do not need to be monitored for recapture under provisions relating to the Recaptured Deferred Tax Liability. </w:t>
      </w:r>
    </w:p>
    <w:p w14:paraId="5CC6B107" w14:textId="0A01D202" w:rsidR="00840DA0" w:rsidRDefault="00840DA0" w:rsidP="00840DA0">
      <w:pPr>
        <w:pStyle w:val="Normalparatextwithnumbers"/>
        <w:numPr>
          <w:ilvl w:val="1"/>
          <w:numId w:val="16"/>
        </w:numPr>
      </w:pPr>
      <w:r>
        <w:t xml:space="preserve">The list of Recapture Exception Accruals sets out the temporary differences that are both common in Inclusive Framework jurisdictions and are generally material to MNE Groups. Such temporary differences are typically tied to substantive activities in a jurisdiction or are differences that are not subject to taxpayer manipulation. Therefore, to reduce compliance burdens, these low-risk items that will reverse over time are not required to be monitored for recapture.  </w:t>
      </w:r>
      <w:r>
        <w:br/>
      </w:r>
      <w:r w:rsidRPr="00A356F1">
        <w:rPr>
          <w:rStyle w:val="References"/>
        </w:rPr>
        <w:t xml:space="preserve">[Chapter 4, </w:t>
      </w:r>
      <w:r w:rsidR="00DD73A8">
        <w:rPr>
          <w:rStyle w:val="References"/>
        </w:rPr>
        <w:t>paragraph</w:t>
      </w:r>
      <w:r w:rsidRPr="00A356F1">
        <w:rPr>
          <w:rStyle w:val="References"/>
        </w:rPr>
        <w:t xml:space="preserve"> 4-</w:t>
      </w:r>
      <w:r w:rsidR="00604A38">
        <w:rPr>
          <w:rStyle w:val="References"/>
        </w:rPr>
        <w:t>10</w:t>
      </w:r>
      <w:r>
        <w:rPr>
          <w:rStyle w:val="References"/>
        </w:rPr>
        <w:t>5</w:t>
      </w:r>
      <w:r w:rsidRPr="00A356F1">
        <w:rPr>
          <w:rStyle w:val="References"/>
        </w:rPr>
        <w:t>(c) and section 4-</w:t>
      </w:r>
      <w:r w:rsidR="00604A38">
        <w:rPr>
          <w:rStyle w:val="References"/>
        </w:rPr>
        <w:t>11</w:t>
      </w:r>
      <w:r>
        <w:rPr>
          <w:rStyle w:val="References"/>
        </w:rPr>
        <w:t>0 of the Rules</w:t>
      </w:r>
      <w:r w:rsidRPr="00A356F1">
        <w:rPr>
          <w:rStyle w:val="References"/>
        </w:rPr>
        <w:t>]</w:t>
      </w:r>
      <w:r>
        <w:t xml:space="preserve"> </w:t>
      </w:r>
    </w:p>
    <w:p w14:paraId="4D8238C7" w14:textId="77777777" w:rsidR="00840DA0" w:rsidRPr="00167665" w:rsidRDefault="00840DA0" w:rsidP="00840DA0">
      <w:pPr>
        <w:pStyle w:val="Heading6"/>
        <w:rPr>
          <w:rFonts w:hint="eastAsia"/>
        </w:rPr>
      </w:pPr>
      <w:r w:rsidRPr="00167665">
        <w:t>Cost recovery allowances on tangible assets</w:t>
      </w:r>
    </w:p>
    <w:p w14:paraId="17C8FEF7" w14:textId="65E7565A" w:rsidR="00840DA0" w:rsidRDefault="00840DA0" w:rsidP="00840DA0">
      <w:pPr>
        <w:pStyle w:val="Normalparatextwithnumbers"/>
        <w:numPr>
          <w:ilvl w:val="1"/>
          <w:numId w:val="16"/>
        </w:numPr>
      </w:pPr>
      <w:r>
        <w:t xml:space="preserve">Accelerated depreciation and immediate expensing regimes are common in Inclusive Framework jurisdictions and timing differences will generally reverse over the life of an asset. Therefore, the cost recovery allowances with respect to tangible assets is included as a category under Recapture Exception Accrual. Without the exclusion, the recapture mechanism could distort jurisdictional ETRs for assets that have a lifespan longer than the time set forth under the recapture rule.  </w:t>
      </w:r>
    </w:p>
    <w:p w14:paraId="14EA06F3" w14:textId="77777777" w:rsidR="00840DA0" w:rsidRDefault="00840DA0" w:rsidP="00840DA0">
      <w:pPr>
        <w:pStyle w:val="Normalparatextwithnumbers"/>
        <w:numPr>
          <w:ilvl w:val="1"/>
          <w:numId w:val="16"/>
        </w:numPr>
      </w:pPr>
      <w:r>
        <w:t>Whether an asset constitutes tangible property is evaluated under the accounting standard used to determine the FANIL of the Constituent Entity, which may include:</w:t>
      </w:r>
    </w:p>
    <w:p w14:paraId="71195B1C" w14:textId="77777777" w:rsidR="00840DA0" w:rsidRDefault="00840DA0" w:rsidP="00B7652D">
      <w:pPr>
        <w:pStyle w:val="Dotpoint1"/>
      </w:pPr>
      <w:r>
        <w:t xml:space="preserve">deferred tax liabilities arising in connection with differences in capitalized costs associated with the particular asset; </w:t>
      </w:r>
    </w:p>
    <w:p w14:paraId="74C94245" w14:textId="77777777" w:rsidR="00840DA0" w:rsidRDefault="00840DA0" w:rsidP="00B7652D">
      <w:pPr>
        <w:pStyle w:val="Dotpoint1"/>
      </w:pPr>
      <w:r>
        <w:t>natural resources, such as mineral deposits, timber, oil and gas reserves, and exploration and evaluation assets;</w:t>
      </w:r>
      <w:r w:rsidRPr="001965D5">
        <w:t xml:space="preserve"> </w:t>
      </w:r>
      <w:r>
        <w:t>or</w:t>
      </w:r>
    </w:p>
    <w:p w14:paraId="68005011" w14:textId="77777777" w:rsidR="00840DA0" w:rsidRDefault="00840DA0" w:rsidP="00B7652D">
      <w:pPr>
        <w:pStyle w:val="Dotpoint1"/>
      </w:pPr>
      <w:r>
        <w:t xml:space="preserve">tangible assets that have been leased. </w:t>
      </w:r>
    </w:p>
    <w:p w14:paraId="4F7696E7" w14:textId="77777777" w:rsidR="00B75370" w:rsidRDefault="00840DA0" w:rsidP="00840DA0">
      <w:pPr>
        <w:pStyle w:val="Normalparatextwithnumbers"/>
        <w:numPr>
          <w:ilvl w:val="1"/>
          <w:numId w:val="16"/>
        </w:numPr>
      </w:pPr>
      <w:r>
        <w:t xml:space="preserve">The Recapture Exception Accrual rule also extends to associated deferred tax liabilities where the relevant financial accounting rules require different treatments, such as capitalization of a broader range of costs than the relevant tax accounting rules or </w:t>
      </w:r>
      <w:r w:rsidRPr="00306C60">
        <w:t>timing differences between tax and accounting</w:t>
      </w:r>
      <w:r>
        <w:t xml:space="preserve">. </w:t>
      </w:r>
    </w:p>
    <w:p w14:paraId="6F0C97E1" w14:textId="170C571C" w:rsidR="00840DA0" w:rsidRDefault="00840DA0" w:rsidP="00840DA0">
      <w:pPr>
        <w:pStyle w:val="Normalparatextwithnumbers"/>
        <w:numPr>
          <w:ilvl w:val="1"/>
          <w:numId w:val="16"/>
        </w:numPr>
      </w:pPr>
      <w:r>
        <w:t xml:space="preserve">For example, mine, oil or gas exploration and development costs that are deducted as incurred or amortised over a brief period for tax purposes and capitalised into the natural resource asset for accounting purposes meet the definition of Recapture Exception Accrual. Similar extension of the Recapture Exception Accrual also applies where natural resources are eligible for an accelerated cost recovery method or other similar treatment in respect of associated costs.  </w:t>
      </w:r>
    </w:p>
    <w:p w14:paraId="512B8EAB" w14:textId="5289C188" w:rsidR="00840DA0" w:rsidRDefault="00840DA0" w:rsidP="00840DA0">
      <w:pPr>
        <w:pStyle w:val="Normalparatextwithnumbers"/>
        <w:numPr>
          <w:ilvl w:val="1"/>
          <w:numId w:val="16"/>
        </w:numPr>
      </w:pPr>
      <w:r>
        <w:lastRenderedPageBreak/>
        <w:t xml:space="preserve">For financial accounting purposes, tangible assets that have been leased is treated as a right of use that is depreciated and is a lease liability, as it is an obligation to make future lease payments. Upon initial recognition, the right to use the asset and the lease liability are equal and there is no net deferred tax asset or liability. Timing differences arise when local tax treatment of leased assets differs from accounting such that lease payments are treated as deductible operational expenses. When such timing differences arise, the Recapture Exception Accrual provides that they are not subject to the recapture rule. </w:t>
      </w:r>
      <w:r>
        <w:br/>
      </w:r>
      <w:r w:rsidRPr="0068712E">
        <w:rPr>
          <w:rStyle w:val="References"/>
        </w:rPr>
        <w:t xml:space="preserve"> [Chapter 4, </w:t>
      </w:r>
      <w:r w:rsidR="0054799D">
        <w:rPr>
          <w:rStyle w:val="References"/>
        </w:rPr>
        <w:t>paragraph</w:t>
      </w:r>
      <w:r w:rsidRPr="0068712E">
        <w:rPr>
          <w:rStyle w:val="References"/>
        </w:rPr>
        <w:t xml:space="preserve"> 4-</w:t>
      </w:r>
      <w:r w:rsidR="00604A38">
        <w:rPr>
          <w:rStyle w:val="References"/>
        </w:rPr>
        <w:t>11</w:t>
      </w:r>
      <w:r>
        <w:rPr>
          <w:rStyle w:val="References"/>
        </w:rPr>
        <w:t>0</w:t>
      </w:r>
      <w:r w:rsidRPr="0068712E">
        <w:rPr>
          <w:rStyle w:val="References"/>
        </w:rPr>
        <w:t>(a)</w:t>
      </w:r>
      <w:r>
        <w:rPr>
          <w:rStyle w:val="References"/>
        </w:rPr>
        <w:t xml:space="preserve"> of the Rules</w:t>
      </w:r>
      <w:r w:rsidRPr="0068712E">
        <w:rPr>
          <w:rStyle w:val="References"/>
        </w:rPr>
        <w:t>]</w:t>
      </w:r>
      <w:r>
        <w:t xml:space="preserve"> </w:t>
      </w:r>
    </w:p>
    <w:p w14:paraId="0F0D20BF" w14:textId="77777777" w:rsidR="00840DA0" w:rsidRPr="00167665" w:rsidRDefault="00840DA0" w:rsidP="00840DA0">
      <w:pPr>
        <w:pStyle w:val="Heading6"/>
        <w:rPr>
          <w:rFonts w:hint="eastAsia"/>
        </w:rPr>
      </w:pPr>
      <w:r w:rsidRPr="00167665">
        <w:t>Cost of licences or similar arrangements from the government</w:t>
      </w:r>
    </w:p>
    <w:p w14:paraId="36E7CED6" w14:textId="4EB8FFE9" w:rsidR="00C91783" w:rsidRPr="00C91783" w:rsidRDefault="00840DA0" w:rsidP="00840DA0">
      <w:pPr>
        <w:pStyle w:val="Normalparatextwithnumbers"/>
        <w:numPr>
          <w:ilvl w:val="1"/>
          <w:numId w:val="16"/>
        </w:numPr>
        <w:rPr>
          <w:rFonts w:cs="Times New Roman"/>
          <w:sz w:val="24"/>
          <w:szCs w:val="24"/>
          <w:lang w:eastAsia="en-AU"/>
        </w:rPr>
      </w:pPr>
      <w:r>
        <w:t>The Recapture Exception Accrual captures the cost of a licence or similar arrangement from the government, such as a lease or concession, for the use of immovable property or the exploitation of natural resources, where this entails significant investment in tangible assets. When the right also imposes an obligation to incur significant investment in tangible assets, the cost will be within this category.</w:t>
      </w:r>
      <w:r>
        <w:br/>
      </w:r>
      <w:r w:rsidRPr="0068712E">
        <w:rPr>
          <w:rStyle w:val="References"/>
        </w:rPr>
        <w:t xml:space="preserve">[Chapter 4, </w:t>
      </w:r>
      <w:r w:rsidR="0054799D">
        <w:rPr>
          <w:rStyle w:val="References"/>
        </w:rPr>
        <w:t>paragraph</w:t>
      </w:r>
      <w:r w:rsidRPr="0068712E">
        <w:rPr>
          <w:rStyle w:val="References"/>
        </w:rPr>
        <w:t xml:space="preserve"> 4-</w:t>
      </w:r>
      <w:r w:rsidR="00604A38">
        <w:rPr>
          <w:rStyle w:val="References"/>
        </w:rPr>
        <w:t>11</w:t>
      </w:r>
      <w:r>
        <w:rPr>
          <w:rStyle w:val="References"/>
        </w:rPr>
        <w:t>0</w:t>
      </w:r>
      <w:r w:rsidRPr="0068712E">
        <w:rPr>
          <w:rStyle w:val="References"/>
        </w:rPr>
        <w:t>(b)</w:t>
      </w:r>
      <w:r>
        <w:rPr>
          <w:rStyle w:val="References"/>
        </w:rPr>
        <w:t xml:space="preserve"> of the Rules</w:t>
      </w:r>
      <w:r w:rsidRPr="0068712E">
        <w:rPr>
          <w:rStyle w:val="References"/>
        </w:rPr>
        <w:t>]</w:t>
      </w:r>
      <w:r>
        <w:t xml:space="preserve">  </w:t>
      </w:r>
    </w:p>
    <w:p w14:paraId="05AE0513" w14:textId="2128D7B4" w:rsidR="00840DA0" w:rsidRPr="009D0B23" w:rsidRDefault="00840DA0" w:rsidP="00840DA0">
      <w:pPr>
        <w:pStyle w:val="Normalparatextwithnumbers"/>
        <w:numPr>
          <w:ilvl w:val="1"/>
          <w:numId w:val="16"/>
        </w:numPr>
        <w:rPr>
          <w:rFonts w:cs="Times New Roman"/>
          <w:sz w:val="24"/>
          <w:szCs w:val="24"/>
          <w:lang w:eastAsia="en-AU"/>
        </w:rPr>
      </w:pPr>
      <w:r>
        <w:t>A right to use immovable property includes licenses for the right to use radio spectrum for telecommunications services. For example, local tax laws may require the amortisation of a radio spectrum license over a 15</w:t>
      </w:r>
      <w:r>
        <w:noBreakHyphen/>
        <w:t>year period, whereas for financial accounting purposes the useful life of such asset has been determined to be 20 years. This category could also apply to cover the cost of a mining tenement obtained from a government</w:t>
      </w:r>
      <w:r>
        <w:rPr>
          <w:rFonts w:cs="Times New Roman"/>
          <w:sz w:val="24"/>
          <w:szCs w:val="24"/>
          <w:lang w:eastAsia="en-AU"/>
        </w:rPr>
        <w:t>.</w:t>
      </w:r>
    </w:p>
    <w:p w14:paraId="00055A89" w14:textId="77777777" w:rsidR="00840DA0" w:rsidRPr="00167665" w:rsidRDefault="00840DA0" w:rsidP="00840DA0">
      <w:pPr>
        <w:pStyle w:val="Heading6"/>
        <w:rPr>
          <w:rFonts w:hint="eastAsia"/>
        </w:rPr>
      </w:pPr>
      <w:r w:rsidRPr="00167665">
        <w:t>Research and development expenses</w:t>
      </w:r>
    </w:p>
    <w:p w14:paraId="686EE8D3" w14:textId="48639FC8" w:rsidR="00840DA0" w:rsidRDefault="00840DA0" w:rsidP="00840DA0">
      <w:pPr>
        <w:pStyle w:val="Normalparatextwithnumbers"/>
        <w:numPr>
          <w:ilvl w:val="1"/>
          <w:numId w:val="16"/>
        </w:numPr>
      </w:pPr>
      <w:r>
        <w:t xml:space="preserve">Many Inclusive Framework jurisdictions allow a deduction for research and development costs. On this basis and given the materiality of research and development expenses to MNE Groups, research and development expenses are included as a category under Recapture Exception Accrual. </w:t>
      </w:r>
      <w:r>
        <w:br/>
      </w:r>
      <w:r w:rsidRPr="00025157">
        <w:rPr>
          <w:rStyle w:val="References"/>
        </w:rPr>
        <w:t xml:space="preserve">[Chapter 4, </w:t>
      </w:r>
      <w:r w:rsidR="0054799D">
        <w:rPr>
          <w:rStyle w:val="References"/>
        </w:rPr>
        <w:t>paragraph</w:t>
      </w:r>
      <w:r w:rsidRPr="00025157">
        <w:rPr>
          <w:rStyle w:val="References"/>
        </w:rPr>
        <w:t xml:space="preserve"> 4-</w:t>
      </w:r>
      <w:r w:rsidR="00604A38">
        <w:rPr>
          <w:rStyle w:val="References"/>
        </w:rPr>
        <w:t>11</w:t>
      </w:r>
      <w:r>
        <w:rPr>
          <w:rStyle w:val="References"/>
        </w:rPr>
        <w:t>0</w:t>
      </w:r>
      <w:r w:rsidRPr="00025157">
        <w:rPr>
          <w:rStyle w:val="References"/>
        </w:rPr>
        <w:t>(c)</w:t>
      </w:r>
      <w:r>
        <w:rPr>
          <w:rStyle w:val="References"/>
        </w:rPr>
        <w:t xml:space="preserve"> of the Rules</w:t>
      </w:r>
      <w:r w:rsidRPr="00025157">
        <w:rPr>
          <w:rStyle w:val="References"/>
        </w:rPr>
        <w:t>]</w:t>
      </w:r>
    </w:p>
    <w:p w14:paraId="01E6C332" w14:textId="77777777" w:rsidR="00840DA0" w:rsidRDefault="00840DA0" w:rsidP="00840DA0">
      <w:pPr>
        <w:pStyle w:val="Normalparatextwithnumbers"/>
        <w:numPr>
          <w:ilvl w:val="1"/>
          <w:numId w:val="16"/>
        </w:numPr>
      </w:pPr>
      <w:r>
        <w:t xml:space="preserve">Research and development costs may be capitalised for financial accounting purposes, which may lead to unintended outcomes, including increased pressure on the application of accounting standards and differences in treatment depending upon the accounting standard utilised. </w:t>
      </w:r>
    </w:p>
    <w:p w14:paraId="0CDAFCA8" w14:textId="77777777" w:rsidR="00840DA0" w:rsidRPr="00167665" w:rsidRDefault="00840DA0" w:rsidP="00840DA0">
      <w:pPr>
        <w:pStyle w:val="Heading6"/>
        <w:rPr>
          <w:rFonts w:hint="eastAsia"/>
        </w:rPr>
      </w:pPr>
      <w:r w:rsidRPr="00167665">
        <w:t>De-commissioning and Remediation Expenses</w:t>
      </w:r>
    </w:p>
    <w:p w14:paraId="481B61F2" w14:textId="175B5A85" w:rsidR="00840DA0" w:rsidRDefault="00840DA0" w:rsidP="00840DA0">
      <w:pPr>
        <w:pStyle w:val="Normalparatextwithnumbers"/>
        <w:numPr>
          <w:ilvl w:val="1"/>
          <w:numId w:val="16"/>
        </w:numPr>
      </w:pPr>
      <w:r>
        <w:t>De-commissioning and remediation expenses are captured as a category in the Recapture Exception Accruals on the basis that Inclusive Framework jurisdictions generally allow the deduction of these de</w:t>
      </w:r>
      <w:r>
        <w:noBreakHyphen/>
        <w:t xml:space="preserve">commissioning and remediation costs that are expected to be incurred in the future and these expenses are material. </w:t>
      </w:r>
      <w:r>
        <w:br/>
      </w:r>
      <w:r w:rsidRPr="00025157">
        <w:rPr>
          <w:rStyle w:val="References"/>
        </w:rPr>
        <w:t xml:space="preserve">[Chapter 4, </w:t>
      </w:r>
      <w:r>
        <w:rPr>
          <w:rStyle w:val="References"/>
        </w:rPr>
        <w:t>paragraph</w:t>
      </w:r>
      <w:r w:rsidRPr="00025157">
        <w:rPr>
          <w:rStyle w:val="References"/>
        </w:rPr>
        <w:t xml:space="preserve"> 4-</w:t>
      </w:r>
      <w:r w:rsidR="00604A38">
        <w:rPr>
          <w:rStyle w:val="References"/>
        </w:rPr>
        <w:t>11</w:t>
      </w:r>
      <w:r>
        <w:rPr>
          <w:rStyle w:val="References"/>
        </w:rPr>
        <w:t>0</w:t>
      </w:r>
      <w:r w:rsidRPr="00025157">
        <w:rPr>
          <w:rStyle w:val="References"/>
        </w:rPr>
        <w:t>(d)</w:t>
      </w:r>
      <w:r>
        <w:rPr>
          <w:rStyle w:val="References"/>
        </w:rPr>
        <w:t xml:space="preserve"> of the Rules</w:t>
      </w:r>
      <w:r w:rsidRPr="00025157">
        <w:rPr>
          <w:rStyle w:val="References"/>
        </w:rPr>
        <w:t>]</w:t>
      </w:r>
    </w:p>
    <w:p w14:paraId="5D895220" w14:textId="77777777" w:rsidR="00840DA0" w:rsidRDefault="00840DA0" w:rsidP="00840DA0">
      <w:pPr>
        <w:pStyle w:val="Normalparatextwithnumbers"/>
        <w:numPr>
          <w:ilvl w:val="1"/>
          <w:numId w:val="16"/>
        </w:numPr>
      </w:pPr>
      <w:r>
        <w:lastRenderedPageBreak/>
        <w:t>These costs include the costs to de</w:t>
      </w:r>
      <w:r>
        <w:noBreakHyphen/>
        <w:t xml:space="preserve">commission certain types of assets upon reaching the end of their useful life and remediating the site environment. In some jurisdictions, however, these costs may not be deductible for tax purposes until the operation is decommissioned or the costs are paid. Some jurisdictions may allow a deduction based on contributions to a trust or similar fund that is created for purposes of funding the future reclamation or closure costs which may differ from the amount accrued as an expense in the financial accounts. Examples of assets may include oil rigs, a well, a mine, or a power plant.  </w:t>
      </w:r>
    </w:p>
    <w:p w14:paraId="782082A4" w14:textId="77777777" w:rsidR="00840DA0" w:rsidRDefault="00840DA0" w:rsidP="00840DA0">
      <w:pPr>
        <w:pStyle w:val="Normalparatextwithnumbers"/>
        <w:numPr>
          <w:ilvl w:val="1"/>
          <w:numId w:val="16"/>
        </w:numPr>
      </w:pPr>
      <w:r>
        <w:t xml:space="preserve">For example, in the natural resource extractive business, future reclamation and other closure costs stemming from ongoing production of a natural resource are generally expensed as the extraction progresses, despite the costs not being paid until after the mine or well is no longer productive. </w:t>
      </w:r>
    </w:p>
    <w:p w14:paraId="1240D8CC" w14:textId="77777777" w:rsidR="00840DA0" w:rsidRPr="00167665" w:rsidRDefault="00840DA0" w:rsidP="00840DA0">
      <w:pPr>
        <w:pStyle w:val="Heading6"/>
        <w:rPr>
          <w:rFonts w:hint="eastAsia"/>
        </w:rPr>
      </w:pPr>
      <w:r w:rsidRPr="00167665">
        <w:t>Fair value accounting on unrealised net gains</w:t>
      </w:r>
    </w:p>
    <w:p w14:paraId="5CC9D077" w14:textId="73BC65F9" w:rsidR="00840DA0" w:rsidRDefault="00840DA0" w:rsidP="00840DA0">
      <w:pPr>
        <w:pStyle w:val="Normalparatextwithnumbers"/>
        <w:numPr>
          <w:ilvl w:val="1"/>
          <w:numId w:val="16"/>
        </w:numPr>
      </w:pPr>
      <w:r>
        <w:t>Fair value accounting on unrealised gains is included as a Recapture Exception Accrual. The Recapture Exception Accrual for these gains only applies to the extent the fair value accounting is also applied for GloBE purposes. Therefore, this rule would not apply to the extent the MNE Group ha</w:t>
      </w:r>
      <w:r w:rsidR="00215DF2">
        <w:t xml:space="preserve">s </w:t>
      </w:r>
      <w:r>
        <w:t>elect</w:t>
      </w:r>
      <w:r w:rsidR="00215DF2">
        <w:t>ed to</w:t>
      </w:r>
      <w:r w:rsidR="00B41841">
        <w:t xml:space="preserve"> account for</w:t>
      </w:r>
      <w:r>
        <w:t xml:space="preserve"> </w:t>
      </w:r>
      <w:r w:rsidR="00FF58E4" w:rsidRPr="00FF58E4">
        <w:t xml:space="preserve">assets and liabilities </w:t>
      </w:r>
      <w:r w:rsidR="00B41841">
        <w:t xml:space="preserve">using </w:t>
      </w:r>
      <w:r w:rsidR="00FF58E4" w:rsidRPr="00FF58E4">
        <w:t>fair value or impairment accounting</w:t>
      </w:r>
      <w:r w:rsidR="00FF58E4">
        <w:t xml:space="preserve"> </w:t>
      </w:r>
      <w:r>
        <w:t>under subsection 3-15</w:t>
      </w:r>
      <w:r w:rsidR="00604A38">
        <w:t>0</w:t>
      </w:r>
      <w:r>
        <w:t xml:space="preserve">(1) of the Rules in relation to such gains. </w:t>
      </w:r>
      <w:r>
        <w:br/>
      </w:r>
      <w:r w:rsidRPr="00025157">
        <w:rPr>
          <w:rStyle w:val="References"/>
        </w:rPr>
        <w:t xml:space="preserve">[Chapter 4, </w:t>
      </w:r>
      <w:r>
        <w:rPr>
          <w:rStyle w:val="References"/>
        </w:rPr>
        <w:t>paragraph</w:t>
      </w:r>
      <w:r w:rsidRPr="00025157">
        <w:rPr>
          <w:rStyle w:val="References"/>
        </w:rPr>
        <w:t xml:space="preserve"> 4-</w:t>
      </w:r>
      <w:r w:rsidR="00604A38">
        <w:rPr>
          <w:rStyle w:val="References"/>
        </w:rPr>
        <w:t>11</w:t>
      </w:r>
      <w:r>
        <w:rPr>
          <w:rStyle w:val="References"/>
        </w:rPr>
        <w:t>0</w:t>
      </w:r>
      <w:r w:rsidRPr="00025157">
        <w:rPr>
          <w:rStyle w:val="References"/>
        </w:rPr>
        <w:t>(e)</w:t>
      </w:r>
      <w:r>
        <w:rPr>
          <w:rStyle w:val="References"/>
        </w:rPr>
        <w:t xml:space="preserve"> of the Rules</w:t>
      </w:r>
      <w:r w:rsidRPr="00025157">
        <w:rPr>
          <w:rStyle w:val="References"/>
        </w:rPr>
        <w:t>]</w:t>
      </w:r>
      <w:r>
        <w:t xml:space="preserve"> </w:t>
      </w:r>
    </w:p>
    <w:p w14:paraId="454F5493" w14:textId="77777777" w:rsidR="00840DA0" w:rsidRDefault="00840DA0" w:rsidP="00840DA0">
      <w:pPr>
        <w:pStyle w:val="Normalparatextwithnumbers"/>
        <w:numPr>
          <w:ilvl w:val="1"/>
          <w:numId w:val="16"/>
        </w:numPr>
      </w:pPr>
      <w:r>
        <w:t xml:space="preserve">Gains on such investments may not brought into account for tax purposes until such amounts have been realised through a sale or other disposition of the asset. The taxation of realised gains and losses is relatively common amongst Inclusive Framework jurisdictions and can give rise to temporary differences, which can often be material to MNE Groups, both in terms of amount and length of deferral. Some examples of fair value gains and losses for accounting purposes include increases in value of the investments assets of insurance companies or increases in the value of rights to timber held by a forestry company. </w:t>
      </w:r>
    </w:p>
    <w:p w14:paraId="0F6C6219" w14:textId="77777777" w:rsidR="00840DA0" w:rsidRPr="00167665" w:rsidRDefault="00840DA0" w:rsidP="00840DA0">
      <w:pPr>
        <w:pStyle w:val="Heading6"/>
        <w:rPr>
          <w:rFonts w:hint="eastAsia"/>
        </w:rPr>
      </w:pPr>
      <w:r w:rsidRPr="00385791">
        <w:t>Foreign currency exchange net gains</w:t>
      </w:r>
    </w:p>
    <w:p w14:paraId="4BFC12A0" w14:textId="1DA0E989" w:rsidR="00840DA0" w:rsidRDefault="00840DA0" w:rsidP="00840DA0">
      <w:pPr>
        <w:pStyle w:val="Normalparatextwithnumbers"/>
        <w:numPr>
          <w:ilvl w:val="1"/>
          <w:numId w:val="16"/>
        </w:numPr>
      </w:pPr>
      <w:r>
        <w:t xml:space="preserve">Net gains on foreign currency exchange are captured as a Recapture Exception Accrual. These foreign exchange gains and losses are generally recognised in the financial accounting income of a Constituent Entity. The monetary items such as payables, receivables, and loans that are denominated in a foreign currency, that is a currency different to the functional currency for of the Constituent Entity, are translated at the spot exchange rate at the reporting date for accounting purposes. However, domestic tax laws may not recognise these unrealised foreign exchange gains and losses until a realisation event occurs, such as a repayment of a loan. </w:t>
      </w:r>
      <w:r>
        <w:br/>
      </w:r>
      <w:r w:rsidRPr="00025157">
        <w:rPr>
          <w:rStyle w:val="References"/>
        </w:rPr>
        <w:t xml:space="preserve">[Chapter 4, </w:t>
      </w:r>
      <w:r>
        <w:rPr>
          <w:rStyle w:val="References"/>
        </w:rPr>
        <w:t>paragraph</w:t>
      </w:r>
      <w:r w:rsidRPr="00025157">
        <w:rPr>
          <w:rStyle w:val="References"/>
        </w:rPr>
        <w:t xml:space="preserve"> 4-</w:t>
      </w:r>
      <w:r w:rsidR="00604A38">
        <w:rPr>
          <w:rStyle w:val="References"/>
        </w:rPr>
        <w:t>11</w:t>
      </w:r>
      <w:r>
        <w:rPr>
          <w:rStyle w:val="References"/>
        </w:rPr>
        <w:t>0</w:t>
      </w:r>
      <w:r w:rsidRPr="00025157">
        <w:rPr>
          <w:rStyle w:val="References"/>
        </w:rPr>
        <w:t>(f)</w:t>
      </w:r>
      <w:r>
        <w:rPr>
          <w:rStyle w:val="References"/>
        </w:rPr>
        <w:t xml:space="preserve"> of the Rules</w:t>
      </w:r>
      <w:r w:rsidRPr="00025157">
        <w:rPr>
          <w:rStyle w:val="References"/>
        </w:rPr>
        <w:t>]</w:t>
      </w:r>
    </w:p>
    <w:p w14:paraId="20637126" w14:textId="77777777" w:rsidR="00840DA0" w:rsidRPr="00167665" w:rsidRDefault="00840DA0" w:rsidP="00840DA0">
      <w:pPr>
        <w:pStyle w:val="Heading6"/>
        <w:rPr>
          <w:rFonts w:hint="eastAsia"/>
        </w:rPr>
      </w:pPr>
      <w:r w:rsidRPr="00C272F4">
        <w:lastRenderedPageBreak/>
        <w:t>Insurance reserves and insurance policy deferred acquisition costs</w:t>
      </w:r>
    </w:p>
    <w:p w14:paraId="21F87D4C" w14:textId="28F84C1B" w:rsidR="00840DA0" w:rsidRDefault="00840DA0" w:rsidP="00840DA0">
      <w:pPr>
        <w:pStyle w:val="Normalparatextwithnumbers"/>
        <w:numPr>
          <w:ilvl w:val="1"/>
          <w:numId w:val="16"/>
        </w:numPr>
      </w:pPr>
      <w:r>
        <w:t xml:space="preserve">Given the commonality of treatment in Inclusive Framework jurisdictions and the materiality of insurance reserve amounts, insurance reserves are treated as Recapture Exception Accruals. These amounts are not prone to manipulation given that the timing rules are governed by regulatory requirements and accounting rules. </w:t>
      </w:r>
      <w:r>
        <w:br/>
      </w:r>
      <w:r w:rsidRPr="00025157">
        <w:rPr>
          <w:rStyle w:val="References"/>
        </w:rPr>
        <w:t xml:space="preserve">[Chapter 4, </w:t>
      </w:r>
      <w:r>
        <w:rPr>
          <w:rStyle w:val="References"/>
        </w:rPr>
        <w:t>paragraph</w:t>
      </w:r>
      <w:r w:rsidRPr="00025157">
        <w:rPr>
          <w:rStyle w:val="References"/>
        </w:rPr>
        <w:t xml:space="preserve"> 4-</w:t>
      </w:r>
      <w:r w:rsidR="00604A38">
        <w:rPr>
          <w:rStyle w:val="References"/>
        </w:rPr>
        <w:t>11</w:t>
      </w:r>
      <w:r>
        <w:rPr>
          <w:rStyle w:val="References"/>
        </w:rPr>
        <w:t>0</w:t>
      </w:r>
      <w:r w:rsidRPr="00025157">
        <w:rPr>
          <w:rStyle w:val="References"/>
        </w:rPr>
        <w:t>(g)</w:t>
      </w:r>
      <w:r>
        <w:rPr>
          <w:rStyle w:val="References"/>
        </w:rPr>
        <w:t xml:space="preserve"> of the Rules</w:t>
      </w:r>
      <w:r w:rsidRPr="00025157">
        <w:rPr>
          <w:rStyle w:val="References"/>
        </w:rPr>
        <w:t>]</w:t>
      </w:r>
    </w:p>
    <w:p w14:paraId="54EB92D1" w14:textId="77777777" w:rsidR="00840DA0" w:rsidRDefault="00840DA0" w:rsidP="00840DA0">
      <w:pPr>
        <w:pStyle w:val="Normalparatextwithnumbers"/>
        <w:numPr>
          <w:ilvl w:val="1"/>
          <w:numId w:val="16"/>
        </w:numPr>
      </w:pPr>
      <w:r>
        <w:t xml:space="preserve">Insurance companies generally collect premiums, invest such premiums, and pay claims with the earnings. When a premium is collected, it is known that some portion of the premium and earnings on such premium will be needed to pay claims, generally in a subsequent period. </w:t>
      </w:r>
    </w:p>
    <w:p w14:paraId="6C6C3D55" w14:textId="77777777" w:rsidR="00840DA0" w:rsidRDefault="00840DA0" w:rsidP="00840DA0">
      <w:pPr>
        <w:pStyle w:val="Normalparatextwithnumbers"/>
        <w:numPr>
          <w:ilvl w:val="1"/>
          <w:numId w:val="16"/>
        </w:numPr>
      </w:pPr>
      <w:r>
        <w:t xml:space="preserve">On the basis that jurisdictions generally allow a deduction with reference to the amount reserved for future claims, the full premium received is not subject to corporate income tax. The long-term nature of insurance contracts can also lead to significant timing differences, as a result of differences in tax rules and how insurance contracts are valued under different accounting standards. Whilst these amounts will eventually reverse over time, without the Recapture Exception Accrual capturing this category, significant distortions would arise with respect to the ETR for insurance companies due to the material timing differences between accounting and tax treatment. </w:t>
      </w:r>
    </w:p>
    <w:p w14:paraId="0F79C4D1" w14:textId="77777777" w:rsidR="00840DA0" w:rsidRDefault="00840DA0" w:rsidP="00840DA0">
      <w:pPr>
        <w:pStyle w:val="Normalparatextwithnumbers"/>
        <w:numPr>
          <w:ilvl w:val="1"/>
          <w:numId w:val="16"/>
        </w:numPr>
      </w:pPr>
      <w:r>
        <w:t xml:space="preserve">The reference to deferred acquisition costs may include the recognition of items relating to in-force contracts (for example, as part of an insurance business acquisition), where the insurer is required to recognise the difference in the fair value of the acquired insurance contracts and insurance obligations assumed on acquisition. </w:t>
      </w:r>
    </w:p>
    <w:p w14:paraId="4D803ECC" w14:textId="77777777" w:rsidR="00840DA0" w:rsidRDefault="00840DA0" w:rsidP="00840DA0">
      <w:pPr>
        <w:pStyle w:val="Normalparatextwithnumbers"/>
        <w:numPr>
          <w:ilvl w:val="1"/>
          <w:numId w:val="16"/>
        </w:numPr>
      </w:pPr>
      <w:r>
        <w:t xml:space="preserve">This item is commonly known as either value of business acquired, present value of in-force business, acquired value of in-force business, or value of business in-force, and may be recognised or disclosed together with another item, such as deferred acquisition costs, or as a separate item in financial statements for reporting purposes. </w:t>
      </w:r>
    </w:p>
    <w:p w14:paraId="4BF5ECC7" w14:textId="77777777" w:rsidR="00840DA0" w:rsidRDefault="00840DA0" w:rsidP="00840DA0">
      <w:pPr>
        <w:pStyle w:val="Normalparatextwithnumbers"/>
        <w:numPr>
          <w:ilvl w:val="1"/>
          <w:numId w:val="16"/>
        </w:numPr>
      </w:pPr>
      <w:r>
        <w:t xml:space="preserve">In either case, to the extent recognised or disclosed, it is intended that the Recapture Exception Accrual category includes such assets and liabilities. As is the case with deferred acquisition costs, this item is also amortised over a definite period, and can lead to material timing differences depending on local tax rules. </w:t>
      </w:r>
    </w:p>
    <w:p w14:paraId="348971E0" w14:textId="77777777" w:rsidR="00840DA0" w:rsidRPr="00167665" w:rsidRDefault="00840DA0" w:rsidP="00840DA0">
      <w:pPr>
        <w:pStyle w:val="Heading6"/>
        <w:rPr>
          <w:rFonts w:hint="eastAsia"/>
        </w:rPr>
      </w:pPr>
      <w:r w:rsidRPr="00AF2C7C">
        <w:t>Reinvestment in Tangible Property</w:t>
      </w:r>
    </w:p>
    <w:p w14:paraId="17E26137" w14:textId="77777777" w:rsidR="00840DA0" w:rsidRDefault="00840DA0" w:rsidP="00840DA0">
      <w:pPr>
        <w:pStyle w:val="Normalparatextwithnumbers"/>
        <w:numPr>
          <w:ilvl w:val="1"/>
          <w:numId w:val="16"/>
        </w:numPr>
      </w:pPr>
      <w:r>
        <w:t xml:space="preserve">Recapture Exception Accruals extends to deferred tax liabilities associated with gains from the sale of tangible property located in the same jurisdiction as the Constituent Entity that are reinvested in tangible property in the same jurisdiction. </w:t>
      </w:r>
    </w:p>
    <w:p w14:paraId="62B82F5B" w14:textId="77777777" w:rsidR="00840DA0" w:rsidRDefault="00840DA0" w:rsidP="00840DA0">
      <w:pPr>
        <w:pStyle w:val="Normalparatextwithnumbers"/>
        <w:numPr>
          <w:ilvl w:val="1"/>
          <w:numId w:val="16"/>
        </w:numPr>
      </w:pPr>
      <w:r>
        <w:t>Some Inclusive Framework jurisdictions permit a taxpayer to benefit from roll</w:t>
      </w:r>
      <w:r>
        <w:noBreakHyphen/>
        <w:t xml:space="preserve">over or deferral relief with respect to gain on the disposition of capital </w:t>
      </w:r>
      <w:r>
        <w:lastRenderedPageBreak/>
        <w:t xml:space="preserve">assets if reinvested into a replacement asset within a prescribed time period. The gain is not recognised but is treated as a reduction to the acquisition cost of the new asset, thereby preserving the gain for future taxation. Roll-over or deferral of gain treatment is equivalent to recognising the gain and then allowing an immediate expense of the same amount of the cost of the new asset. Therefore, to the extent that the asset is depreciable for accounting purposes, the roll-over or deferral is akin to accelerated depreciation and immediate expensing. </w:t>
      </w:r>
    </w:p>
    <w:p w14:paraId="4EFD8EA0" w14:textId="5E1422BB" w:rsidR="00840DA0" w:rsidRDefault="00840DA0" w:rsidP="00840DA0">
      <w:pPr>
        <w:pStyle w:val="Normalparatextwithnumbers"/>
        <w:numPr>
          <w:ilvl w:val="1"/>
          <w:numId w:val="16"/>
        </w:numPr>
      </w:pPr>
      <w:r>
        <w:t xml:space="preserve">In the case of land, the temporary difference will not reverse until the land is sold and the gain is not rolled over to a new investment. Such difference is material and common in Inclusive Framework jurisdictions, having characteristics </w:t>
      </w:r>
      <w:r w:rsidR="00F64D6D">
        <w:t>like</w:t>
      </w:r>
      <w:r>
        <w:t xml:space="preserve"> accelerated depreciation. This is because the underlying expenditure is directly connected with investment in tangible assets and the difference will reverse over a definite period. Strict adherence to financial accounting treatment with respect to such property could lead to unintended outcomes in GloBE calculations.</w:t>
      </w:r>
      <w:r>
        <w:br/>
      </w:r>
      <w:r w:rsidRPr="00025157">
        <w:rPr>
          <w:rStyle w:val="References"/>
        </w:rPr>
        <w:t xml:space="preserve">[Chapter 4, </w:t>
      </w:r>
      <w:r>
        <w:rPr>
          <w:rStyle w:val="References"/>
        </w:rPr>
        <w:t>paragraph</w:t>
      </w:r>
      <w:r w:rsidRPr="00025157">
        <w:rPr>
          <w:rStyle w:val="References"/>
        </w:rPr>
        <w:t xml:space="preserve"> 4-</w:t>
      </w:r>
      <w:r w:rsidR="00604A38">
        <w:rPr>
          <w:rStyle w:val="References"/>
        </w:rPr>
        <w:t>11</w:t>
      </w:r>
      <w:r>
        <w:rPr>
          <w:rStyle w:val="References"/>
        </w:rPr>
        <w:t>0</w:t>
      </w:r>
      <w:r w:rsidRPr="00025157">
        <w:rPr>
          <w:rStyle w:val="References"/>
        </w:rPr>
        <w:t>(h)</w:t>
      </w:r>
      <w:r>
        <w:rPr>
          <w:rStyle w:val="References"/>
        </w:rPr>
        <w:t xml:space="preserve"> of the Rules</w:t>
      </w:r>
      <w:r w:rsidRPr="00025157">
        <w:rPr>
          <w:rStyle w:val="References"/>
        </w:rPr>
        <w:t>]</w:t>
      </w:r>
    </w:p>
    <w:p w14:paraId="70555E6C" w14:textId="77777777" w:rsidR="00840DA0" w:rsidRPr="00167665" w:rsidRDefault="00840DA0" w:rsidP="00840DA0">
      <w:pPr>
        <w:pStyle w:val="Heading6"/>
        <w:rPr>
          <w:rFonts w:hint="eastAsia"/>
        </w:rPr>
      </w:pPr>
      <w:r w:rsidRPr="00167665">
        <w:t xml:space="preserve">Additional amounts as a result of accounting principle changes </w:t>
      </w:r>
    </w:p>
    <w:p w14:paraId="16144E52" w14:textId="73815D7D" w:rsidR="00840DA0" w:rsidRDefault="00840DA0" w:rsidP="00840DA0">
      <w:pPr>
        <w:pStyle w:val="Normalparatextwithnumbers"/>
        <w:numPr>
          <w:ilvl w:val="1"/>
          <w:numId w:val="16"/>
        </w:numPr>
      </w:pPr>
      <w:r>
        <w:t xml:space="preserve">Any deferred tax expense arising from a change in accounting principle with respect to any of the categories of the Recapture Exception Accrual definition will also be a Recapture Exception Accrual. </w:t>
      </w:r>
      <w:r>
        <w:br/>
      </w:r>
      <w:r w:rsidRPr="00025157">
        <w:rPr>
          <w:rStyle w:val="References"/>
        </w:rPr>
        <w:t xml:space="preserve">[Chapter 4, </w:t>
      </w:r>
      <w:r w:rsidR="00DC35C9">
        <w:rPr>
          <w:rStyle w:val="References"/>
        </w:rPr>
        <w:t>paragraph</w:t>
      </w:r>
      <w:r w:rsidRPr="00025157">
        <w:rPr>
          <w:rStyle w:val="References"/>
        </w:rPr>
        <w:t xml:space="preserve"> 4-</w:t>
      </w:r>
      <w:r w:rsidR="00604A38">
        <w:rPr>
          <w:rStyle w:val="References"/>
        </w:rPr>
        <w:t>11</w:t>
      </w:r>
      <w:r>
        <w:rPr>
          <w:rStyle w:val="References"/>
        </w:rPr>
        <w:t>0</w:t>
      </w:r>
      <w:r w:rsidRPr="00025157">
        <w:rPr>
          <w:rStyle w:val="References"/>
        </w:rPr>
        <w:t>(i)</w:t>
      </w:r>
      <w:r>
        <w:rPr>
          <w:rStyle w:val="References"/>
        </w:rPr>
        <w:t xml:space="preserve"> of the Rules</w:t>
      </w:r>
      <w:r w:rsidRPr="00025157">
        <w:rPr>
          <w:rStyle w:val="References"/>
        </w:rPr>
        <w:t>]</w:t>
      </w:r>
    </w:p>
    <w:p w14:paraId="240D67A6" w14:textId="77777777" w:rsidR="00840DA0" w:rsidRDefault="00840DA0" w:rsidP="00840DA0">
      <w:pPr>
        <w:pStyle w:val="Normalparatextwithnumbers"/>
        <w:numPr>
          <w:ilvl w:val="1"/>
          <w:numId w:val="16"/>
        </w:numPr>
      </w:pPr>
      <w:r>
        <w:t xml:space="preserve">For example, if a change in accounting principles or policies occurs in a Fiscal Year that results in additional deferred tax expense being accrued with respect to a previously recorded cost recovery allowance on tangible property, such accrual benefits from the Recapture Exception Accrual rule.  </w:t>
      </w:r>
    </w:p>
    <w:p w14:paraId="314E0633" w14:textId="3B118591" w:rsidR="00840DA0" w:rsidRDefault="00840DA0" w:rsidP="00B7652D">
      <w:pPr>
        <w:pStyle w:val="Heading5"/>
        <w:numPr>
          <w:ilvl w:val="4"/>
          <w:numId w:val="2"/>
        </w:numPr>
      </w:pPr>
      <w:bookmarkStart w:id="151" w:name="_Toc181104516"/>
      <w:bookmarkStart w:id="152" w:name="_Toc183786653"/>
      <w:r>
        <w:t>GloBE Loss Election</w:t>
      </w:r>
      <w:bookmarkEnd w:id="151"/>
      <w:bookmarkEnd w:id="152"/>
      <w:r>
        <w:t xml:space="preserve"> </w:t>
      </w:r>
    </w:p>
    <w:p w14:paraId="1950A387" w14:textId="77777777" w:rsidR="00840DA0" w:rsidRDefault="00840DA0" w:rsidP="00840DA0">
      <w:pPr>
        <w:pStyle w:val="Normalparatextwithnumbers"/>
        <w:numPr>
          <w:ilvl w:val="1"/>
          <w:numId w:val="16"/>
        </w:numPr>
      </w:pPr>
      <w:r>
        <w:t>Part 4-5 of the Rules provides an elective rule to effectively carry GloBE losses forward with a deemed deferred tax asset</w:t>
      </w:r>
      <w:r w:rsidRPr="00CC0D89">
        <w:t xml:space="preserve"> </w:t>
      </w:r>
      <w:r>
        <w:t>for Constituent Entities located in the same jurisdiction. A separate GloBE Loss Election may be made for a Flow</w:t>
      </w:r>
      <w:r>
        <w:noBreakHyphen/>
        <w:t xml:space="preserve">through UPE. </w:t>
      </w:r>
    </w:p>
    <w:p w14:paraId="459E3315" w14:textId="3B42CC5C" w:rsidR="00840DA0" w:rsidRDefault="00840DA0" w:rsidP="00840DA0">
      <w:pPr>
        <w:pStyle w:val="Normalparatextwithnumbers"/>
        <w:numPr>
          <w:ilvl w:val="1"/>
          <w:numId w:val="16"/>
        </w:numPr>
      </w:pPr>
      <w:r>
        <w:t>When elected, Part 4-5 applies in lieu of the modified deferred tax accounting rules in Part 4-4.</w:t>
      </w:r>
      <w:r w:rsidRPr="00965EC6">
        <w:rPr>
          <w:sz w:val="20"/>
          <w:szCs w:val="20"/>
        </w:rPr>
        <w:t xml:space="preserve"> </w:t>
      </w:r>
      <w:r>
        <w:br/>
      </w:r>
      <w:r w:rsidRPr="001E2913">
        <w:rPr>
          <w:rStyle w:val="References"/>
        </w:rPr>
        <w:t xml:space="preserve">[Chapter 4, </w:t>
      </w:r>
      <w:r>
        <w:rPr>
          <w:rStyle w:val="References"/>
        </w:rPr>
        <w:t>paragraphs</w:t>
      </w:r>
      <w:r w:rsidRPr="001E2913">
        <w:rPr>
          <w:rStyle w:val="References"/>
        </w:rPr>
        <w:t xml:space="preserve"> 4-</w:t>
      </w:r>
      <w:r>
        <w:rPr>
          <w:rStyle w:val="References"/>
        </w:rPr>
        <w:t>1</w:t>
      </w:r>
      <w:r w:rsidR="00604A38">
        <w:rPr>
          <w:rStyle w:val="References"/>
        </w:rPr>
        <w:t>2</w:t>
      </w:r>
      <w:r>
        <w:rPr>
          <w:rStyle w:val="References"/>
        </w:rPr>
        <w:t>5</w:t>
      </w:r>
      <w:r w:rsidRPr="001E2913">
        <w:rPr>
          <w:rStyle w:val="References"/>
        </w:rPr>
        <w:t>(1)(a)</w:t>
      </w:r>
      <w:r>
        <w:rPr>
          <w:rStyle w:val="References"/>
        </w:rPr>
        <w:t xml:space="preserve"> and 4</w:t>
      </w:r>
      <w:r>
        <w:rPr>
          <w:rStyle w:val="References"/>
        </w:rPr>
        <w:noBreakHyphen/>
        <w:t>1</w:t>
      </w:r>
      <w:r w:rsidR="00604A38">
        <w:rPr>
          <w:rStyle w:val="References"/>
        </w:rPr>
        <w:t>35</w:t>
      </w:r>
      <w:r w:rsidRPr="001E2913">
        <w:rPr>
          <w:rStyle w:val="References"/>
        </w:rPr>
        <w:t>(1)(a)</w:t>
      </w:r>
      <w:r>
        <w:rPr>
          <w:rStyle w:val="References"/>
        </w:rPr>
        <w:t xml:space="preserve"> of the Rules</w:t>
      </w:r>
      <w:r w:rsidRPr="001E2913">
        <w:rPr>
          <w:rStyle w:val="References"/>
        </w:rPr>
        <w:t>]</w:t>
      </w:r>
      <w:r>
        <w:t xml:space="preserve"> </w:t>
      </w:r>
    </w:p>
    <w:p w14:paraId="611A7994" w14:textId="777E2F39" w:rsidR="00840DA0" w:rsidRDefault="00840DA0" w:rsidP="00840DA0">
      <w:pPr>
        <w:pStyle w:val="Normalparatextwithnumbers"/>
        <w:numPr>
          <w:ilvl w:val="1"/>
          <w:numId w:val="16"/>
        </w:numPr>
      </w:pPr>
      <w:r>
        <w:t>Part 4-5 of the Rules is generally expected to be of greatest utility as a simplification in jurisdictions that do not impose a corporate income tax or impose one at a very low rate given that when the election is made (since Part 4-4 of the Rules no longer applies and temporary differences may result in top</w:t>
      </w:r>
      <w:r>
        <w:noBreakHyphen/>
        <w:t xml:space="preserve">up tax). </w:t>
      </w:r>
      <w:r w:rsidRPr="00AC018F">
        <w:t>It is also not expected that the generation of a GloBE Loss Deferred Tax Asset under Part 4-5 of the Rules will result in top-up tax under the special rule under section 4-30</w:t>
      </w:r>
      <w:r w:rsidR="001A4E1D">
        <w:t xml:space="preserve"> of the Rules</w:t>
      </w:r>
      <w:r w:rsidRPr="00AC018F">
        <w:t xml:space="preserve">.  </w:t>
      </w:r>
    </w:p>
    <w:p w14:paraId="4FB71182" w14:textId="77777777" w:rsidR="00840DA0" w:rsidRDefault="00840DA0" w:rsidP="00840DA0">
      <w:pPr>
        <w:pStyle w:val="Heading5"/>
        <w:numPr>
          <w:ilvl w:val="4"/>
          <w:numId w:val="2"/>
        </w:numPr>
      </w:pPr>
      <w:r w:rsidRPr="00A11D6C">
        <w:lastRenderedPageBreak/>
        <w:t>Conditions for</w:t>
      </w:r>
      <w:r>
        <w:t xml:space="preserve"> making a GloBE Loss Election </w:t>
      </w:r>
    </w:p>
    <w:p w14:paraId="3D2793E6" w14:textId="18D836AC" w:rsidR="00840DA0" w:rsidRDefault="00840DA0" w:rsidP="00840DA0">
      <w:pPr>
        <w:pStyle w:val="Normalparatextwithnumbers"/>
        <w:numPr>
          <w:ilvl w:val="1"/>
          <w:numId w:val="16"/>
        </w:numPr>
      </w:pPr>
      <w:r>
        <w:t xml:space="preserve">A Filing Constituent Entity may make a GloBE Loss Election </w:t>
      </w:r>
      <w:r w:rsidR="004405A7">
        <w:t xml:space="preserve">for </w:t>
      </w:r>
      <w:r>
        <w:t>any jurisdiction that has a GloBE Loss for a Fiscal Year for an MNE Group, if:</w:t>
      </w:r>
    </w:p>
    <w:p w14:paraId="3261B912" w14:textId="77777777" w:rsidR="00840DA0" w:rsidRDefault="00840DA0" w:rsidP="00B7652D">
      <w:pPr>
        <w:pStyle w:val="Dotpoint1"/>
      </w:pPr>
      <w:r w:rsidRPr="00160111">
        <w:t>the jurisdiction in which it is located does not have an Eligible Distribution Tax System</w:t>
      </w:r>
      <w:r w:rsidRPr="00FA1FA0">
        <w:t>; and</w:t>
      </w:r>
    </w:p>
    <w:p w14:paraId="6A05AB32" w14:textId="5143810F" w:rsidR="00840DA0" w:rsidRPr="009D0B23" w:rsidRDefault="00840DA0" w:rsidP="00B7652D">
      <w:pPr>
        <w:pStyle w:val="Dotpoint1"/>
        <w:rPr>
          <w:rStyle w:val="References"/>
          <w:b w:val="0"/>
          <w:bCs w:val="0"/>
          <w:i w:val="0"/>
          <w:iCs w:val="0"/>
        </w:rPr>
      </w:pPr>
      <w:r w:rsidRPr="00160111">
        <w:t xml:space="preserve">the </w:t>
      </w:r>
      <w:r>
        <w:t>e</w:t>
      </w:r>
      <w:r w:rsidRPr="00160111">
        <w:t xml:space="preserve">lection is </w:t>
      </w:r>
      <w:r>
        <w:t xml:space="preserve">made in </w:t>
      </w:r>
      <w:r w:rsidRPr="00160111">
        <w:t>the first GloBE Information Return of the MNE Group</w:t>
      </w:r>
      <w:r>
        <w:t xml:space="preserve"> for the first Fiscal Year in respect of which </w:t>
      </w:r>
      <w:r w:rsidRPr="00CC6206">
        <w:t>subsection 8</w:t>
      </w:r>
      <w:r>
        <w:noBreakHyphen/>
      </w:r>
      <w:r w:rsidRPr="00CC6206">
        <w:t>5(1) (Transitional CbCR Safe Harbour) does not apply in relation to the MNE Group, the jurisdiction</w:t>
      </w:r>
      <w:r w:rsidR="00F64D6D" w:rsidRPr="00CC6206">
        <w:t>,</w:t>
      </w:r>
      <w:r w:rsidRPr="00CC6206">
        <w:t xml:space="preserve"> and the Fiscal Year</w:t>
      </w:r>
      <w:r>
        <w:t>.</w:t>
      </w:r>
      <w:r>
        <w:br/>
      </w:r>
      <w:r w:rsidRPr="0031159B">
        <w:rPr>
          <w:rStyle w:val="References"/>
        </w:rPr>
        <w:t>[Chapter 4, subsections 4-1</w:t>
      </w:r>
      <w:r w:rsidR="00604A38">
        <w:rPr>
          <w:rStyle w:val="References"/>
        </w:rPr>
        <w:t>2</w:t>
      </w:r>
      <w:r w:rsidRPr="0031159B" w:rsidDel="00604A38">
        <w:rPr>
          <w:rStyle w:val="References"/>
        </w:rPr>
        <w:t>0</w:t>
      </w:r>
      <w:r>
        <w:rPr>
          <w:rStyle w:val="References"/>
        </w:rPr>
        <w:t xml:space="preserve">(1) and </w:t>
      </w:r>
      <w:r w:rsidRPr="0031159B">
        <w:rPr>
          <w:rStyle w:val="References"/>
        </w:rPr>
        <w:t>(2) and 4-1</w:t>
      </w:r>
      <w:r w:rsidR="00604A38">
        <w:rPr>
          <w:rStyle w:val="References"/>
        </w:rPr>
        <w:t>30</w:t>
      </w:r>
      <w:r w:rsidRPr="0031159B">
        <w:rPr>
          <w:rStyle w:val="References"/>
        </w:rPr>
        <w:t>(1)</w:t>
      </w:r>
      <w:r>
        <w:rPr>
          <w:rStyle w:val="References"/>
        </w:rPr>
        <w:t xml:space="preserve"> </w:t>
      </w:r>
      <w:r w:rsidRPr="0031159B">
        <w:rPr>
          <w:rStyle w:val="References"/>
        </w:rPr>
        <w:t>of Rules]</w:t>
      </w:r>
    </w:p>
    <w:p w14:paraId="76859E30" w14:textId="77777777" w:rsidR="00840DA0" w:rsidRDefault="00840DA0" w:rsidP="00840DA0">
      <w:pPr>
        <w:pStyle w:val="Normalparatextwithnumbers"/>
        <w:numPr>
          <w:ilvl w:val="1"/>
          <w:numId w:val="16"/>
        </w:numPr>
      </w:pPr>
      <w:r>
        <w:t xml:space="preserve">The requirement to only make the GloBE Loss Election once in the first GloBE information return that the Transitional CbC Reporting Safe Harbour does not apply is ensures that MNE Groups cannot opt in and out of the election as this could lead to potential distortions. </w:t>
      </w:r>
    </w:p>
    <w:p w14:paraId="7F128F65" w14:textId="77777777" w:rsidR="00840DA0" w:rsidRDefault="00840DA0" w:rsidP="00840DA0">
      <w:pPr>
        <w:pStyle w:val="Normalparatextwithnumbers"/>
        <w:numPr>
          <w:ilvl w:val="1"/>
          <w:numId w:val="16"/>
        </w:numPr>
      </w:pPr>
      <w:r>
        <w:t xml:space="preserve">The limitation to exclude jurisdictions with an Eligible Distribution Tax System is to prevent an overstated ETR for such jurisdictions, given that distribution tax is only applicable when positive earnings are distributed.  </w:t>
      </w:r>
    </w:p>
    <w:p w14:paraId="06140E8E" w14:textId="17335482" w:rsidR="00840DA0" w:rsidRDefault="00840DA0" w:rsidP="00840DA0">
      <w:pPr>
        <w:pStyle w:val="Normalparatextwithnumbers"/>
        <w:numPr>
          <w:ilvl w:val="1"/>
          <w:numId w:val="16"/>
        </w:numPr>
      </w:pPr>
      <w:bookmarkStart w:id="153" w:name="_Ref183784803"/>
      <w:r>
        <w:t xml:space="preserve">A Filing Constituent Entity may make a separate election for the UPE that is a </w:t>
      </w:r>
      <w:r w:rsidRPr="00FA1FA0">
        <w:t>Flow</w:t>
      </w:r>
      <w:r>
        <w:noBreakHyphen/>
      </w:r>
      <w:r w:rsidRPr="00FA1FA0">
        <w:t>through Entity</w:t>
      </w:r>
      <w:r>
        <w:t>, provided that the same conditions above are met. The GloBE Loss election that exclusively applies to the Flow</w:t>
      </w:r>
      <w:r>
        <w:noBreakHyphen/>
        <w:t>through UPE can apply simultaneously to the GloBE Loss election for the MNE Group. This has the effect that even if a GloBE Loss Election has been made for the jurisdiction in which the UPE Flow</w:t>
      </w:r>
      <w:r>
        <w:noBreakHyphen/>
        <w:t xml:space="preserve">through </w:t>
      </w:r>
      <w:r w:rsidR="00BB3B96">
        <w:t>E</w:t>
      </w:r>
      <w:r>
        <w:t xml:space="preserve">ntity is located, other Constituent Entities are not aggregated with the Flow-through Entity that is a UPE. </w:t>
      </w:r>
      <w:r>
        <w:br/>
      </w:r>
      <w:r w:rsidRPr="00594F8E">
        <w:rPr>
          <w:rStyle w:val="References"/>
        </w:rPr>
        <w:t>[Chapter 4, subsection 4-1</w:t>
      </w:r>
      <w:r w:rsidR="00BB3B96">
        <w:rPr>
          <w:rStyle w:val="References"/>
        </w:rPr>
        <w:t>30</w:t>
      </w:r>
      <w:r w:rsidRPr="00594F8E">
        <w:rPr>
          <w:rStyle w:val="References"/>
        </w:rPr>
        <w:t>(1) of Rules]</w:t>
      </w:r>
      <w:bookmarkEnd w:id="153"/>
    </w:p>
    <w:p w14:paraId="4A7F109D" w14:textId="77777777" w:rsidR="00840DA0" w:rsidRPr="00AD5C29" w:rsidRDefault="00840DA0" w:rsidP="00840DA0">
      <w:pPr>
        <w:pStyle w:val="Heading6"/>
        <w:rPr>
          <w:rFonts w:hint="eastAsia"/>
        </w:rPr>
      </w:pPr>
      <w:r>
        <w:t xml:space="preserve">Application and revocation of election </w:t>
      </w:r>
    </w:p>
    <w:p w14:paraId="07AD2544" w14:textId="77777777" w:rsidR="00840DA0" w:rsidRPr="00652FE4" w:rsidRDefault="00840DA0" w:rsidP="00840DA0">
      <w:pPr>
        <w:pStyle w:val="Normalparatextwithnumbers"/>
        <w:numPr>
          <w:ilvl w:val="1"/>
          <w:numId w:val="16"/>
        </w:numPr>
        <w:rPr>
          <w:b/>
          <w:bCs/>
          <w:i/>
          <w:iCs/>
        </w:rPr>
      </w:pPr>
      <w:r>
        <w:t xml:space="preserve">Unless the GloBE Loss Election </w:t>
      </w:r>
      <w:r w:rsidRPr="00652FE4">
        <w:t xml:space="preserve">for the MNE Group or UPE </w:t>
      </w:r>
      <w:r>
        <w:t>is revoked, it applies to</w:t>
      </w:r>
      <w:r w:rsidRPr="00652FE4">
        <w:t>:</w:t>
      </w:r>
    </w:p>
    <w:p w14:paraId="187B4718" w14:textId="77777777" w:rsidR="00840DA0" w:rsidRDefault="00840DA0" w:rsidP="00B7652D">
      <w:pPr>
        <w:pStyle w:val="Dotpoint1"/>
      </w:pPr>
      <w:r>
        <w:t>the Fiscal Year for which the GloBE Information Return for the Applicable MNE Group that records the election is filed by the Filing Constituent Entity</w:t>
      </w:r>
      <w:r w:rsidRPr="004610CF">
        <w:t>;</w:t>
      </w:r>
      <w:r>
        <w:t xml:space="preserve"> and</w:t>
      </w:r>
    </w:p>
    <w:p w14:paraId="4C632FB2" w14:textId="5BB8FF1E" w:rsidR="00840DA0" w:rsidRDefault="00840DA0" w:rsidP="00B7652D">
      <w:pPr>
        <w:pStyle w:val="Dotpoint1"/>
      </w:pPr>
      <w:r>
        <w:t xml:space="preserve">each subsequent Fiscal Year. </w:t>
      </w:r>
      <w:r>
        <w:br/>
      </w:r>
      <w:r w:rsidRPr="001E2913">
        <w:rPr>
          <w:rStyle w:val="References"/>
        </w:rPr>
        <w:t xml:space="preserve">[Chapter 4, </w:t>
      </w:r>
      <w:r>
        <w:rPr>
          <w:rStyle w:val="References"/>
        </w:rPr>
        <w:t>sub</w:t>
      </w:r>
      <w:r w:rsidRPr="001E2913">
        <w:rPr>
          <w:rStyle w:val="References"/>
        </w:rPr>
        <w:t>section</w:t>
      </w:r>
      <w:r>
        <w:rPr>
          <w:rStyle w:val="References"/>
        </w:rPr>
        <w:t>s</w:t>
      </w:r>
      <w:r w:rsidRPr="001E2913">
        <w:rPr>
          <w:rStyle w:val="References"/>
        </w:rPr>
        <w:t xml:space="preserve"> 4-</w:t>
      </w:r>
      <w:r>
        <w:rPr>
          <w:rStyle w:val="References"/>
        </w:rPr>
        <w:t>1</w:t>
      </w:r>
      <w:r w:rsidR="00BB3B96">
        <w:rPr>
          <w:rStyle w:val="References"/>
        </w:rPr>
        <w:t>2</w:t>
      </w:r>
      <w:r w:rsidDel="00BB3B96">
        <w:rPr>
          <w:rStyle w:val="References"/>
        </w:rPr>
        <w:t>0</w:t>
      </w:r>
      <w:r w:rsidRPr="001E2913">
        <w:rPr>
          <w:rStyle w:val="References"/>
        </w:rPr>
        <w:t>(3)</w:t>
      </w:r>
      <w:r>
        <w:rPr>
          <w:rStyle w:val="References"/>
        </w:rPr>
        <w:t xml:space="preserve"> and 4</w:t>
      </w:r>
      <w:r>
        <w:rPr>
          <w:rStyle w:val="References"/>
        </w:rPr>
        <w:noBreakHyphen/>
        <w:t>1</w:t>
      </w:r>
      <w:r w:rsidR="00BB3B96">
        <w:rPr>
          <w:rStyle w:val="References"/>
        </w:rPr>
        <w:t>30</w:t>
      </w:r>
      <w:r>
        <w:rPr>
          <w:rStyle w:val="References"/>
        </w:rPr>
        <w:t>(2) of the Rules</w:t>
      </w:r>
      <w:r w:rsidRPr="001E2913">
        <w:rPr>
          <w:rStyle w:val="References"/>
        </w:rPr>
        <w:t>]</w:t>
      </w:r>
    </w:p>
    <w:p w14:paraId="1429A08D" w14:textId="76D69B4A" w:rsidR="00840DA0" w:rsidRDefault="00840DA0" w:rsidP="00840DA0">
      <w:pPr>
        <w:pStyle w:val="Normalparatextwithnumbers"/>
        <w:numPr>
          <w:ilvl w:val="1"/>
          <w:numId w:val="16"/>
        </w:numPr>
      </w:pPr>
      <w:r>
        <w:t>A Filing Constituent Entity for the MNE Group may revoke a GloBE Loss Election for an MNE Group or for the UPE Flow</w:t>
      </w:r>
      <w:r>
        <w:noBreakHyphen/>
        <w:t>through Entity. When revoked, the election does not apply to the Fiscal Year for which the GloBE Information Return for the Applicable MNE Group that records the revocation is filed by the Filing Constituent Entity and each subsequent Fiscal Year.</w:t>
      </w:r>
      <w:r>
        <w:br/>
      </w:r>
      <w:r w:rsidRPr="001E2913">
        <w:rPr>
          <w:rStyle w:val="References"/>
        </w:rPr>
        <w:t xml:space="preserve">[Chapter 4, </w:t>
      </w:r>
      <w:r>
        <w:rPr>
          <w:rStyle w:val="References"/>
        </w:rPr>
        <w:t>sub</w:t>
      </w:r>
      <w:r w:rsidRPr="001E2913">
        <w:rPr>
          <w:rStyle w:val="References"/>
        </w:rPr>
        <w:t>section</w:t>
      </w:r>
      <w:r>
        <w:rPr>
          <w:rStyle w:val="References"/>
        </w:rPr>
        <w:t>s</w:t>
      </w:r>
      <w:r w:rsidRPr="001E2913">
        <w:rPr>
          <w:rStyle w:val="References"/>
        </w:rPr>
        <w:t xml:space="preserve"> 4-</w:t>
      </w:r>
      <w:r>
        <w:rPr>
          <w:rStyle w:val="References"/>
        </w:rPr>
        <w:t>1</w:t>
      </w:r>
      <w:r w:rsidR="00BB3B96">
        <w:rPr>
          <w:rStyle w:val="References"/>
        </w:rPr>
        <w:t>2</w:t>
      </w:r>
      <w:r w:rsidDel="00BB3B96">
        <w:rPr>
          <w:rStyle w:val="References"/>
        </w:rPr>
        <w:t>0</w:t>
      </w:r>
      <w:r w:rsidRPr="001E2913">
        <w:rPr>
          <w:rStyle w:val="References"/>
        </w:rPr>
        <w:t>(</w:t>
      </w:r>
      <w:r>
        <w:rPr>
          <w:rStyle w:val="References"/>
        </w:rPr>
        <w:t xml:space="preserve">4), </w:t>
      </w:r>
      <w:r w:rsidRPr="001E2913">
        <w:rPr>
          <w:rStyle w:val="References"/>
        </w:rPr>
        <w:t>(5)</w:t>
      </w:r>
      <w:r>
        <w:rPr>
          <w:rStyle w:val="References"/>
        </w:rPr>
        <w:t>,</w:t>
      </w:r>
      <w:r w:rsidRPr="001E2913">
        <w:rPr>
          <w:rStyle w:val="References"/>
        </w:rPr>
        <w:t xml:space="preserve"> </w:t>
      </w:r>
      <w:r>
        <w:rPr>
          <w:rStyle w:val="References"/>
        </w:rPr>
        <w:t>4-1</w:t>
      </w:r>
      <w:r w:rsidR="00BB3B96">
        <w:rPr>
          <w:rStyle w:val="References"/>
        </w:rPr>
        <w:t>30</w:t>
      </w:r>
      <w:r>
        <w:rPr>
          <w:rStyle w:val="References"/>
        </w:rPr>
        <w:t>(3) and (4</w:t>
      </w:r>
      <w:r w:rsidRPr="001E2913">
        <w:rPr>
          <w:rStyle w:val="References"/>
        </w:rPr>
        <w:t>) of the Rules]</w:t>
      </w:r>
    </w:p>
    <w:p w14:paraId="1C00EF62" w14:textId="3943C8D3" w:rsidR="00840DA0" w:rsidRPr="003D115A" w:rsidRDefault="00840DA0" w:rsidP="00840DA0">
      <w:pPr>
        <w:pStyle w:val="Normalparatextwithnumbers"/>
        <w:numPr>
          <w:ilvl w:val="1"/>
          <w:numId w:val="16"/>
        </w:numPr>
        <w:rPr>
          <w:rStyle w:val="References"/>
          <w:b w:val="0"/>
          <w:bCs w:val="0"/>
          <w:i w:val="0"/>
          <w:iCs w:val="0"/>
        </w:rPr>
      </w:pPr>
      <w:r>
        <w:lastRenderedPageBreak/>
        <w:t>If the GloBE Loss Election for an MNE Group is subsequently revoked, any remaining GloBE Loss Deferred Tax Asset of the MNE Group will be reduced to zero on the first day of the first Fiscal Year to which the GloBE Loss Election is no longer applicable.</w:t>
      </w:r>
      <w:r>
        <w:br/>
      </w:r>
      <w:r>
        <w:rPr>
          <w:rStyle w:val="References"/>
        </w:rPr>
        <w:t>[Chapter 4, subsection 4-1</w:t>
      </w:r>
      <w:r w:rsidR="00BB3B96">
        <w:rPr>
          <w:rStyle w:val="References"/>
        </w:rPr>
        <w:t>2</w:t>
      </w:r>
      <w:r>
        <w:rPr>
          <w:rStyle w:val="References"/>
        </w:rPr>
        <w:t xml:space="preserve">5(3) and </w:t>
      </w:r>
      <w:r w:rsidRPr="00167665">
        <w:rPr>
          <w:rStyle w:val="References"/>
        </w:rPr>
        <w:t>4-1</w:t>
      </w:r>
      <w:r w:rsidR="00BB3B96">
        <w:rPr>
          <w:rStyle w:val="References"/>
        </w:rPr>
        <w:t>35</w:t>
      </w:r>
      <w:r>
        <w:rPr>
          <w:rStyle w:val="References"/>
        </w:rPr>
        <w:t>(5) of the Rules]</w:t>
      </w:r>
    </w:p>
    <w:p w14:paraId="6AEC31E1" w14:textId="140D875D" w:rsidR="00840DA0" w:rsidRPr="00165402" w:rsidRDefault="00840DA0" w:rsidP="00840DA0">
      <w:pPr>
        <w:pStyle w:val="Normalparatextwithnumbers"/>
        <w:numPr>
          <w:ilvl w:val="1"/>
          <w:numId w:val="16"/>
        </w:numPr>
      </w:pPr>
      <w:r>
        <w:t xml:space="preserve">The revocation of a GloBE Loss Election has the effect of applying the general </w:t>
      </w:r>
      <w:r w:rsidRPr="00850F87">
        <w:t>deferred tax accounting principles under Part 4</w:t>
      </w:r>
      <w:r>
        <w:noBreakHyphen/>
      </w:r>
      <w:r w:rsidRPr="00850F87">
        <w:t>4 of the Rules</w:t>
      </w:r>
      <w:r>
        <w:t xml:space="preserve">, which means that </w:t>
      </w:r>
      <w:r w:rsidRPr="00165402">
        <w:t xml:space="preserve">the historic deferred tax assets and liabilities </w:t>
      </w:r>
      <w:r>
        <w:t xml:space="preserve">must </w:t>
      </w:r>
      <w:r w:rsidRPr="00165402">
        <w:t>be taken into account under Part 4-4 and Part 9-1 of the Rules on the assumption that the GloBE loss election had not applied for the prior Fiscal Years and the deferred tax amounts had been calculated.</w:t>
      </w:r>
      <w:r>
        <w:t xml:space="preserve"> Allowing the GloBE Loss Deferred Tax Asset to be carried forward into these subsequent Fiscal Years would potentially permit double benefit for losses and other distorted outcomes</w:t>
      </w:r>
      <w:r w:rsidR="00680488">
        <w:t>.</w:t>
      </w:r>
    </w:p>
    <w:p w14:paraId="0242762F" w14:textId="1C099407" w:rsidR="00840DA0" w:rsidRDefault="00840DA0" w:rsidP="00840DA0">
      <w:pPr>
        <w:pStyle w:val="Normalparatextwithnumbers"/>
        <w:numPr>
          <w:ilvl w:val="1"/>
          <w:numId w:val="16"/>
        </w:numPr>
        <w:rPr>
          <w:rStyle w:val="References"/>
          <w:b w:val="0"/>
          <w:bCs w:val="0"/>
          <w:i w:val="0"/>
          <w:iCs w:val="0"/>
        </w:rPr>
      </w:pPr>
      <w:r>
        <w:rPr>
          <w:rStyle w:val="References"/>
          <w:b w:val="0"/>
          <w:bCs w:val="0"/>
          <w:i w:val="0"/>
          <w:iCs w:val="0"/>
        </w:rPr>
        <w:t>Where a GloBE Loss Election is made for both the MNE Group and the UPE Flow</w:t>
      </w:r>
      <w:r>
        <w:rPr>
          <w:rStyle w:val="References"/>
          <w:b w:val="0"/>
          <w:bCs w:val="0"/>
          <w:i w:val="0"/>
          <w:iCs w:val="0"/>
        </w:rPr>
        <w:noBreakHyphen/>
        <w:t xml:space="preserve">through Entity that are located in the same jurisdiction, the amount of GloBE Income or Loss of the UPE is only </w:t>
      </w:r>
      <w:r w:rsidR="00250448">
        <w:rPr>
          <w:rStyle w:val="References"/>
          <w:b w:val="0"/>
          <w:bCs w:val="0"/>
          <w:i w:val="0"/>
          <w:iCs w:val="0"/>
        </w:rPr>
        <w:t xml:space="preserve">taken into account </w:t>
      </w:r>
      <w:r>
        <w:rPr>
          <w:rStyle w:val="References"/>
          <w:b w:val="0"/>
          <w:bCs w:val="0"/>
          <w:i w:val="0"/>
          <w:iCs w:val="0"/>
        </w:rPr>
        <w:t xml:space="preserve">for the UPE and is </w:t>
      </w:r>
      <w:r w:rsidR="00250448">
        <w:rPr>
          <w:rStyle w:val="References"/>
          <w:b w:val="0"/>
          <w:bCs w:val="0"/>
          <w:i w:val="0"/>
          <w:iCs w:val="0"/>
        </w:rPr>
        <w:t xml:space="preserve">disregarded in </w:t>
      </w:r>
      <w:r>
        <w:rPr>
          <w:rStyle w:val="References"/>
          <w:b w:val="0"/>
          <w:bCs w:val="0"/>
          <w:i w:val="0"/>
          <w:iCs w:val="0"/>
        </w:rPr>
        <w:t xml:space="preserve">the </w:t>
      </w:r>
      <w:r w:rsidR="003E2426">
        <w:rPr>
          <w:rStyle w:val="References"/>
          <w:b w:val="0"/>
          <w:bCs w:val="0"/>
          <w:i w:val="0"/>
          <w:iCs w:val="0"/>
        </w:rPr>
        <w:t xml:space="preserve">jurisdictional </w:t>
      </w:r>
      <w:r>
        <w:rPr>
          <w:rStyle w:val="References"/>
          <w:b w:val="0"/>
          <w:bCs w:val="0"/>
          <w:i w:val="0"/>
          <w:iCs w:val="0"/>
        </w:rPr>
        <w:t>MNE Group</w:t>
      </w:r>
      <w:r w:rsidR="003E2426">
        <w:rPr>
          <w:rStyle w:val="References"/>
          <w:b w:val="0"/>
          <w:bCs w:val="0"/>
          <w:i w:val="0"/>
          <w:iCs w:val="0"/>
        </w:rPr>
        <w:t>’s</w:t>
      </w:r>
      <w:r>
        <w:rPr>
          <w:rStyle w:val="References"/>
          <w:b w:val="0"/>
          <w:bCs w:val="0"/>
          <w:i w:val="0"/>
          <w:iCs w:val="0"/>
        </w:rPr>
        <w:t xml:space="preserve"> </w:t>
      </w:r>
      <w:r w:rsidR="003E2426">
        <w:rPr>
          <w:rStyle w:val="References"/>
          <w:b w:val="0"/>
          <w:bCs w:val="0"/>
          <w:i w:val="0"/>
          <w:iCs w:val="0"/>
        </w:rPr>
        <w:t>GloBE Loss Election</w:t>
      </w:r>
      <w:r>
        <w:rPr>
          <w:rStyle w:val="References"/>
          <w:b w:val="0"/>
          <w:bCs w:val="0"/>
          <w:i w:val="0"/>
          <w:iCs w:val="0"/>
        </w:rPr>
        <w:t xml:space="preserve">. </w:t>
      </w:r>
      <w:r>
        <w:rPr>
          <w:rStyle w:val="References"/>
          <w:b w:val="0"/>
          <w:bCs w:val="0"/>
          <w:i w:val="0"/>
          <w:iCs w:val="0"/>
        </w:rPr>
        <w:br/>
      </w:r>
      <w:r w:rsidRPr="00460FA6">
        <w:rPr>
          <w:rStyle w:val="References"/>
        </w:rPr>
        <w:t xml:space="preserve">[Chapter 4, </w:t>
      </w:r>
      <w:r>
        <w:rPr>
          <w:rStyle w:val="References"/>
        </w:rPr>
        <w:t>sub</w:t>
      </w:r>
      <w:r w:rsidRPr="00460FA6">
        <w:rPr>
          <w:rStyle w:val="References"/>
        </w:rPr>
        <w:t>section</w:t>
      </w:r>
      <w:r>
        <w:rPr>
          <w:rStyle w:val="References"/>
        </w:rPr>
        <w:t>s</w:t>
      </w:r>
      <w:r w:rsidRPr="00460FA6">
        <w:rPr>
          <w:rStyle w:val="References"/>
        </w:rPr>
        <w:t xml:space="preserve"> 4</w:t>
      </w:r>
      <w:r w:rsidRPr="00460FA6">
        <w:rPr>
          <w:rStyle w:val="References"/>
        </w:rPr>
        <w:noBreakHyphen/>
        <w:t>1</w:t>
      </w:r>
      <w:r w:rsidR="00BB3B96">
        <w:rPr>
          <w:rStyle w:val="References"/>
        </w:rPr>
        <w:t>35</w:t>
      </w:r>
      <w:r>
        <w:rPr>
          <w:rStyle w:val="References"/>
        </w:rPr>
        <w:t>(3) and (4)</w:t>
      </w:r>
      <w:r w:rsidRPr="00460FA6">
        <w:rPr>
          <w:rStyle w:val="References"/>
        </w:rPr>
        <w:t xml:space="preserve"> of the Rules</w:t>
      </w:r>
      <w:r>
        <w:rPr>
          <w:rStyle w:val="References"/>
        </w:rPr>
        <w:t>]</w:t>
      </w:r>
      <w:r>
        <w:rPr>
          <w:rStyle w:val="References"/>
          <w:b w:val="0"/>
          <w:bCs w:val="0"/>
          <w:i w:val="0"/>
          <w:iCs w:val="0"/>
        </w:rPr>
        <w:t xml:space="preserve">  </w:t>
      </w:r>
    </w:p>
    <w:p w14:paraId="4ABC9CD9" w14:textId="77777777" w:rsidR="00840DA0" w:rsidRPr="00652FE4" w:rsidRDefault="00840DA0" w:rsidP="00840DA0">
      <w:pPr>
        <w:pStyle w:val="Normalparatextwithnumbers"/>
        <w:numPr>
          <w:ilvl w:val="1"/>
          <w:numId w:val="16"/>
        </w:numPr>
        <w:rPr>
          <w:rStyle w:val="References"/>
          <w:b w:val="0"/>
          <w:bCs w:val="0"/>
          <w:i w:val="0"/>
          <w:iCs w:val="0"/>
        </w:rPr>
      </w:pPr>
      <w:r>
        <w:rPr>
          <w:rStyle w:val="References"/>
          <w:b w:val="0"/>
          <w:bCs w:val="0"/>
          <w:i w:val="0"/>
          <w:iCs w:val="0"/>
        </w:rPr>
        <w:t xml:space="preserve">If the GloBE Loss Election for the UPE is revoked, the UPE effectively becomes an ordinary Constituent Entity of the MNE Group. Therefore, </w:t>
      </w:r>
      <w:r w:rsidRPr="00C6626E">
        <w:rPr>
          <w:rStyle w:val="References"/>
          <w:b w:val="0"/>
          <w:bCs w:val="0"/>
          <w:i w:val="0"/>
          <w:iCs w:val="0"/>
        </w:rPr>
        <w:t xml:space="preserve">the UPE </w:t>
      </w:r>
      <w:r>
        <w:rPr>
          <w:rStyle w:val="References"/>
          <w:b w:val="0"/>
          <w:bCs w:val="0"/>
          <w:i w:val="0"/>
          <w:iCs w:val="0"/>
        </w:rPr>
        <w:t xml:space="preserve">may </w:t>
      </w:r>
      <w:r w:rsidRPr="00C6626E">
        <w:rPr>
          <w:rStyle w:val="References"/>
          <w:b w:val="0"/>
          <w:bCs w:val="0"/>
          <w:i w:val="0"/>
          <w:iCs w:val="0"/>
        </w:rPr>
        <w:t>access and use the MNE Group’s remaining GloBE Loss D</w:t>
      </w:r>
      <w:r>
        <w:rPr>
          <w:rStyle w:val="References"/>
          <w:b w:val="0"/>
          <w:bCs w:val="0"/>
          <w:i w:val="0"/>
          <w:iCs w:val="0"/>
        </w:rPr>
        <w:t xml:space="preserve">eferred </w:t>
      </w:r>
      <w:r w:rsidRPr="00C6626E">
        <w:rPr>
          <w:rStyle w:val="References"/>
          <w:b w:val="0"/>
          <w:bCs w:val="0"/>
          <w:i w:val="0"/>
          <w:iCs w:val="0"/>
        </w:rPr>
        <w:t>T</w:t>
      </w:r>
      <w:r>
        <w:rPr>
          <w:rStyle w:val="References"/>
          <w:b w:val="0"/>
          <w:bCs w:val="0"/>
          <w:i w:val="0"/>
          <w:iCs w:val="0"/>
        </w:rPr>
        <w:t xml:space="preserve">ax </w:t>
      </w:r>
      <w:r w:rsidRPr="00C6626E">
        <w:rPr>
          <w:rStyle w:val="References"/>
          <w:b w:val="0"/>
          <w:bCs w:val="0"/>
          <w:i w:val="0"/>
          <w:iCs w:val="0"/>
        </w:rPr>
        <w:t>A</w:t>
      </w:r>
      <w:r>
        <w:rPr>
          <w:rStyle w:val="References"/>
          <w:b w:val="0"/>
          <w:bCs w:val="0"/>
          <w:i w:val="0"/>
          <w:iCs w:val="0"/>
        </w:rPr>
        <w:t>sset</w:t>
      </w:r>
      <w:r w:rsidRPr="00C6626E">
        <w:rPr>
          <w:rStyle w:val="References"/>
          <w:b w:val="0"/>
          <w:bCs w:val="0"/>
          <w:i w:val="0"/>
          <w:iCs w:val="0"/>
        </w:rPr>
        <w:t xml:space="preserve"> </w:t>
      </w:r>
      <w:r w:rsidRPr="00EC29DD">
        <w:rPr>
          <w:rStyle w:val="References"/>
          <w:b w:val="0"/>
          <w:bCs w:val="0"/>
          <w:i w:val="0"/>
          <w:iCs w:val="0"/>
        </w:rPr>
        <w:t>in subsequent years</w:t>
      </w:r>
      <w:r>
        <w:rPr>
          <w:rStyle w:val="References"/>
          <w:b w:val="0"/>
          <w:bCs w:val="0"/>
          <w:i w:val="0"/>
          <w:iCs w:val="0"/>
        </w:rPr>
        <w:t xml:space="preserve"> that the MNE Group GloBE Loss election applies.</w:t>
      </w:r>
    </w:p>
    <w:p w14:paraId="40DA1E61" w14:textId="77777777" w:rsidR="00840DA0" w:rsidRDefault="00840DA0" w:rsidP="00840DA0">
      <w:pPr>
        <w:pStyle w:val="Heading5"/>
        <w:numPr>
          <w:ilvl w:val="4"/>
          <w:numId w:val="2"/>
        </w:numPr>
      </w:pPr>
      <w:r>
        <w:t>Calculating the GloBE Loss Deferred Tax Asset of an MNE Group</w:t>
      </w:r>
    </w:p>
    <w:p w14:paraId="0ACC4F26" w14:textId="77777777" w:rsidR="00840DA0" w:rsidRDefault="00840DA0" w:rsidP="00840DA0">
      <w:pPr>
        <w:pStyle w:val="Normalparatextwithnumbers"/>
        <w:numPr>
          <w:ilvl w:val="1"/>
          <w:numId w:val="16"/>
        </w:numPr>
      </w:pPr>
      <w:r>
        <w:t xml:space="preserve">The GloBE Loss Election allows for the establishment of a GloBE Loss Deferred Tax Asset when there is a Net GloBE Loss for the jurisdiction for the Fiscal Year. </w:t>
      </w:r>
    </w:p>
    <w:p w14:paraId="5B052B76" w14:textId="46DDABA2" w:rsidR="00840DA0" w:rsidRDefault="00840DA0" w:rsidP="00840DA0">
      <w:pPr>
        <w:pStyle w:val="Normalparatextwithnumbers"/>
        <w:numPr>
          <w:ilvl w:val="1"/>
          <w:numId w:val="16"/>
        </w:numPr>
      </w:pPr>
      <w:r>
        <w:t xml:space="preserve">If this is the first GloBE Loss Deferred Tax Asset, the amount of the GloBE Loss Deferred Tax Asset for a MNE Group for jurisdiction is calculated by multiplying the Net GloBE Loss by the Minimum Rate of 15 per cent. </w:t>
      </w:r>
      <w:r w:rsidRPr="001E2913">
        <w:rPr>
          <w:rStyle w:val="References"/>
        </w:rPr>
        <w:t xml:space="preserve">[Chapter 4, </w:t>
      </w:r>
      <w:r>
        <w:rPr>
          <w:rStyle w:val="References"/>
        </w:rPr>
        <w:t xml:space="preserve">paragraphs </w:t>
      </w:r>
      <w:r w:rsidRPr="001E2913">
        <w:rPr>
          <w:rStyle w:val="References"/>
        </w:rPr>
        <w:t>4-</w:t>
      </w:r>
      <w:r>
        <w:rPr>
          <w:rStyle w:val="References"/>
        </w:rPr>
        <w:t>1</w:t>
      </w:r>
      <w:r w:rsidR="00BB3B96">
        <w:rPr>
          <w:rStyle w:val="References"/>
        </w:rPr>
        <w:t>2</w:t>
      </w:r>
      <w:r>
        <w:rPr>
          <w:rStyle w:val="References"/>
        </w:rPr>
        <w:t>5</w:t>
      </w:r>
      <w:r w:rsidRPr="001E2913">
        <w:rPr>
          <w:rStyle w:val="References"/>
        </w:rPr>
        <w:t>(1)(b)</w:t>
      </w:r>
      <w:r>
        <w:rPr>
          <w:rStyle w:val="References"/>
        </w:rPr>
        <w:t xml:space="preserve"> and 4-1</w:t>
      </w:r>
      <w:r w:rsidR="00BB3B96">
        <w:rPr>
          <w:rStyle w:val="References"/>
        </w:rPr>
        <w:t>35</w:t>
      </w:r>
      <w:r>
        <w:rPr>
          <w:rStyle w:val="References"/>
        </w:rPr>
        <w:t>(1)(b) of the Rules</w:t>
      </w:r>
      <w:r w:rsidRPr="001E2913">
        <w:rPr>
          <w:rStyle w:val="References"/>
        </w:rPr>
        <w:t>]</w:t>
      </w:r>
    </w:p>
    <w:p w14:paraId="706132B8" w14:textId="77777777" w:rsidR="00840DA0" w:rsidRDefault="00840DA0" w:rsidP="00840DA0">
      <w:pPr>
        <w:pStyle w:val="Heading6"/>
        <w:rPr>
          <w:rFonts w:hint="eastAsia"/>
        </w:rPr>
      </w:pPr>
      <w:r>
        <w:t xml:space="preserve">Net GloBE Loss: Carrying forward the GloBE Loss Deferred Tax Asset </w:t>
      </w:r>
    </w:p>
    <w:p w14:paraId="5BE3A96A" w14:textId="4C7624E7" w:rsidR="00840DA0" w:rsidRDefault="00840DA0" w:rsidP="00840DA0">
      <w:pPr>
        <w:pStyle w:val="Normalparatextwithnumbers"/>
        <w:numPr>
          <w:ilvl w:val="1"/>
          <w:numId w:val="16"/>
        </w:numPr>
      </w:pPr>
      <w:bookmarkStart w:id="154" w:name="_Ref183784939"/>
      <w:r>
        <w:t>In a subsequent Fiscal Year where there is a Net GloBE Loss of an MNE Group, the balance of the GloBE Loss Deferred Tax Asset is carried forward and increased. The increase to the GloBE Loss Deferred Tax Asset of an MNE Group for subsequent fiscal years follows the same formula used to establish the asset, where the Deferred Tax Asset is increased by multiplying the Net GloBE Loss recorded in the subsequent year by the Minimum Rate of 15 per cent.</w:t>
      </w:r>
      <w:r>
        <w:br/>
      </w:r>
      <w:r w:rsidRPr="00273008">
        <w:rPr>
          <w:rStyle w:val="References"/>
        </w:rPr>
        <w:t xml:space="preserve">[Chapter 4, </w:t>
      </w:r>
      <w:r>
        <w:rPr>
          <w:rStyle w:val="References"/>
        </w:rPr>
        <w:t xml:space="preserve">paragraphs </w:t>
      </w:r>
      <w:r w:rsidRPr="00273008">
        <w:rPr>
          <w:rStyle w:val="References"/>
        </w:rPr>
        <w:t>4-1</w:t>
      </w:r>
      <w:r w:rsidR="0062640B">
        <w:rPr>
          <w:rStyle w:val="References"/>
        </w:rPr>
        <w:t>2</w:t>
      </w:r>
      <w:r w:rsidRPr="00273008">
        <w:rPr>
          <w:rStyle w:val="References"/>
        </w:rPr>
        <w:t>5(1)(c)</w:t>
      </w:r>
      <w:r>
        <w:rPr>
          <w:rStyle w:val="References"/>
        </w:rPr>
        <w:t xml:space="preserve"> and</w:t>
      </w:r>
      <w:r w:rsidRPr="00273008">
        <w:rPr>
          <w:rStyle w:val="References"/>
        </w:rPr>
        <w:t xml:space="preserve"> 4-1</w:t>
      </w:r>
      <w:r w:rsidR="0062640B">
        <w:rPr>
          <w:rStyle w:val="References"/>
        </w:rPr>
        <w:t>35</w:t>
      </w:r>
      <w:r w:rsidRPr="00273008">
        <w:rPr>
          <w:rStyle w:val="References"/>
        </w:rPr>
        <w:t>(1)(c) of the Rules]</w:t>
      </w:r>
      <w:bookmarkEnd w:id="154"/>
      <w:r w:rsidRPr="002A00A7">
        <w:t xml:space="preserve"> </w:t>
      </w:r>
    </w:p>
    <w:p w14:paraId="47E728FD" w14:textId="77777777" w:rsidR="00840DA0" w:rsidRDefault="00840DA0" w:rsidP="00840DA0">
      <w:pPr>
        <w:pStyle w:val="Normalparatextwithnumbers"/>
        <w:numPr>
          <w:ilvl w:val="1"/>
          <w:numId w:val="16"/>
        </w:numPr>
      </w:pPr>
      <w:r>
        <w:lastRenderedPageBreak/>
        <w:t>Part 4-5 of the Rules is consistent with the GloBE rules and allows for an indefinite carry-forward of the GloBE Loss Deferred Tax Asset. However, certain domestic laws of other jurisdictions may impose restrictions after a specific duration or conditions, such as record-keeping and evidence requirements, to claim the benefits of a carried-forward loss.</w:t>
      </w:r>
    </w:p>
    <w:p w14:paraId="0A1C57D1" w14:textId="77777777" w:rsidR="00840DA0" w:rsidRDefault="00840DA0" w:rsidP="00840DA0">
      <w:pPr>
        <w:pStyle w:val="Heading6"/>
        <w:rPr>
          <w:rFonts w:hint="eastAsia"/>
        </w:rPr>
      </w:pPr>
      <w:r>
        <w:t>Deferred Tax A</w:t>
      </w:r>
      <w:r>
        <w:rPr>
          <w:rFonts w:hint="eastAsia"/>
        </w:rPr>
        <w:t>s</w:t>
      </w:r>
      <w:r>
        <w:t xml:space="preserve">set of a UPE </w:t>
      </w:r>
    </w:p>
    <w:p w14:paraId="7C61A199" w14:textId="77777777" w:rsidR="00840DA0" w:rsidRDefault="00840DA0" w:rsidP="00840DA0">
      <w:pPr>
        <w:pStyle w:val="Normalparatextwithnumbers"/>
        <w:numPr>
          <w:ilvl w:val="1"/>
          <w:numId w:val="16"/>
        </w:numPr>
      </w:pPr>
      <w:r>
        <w:t>The establishment and increase of a GloBE Loss Deferred Tax Asset for a UPE follows the same approach for an MNE Group for a jurisdiction, but the GloBE Loss instead exclusively looks at the UPE’s GloBE Loss.</w:t>
      </w:r>
      <w:r w:rsidRPr="002A00A7">
        <w:t xml:space="preserve"> </w:t>
      </w:r>
      <w:r>
        <w:t xml:space="preserve">This has the effect that provided that the UPE has a GloBE Loss, a GloBE Loss Election can be made </w:t>
      </w:r>
      <w:r w:rsidRPr="002A00A7">
        <w:t>even if the MNE Group has Net GloBE Income in a F</w:t>
      </w:r>
      <w:r>
        <w:t xml:space="preserve">inancial </w:t>
      </w:r>
      <w:r w:rsidRPr="002A00A7">
        <w:t>Y</w:t>
      </w:r>
      <w:r>
        <w:t xml:space="preserve">ear. </w:t>
      </w:r>
    </w:p>
    <w:p w14:paraId="48815F05" w14:textId="3C5019E4" w:rsidR="00840DA0" w:rsidRPr="0094089F" w:rsidRDefault="00840DA0" w:rsidP="00840DA0">
      <w:pPr>
        <w:pStyle w:val="Normalparatextwithnumbers"/>
        <w:numPr>
          <w:ilvl w:val="1"/>
          <w:numId w:val="16"/>
        </w:numPr>
        <w:rPr>
          <w:rStyle w:val="References"/>
          <w:b w:val="0"/>
          <w:bCs w:val="0"/>
          <w:i w:val="0"/>
          <w:iCs w:val="0"/>
        </w:rPr>
      </w:pPr>
      <w:r w:rsidRPr="006B6A71">
        <w:t>The GloBE Loss of the UPE must take into account the reduction under section 7</w:t>
      </w:r>
      <w:r w:rsidRPr="006B6A71">
        <w:noBreakHyphen/>
        <w:t>10 of the Rules to ensure losses that flow through to shareholders are not double counted</w:t>
      </w:r>
      <w:r w:rsidR="00F53872">
        <w:t xml:space="preserve">, as mentioned in paragraph </w:t>
      </w:r>
      <w:r w:rsidR="00F53872">
        <w:fldChar w:fldCharType="begin"/>
      </w:r>
      <w:r w:rsidR="00F53872">
        <w:instrText xml:space="preserve"> REF _Ref183785019 \r \h </w:instrText>
      </w:r>
      <w:r w:rsidR="00F53872">
        <w:fldChar w:fldCharType="separate"/>
      </w:r>
      <w:r w:rsidR="009D6D0D">
        <w:t>7.36</w:t>
      </w:r>
      <w:r w:rsidR="00F53872">
        <w:fldChar w:fldCharType="end"/>
      </w:r>
      <w:r w:rsidRPr="006B6A71">
        <w:t>. The GloBE Loss remains with the Flow</w:t>
      </w:r>
      <w:r>
        <w:noBreakHyphen/>
      </w:r>
      <w:r w:rsidRPr="006B6A71">
        <w:t xml:space="preserve">through Entity that is a UPE and can only be used to offset future GloBE Income of that UPE. </w:t>
      </w:r>
      <w:r w:rsidRPr="006B6A71">
        <w:br/>
      </w:r>
      <w:r w:rsidRPr="006B6A71">
        <w:rPr>
          <w:rStyle w:val="References"/>
        </w:rPr>
        <w:t>[Chapter 4, subsection 4-1</w:t>
      </w:r>
      <w:r w:rsidR="0062640B">
        <w:rPr>
          <w:rStyle w:val="References"/>
        </w:rPr>
        <w:t>35</w:t>
      </w:r>
      <w:r w:rsidRPr="006B6A71">
        <w:rPr>
          <w:rStyle w:val="References"/>
        </w:rPr>
        <w:t>(1) of Rules]</w:t>
      </w:r>
    </w:p>
    <w:p w14:paraId="26272726" w14:textId="083D1A0A" w:rsidR="00840DA0" w:rsidRDefault="00840DA0" w:rsidP="00840DA0">
      <w:pPr>
        <w:pStyle w:val="Normalparatextwithnumbers"/>
        <w:numPr>
          <w:ilvl w:val="1"/>
          <w:numId w:val="16"/>
        </w:numPr>
      </w:pPr>
      <w:r>
        <w:t xml:space="preserve">This is done by calculating the GloBE Loss Deferred Tax Asset of an MNE Group for that subsequent year and increasing the balance of the existing GloBE Loss Deferred Tax Asset by that amount. </w:t>
      </w:r>
      <w:r>
        <w:br/>
      </w:r>
      <w:r w:rsidRPr="001E2913">
        <w:rPr>
          <w:rStyle w:val="References"/>
        </w:rPr>
        <w:t xml:space="preserve">[Chapter 4, </w:t>
      </w:r>
      <w:r>
        <w:rPr>
          <w:rStyle w:val="References"/>
        </w:rPr>
        <w:t>subsection</w:t>
      </w:r>
      <w:r w:rsidRPr="001E2913">
        <w:rPr>
          <w:rStyle w:val="References"/>
        </w:rPr>
        <w:t xml:space="preserve"> 4-1</w:t>
      </w:r>
      <w:r w:rsidR="0062640B">
        <w:rPr>
          <w:rStyle w:val="References"/>
        </w:rPr>
        <w:t>2</w:t>
      </w:r>
      <w:r>
        <w:rPr>
          <w:rStyle w:val="References"/>
        </w:rPr>
        <w:t>5</w:t>
      </w:r>
      <w:r w:rsidRPr="001E2913">
        <w:rPr>
          <w:rStyle w:val="References"/>
        </w:rPr>
        <w:t>(1)(c)</w:t>
      </w:r>
      <w:r>
        <w:rPr>
          <w:rStyle w:val="References"/>
        </w:rPr>
        <w:t xml:space="preserve"> of the Rules</w:t>
      </w:r>
      <w:r w:rsidRPr="001E2913">
        <w:rPr>
          <w:rStyle w:val="References"/>
        </w:rPr>
        <w:t>]</w:t>
      </w:r>
    </w:p>
    <w:p w14:paraId="47159899" w14:textId="77777777" w:rsidR="00840DA0" w:rsidRDefault="00840DA0" w:rsidP="00840DA0">
      <w:pPr>
        <w:pStyle w:val="Heading6"/>
        <w:rPr>
          <w:rFonts w:hint="eastAsia"/>
        </w:rPr>
      </w:pPr>
      <w:r>
        <w:t>Net GloBE Income: Using the GloBE Loss Deferred Tax A</w:t>
      </w:r>
      <w:r>
        <w:rPr>
          <w:rFonts w:hint="eastAsia"/>
        </w:rPr>
        <w:t>s</w:t>
      </w:r>
      <w:r>
        <w:t xml:space="preserve">set </w:t>
      </w:r>
    </w:p>
    <w:p w14:paraId="228BFD7A" w14:textId="77777777" w:rsidR="00840DA0" w:rsidRDefault="00840DA0" w:rsidP="00840DA0">
      <w:pPr>
        <w:pStyle w:val="Normalparatextwithnumbers"/>
        <w:numPr>
          <w:ilvl w:val="1"/>
          <w:numId w:val="16"/>
        </w:numPr>
      </w:pPr>
      <w:r>
        <w:t xml:space="preserve">In a subsequent Fiscal Year where there is a Net GloBE Income of the MNE Group, the amount of GloBE Loss Deferred Tax Asset for the Fiscal Year must be used. </w:t>
      </w:r>
      <w:r w:rsidRPr="002E7710">
        <w:t>The balance of the GloBE Loss Deferred Tax Asset that is carried forward to subsequent Fiscal Years is reduced by the amount that is used for the Fiscal Year in which it is used</w:t>
      </w:r>
      <w:r>
        <w:t>.</w:t>
      </w:r>
    </w:p>
    <w:p w14:paraId="6F87E744" w14:textId="77777777" w:rsidR="00840DA0" w:rsidRDefault="00840DA0" w:rsidP="00840DA0">
      <w:pPr>
        <w:pStyle w:val="Normalparatextwithnumbers"/>
        <w:numPr>
          <w:ilvl w:val="1"/>
          <w:numId w:val="16"/>
        </w:numPr>
      </w:pPr>
      <w:r>
        <w:t xml:space="preserve">The amount of the GloBE Loss Deferred Tax Asset that is used is the lower of the following amounts: </w:t>
      </w:r>
    </w:p>
    <w:p w14:paraId="4BC01383" w14:textId="77777777" w:rsidR="00840DA0" w:rsidRDefault="00840DA0" w:rsidP="00B7652D">
      <w:pPr>
        <w:pStyle w:val="Dotpoint1"/>
      </w:pPr>
      <w:r>
        <w:t xml:space="preserve">the Net GloBE Income multiplied by the 15 per cent Minimum Rate; or </w:t>
      </w:r>
    </w:p>
    <w:p w14:paraId="22B97384" w14:textId="436BD808" w:rsidR="00840DA0" w:rsidRPr="00331C42" w:rsidRDefault="00840DA0" w:rsidP="00B7652D">
      <w:pPr>
        <w:pStyle w:val="Dotpoint1"/>
        <w:rPr>
          <w:rStyle w:val="References"/>
          <w:b w:val="0"/>
          <w:bCs w:val="0"/>
          <w:i w:val="0"/>
          <w:iCs w:val="0"/>
        </w:rPr>
      </w:pPr>
      <w:r>
        <w:t>the amount of the GloBE Loss Deferred Tax Asset that has not been previously used (i.e</w:t>
      </w:r>
      <w:r w:rsidR="002D25DF">
        <w:t>.</w:t>
      </w:r>
      <w:r>
        <w:t xml:space="preserve"> the balance of any existing GloBE Loss Deferred Tax Asset amount). </w:t>
      </w:r>
      <w:r>
        <w:br/>
      </w:r>
      <w:r w:rsidRPr="001E2913">
        <w:rPr>
          <w:rStyle w:val="References"/>
        </w:rPr>
        <w:t xml:space="preserve">[Chapter 4, </w:t>
      </w:r>
      <w:r>
        <w:rPr>
          <w:rStyle w:val="References"/>
        </w:rPr>
        <w:t>subsections</w:t>
      </w:r>
      <w:r w:rsidRPr="001E2913">
        <w:rPr>
          <w:rStyle w:val="References"/>
        </w:rPr>
        <w:t xml:space="preserve"> 4-1</w:t>
      </w:r>
      <w:r w:rsidR="0062640B">
        <w:rPr>
          <w:rStyle w:val="References"/>
        </w:rPr>
        <w:t>2</w:t>
      </w:r>
      <w:r>
        <w:rPr>
          <w:rStyle w:val="References"/>
        </w:rPr>
        <w:t>5</w:t>
      </w:r>
      <w:r w:rsidRPr="001E2913">
        <w:rPr>
          <w:rStyle w:val="References"/>
        </w:rPr>
        <w:t>(2)</w:t>
      </w:r>
      <w:r>
        <w:rPr>
          <w:rStyle w:val="References"/>
        </w:rPr>
        <w:t xml:space="preserve"> and 4</w:t>
      </w:r>
      <w:r>
        <w:rPr>
          <w:rStyle w:val="References"/>
        </w:rPr>
        <w:noBreakHyphen/>
        <w:t>1</w:t>
      </w:r>
      <w:r w:rsidR="0062640B">
        <w:rPr>
          <w:rStyle w:val="References"/>
        </w:rPr>
        <w:t>35</w:t>
      </w:r>
      <w:r>
        <w:rPr>
          <w:rStyle w:val="References"/>
        </w:rPr>
        <w:t xml:space="preserve">(2) of the </w:t>
      </w:r>
      <w:r w:rsidRPr="00167665">
        <w:rPr>
          <w:rStyle w:val="References"/>
        </w:rPr>
        <w:t>Rules]</w:t>
      </w:r>
      <w:r w:rsidRPr="001E2913">
        <w:rPr>
          <w:rStyle w:val="References"/>
        </w:rPr>
        <w:t xml:space="preserve"> </w:t>
      </w:r>
    </w:p>
    <w:p w14:paraId="3F914A26" w14:textId="77777777" w:rsidR="00840DA0" w:rsidRPr="00165402" w:rsidRDefault="00840DA0" w:rsidP="00840DA0">
      <w:pPr>
        <w:pStyle w:val="Normalparatextwithnumbers"/>
        <w:numPr>
          <w:ilvl w:val="1"/>
          <w:numId w:val="16"/>
        </w:numPr>
        <w:rPr>
          <w:rStyle w:val="References"/>
          <w:b w:val="0"/>
          <w:bCs w:val="0"/>
          <w:i w:val="0"/>
          <w:iCs w:val="0"/>
        </w:rPr>
      </w:pPr>
      <w:r w:rsidRPr="00165402">
        <w:rPr>
          <w:rStyle w:val="References"/>
          <w:b w:val="0"/>
          <w:bCs w:val="0"/>
          <w:i w:val="0"/>
          <w:iCs w:val="0"/>
        </w:rPr>
        <w:t>When a GloBE Loss Deferred Tax Asset is used in a subsequent Fiscal Year, the amount of the GloBE Loss Deferred Tax Asse</w:t>
      </w:r>
      <w:r>
        <w:rPr>
          <w:rStyle w:val="References"/>
          <w:b w:val="0"/>
          <w:bCs w:val="0"/>
          <w:i w:val="0"/>
          <w:iCs w:val="0"/>
        </w:rPr>
        <w:t xml:space="preserve">t that is used </w:t>
      </w:r>
      <w:r w:rsidRPr="00165402">
        <w:rPr>
          <w:rStyle w:val="References"/>
          <w:b w:val="0"/>
          <w:bCs w:val="0"/>
          <w:i w:val="0"/>
          <w:iCs w:val="0"/>
        </w:rPr>
        <w:t xml:space="preserve">is added to </w:t>
      </w:r>
      <w:r>
        <w:rPr>
          <w:rStyle w:val="References"/>
          <w:b w:val="0"/>
          <w:bCs w:val="0"/>
          <w:i w:val="0"/>
          <w:iCs w:val="0"/>
        </w:rPr>
        <w:t xml:space="preserve">the Accrued Current </w:t>
      </w:r>
      <w:r w:rsidRPr="00165402">
        <w:rPr>
          <w:rStyle w:val="References"/>
          <w:b w:val="0"/>
          <w:bCs w:val="0"/>
          <w:i w:val="0"/>
          <w:iCs w:val="0"/>
        </w:rPr>
        <w:t>Covered Tax</w:t>
      </w:r>
      <w:r>
        <w:rPr>
          <w:rStyle w:val="References"/>
          <w:b w:val="0"/>
          <w:bCs w:val="0"/>
          <w:i w:val="0"/>
          <w:iCs w:val="0"/>
        </w:rPr>
        <w:t xml:space="preserve"> Expense</w:t>
      </w:r>
      <w:r w:rsidRPr="00165402">
        <w:t xml:space="preserve"> to ensure that the GloBE Loss Deferred Tax Asset is appropriately accounted for in computing the ETR. </w:t>
      </w:r>
    </w:p>
    <w:p w14:paraId="43D65A50" w14:textId="77777777" w:rsidR="00840DA0" w:rsidRPr="002E7710" w:rsidRDefault="00840DA0" w:rsidP="00840DA0">
      <w:pPr>
        <w:pStyle w:val="Heading6"/>
        <w:rPr>
          <w:rFonts w:hint="eastAsia"/>
        </w:rPr>
      </w:pPr>
      <w:r w:rsidRPr="002E7710">
        <w:lastRenderedPageBreak/>
        <w:t>Interaction with transfers under Part 6-2 of the Rules</w:t>
      </w:r>
    </w:p>
    <w:p w14:paraId="115385FC" w14:textId="77777777" w:rsidR="00840DA0" w:rsidRPr="002E7710" w:rsidRDefault="00840DA0" w:rsidP="00840DA0">
      <w:pPr>
        <w:pStyle w:val="Normalparatextwithnumbers"/>
        <w:numPr>
          <w:ilvl w:val="1"/>
          <w:numId w:val="16"/>
        </w:numPr>
      </w:pPr>
      <w:r w:rsidRPr="002E7710">
        <w:t>The GloBE Loss Deferred Tax Asset does not transfer with a Constituent Entity that leaves an MNE Group as the GloBE Loss Deferred Tax Asset is a jurisdictional attribute of the MNE Group. In the circumstance that all Constituent Entities in a jurisdiction are transferred, the GloBE Loss Deferred Tax Asset remains with the transferor MNE Group despite the fact that there are no longer any Constituent Entities in that jurisdiction.</w:t>
      </w:r>
    </w:p>
    <w:p w14:paraId="4C47BCA2" w14:textId="053144FB" w:rsidR="00840DA0" w:rsidRDefault="00840DA0" w:rsidP="00840DA0">
      <w:pPr>
        <w:pStyle w:val="Heading3"/>
        <w:rPr>
          <w:rFonts w:hint="eastAsia"/>
        </w:rPr>
      </w:pPr>
      <w:bookmarkStart w:id="155" w:name="_Toc183786654"/>
      <w:bookmarkStart w:id="156" w:name="_Toc185503000"/>
      <w:r>
        <w:t xml:space="preserve">Post-filing </w:t>
      </w:r>
      <w:r w:rsidR="00C877E2">
        <w:t>a</w:t>
      </w:r>
      <w:r>
        <w:t xml:space="preserve">djustments and </w:t>
      </w:r>
      <w:r w:rsidR="00C877E2">
        <w:t>t</w:t>
      </w:r>
      <w:r>
        <w:t xml:space="preserve">ax </w:t>
      </w:r>
      <w:r w:rsidR="00C877E2">
        <w:t>r</w:t>
      </w:r>
      <w:r>
        <w:t xml:space="preserve">ate </w:t>
      </w:r>
      <w:r w:rsidR="00C877E2">
        <w:t>c</w:t>
      </w:r>
      <w:r>
        <w:t>hanges</w:t>
      </w:r>
      <w:bookmarkEnd w:id="155"/>
      <w:bookmarkEnd w:id="156"/>
    </w:p>
    <w:p w14:paraId="19882835" w14:textId="77777777" w:rsidR="00840DA0" w:rsidRDefault="00840DA0" w:rsidP="00840DA0">
      <w:pPr>
        <w:pStyle w:val="Normalparatextwithnumbers"/>
        <w:numPr>
          <w:ilvl w:val="1"/>
          <w:numId w:val="18"/>
        </w:numPr>
      </w:pPr>
      <w:r>
        <w:t>Part 4-6 of the Rule caters for adjustments to Covered Taxes that occur after a Constituent Entity's liability has been determined. Broadly, an adjustment is required where there is a change in the amount of taxes determined. T</w:t>
      </w:r>
      <w:r w:rsidRPr="00C34B2B">
        <w:t>hese adjustments can arise from various circumstances, including changes in recogni</w:t>
      </w:r>
      <w:r>
        <w:t>se</w:t>
      </w:r>
      <w:r w:rsidRPr="00C34B2B">
        <w:t>d income due to tax authority examinations, management reviews, or more accurate estimates of tax liabilities</w:t>
      </w:r>
      <w:r>
        <w:t xml:space="preserve">. </w:t>
      </w:r>
    </w:p>
    <w:p w14:paraId="177B34F9" w14:textId="77777777" w:rsidR="00840DA0" w:rsidRDefault="00840DA0" w:rsidP="00840DA0">
      <w:pPr>
        <w:pStyle w:val="Normalparatextwithnumbers"/>
        <w:numPr>
          <w:ilvl w:val="1"/>
          <w:numId w:val="18"/>
        </w:numPr>
      </w:pPr>
      <w:r>
        <w:t xml:space="preserve">Part 4-6 also applies when a QDMTT loss is carried-back to a prior Fiscal Year. </w:t>
      </w:r>
      <w:r w:rsidRPr="00AB507D">
        <w:t xml:space="preserve">When a tax loss is carried-back, a refund of tax for a prior Fiscal Year is issued in the current Fiscal Year. This refund </w:t>
      </w:r>
      <w:r>
        <w:t xml:space="preserve">translates into </w:t>
      </w:r>
      <w:r w:rsidRPr="00AB507D">
        <w:t xml:space="preserve">a decrease to Covered Taxes for a prior Fiscal Year and </w:t>
      </w:r>
      <w:r>
        <w:t>is</w:t>
      </w:r>
      <w:r w:rsidRPr="00AB507D">
        <w:t xml:space="preserve"> as an adjustment to a Constituent Entity’s liability for Covered Taxes for a previous Fiscal Year.</w:t>
      </w:r>
      <w:r>
        <w:t xml:space="preserve"> T</w:t>
      </w:r>
      <w:r w:rsidRPr="008C5EEA">
        <w:t>he refund of Covered Taxes relating to the prior year must be matched with a corresponding adjustment to reflect a carry back of the domestic tax loss that results in outcomes that are consistent with the treatment of carry-forward losses</w:t>
      </w:r>
      <w:r>
        <w:t xml:space="preserve"> </w:t>
      </w:r>
      <w:r w:rsidRPr="00C34B2B">
        <w:t>(</w:t>
      </w:r>
      <w:r>
        <w:t xml:space="preserve">see </w:t>
      </w:r>
      <w:r w:rsidRPr="00C34B2B">
        <w:t>paragraph</w:t>
      </w:r>
      <w:r>
        <w:t xml:space="preserve">s </w:t>
      </w:r>
      <w:r w:rsidRPr="00C34B2B">
        <w:t>119</w:t>
      </w:r>
      <w:r>
        <w:t>-127</w:t>
      </w:r>
      <w:r w:rsidRPr="00C34B2B">
        <w:t xml:space="preserve"> </w:t>
      </w:r>
      <w:r>
        <w:t xml:space="preserve">on pages 140-142 </w:t>
      </w:r>
      <w:r w:rsidRPr="00C34B2B">
        <w:t xml:space="preserve">of </w:t>
      </w:r>
      <w:r>
        <w:t xml:space="preserve">the Consolidated </w:t>
      </w:r>
      <w:r w:rsidRPr="00C34B2B">
        <w:t>Commentary)</w:t>
      </w:r>
      <w:r>
        <w:t>.</w:t>
      </w:r>
    </w:p>
    <w:p w14:paraId="6CAC0561" w14:textId="77777777" w:rsidR="00840DA0" w:rsidRPr="003C06A7" w:rsidRDefault="00840DA0" w:rsidP="007A4025">
      <w:pPr>
        <w:pStyle w:val="Heading5"/>
      </w:pPr>
      <w:r w:rsidRPr="00A9156B">
        <w:t>Treatment of Increases and Immaterial Decreases</w:t>
      </w:r>
    </w:p>
    <w:p w14:paraId="1E573AAC" w14:textId="3194AF17" w:rsidR="00840DA0" w:rsidRPr="00DC08E2" w:rsidRDefault="00840DA0" w:rsidP="00840DA0">
      <w:pPr>
        <w:pStyle w:val="Normalparatextwithnumbers"/>
        <w:numPr>
          <w:ilvl w:val="1"/>
          <w:numId w:val="18"/>
        </w:numPr>
      </w:pPr>
      <w:r w:rsidRPr="00E44A71">
        <w:t xml:space="preserve">A Filing Constituent Entity may elect to treat increases in Covered Tax liabilities, or immaterial decreases, as adjustments to </w:t>
      </w:r>
      <w:r w:rsidR="00D331A5">
        <w:t>the liability for</w:t>
      </w:r>
      <w:r w:rsidRPr="00E44A71">
        <w:t xml:space="preserve"> Covered Taxes in the current Fiscal Year. This simplified approach avoids the need to recalculate prior year positions while ensuring appropriate recognition of tax adjustments.</w:t>
      </w:r>
      <w:r>
        <w:t xml:space="preserve"> </w:t>
      </w:r>
      <w:r>
        <w:br/>
      </w:r>
      <w:r w:rsidRPr="00FE01D1">
        <w:rPr>
          <w:b/>
          <w:bCs/>
          <w:i/>
          <w:iCs/>
        </w:rPr>
        <w:t>[Chapter 4, section 4-1</w:t>
      </w:r>
      <w:r w:rsidR="0062640B">
        <w:rPr>
          <w:b/>
          <w:bCs/>
          <w:i/>
          <w:iCs/>
        </w:rPr>
        <w:t>4</w:t>
      </w:r>
      <w:r w:rsidRPr="00FE01D1">
        <w:rPr>
          <w:b/>
          <w:bCs/>
          <w:i/>
          <w:iCs/>
        </w:rPr>
        <w:t>0(5) of the Rules]</w:t>
      </w:r>
    </w:p>
    <w:p w14:paraId="1372A9A2" w14:textId="77777777" w:rsidR="00840DA0" w:rsidRPr="003B255E" w:rsidRDefault="00840DA0" w:rsidP="00840DA0">
      <w:pPr>
        <w:pStyle w:val="Normalparatextwithnumbers"/>
        <w:numPr>
          <w:ilvl w:val="1"/>
          <w:numId w:val="18"/>
        </w:numPr>
      </w:pPr>
      <w:r w:rsidRPr="003B255E">
        <w:t xml:space="preserve">While treating such post-filing adjustments to a tax liability in the current year is not as accurate as recalculating the GloBE tax liability or potential GloBE tax liability with respect to the relevant Fiscal Years, it significantly simplifies compliance with computing </w:t>
      </w:r>
      <w:r>
        <w:t>t</w:t>
      </w:r>
      <w:r w:rsidRPr="003B255E">
        <w:t>op</w:t>
      </w:r>
      <w:r w:rsidRPr="003B255E">
        <w:noBreakHyphen/>
        <w:t xml:space="preserve">up Tax under the GloBE Rules while preventing manipulation of top-up tax liabilities. </w:t>
      </w:r>
    </w:p>
    <w:p w14:paraId="30E27AD4" w14:textId="77777777" w:rsidR="00840DA0" w:rsidRPr="003B255E" w:rsidRDefault="00840DA0" w:rsidP="007A4025">
      <w:pPr>
        <w:pStyle w:val="Heading5"/>
      </w:pPr>
      <w:r w:rsidRPr="003B255E">
        <w:t xml:space="preserve">Immaterial decrease </w:t>
      </w:r>
    </w:p>
    <w:p w14:paraId="7B8EDBB9" w14:textId="300DCC77" w:rsidR="00840DA0" w:rsidRDefault="00840DA0" w:rsidP="00840DA0">
      <w:pPr>
        <w:pStyle w:val="Normalparatextwithnumbers"/>
      </w:pPr>
      <w:r w:rsidRPr="003B255E">
        <w:t xml:space="preserve">An immaterial decrease in Covered Taxes is an aggregate decrease in that liability of less than EUR 1 million in the sum of </w:t>
      </w:r>
      <w:r w:rsidR="00E876FB">
        <w:t xml:space="preserve">adjustments to the liability </w:t>
      </w:r>
      <w:r w:rsidR="00E876FB">
        <w:lastRenderedPageBreak/>
        <w:t>for</w:t>
      </w:r>
      <w:r w:rsidRPr="003B255E">
        <w:t xml:space="preserve"> Covered Taxes for the prior year of each Constituent Entity of the MNE Group located in the same jurisdiction. Determining the total adjustment for each Fiscal Year is done by reference to the aggregate increase or decrease in Covered Taxes</w:t>
      </w:r>
      <w:r w:rsidRPr="00AD0049">
        <w:t>.</w:t>
      </w:r>
      <w:r>
        <w:br/>
      </w:r>
      <w:r w:rsidRPr="00E369DA">
        <w:rPr>
          <w:b/>
          <w:bCs/>
          <w:i/>
          <w:iCs/>
        </w:rPr>
        <w:t>[Chapter 4, subsection 4-1</w:t>
      </w:r>
      <w:r w:rsidR="0062640B">
        <w:rPr>
          <w:b/>
          <w:bCs/>
          <w:i/>
          <w:iCs/>
        </w:rPr>
        <w:t>4</w:t>
      </w:r>
      <w:r w:rsidRPr="00E369DA">
        <w:rPr>
          <w:b/>
          <w:bCs/>
          <w:i/>
          <w:iCs/>
        </w:rPr>
        <w:t>0(4) of the Rules]</w:t>
      </w:r>
    </w:p>
    <w:p w14:paraId="329037B4" w14:textId="77777777" w:rsidR="00840DA0" w:rsidRDefault="00840DA0" w:rsidP="007A4025">
      <w:pPr>
        <w:pStyle w:val="Heading5"/>
      </w:pPr>
      <w:r>
        <w:t>Material decreases</w:t>
      </w:r>
    </w:p>
    <w:p w14:paraId="61B5B2A8" w14:textId="045B601A" w:rsidR="00840DA0" w:rsidRDefault="00840DA0" w:rsidP="00840DA0">
      <w:pPr>
        <w:pStyle w:val="Normalparatextwithnumbers"/>
        <w:numPr>
          <w:ilvl w:val="1"/>
          <w:numId w:val="18"/>
        </w:numPr>
      </w:pPr>
      <w:r>
        <w:t xml:space="preserve">Where there is a material decrease in Covered Taxes </w:t>
      </w:r>
      <w:r w:rsidR="00D23899">
        <w:t xml:space="preserve">of </w:t>
      </w:r>
      <w:r>
        <w:t xml:space="preserve">1 million EUR or more, the </w:t>
      </w:r>
      <w:r w:rsidR="00D23899">
        <w:t xml:space="preserve">ETR </w:t>
      </w:r>
      <w:r>
        <w:t>and top-up tax for the prior Fiscal Year must be recalculated</w:t>
      </w:r>
      <w:r w:rsidRPr="00AD7D7D">
        <w:t xml:space="preserve"> </w:t>
      </w:r>
      <w:r>
        <w:t>for the prior Fiscal Year to which the tax adjustment relates to, which has the effect of:</w:t>
      </w:r>
    </w:p>
    <w:p w14:paraId="1293AEB3" w14:textId="77777777" w:rsidR="00840DA0" w:rsidRDefault="00840DA0" w:rsidP="00B7652D">
      <w:pPr>
        <w:pStyle w:val="Dotpoint1"/>
      </w:pPr>
      <w:r>
        <w:t xml:space="preserve">reducing the Constituent Entity's Adjusted Covered Taxes for the prior year by the amount of the decrease; and </w:t>
      </w:r>
    </w:p>
    <w:p w14:paraId="46A1D06F" w14:textId="28D8B774" w:rsidR="00840DA0" w:rsidRDefault="00840DA0" w:rsidP="00B7652D">
      <w:pPr>
        <w:pStyle w:val="Dotpoint1"/>
      </w:pPr>
      <w:r>
        <w:t xml:space="preserve">adjusting the GloBE Income or Loss for all relevant Fiscal Years as necessary. </w:t>
      </w:r>
      <w:r>
        <w:br/>
      </w:r>
      <w:r w:rsidRPr="00192FFD">
        <w:rPr>
          <w:b/>
          <w:bCs/>
          <w:i/>
          <w:iCs/>
        </w:rPr>
        <w:t>[Chapter 4, subsection 4-1</w:t>
      </w:r>
      <w:r w:rsidR="0062640B">
        <w:rPr>
          <w:b/>
          <w:bCs/>
          <w:i/>
          <w:iCs/>
        </w:rPr>
        <w:t>4</w:t>
      </w:r>
      <w:r w:rsidRPr="00192FFD">
        <w:rPr>
          <w:b/>
          <w:bCs/>
          <w:i/>
          <w:iCs/>
        </w:rPr>
        <w:t>0(3) of the Rules]</w:t>
      </w:r>
    </w:p>
    <w:p w14:paraId="48C61022" w14:textId="77777777" w:rsidR="00840DA0" w:rsidRDefault="00840DA0" w:rsidP="00840DA0">
      <w:pPr>
        <w:pStyle w:val="Normalparatextwithnumbers"/>
        <w:numPr>
          <w:ilvl w:val="1"/>
          <w:numId w:val="18"/>
        </w:numPr>
      </w:pPr>
      <w:r>
        <w:t>T</w:t>
      </w:r>
      <w:r w:rsidRPr="000B296C">
        <w:t xml:space="preserve">his requirement for recalculation of material decreases ensures that any overstatement of Covered Taxes that may have avoided </w:t>
      </w:r>
      <w:r>
        <w:t>top-up tax</w:t>
      </w:r>
      <w:r w:rsidRPr="000B296C">
        <w:t xml:space="preserve"> in a prior year is appropriately addressed. Simply reducing </w:t>
      </w:r>
      <w:r w:rsidRPr="00893895">
        <w:t xml:space="preserve">Accrued Current Covered Tax Expense </w:t>
      </w:r>
      <w:r w:rsidRPr="000B296C">
        <w:t xml:space="preserve">in the current year may not effectively recapture the avoided </w:t>
      </w:r>
      <w:r>
        <w:t xml:space="preserve">top-up tax </w:t>
      </w:r>
      <w:r w:rsidRPr="00BB7AD6">
        <w:t>(paragraph 121 o</w:t>
      </w:r>
      <w:r>
        <w:t>n page 141 o</w:t>
      </w:r>
      <w:r w:rsidRPr="00BB7AD6">
        <w:t>f</w:t>
      </w:r>
      <w:r>
        <w:t xml:space="preserve"> the Consolidated</w:t>
      </w:r>
      <w:r w:rsidRPr="00BB7AD6">
        <w:t xml:space="preserve"> Commentary)</w:t>
      </w:r>
      <w:r>
        <w:t xml:space="preserve">. </w:t>
      </w:r>
    </w:p>
    <w:p w14:paraId="7165D213" w14:textId="14ADD784" w:rsidR="00840DA0" w:rsidRPr="00BD41F0" w:rsidRDefault="00840DA0" w:rsidP="00840DA0">
      <w:pPr>
        <w:pStyle w:val="Normalparatextwithnumbers"/>
        <w:numPr>
          <w:ilvl w:val="1"/>
          <w:numId w:val="18"/>
        </w:numPr>
      </w:pPr>
      <w:r>
        <w:t>A post filing adjustment is required</w:t>
      </w:r>
      <w:r w:rsidRPr="00864769">
        <w:t xml:space="preserve"> where a domestic tax loss is carried-back to a prior Fiscal Year </w:t>
      </w:r>
      <w:r>
        <w:t xml:space="preserve">because of the approach to establish a deemed deferred tax asset in the year the domestic tax loss is incurred. This </w:t>
      </w:r>
      <w:r w:rsidRPr="00864769">
        <w:t>mechanism preserve</w:t>
      </w:r>
      <w:r>
        <w:t>s</w:t>
      </w:r>
      <w:r w:rsidRPr="00864769">
        <w:t xml:space="preserve"> the deferred tax accounting approach by creating and reversing deemed deferred tax assets.</w:t>
      </w:r>
      <w:r>
        <w:t xml:space="preserve"> When a tax loss is carried-back</w:t>
      </w:r>
      <w:r w:rsidR="004A552C">
        <w:t xml:space="preserve"> it results in a decrease to the </w:t>
      </w:r>
      <w:r w:rsidR="004A552C" w:rsidRPr="00F616EF">
        <w:t xml:space="preserve">Accrued Current Covered Tax Expense </w:t>
      </w:r>
      <w:r w:rsidR="004A552C">
        <w:t xml:space="preserve">for a prior Fiscal Year </w:t>
      </w:r>
      <w:r w:rsidR="001E7332">
        <w:t xml:space="preserve">and </w:t>
      </w:r>
      <w:r>
        <w:t>a</w:t>
      </w:r>
      <w:r w:rsidR="001E7332">
        <w:t>ny</w:t>
      </w:r>
      <w:r>
        <w:t xml:space="preserve"> </w:t>
      </w:r>
      <w:r w:rsidR="001E7332">
        <w:t xml:space="preserve">resulting </w:t>
      </w:r>
      <w:r>
        <w:t xml:space="preserve">refund of tax for a prior Fiscal Year is issued in the current Fiscal Year.  </w:t>
      </w:r>
    </w:p>
    <w:p w14:paraId="6A39080E" w14:textId="77777777" w:rsidR="00840DA0" w:rsidRDefault="00840DA0" w:rsidP="00840DA0">
      <w:pPr>
        <w:pStyle w:val="Normalparatextwithnumbers"/>
        <w:numPr>
          <w:ilvl w:val="1"/>
          <w:numId w:val="18"/>
        </w:numPr>
      </w:pPr>
      <w:r w:rsidRPr="00A50274">
        <w:t>To the extent a loss-carry back is taken into account, the special rule under section 4</w:t>
      </w:r>
      <w:r w:rsidRPr="00A50274">
        <w:noBreakHyphen/>
        <w:t xml:space="preserve">30 continues to apply in the current Fiscal Year. </w:t>
      </w:r>
    </w:p>
    <w:p w14:paraId="28F6E352" w14:textId="77777777" w:rsidR="00840DA0" w:rsidRDefault="00840DA0" w:rsidP="007A4025">
      <w:pPr>
        <w:pStyle w:val="Heading5"/>
      </w:pPr>
      <w:r>
        <w:t xml:space="preserve">Changes in applicable domestic tax rate </w:t>
      </w:r>
    </w:p>
    <w:p w14:paraId="227B794A" w14:textId="77777777" w:rsidR="00840DA0" w:rsidRDefault="00840DA0" w:rsidP="00840DA0">
      <w:pPr>
        <w:pStyle w:val="Normalparatextwithnumbers"/>
        <w:numPr>
          <w:ilvl w:val="1"/>
          <w:numId w:val="16"/>
        </w:numPr>
      </w:pPr>
      <w:r>
        <w:t xml:space="preserve">An adjustment to the liability of Covered Taxes is required where there is an amount of deferred or current tax expense that has previously been recorded at an applicable domestic tax rate, but that domestic tax rate has subsequently changed relative to the Minimum Rate of 15 per cent.  </w:t>
      </w:r>
    </w:p>
    <w:p w14:paraId="75E8BDB5" w14:textId="77777777" w:rsidR="00840DA0" w:rsidRDefault="00840DA0" w:rsidP="00840DA0">
      <w:pPr>
        <w:pStyle w:val="Heading6"/>
        <w:rPr>
          <w:rFonts w:hint="eastAsia"/>
        </w:rPr>
      </w:pPr>
      <w:r>
        <w:t>Applicable domestic tax rate decreases to less than the Minimum Rate</w:t>
      </w:r>
    </w:p>
    <w:p w14:paraId="7CC2C0EF" w14:textId="111721DC" w:rsidR="00840DA0" w:rsidRDefault="00840DA0" w:rsidP="00840DA0">
      <w:pPr>
        <w:pStyle w:val="Normalparatextwithnumbers"/>
      </w:pPr>
      <w:r>
        <w:t>Where the domestic tax rate is reduced to less than 15 per cent</w:t>
      </w:r>
      <w:r>
        <w:br/>
        <w:t xml:space="preserve">and there is an amount of deferred tax expense recorded in the financial accounts, the Constituent Entity must adjust Adjusted Covered Taxes for the </w:t>
      </w:r>
      <w:r>
        <w:lastRenderedPageBreak/>
        <w:t>prior year by the deferred tax amount.</w:t>
      </w:r>
      <w:r>
        <w:br/>
      </w:r>
      <w:r>
        <w:rPr>
          <w:b/>
          <w:bCs/>
          <w:i/>
          <w:iCs/>
        </w:rPr>
        <w:t>[Chapter 4, subsection 4-1</w:t>
      </w:r>
      <w:r w:rsidR="0062640B">
        <w:rPr>
          <w:b/>
          <w:bCs/>
          <w:i/>
          <w:iCs/>
        </w:rPr>
        <w:t>4</w:t>
      </w:r>
      <w:r>
        <w:rPr>
          <w:b/>
          <w:bCs/>
          <w:i/>
          <w:iCs/>
        </w:rPr>
        <w:t>5(1) of the Rules]</w:t>
      </w:r>
      <w:r>
        <w:t xml:space="preserve"> </w:t>
      </w:r>
    </w:p>
    <w:p w14:paraId="56709E83" w14:textId="272C1219" w:rsidR="00840DA0" w:rsidRDefault="00840DA0" w:rsidP="00840DA0">
      <w:pPr>
        <w:pStyle w:val="Normalparatextwithnumbers"/>
        <w:numPr>
          <w:ilvl w:val="1"/>
          <w:numId w:val="16"/>
        </w:numPr>
      </w:pPr>
      <w:r>
        <w:t>This ensures that when a domestic tax rate is subsequently reduced, the deferred tax expense previously claimed as a Covered Tax is adjusted to the correct value, which is the amount of such tax that will be paid upon reversal of the deferred tax liability.</w:t>
      </w:r>
    </w:p>
    <w:p w14:paraId="397DF403" w14:textId="77777777" w:rsidR="00840DA0" w:rsidRDefault="00840DA0" w:rsidP="00840DA0">
      <w:pPr>
        <w:pStyle w:val="ExampleHeading"/>
        <w:numPr>
          <w:ilvl w:val="3"/>
          <w:numId w:val="16"/>
        </w:numPr>
        <w:tabs>
          <w:tab w:val="num" w:pos="360"/>
        </w:tabs>
        <w:ind w:left="0" w:firstLine="0"/>
      </w:pPr>
      <w:r>
        <w:t xml:space="preserve">Decrease in applicable domestic tax rate </w:t>
      </w:r>
    </w:p>
    <w:p w14:paraId="3006EA90" w14:textId="77777777" w:rsidR="00840DA0" w:rsidRDefault="00840DA0" w:rsidP="00840DA0">
      <w:pPr>
        <w:pStyle w:val="Exampletext"/>
      </w:pPr>
      <w:r>
        <w:t xml:space="preserve">In Fiscal Year 1, the domestic tax rate is 15% and a Constituent Entity claims 15 of Covered Taxes resulting from a deferred tax liability on 100 (100 x 15%) of GloBE Income. </w:t>
      </w:r>
    </w:p>
    <w:p w14:paraId="14615721" w14:textId="77777777" w:rsidR="00840DA0" w:rsidRDefault="00840DA0" w:rsidP="00840DA0">
      <w:pPr>
        <w:pStyle w:val="Exampletext"/>
      </w:pPr>
      <w:r>
        <w:t xml:space="preserve">In Fiscal Year 2, the domestic tax rate is reduced to 10%. </w:t>
      </w:r>
    </w:p>
    <w:p w14:paraId="75584508" w14:textId="77777777" w:rsidR="00840DA0" w:rsidRDefault="00840DA0" w:rsidP="00840DA0">
      <w:pPr>
        <w:pStyle w:val="Exampletext"/>
      </w:pPr>
      <w:r>
        <w:t>Assuming an ETR of 10%, when the deferred tax liability is paid, only 10 of tax will be paid. Therefore, the Top</w:t>
      </w:r>
      <w:r>
        <w:noBreakHyphen/>
        <w:t xml:space="preserve">up Tax resulting from Fiscal Year 1 must be recalculated. </w:t>
      </w:r>
    </w:p>
    <w:p w14:paraId="565D3F03" w14:textId="77777777" w:rsidR="00840DA0" w:rsidRDefault="00840DA0" w:rsidP="00840DA0">
      <w:pPr>
        <w:pStyle w:val="Exampletext"/>
      </w:pPr>
      <w:r>
        <w:t>A total of 5 of Top-up Tax would be owing in Fiscal Year 2 due to the recalculation.</w:t>
      </w:r>
    </w:p>
    <w:p w14:paraId="524740B6" w14:textId="77777777" w:rsidR="00840DA0" w:rsidRPr="009D0B23" w:rsidRDefault="00840DA0" w:rsidP="00840DA0">
      <w:pPr>
        <w:pStyle w:val="Heading6"/>
        <w:rPr>
          <w:rFonts w:hint="eastAsia"/>
        </w:rPr>
      </w:pPr>
      <w:r>
        <w:t>Applicable domestic tax rate increases to more than the minimum rate</w:t>
      </w:r>
    </w:p>
    <w:p w14:paraId="128A722B" w14:textId="01C748A9" w:rsidR="00840DA0" w:rsidRPr="00631A65" w:rsidRDefault="00840DA0" w:rsidP="00840DA0">
      <w:pPr>
        <w:pStyle w:val="Normalparatextwithnumbers"/>
      </w:pPr>
      <w:r>
        <w:t>T</w:t>
      </w:r>
      <w:r w:rsidRPr="00445FC3">
        <w:t xml:space="preserve">he amount of deferred tax expense </w:t>
      </w:r>
      <w:r>
        <w:t xml:space="preserve">that has been paid and recorded in the financial accounts </w:t>
      </w:r>
      <w:r w:rsidRPr="00445FC3">
        <w:t xml:space="preserve">resulting from </w:t>
      </w:r>
      <w:r>
        <w:t xml:space="preserve">an </w:t>
      </w:r>
      <w:r w:rsidRPr="00445FC3">
        <w:t>increase</w:t>
      </w:r>
      <w:r>
        <w:t xml:space="preserve"> in the</w:t>
      </w:r>
      <w:r w:rsidRPr="00445FC3">
        <w:t xml:space="preserve"> </w:t>
      </w:r>
      <w:r>
        <w:t>domestic tax rate that was previously less than 15 per cent and has increased to greater than 15 per cent</w:t>
      </w:r>
      <w:r w:rsidRPr="00445FC3">
        <w:t xml:space="preserve"> </w:t>
      </w:r>
      <w:r>
        <w:t xml:space="preserve">will be </w:t>
      </w:r>
      <w:r w:rsidRPr="00445FC3">
        <w:t>an adjustment to a Constituent Entity’s liability for Covered Taxes for a previous Fiscal Year</w:t>
      </w:r>
      <w:r>
        <w:t xml:space="preserve">. The adjustment is limited to an amount equal </w:t>
      </w:r>
      <w:r w:rsidRPr="00D875AF">
        <w:t xml:space="preserve">an increase of deferred tax expense up to such deferred tax expense recast at the </w:t>
      </w:r>
      <w:r>
        <w:t>15 per cent.</w:t>
      </w:r>
      <w:r>
        <w:br/>
      </w:r>
      <w:r w:rsidRPr="00BB20B2">
        <w:rPr>
          <w:b/>
          <w:bCs/>
          <w:i/>
          <w:iCs/>
        </w:rPr>
        <w:t>[Chapter 4, subsection 4-1</w:t>
      </w:r>
      <w:r w:rsidR="0062640B">
        <w:rPr>
          <w:b/>
          <w:bCs/>
          <w:i/>
          <w:iCs/>
        </w:rPr>
        <w:t>4</w:t>
      </w:r>
      <w:r w:rsidRPr="00BB20B2">
        <w:rPr>
          <w:b/>
          <w:bCs/>
          <w:i/>
          <w:iCs/>
        </w:rPr>
        <w:t>5(2) of the Rules]</w:t>
      </w:r>
    </w:p>
    <w:p w14:paraId="644A8C3F" w14:textId="77777777" w:rsidR="00840DA0" w:rsidRPr="009D0B23" w:rsidRDefault="00840DA0" w:rsidP="00840DA0">
      <w:pPr>
        <w:pStyle w:val="Heading6"/>
        <w:rPr>
          <w:rFonts w:hint="eastAsia"/>
        </w:rPr>
      </w:pPr>
      <w:r>
        <w:t>Current tax not paid within three years</w:t>
      </w:r>
    </w:p>
    <w:p w14:paraId="0A3BB477" w14:textId="57955E24" w:rsidR="0025163B" w:rsidRDefault="00840DA0" w:rsidP="00840DA0">
      <w:pPr>
        <w:pStyle w:val="Normalparatextwithnumbers"/>
        <w:numPr>
          <w:ilvl w:val="1"/>
          <w:numId w:val="3"/>
        </w:numPr>
      </w:pPr>
      <w:r>
        <w:t>Adjustments to prior calculations of the ETR and top</w:t>
      </w:r>
      <w:r>
        <w:noBreakHyphen/>
        <w:t>up tax are required where current tax expense was recorded in the financial accounts of a prior Fiscal Year that was included in the Constituent Entity’s Adjusted Covered Taxes</w:t>
      </w:r>
      <w:r w:rsidR="001534E0">
        <w:t>,</w:t>
      </w:r>
      <w:r>
        <w:t xml:space="preserve"> but more than 1 million Euros remains unpaid by the end of the third Fiscal Year after that prior Fiscal Year. In these circumstances the ETR and Jurisdictional Top-up Tax for that prior Fiscal Year must be recalculated to exclude the amount of unpaid current tax expense from the Constituent Entity’s Adjusted Covered Taxes. </w:t>
      </w:r>
      <w:r>
        <w:br/>
      </w:r>
      <w:r w:rsidRPr="009D0B23">
        <w:rPr>
          <w:b/>
          <w:bCs/>
          <w:i/>
          <w:iCs/>
        </w:rPr>
        <w:t>[Chapter 4, subsection 4-1</w:t>
      </w:r>
      <w:r w:rsidR="0062640B">
        <w:rPr>
          <w:b/>
          <w:bCs/>
          <w:i/>
          <w:iCs/>
        </w:rPr>
        <w:t>4</w:t>
      </w:r>
      <w:r w:rsidRPr="009D0B23">
        <w:rPr>
          <w:b/>
          <w:bCs/>
          <w:i/>
          <w:iCs/>
        </w:rPr>
        <w:t>5(3) of the Rules</w:t>
      </w:r>
      <w:bookmarkEnd w:id="129"/>
    </w:p>
    <w:p w14:paraId="241590CB" w14:textId="418CE62C" w:rsidR="001372E7" w:rsidRPr="00020288" w:rsidRDefault="001372E7" w:rsidP="00873094">
      <w:pPr>
        <w:spacing w:after="0" w:line="360" w:lineRule="auto"/>
        <w:contextualSpacing/>
        <w:sectPr w:rsidR="001372E7" w:rsidRPr="00020288" w:rsidSect="0025163B">
          <w:headerReference w:type="even" r:id="rId60"/>
          <w:headerReference w:type="default" r:id="rId61"/>
          <w:footerReference w:type="even" r:id="rId62"/>
          <w:footerReference w:type="default" r:id="rId63"/>
          <w:headerReference w:type="first" r:id="rId64"/>
          <w:footerReference w:type="first" r:id="rId65"/>
          <w:type w:val="oddPage"/>
          <w:pgSz w:w="9979" w:h="14175" w:code="9"/>
          <w:pgMar w:top="567" w:right="1134" w:bottom="567" w:left="1134" w:header="709" w:footer="709" w:gutter="0"/>
          <w:cols w:space="708"/>
          <w:titlePg/>
          <w:docGrid w:linePitch="360"/>
        </w:sectPr>
      </w:pPr>
    </w:p>
    <w:p w14:paraId="6A6085D9" w14:textId="763ACF00" w:rsidR="0025163B" w:rsidRPr="0073326A" w:rsidRDefault="000C23B6" w:rsidP="00777A92">
      <w:pPr>
        <w:pStyle w:val="Chapterheading"/>
        <w:rPr>
          <w:rFonts w:hint="eastAsia"/>
        </w:rPr>
      </w:pPr>
      <w:bookmarkStart w:id="157" w:name="_Toc183417102"/>
      <w:bookmarkStart w:id="158" w:name="_Toc183786655"/>
      <w:r>
        <w:lastRenderedPageBreak/>
        <w:t>Computing Top</w:t>
      </w:r>
      <w:r>
        <w:noBreakHyphen/>
        <w:t>up Tax</w:t>
      </w:r>
      <w:bookmarkEnd w:id="157"/>
      <w:bookmarkEnd w:id="158"/>
    </w:p>
    <w:p w14:paraId="56D71032" w14:textId="5A84B8AB" w:rsidR="007136C1" w:rsidRDefault="007136C1" w:rsidP="007136C1">
      <w:pPr>
        <w:pStyle w:val="TOCHeading"/>
      </w:pPr>
      <w:bookmarkStart w:id="159" w:name="Chapter5"/>
      <w:r>
        <w:t xml:space="preserve">Table of Contents: </w:t>
      </w:r>
    </w:p>
    <w:p w14:paraId="15BBD665" w14:textId="1914B357" w:rsidR="0096460F" w:rsidRDefault="007136C1">
      <w:pPr>
        <w:pStyle w:val="TOC2"/>
        <w:rPr>
          <w:rFonts w:asciiTheme="minorHAnsi" w:eastAsiaTheme="minorEastAsia" w:hAnsiTheme="minorHAnsi"/>
          <w:kern w:val="2"/>
          <w:sz w:val="22"/>
          <w:lang w:eastAsia="en-AU"/>
          <w14:ligatures w14:val="standardContextual"/>
        </w:rPr>
      </w:pPr>
      <w:r>
        <w:fldChar w:fldCharType="begin"/>
      </w:r>
      <w:r>
        <w:instrText xml:space="preserve"> TOC \o "1-3" \z  \B Chapter5</w:instrText>
      </w:r>
      <w:r>
        <w:fldChar w:fldCharType="separate"/>
      </w:r>
      <w:r w:rsidR="0096460F">
        <w:t>Outline of chapter</w:t>
      </w:r>
      <w:r w:rsidR="0096460F">
        <w:rPr>
          <w:webHidden/>
        </w:rPr>
        <w:tab/>
      </w:r>
      <w:r w:rsidR="0096460F">
        <w:rPr>
          <w:webHidden/>
        </w:rPr>
        <w:fldChar w:fldCharType="begin"/>
      </w:r>
      <w:r w:rsidR="0096460F">
        <w:rPr>
          <w:webHidden/>
        </w:rPr>
        <w:instrText xml:space="preserve"> PAGEREF _Toc185503001 \h </w:instrText>
      </w:r>
      <w:r w:rsidR="0096460F">
        <w:rPr>
          <w:webHidden/>
        </w:rPr>
      </w:r>
      <w:r w:rsidR="0096460F">
        <w:rPr>
          <w:webHidden/>
        </w:rPr>
        <w:fldChar w:fldCharType="separate"/>
      </w:r>
      <w:r w:rsidR="009D6D0D">
        <w:rPr>
          <w:webHidden/>
        </w:rPr>
        <w:t>107</w:t>
      </w:r>
      <w:r w:rsidR="0096460F">
        <w:rPr>
          <w:webHidden/>
        </w:rPr>
        <w:fldChar w:fldCharType="end"/>
      </w:r>
    </w:p>
    <w:p w14:paraId="621CA03B" w14:textId="4E37F045" w:rsidR="0096460F" w:rsidRDefault="0096460F">
      <w:pPr>
        <w:pStyle w:val="TOC2"/>
        <w:rPr>
          <w:rFonts w:asciiTheme="minorHAnsi" w:eastAsiaTheme="minorEastAsia" w:hAnsiTheme="minorHAnsi"/>
          <w:kern w:val="2"/>
          <w:sz w:val="22"/>
          <w:lang w:eastAsia="en-AU"/>
          <w14:ligatures w14:val="standardContextual"/>
        </w:rPr>
      </w:pPr>
      <w:r>
        <w:t>Detailed explanation of new law</w:t>
      </w:r>
      <w:r>
        <w:rPr>
          <w:webHidden/>
        </w:rPr>
        <w:tab/>
      </w:r>
      <w:r>
        <w:rPr>
          <w:webHidden/>
        </w:rPr>
        <w:fldChar w:fldCharType="begin"/>
      </w:r>
      <w:r>
        <w:rPr>
          <w:webHidden/>
        </w:rPr>
        <w:instrText xml:space="preserve"> PAGEREF _Toc185503002 \h </w:instrText>
      </w:r>
      <w:r>
        <w:rPr>
          <w:webHidden/>
        </w:rPr>
      </w:r>
      <w:r>
        <w:rPr>
          <w:webHidden/>
        </w:rPr>
        <w:fldChar w:fldCharType="separate"/>
      </w:r>
      <w:r w:rsidR="009D6D0D">
        <w:rPr>
          <w:webHidden/>
        </w:rPr>
        <w:t>108</w:t>
      </w:r>
      <w:r>
        <w:rPr>
          <w:webHidden/>
        </w:rPr>
        <w:fldChar w:fldCharType="end"/>
      </w:r>
    </w:p>
    <w:p w14:paraId="7F3BD278" w14:textId="2CEDF264"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Determination of effective tax rate</w:t>
      </w:r>
      <w:r>
        <w:rPr>
          <w:noProof/>
          <w:webHidden/>
        </w:rPr>
        <w:tab/>
      </w:r>
      <w:r>
        <w:rPr>
          <w:noProof/>
          <w:webHidden/>
        </w:rPr>
        <w:fldChar w:fldCharType="begin"/>
      </w:r>
      <w:r>
        <w:rPr>
          <w:noProof/>
          <w:webHidden/>
        </w:rPr>
        <w:instrText xml:space="preserve"> PAGEREF _Toc185503003 \h </w:instrText>
      </w:r>
      <w:r>
        <w:rPr>
          <w:noProof/>
          <w:webHidden/>
        </w:rPr>
      </w:r>
      <w:r>
        <w:rPr>
          <w:noProof/>
          <w:webHidden/>
        </w:rPr>
        <w:fldChar w:fldCharType="separate"/>
      </w:r>
      <w:r w:rsidR="009D6D0D">
        <w:rPr>
          <w:noProof/>
          <w:webHidden/>
        </w:rPr>
        <w:t>108</w:t>
      </w:r>
      <w:r>
        <w:rPr>
          <w:noProof/>
          <w:webHidden/>
        </w:rPr>
        <w:fldChar w:fldCharType="end"/>
      </w:r>
    </w:p>
    <w:p w14:paraId="35063A09" w14:textId="134387E5"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Top</w:t>
      </w:r>
      <w:r>
        <w:rPr>
          <w:noProof/>
        </w:rPr>
        <w:noBreakHyphen/>
        <w:t>up Tax</w:t>
      </w:r>
      <w:r>
        <w:rPr>
          <w:noProof/>
          <w:webHidden/>
        </w:rPr>
        <w:tab/>
      </w:r>
      <w:r>
        <w:rPr>
          <w:noProof/>
          <w:webHidden/>
        </w:rPr>
        <w:fldChar w:fldCharType="begin"/>
      </w:r>
      <w:r>
        <w:rPr>
          <w:noProof/>
          <w:webHidden/>
        </w:rPr>
        <w:instrText xml:space="preserve"> PAGEREF _Toc185503004 \h </w:instrText>
      </w:r>
      <w:r>
        <w:rPr>
          <w:noProof/>
          <w:webHidden/>
        </w:rPr>
      </w:r>
      <w:r>
        <w:rPr>
          <w:noProof/>
          <w:webHidden/>
        </w:rPr>
        <w:fldChar w:fldCharType="separate"/>
      </w:r>
      <w:r w:rsidR="009D6D0D">
        <w:rPr>
          <w:noProof/>
          <w:webHidden/>
        </w:rPr>
        <w:t>111</w:t>
      </w:r>
      <w:r>
        <w:rPr>
          <w:noProof/>
          <w:webHidden/>
        </w:rPr>
        <w:fldChar w:fldCharType="end"/>
      </w:r>
    </w:p>
    <w:p w14:paraId="4AED293C" w14:textId="2BBEEB0F"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Substance-based Income Exclusion</w:t>
      </w:r>
      <w:r>
        <w:rPr>
          <w:noProof/>
          <w:webHidden/>
        </w:rPr>
        <w:tab/>
      </w:r>
      <w:r>
        <w:rPr>
          <w:noProof/>
          <w:webHidden/>
        </w:rPr>
        <w:fldChar w:fldCharType="begin"/>
      </w:r>
      <w:r>
        <w:rPr>
          <w:noProof/>
          <w:webHidden/>
        </w:rPr>
        <w:instrText xml:space="preserve"> PAGEREF _Toc185503005 \h </w:instrText>
      </w:r>
      <w:r>
        <w:rPr>
          <w:noProof/>
          <w:webHidden/>
        </w:rPr>
      </w:r>
      <w:r>
        <w:rPr>
          <w:noProof/>
          <w:webHidden/>
        </w:rPr>
        <w:fldChar w:fldCharType="separate"/>
      </w:r>
      <w:r w:rsidR="009D6D0D">
        <w:rPr>
          <w:noProof/>
          <w:webHidden/>
        </w:rPr>
        <w:t>112</w:t>
      </w:r>
      <w:r>
        <w:rPr>
          <w:noProof/>
          <w:webHidden/>
        </w:rPr>
        <w:fldChar w:fldCharType="end"/>
      </w:r>
    </w:p>
    <w:p w14:paraId="0753C4F5" w14:textId="4C737A4A"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Additional Current Top-up Tax</w:t>
      </w:r>
      <w:r>
        <w:rPr>
          <w:noProof/>
          <w:webHidden/>
        </w:rPr>
        <w:tab/>
      </w:r>
      <w:r>
        <w:rPr>
          <w:noProof/>
          <w:webHidden/>
        </w:rPr>
        <w:fldChar w:fldCharType="begin"/>
      </w:r>
      <w:r>
        <w:rPr>
          <w:noProof/>
          <w:webHidden/>
        </w:rPr>
        <w:instrText xml:space="preserve"> PAGEREF _Toc185503006 \h </w:instrText>
      </w:r>
      <w:r>
        <w:rPr>
          <w:noProof/>
          <w:webHidden/>
        </w:rPr>
      </w:r>
      <w:r>
        <w:rPr>
          <w:noProof/>
          <w:webHidden/>
        </w:rPr>
        <w:fldChar w:fldCharType="separate"/>
      </w:r>
      <w:r w:rsidR="009D6D0D">
        <w:rPr>
          <w:noProof/>
          <w:webHidden/>
        </w:rPr>
        <w:t>116</w:t>
      </w:r>
      <w:r>
        <w:rPr>
          <w:noProof/>
          <w:webHidden/>
        </w:rPr>
        <w:fldChar w:fldCharType="end"/>
      </w:r>
    </w:p>
    <w:p w14:paraId="33B79C88" w14:textId="50510CB2"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De minimis exclusion</w:t>
      </w:r>
      <w:r>
        <w:rPr>
          <w:noProof/>
          <w:webHidden/>
        </w:rPr>
        <w:tab/>
      </w:r>
      <w:r>
        <w:rPr>
          <w:noProof/>
          <w:webHidden/>
        </w:rPr>
        <w:fldChar w:fldCharType="begin"/>
      </w:r>
      <w:r>
        <w:rPr>
          <w:noProof/>
          <w:webHidden/>
        </w:rPr>
        <w:instrText xml:space="preserve"> PAGEREF _Toc185503007 \h </w:instrText>
      </w:r>
      <w:r>
        <w:rPr>
          <w:noProof/>
          <w:webHidden/>
        </w:rPr>
      </w:r>
      <w:r>
        <w:rPr>
          <w:noProof/>
          <w:webHidden/>
        </w:rPr>
        <w:fldChar w:fldCharType="separate"/>
      </w:r>
      <w:r w:rsidR="009D6D0D">
        <w:rPr>
          <w:noProof/>
          <w:webHidden/>
        </w:rPr>
        <w:t>118</w:t>
      </w:r>
      <w:r>
        <w:rPr>
          <w:noProof/>
          <w:webHidden/>
        </w:rPr>
        <w:fldChar w:fldCharType="end"/>
      </w:r>
    </w:p>
    <w:p w14:paraId="25FCE9B8" w14:textId="2F4BA722"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Minority-Owned Constituent Entities</w:t>
      </w:r>
      <w:r>
        <w:rPr>
          <w:noProof/>
          <w:webHidden/>
        </w:rPr>
        <w:tab/>
      </w:r>
      <w:r>
        <w:rPr>
          <w:noProof/>
          <w:webHidden/>
        </w:rPr>
        <w:fldChar w:fldCharType="begin"/>
      </w:r>
      <w:r>
        <w:rPr>
          <w:noProof/>
          <w:webHidden/>
        </w:rPr>
        <w:instrText xml:space="preserve"> PAGEREF _Toc185503008 \h </w:instrText>
      </w:r>
      <w:r>
        <w:rPr>
          <w:noProof/>
          <w:webHidden/>
        </w:rPr>
      </w:r>
      <w:r>
        <w:rPr>
          <w:noProof/>
          <w:webHidden/>
        </w:rPr>
        <w:fldChar w:fldCharType="separate"/>
      </w:r>
      <w:r w:rsidR="009D6D0D">
        <w:rPr>
          <w:noProof/>
          <w:webHidden/>
        </w:rPr>
        <w:t>119</w:t>
      </w:r>
      <w:r>
        <w:rPr>
          <w:noProof/>
          <w:webHidden/>
        </w:rPr>
        <w:fldChar w:fldCharType="end"/>
      </w:r>
    </w:p>
    <w:p w14:paraId="3D40E09C" w14:textId="16322E54" w:rsidR="0025163B" w:rsidRPr="00020288" w:rsidRDefault="007136C1" w:rsidP="007136C1">
      <w:r>
        <w:fldChar w:fldCharType="end"/>
      </w:r>
    </w:p>
    <w:p w14:paraId="1BA9DAA8" w14:textId="77777777" w:rsidR="0025163B" w:rsidRPr="00020288" w:rsidRDefault="0025163B" w:rsidP="00CE709D">
      <w:pPr>
        <w:pStyle w:val="Heading2"/>
        <w:rPr>
          <w:rFonts w:hint="eastAsia"/>
        </w:rPr>
      </w:pPr>
      <w:bookmarkStart w:id="160" w:name="_Toc183786656"/>
      <w:bookmarkStart w:id="161" w:name="_Toc185503001"/>
      <w:r w:rsidRPr="00020288">
        <w:t xml:space="preserve">Outline </w:t>
      </w:r>
      <w:r w:rsidRPr="005D0844">
        <w:t>of</w:t>
      </w:r>
      <w:r w:rsidRPr="00020288">
        <w:t xml:space="preserve"> chapter</w:t>
      </w:r>
      <w:bookmarkEnd w:id="160"/>
      <w:bookmarkEnd w:id="161"/>
    </w:p>
    <w:p w14:paraId="267A768F" w14:textId="77777777" w:rsidR="003605B8" w:rsidRDefault="003605B8" w:rsidP="003605B8">
      <w:pPr>
        <w:pStyle w:val="Normalparatextwithnumbers"/>
        <w:numPr>
          <w:ilvl w:val="1"/>
          <w:numId w:val="18"/>
        </w:numPr>
      </w:pPr>
      <w:r w:rsidRPr="00167665">
        <w:t xml:space="preserve">Chapter </w:t>
      </w:r>
      <w:r>
        <w:t>5 of the Rules sets out the computation rules for determining the ETR of a jurisdiction and the t</w:t>
      </w:r>
      <w:r w:rsidRPr="0013622E">
        <w:t xml:space="preserve">op-up </w:t>
      </w:r>
      <w:r>
        <w:t>t</w:t>
      </w:r>
      <w:r w:rsidRPr="0013622E">
        <w:t>ax</w:t>
      </w:r>
      <w:r>
        <w:t xml:space="preserve"> amount for a low-tax jurisdiction. </w:t>
      </w:r>
    </w:p>
    <w:p w14:paraId="0E17B955" w14:textId="77777777" w:rsidR="001C1F43" w:rsidRDefault="003605B8" w:rsidP="003605B8">
      <w:pPr>
        <w:pStyle w:val="Normalparatextwithnumbers"/>
        <w:numPr>
          <w:ilvl w:val="1"/>
          <w:numId w:val="18"/>
        </w:numPr>
      </w:pPr>
      <w:r w:rsidRPr="00A77460">
        <w:t xml:space="preserve">The GloBE Income or Loss </w:t>
      </w:r>
      <w:r>
        <w:t xml:space="preserve">calculated </w:t>
      </w:r>
      <w:r w:rsidRPr="00A77460">
        <w:t>f</w:t>
      </w:r>
      <w:r>
        <w:t>or</w:t>
      </w:r>
      <w:r w:rsidRPr="00A77460">
        <w:t xml:space="preserve"> each </w:t>
      </w:r>
      <w:r>
        <w:t>Constituent Entity</w:t>
      </w:r>
      <w:r w:rsidRPr="00A77460">
        <w:t xml:space="preserve"> located in the same jurisdiction are </w:t>
      </w:r>
      <w:r>
        <w:t>combined</w:t>
      </w:r>
      <w:r w:rsidRPr="00A77460">
        <w:t xml:space="preserve"> to </w:t>
      </w:r>
      <w:r>
        <w:t xml:space="preserve">arrive at the Net GloBE Income </w:t>
      </w:r>
      <w:r w:rsidR="00123A48">
        <w:t xml:space="preserve">or Net GloBE Loss </w:t>
      </w:r>
      <w:r>
        <w:t xml:space="preserve">amount. </w:t>
      </w:r>
    </w:p>
    <w:p w14:paraId="43230652" w14:textId="71E76033" w:rsidR="003605B8" w:rsidRDefault="003605B8" w:rsidP="003605B8">
      <w:pPr>
        <w:pStyle w:val="Normalparatextwithnumbers"/>
        <w:numPr>
          <w:ilvl w:val="1"/>
          <w:numId w:val="18"/>
        </w:numPr>
      </w:pPr>
      <w:r>
        <w:t xml:space="preserve">Similarly, the Adjusted Covered Taxes for each Constituent Entity located in the same jurisdiction are added together to arrive at the total </w:t>
      </w:r>
      <w:r w:rsidR="00F90067">
        <w:t>A</w:t>
      </w:r>
      <w:r>
        <w:t xml:space="preserve">djusted </w:t>
      </w:r>
      <w:r w:rsidR="00F90067">
        <w:t>C</w:t>
      </w:r>
      <w:r>
        <w:t xml:space="preserve">overed </w:t>
      </w:r>
      <w:r w:rsidR="00F90067">
        <w:t>T</w:t>
      </w:r>
      <w:r>
        <w:t>axes amount. The adjusted covered taxes are then divided by the Net GloBE Income to arrive a</w:t>
      </w:r>
      <w:r w:rsidRPr="00A77460">
        <w:t xml:space="preserve">t the </w:t>
      </w:r>
      <w:r w:rsidRPr="00FC247F">
        <w:t>GloBE Jurisdictional ETR</w:t>
      </w:r>
      <w:r w:rsidRPr="00A77460">
        <w:t>.</w:t>
      </w:r>
    </w:p>
    <w:p w14:paraId="31B63E5F" w14:textId="55BF2B13" w:rsidR="003605B8" w:rsidRDefault="003605B8" w:rsidP="003605B8">
      <w:pPr>
        <w:pStyle w:val="Normalparatextwithnumbers"/>
        <w:numPr>
          <w:ilvl w:val="1"/>
          <w:numId w:val="18"/>
        </w:numPr>
      </w:pPr>
      <w:r w:rsidRPr="00C67363">
        <w:t>The Top-up Tax Percentage is the number of percentage points by which the GloBE Minimum Rate of 15 per cent exceeds the MNE Group’s ETR in the jurisdiction</w:t>
      </w:r>
      <w:r>
        <w:t xml:space="preserve">. The top-up tax percentage is applied to an MNE Group’s jurisdictional excess profit. A </w:t>
      </w:r>
      <w:r w:rsidR="00343C57">
        <w:t xml:space="preserve">MNE </w:t>
      </w:r>
      <w:r>
        <w:t xml:space="preserve">Group’s excess profit is any positive amount which remains after the Substance-based Income Exclusion is applied to the </w:t>
      </w:r>
      <w:r w:rsidR="00343C57">
        <w:t xml:space="preserve">MNE </w:t>
      </w:r>
      <w:r>
        <w:t xml:space="preserve">Group’s Net GloBE Income in the jurisdiction. </w:t>
      </w:r>
    </w:p>
    <w:p w14:paraId="3783A066" w14:textId="05E3AE0D" w:rsidR="003605B8" w:rsidRDefault="003605B8" w:rsidP="003605B8">
      <w:pPr>
        <w:pStyle w:val="Normalparatextwithnumbers"/>
        <w:numPr>
          <w:ilvl w:val="1"/>
          <w:numId w:val="18"/>
        </w:numPr>
      </w:pPr>
      <w:r>
        <w:t xml:space="preserve">The final amount of top-up tax due is then calculated by subtracting any </w:t>
      </w:r>
      <w:r w:rsidR="00FB3295">
        <w:t xml:space="preserve">QDMTT </w:t>
      </w:r>
      <w:r>
        <w:t xml:space="preserve">amount and adding any additional top-up tax. Any positive amount is then allocated to </w:t>
      </w:r>
      <w:r w:rsidR="00DA59A8">
        <w:t xml:space="preserve">the </w:t>
      </w:r>
      <w:r w:rsidR="000A74B8">
        <w:t xml:space="preserve">Constituent </w:t>
      </w:r>
      <w:r w:rsidR="00DA59A8">
        <w:t>Entity</w:t>
      </w:r>
      <w:r w:rsidR="000A74B8">
        <w:t xml:space="preserve"> </w:t>
      </w:r>
      <w:r>
        <w:t xml:space="preserve">in the undertaxed jurisdiction </w:t>
      </w:r>
      <w:r>
        <w:lastRenderedPageBreak/>
        <w:t>proportionally according to their GloBE Income. There is no allocation to entities with a GloBE loss.</w:t>
      </w:r>
      <w:r w:rsidRPr="00857F74">
        <w:t xml:space="preserve"> </w:t>
      </w:r>
    </w:p>
    <w:p w14:paraId="4FAD3362" w14:textId="77777777" w:rsidR="003605B8" w:rsidRDefault="003605B8" w:rsidP="003605B8">
      <w:pPr>
        <w:pStyle w:val="Normalparatextwithnumbers"/>
        <w:numPr>
          <w:ilvl w:val="1"/>
          <w:numId w:val="18"/>
        </w:numPr>
      </w:pPr>
      <w:r>
        <w:t xml:space="preserve">The resulting </w:t>
      </w:r>
      <w:r w:rsidRPr="009F30C4">
        <w:t>top-up tax</w:t>
      </w:r>
      <w:r w:rsidRPr="009F30C4" w:rsidDel="009F30C4">
        <w:t xml:space="preserve"> </w:t>
      </w:r>
      <w:r>
        <w:t xml:space="preserve">amount is then charged to a Parent Entity under the QIIR or, if there is no QIIR, to Constituent Entities located in a </w:t>
      </w:r>
      <w:r w:rsidRPr="000A1E65">
        <w:t>UTPR Jurisdiction</w:t>
      </w:r>
      <w:r>
        <w:t>.</w:t>
      </w:r>
    </w:p>
    <w:p w14:paraId="429917A2" w14:textId="77016C9D" w:rsidR="003605B8" w:rsidRDefault="003605B8" w:rsidP="00D60559">
      <w:pPr>
        <w:pStyle w:val="DiagramHeading"/>
      </w:pPr>
      <w:r>
        <w:t xml:space="preserve">Calculating </w:t>
      </w:r>
      <w:r w:rsidR="00E44E87">
        <w:t xml:space="preserve">the jurisdictional </w:t>
      </w:r>
      <w:r>
        <w:t>ETR and Top-</w:t>
      </w:r>
      <w:r w:rsidR="00E44E87">
        <w:t>u</w:t>
      </w:r>
      <w:r>
        <w:t>p Tax</w:t>
      </w:r>
    </w:p>
    <w:p w14:paraId="062C8450" w14:textId="77777777" w:rsidR="003605B8" w:rsidRPr="00A727EC" w:rsidRDefault="003605B8" w:rsidP="003605B8">
      <w:pPr>
        <w:pStyle w:val="Normalparatextnonumbers"/>
        <w:rPr>
          <w:rStyle w:val="References"/>
        </w:rPr>
      </w:pPr>
      <w:r w:rsidRPr="00361D0C">
        <w:rPr>
          <w:noProof/>
        </w:rPr>
        <w:drawing>
          <wp:inline distT="0" distB="0" distL="0" distR="0" wp14:anchorId="74DC9819" wp14:editId="1E73F615">
            <wp:extent cx="4770755" cy="3462655"/>
            <wp:effectExtent l="0" t="0" r="0" b="4445"/>
            <wp:docPr id="2" name="Picture 2" descr="A flowchart illustrating how jurisdictional ETR and Top-up Tax are calcul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lowchart illustrating how jurisdictional ETR and Top-up Tax are calculated "/>
                    <pic:cNvPicPr/>
                  </pic:nvPicPr>
                  <pic:blipFill>
                    <a:blip r:embed="rId66">
                      <a:biLevel thresh="75000"/>
                    </a:blip>
                    <a:stretch>
                      <a:fillRect/>
                    </a:stretch>
                  </pic:blipFill>
                  <pic:spPr>
                    <a:xfrm>
                      <a:off x="0" y="0"/>
                      <a:ext cx="4770755" cy="3462655"/>
                    </a:xfrm>
                    <a:prstGeom prst="rect">
                      <a:avLst/>
                    </a:prstGeom>
                  </pic:spPr>
                </pic:pic>
              </a:graphicData>
            </a:graphic>
          </wp:inline>
        </w:drawing>
      </w:r>
      <w:r>
        <w:br/>
      </w:r>
      <w:r w:rsidRPr="00BB6E1E">
        <w:rPr>
          <w:rStyle w:val="References"/>
          <w:sz w:val="20"/>
          <w:szCs w:val="20"/>
        </w:rPr>
        <w:t xml:space="preserve">OECD (2023), </w:t>
      </w:r>
      <w:r>
        <w:rPr>
          <w:rStyle w:val="References"/>
          <w:sz w:val="20"/>
          <w:szCs w:val="20"/>
        </w:rPr>
        <w:t xml:space="preserve">Figure 1.7 of the </w:t>
      </w:r>
      <w:r w:rsidRPr="00BB6E1E">
        <w:rPr>
          <w:rStyle w:val="References"/>
          <w:sz w:val="20"/>
          <w:szCs w:val="20"/>
        </w:rPr>
        <w:t xml:space="preserve">Minimum Tax Implementation Handbook (Pillar Two), OECD/G20 Base Erosion and Profit Shifting Project, OECD, Paris, </w:t>
      </w:r>
      <w:r w:rsidRPr="005D6AA5">
        <w:rPr>
          <w:rStyle w:val="References"/>
          <w:sz w:val="20"/>
          <w:szCs w:val="20"/>
        </w:rPr>
        <w:t>https://www.oecd.org/tax/beps/minimum-tax-implementation-handbook-pillar-two.pdf</w:t>
      </w:r>
    </w:p>
    <w:p w14:paraId="4154D44A" w14:textId="318E84EA" w:rsidR="0025163B" w:rsidRPr="00020288" w:rsidRDefault="0025163B" w:rsidP="0025163B">
      <w:pPr>
        <w:pStyle w:val="Heading2"/>
        <w:numPr>
          <w:ilvl w:val="1"/>
          <w:numId w:val="2"/>
        </w:numPr>
        <w:tabs>
          <w:tab w:val="num" w:pos="567"/>
        </w:tabs>
        <w:ind w:left="567" w:hanging="567"/>
        <w:rPr>
          <w:rFonts w:hint="eastAsia"/>
        </w:rPr>
      </w:pPr>
      <w:bookmarkStart w:id="162" w:name="_Toc183786657"/>
      <w:bookmarkStart w:id="163" w:name="_Toc185503002"/>
      <w:r w:rsidRPr="00020288">
        <w:t>Detailed explanation of new law</w:t>
      </w:r>
      <w:bookmarkEnd w:id="162"/>
      <w:bookmarkEnd w:id="163"/>
    </w:p>
    <w:p w14:paraId="73195B7A" w14:textId="77777777" w:rsidR="001B6944" w:rsidRDefault="001B6944" w:rsidP="00CE709D">
      <w:pPr>
        <w:pStyle w:val="Heading3"/>
        <w:rPr>
          <w:rFonts w:hint="eastAsia"/>
        </w:rPr>
      </w:pPr>
      <w:bookmarkStart w:id="164" w:name="_Toc159845269"/>
      <w:bookmarkStart w:id="165" w:name="_Toc160726354"/>
      <w:bookmarkStart w:id="166" w:name="_Toc180490655"/>
      <w:bookmarkStart w:id="167" w:name="_Toc181720685"/>
      <w:bookmarkStart w:id="168" w:name="_Toc183786658"/>
      <w:bookmarkStart w:id="169" w:name="_Toc185503003"/>
      <w:r>
        <w:t>Determination of effective tax rate</w:t>
      </w:r>
      <w:bookmarkEnd w:id="164"/>
      <w:bookmarkEnd w:id="165"/>
      <w:bookmarkEnd w:id="166"/>
      <w:bookmarkEnd w:id="167"/>
      <w:bookmarkEnd w:id="168"/>
      <w:bookmarkEnd w:id="169"/>
      <w:r>
        <w:t xml:space="preserve"> </w:t>
      </w:r>
    </w:p>
    <w:p w14:paraId="2ED744FB" w14:textId="495E23AB" w:rsidR="001B6944" w:rsidRDefault="001B6944" w:rsidP="001B6944">
      <w:pPr>
        <w:pStyle w:val="Normalparatextwithnumbers"/>
        <w:numPr>
          <w:ilvl w:val="1"/>
          <w:numId w:val="18"/>
        </w:numPr>
      </w:pPr>
      <w:r>
        <w:t xml:space="preserve">The ETR of an </w:t>
      </w:r>
      <w:r w:rsidR="002330EF">
        <w:t>MNE Group</w:t>
      </w:r>
      <w:r>
        <w:t xml:space="preserve"> for a jurisdiction and Fiscal Year is the total adjusted covered taxes of all entities in that jurisdiction divided by the total GloBE Income of all entities in that jurisdiction. This formula is expressed below:</w:t>
      </w:r>
    </w:p>
    <w:p w14:paraId="137E1166" w14:textId="2DC92F6F" w:rsidR="001B6944" w:rsidRPr="00173E5E" w:rsidRDefault="001B6944" w:rsidP="001B6944">
      <w:pPr>
        <w:pStyle w:val="Normalparatextwithnumbers"/>
        <w:numPr>
          <w:ilvl w:val="0"/>
          <w:numId w:val="0"/>
        </w:numPr>
        <w:rPr>
          <w:rFonts w:eastAsiaTheme="minorEastAsia"/>
        </w:rPr>
      </w:pPr>
    </w:p>
    <w:p w14:paraId="451CAE2B" w14:textId="618CFC57" w:rsidR="00173E5E" w:rsidRPr="00906996" w:rsidRDefault="00173E5E" w:rsidP="001B6944">
      <w:pPr>
        <w:pStyle w:val="Normalparatextwithnumbers"/>
        <w:numPr>
          <w:ilvl w:val="0"/>
          <w:numId w:val="0"/>
        </w:numPr>
      </w:pPr>
      <w:r w:rsidRPr="00173E5E">
        <w:rPr>
          <w:noProof/>
        </w:rPr>
        <w:lastRenderedPageBreak/>
        <w:drawing>
          <wp:inline distT="0" distB="0" distL="0" distR="0" wp14:anchorId="42F70EEA" wp14:editId="20BC297A">
            <wp:extent cx="4895850" cy="495300"/>
            <wp:effectExtent l="0" t="0" r="0" b="0"/>
            <wp:docPr id="1440836234" name="Picture 25" descr="Formula for jurisdictional 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36234" name="Picture 25" descr="Formula for jurisdictional ET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895850" cy="495300"/>
                    </a:xfrm>
                    <a:prstGeom prst="rect">
                      <a:avLst/>
                    </a:prstGeom>
                    <a:noFill/>
                    <a:ln>
                      <a:noFill/>
                    </a:ln>
                  </pic:spPr>
                </pic:pic>
              </a:graphicData>
            </a:graphic>
          </wp:inline>
        </w:drawing>
      </w:r>
    </w:p>
    <w:p w14:paraId="666E4314" w14:textId="77777777" w:rsidR="001B6944" w:rsidRDefault="001B6944" w:rsidP="0073622E">
      <w:pPr>
        <w:pStyle w:val="Normalparatextwithnumbers"/>
        <w:numPr>
          <w:ilvl w:val="0"/>
          <w:numId w:val="0"/>
        </w:numPr>
        <w:ind w:left="709"/>
        <w:rPr>
          <w:rStyle w:val="References"/>
        </w:rPr>
      </w:pPr>
      <w:r w:rsidRPr="00C50A1B">
        <w:rPr>
          <w:rStyle w:val="References"/>
        </w:rPr>
        <w:t>[</w:t>
      </w:r>
      <w:r>
        <w:rPr>
          <w:rStyle w:val="References"/>
        </w:rPr>
        <w:t>Chapter 5, section 5-5 of the Rules</w:t>
      </w:r>
      <w:r w:rsidRPr="00C50A1B">
        <w:rPr>
          <w:rStyle w:val="References"/>
        </w:rPr>
        <w:t xml:space="preserve">] </w:t>
      </w:r>
    </w:p>
    <w:p w14:paraId="2F104BFB" w14:textId="1BCC1F9B" w:rsidR="001B6944" w:rsidRDefault="0073622E" w:rsidP="0073622E">
      <w:pPr>
        <w:pStyle w:val="Normalparatextwithnumbers"/>
      </w:pPr>
      <w:r>
        <w:t xml:space="preserve">An MNE Group in a jurisdiction calculates an </w:t>
      </w:r>
      <w:r w:rsidR="001B6944">
        <w:t>ETR</w:t>
      </w:r>
      <w:r>
        <w:t xml:space="preserve"> each Fiscal Year it is in scope of the Rules</w:t>
      </w:r>
      <w:r w:rsidR="00B45E24">
        <w:t>, unless</w:t>
      </w:r>
      <w:r w:rsidR="001B6944">
        <w:t xml:space="preserve"> a jurisdiction has a Net GloBE Loss for a Fiscal Year, then no ETR calculation is required. </w:t>
      </w:r>
    </w:p>
    <w:p w14:paraId="1F3F9D60" w14:textId="77777777" w:rsidR="001B6944" w:rsidRDefault="001B6944" w:rsidP="001B6944">
      <w:pPr>
        <w:pStyle w:val="Heading5"/>
        <w:numPr>
          <w:ilvl w:val="4"/>
          <w:numId w:val="2"/>
        </w:numPr>
        <w:ind w:left="1701" w:hanging="1701"/>
      </w:pPr>
      <w:r>
        <w:t xml:space="preserve">Entities that compute their ETR separately </w:t>
      </w:r>
    </w:p>
    <w:p w14:paraId="66852066" w14:textId="77777777" w:rsidR="001B6944" w:rsidRDefault="001B6944" w:rsidP="001B6944">
      <w:pPr>
        <w:pStyle w:val="Normalparatextwithnumbers"/>
        <w:numPr>
          <w:ilvl w:val="1"/>
          <w:numId w:val="18"/>
        </w:numPr>
        <w:tabs>
          <w:tab w:val="clear" w:pos="709"/>
        </w:tabs>
        <w:ind w:left="720" w:hanging="360"/>
      </w:pPr>
      <w:r>
        <w:t xml:space="preserve">The ETR is calculated for all Constituent Entities in the jurisdiction. However, the following entities must calculate their ETR separately to the group: </w:t>
      </w:r>
    </w:p>
    <w:p w14:paraId="1C38CF8F" w14:textId="77777777" w:rsidR="001B6944" w:rsidRDefault="001B6944" w:rsidP="00B07214">
      <w:pPr>
        <w:pStyle w:val="Dotpoint1"/>
      </w:pPr>
      <w:r>
        <w:t xml:space="preserve">Investment Entities or Insurance Investment Entities;  </w:t>
      </w:r>
    </w:p>
    <w:p w14:paraId="4A7F6702" w14:textId="61C4A465" w:rsidR="001B6944" w:rsidRDefault="00DA59A8" w:rsidP="00B07214">
      <w:pPr>
        <w:pStyle w:val="Dotpoint1"/>
      </w:pPr>
      <w:r>
        <w:t>MOCEs</w:t>
      </w:r>
      <w:r w:rsidR="001B6944">
        <w:t xml:space="preserve">; </w:t>
      </w:r>
    </w:p>
    <w:p w14:paraId="149F8B33" w14:textId="77777777" w:rsidR="001B6944" w:rsidRDefault="001B6944" w:rsidP="00B07214">
      <w:pPr>
        <w:pStyle w:val="Dotpoint1"/>
      </w:pPr>
      <w:r>
        <w:t>stateless entities; and</w:t>
      </w:r>
    </w:p>
    <w:p w14:paraId="47ABE457" w14:textId="77777777" w:rsidR="001B6944" w:rsidRDefault="001B6944" w:rsidP="00B07214">
      <w:pPr>
        <w:pStyle w:val="Dotpoint1"/>
      </w:pPr>
      <w:r>
        <w:t xml:space="preserve">JVs. </w:t>
      </w:r>
    </w:p>
    <w:p w14:paraId="2863BC04" w14:textId="01F0CAD3" w:rsidR="001B6944" w:rsidRPr="00126637" w:rsidRDefault="001B6944" w:rsidP="001B6944">
      <w:pPr>
        <w:pStyle w:val="Normalparatextwithnumbers"/>
        <w:numPr>
          <w:ilvl w:val="1"/>
          <w:numId w:val="18"/>
        </w:numPr>
        <w:rPr>
          <w:rStyle w:val="References"/>
          <w:b w:val="0"/>
          <w:i w:val="0"/>
        </w:rPr>
      </w:pPr>
      <w:r>
        <w:t xml:space="preserve">As such, depending on the composition of the MNE Group, it could be computing the ETR using different rules for different Constituent Entities. The methodology for calculating the ETR </w:t>
      </w:r>
      <w:r w:rsidR="00852913">
        <w:t xml:space="preserve">follows </w:t>
      </w:r>
      <w:r>
        <w:t xml:space="preserve">the same </w:t>
      </w:r>
      <w:r w:rsidR="00852913">
        <w:t xml:space="preserve">procedure </w:t>
      </w:r>
      <w:r>
        <w:t>regardless of whether comput</w:t>
      </w:r>
      <w:r w:rsidR="00852913">
        <w:t>ation</w:t>
      </w:r>
      <w:r>
        <w:t xml:space="preserve"> </w:t>
      </w:r>
      <w:r w:rsidR="00852913">
        <w:t xml:space="preserve">is </w:t>
      </w:r>
      <w:r>
        <w:t>on group basis or a standalone basis.</w:t>
      </w:r>
      <w:r>
        <w:br/>
      </w:r>
      <w:r w:rsidRPr="00C50A1B">
        <w:rPr>
          <w:rStyle w:val="References"/>
        </w:rPr>
        <w:t>[</w:t>
      </w:r>
      <w:r>
        <w:rPr>
          <w:rStyle w:val="References"/>
        </w:rPr>
        <w:t>Chapter 5, section 5-5 of the Rules</w:t>
      </w:r>
      <w:r w:rsidRPr="00C50A1B">
        <w:rPr>
          <w:rStyle w:val="References"/>
        </w:rPr>
        <w:t>]</w:t>
      </w:r>
      <w:r w:rsidRPr="00126637">
        <w:rPr>
          <w:rStyle w:val="References"/>
        </w:rPr>
        <w:t xml:space="preserve"> </w:t>
      </w:r>
    </w:p>
    <w:p w14:paraId="1530BA33" w14:textId="43E311A4" w:rsidR="001B6944" w:rsidRDefault="001B6944" w:rsidP="001B6944">
      <w:pPr>
        <w:pStyle w:val="Heading6"/>
        <w:rPr>
          <w:rFonts w:hint="eastAsia"/>
        </w:rPr>
      </w:pPr>
      <w:r>
        <w:t xml:space="preserve">Investment </w:t>
      </w:r>
      <w:r w:rsidR="00370DB9" w:rsidRPr="00370DB9">
        <w:t xml:space="preserve">Entities and Insurance Investment Entities </w:t>
      </w:r>
    </w:p>
    <w:p w14:paraId="0963FAB7" w14:textId="2D2575C8" w:rsidR="001B6944" w:rsidRDefault="001B6944" w:rsidP="001B6944">
      <w:pPr>
        <w:pStyle w:val="Normalparatextwithnumbers"/>
        <w:numPr>
          <w:ilvl w:val="1"/>
          <w:numId w:val="18"/>
        </w:numPr>
      </w:pPr>
      <w:r>
        <w:t xml:space="preserve">Investment </w:t>
      </w:r>
      <w:r w:rsidR="00370DB9">
        <w:t>E</w:t>
      </w:r>
      <w:r>
        <w:t xml:space="preserve">ntities and </w:t>
      </w:r>
      <w:r w:rsidR="00370DB9">
        <w:t>I</w:t>
      </w:r>
      <w:r>
        <w:t xml:space="preserve">nsurance </w:t>
      </w:r>
      <w:r w:rsidR="00370DB9">
        <w:t>I</w:t>
      </w:r>
      <w:r>
        <w:t xml:space="preserve">nvestment </w:t>
      </w:r>
      <w:r w:rsidR="00370DB9">
        <w:t>E</w:t>
      </w:r>
      <w:r>
        <w:t xml:space="preserve">ntities compute their ETR separately from the MNE </w:t>
      </w:r>
      <w:r w:rsidR="00370DB9">
        <w:t>G</w:t>
      </w:r>
      <w:r>
        <w:t>roup</w:t>
      </w:r>
      <w:r w:rsidR="00370DB9">
        <w:t xml:space="preserve">, as explained in further detail from paragraph </w:t>
      </w:r>
      <w:r w:rsidR="00852913">
        <w:fldChar w:fldCharType="begin"/>
      </w:r>
      <w:r w:rsidR="00852913">
        <w:instrText xml:space="preserve"> REF _Ref183778657 \r \h </w:instrText>
      </w:r>
      <w:r w:rsidR="00852913">
        <w:fldChar w:fldCharType="separate"/>
      </w:r>
      <w:r w:rsidR="009D6D0D">
        <w:t>7.65</w:t>
      </w:r>
      <w:r w:rsidR="00852913">
        <w:fldChar w:fldCharType="end"/>
      </w:r>
      <w:r>
        <w:t xml:space="preserve">. If there are multiple </w:t>
      </w:r>
      <w:r w:rsidR="00370DB9">
        <w:t>I</w:t>
      </w:r>
      <w:r>
        <w:t xml:space="preserve">nvestment </w:t>
      </w:r>
      <w:r w:rsidR="00370DB9">
        <w:t>E</w:t>
      </w:r>
      <w:r>
        <w:t xml:space="preserve">ntities </w:t>
      </w:r>
      <w:r w:rsidR="00370DB9">
        <w:t xml:space="preserve">or Insurance Investment Entities </w:t>
      </w:r>
      <w:r>
        <w:t xml:space="preserve">within the MNE </w:t>
      </w:r>
      <w:r w:rsidR="00370DB9">
        <w:t>G</w:t>
      </w:r>
      <w:r>
        <w:t xml:space="preserve">roup in the same jurisdiction, those </w:t>
      </w:r>
      <w:r w:rsidR="00370DB9">
        <w:t>E</w:t>
      </w:r>
      <w:r>
        <w:t xml:space="preserve">ntities can combine their adjusted covered taxes and GloBE Income to produce their ETR. </w:t>
      </w:r>
    </w:p>
    <w:p w14:paraId="5B95FD32" w14:textId="36B22EB5" w:rsidR="001B6944" w:rsidRDefault="001B6944" w:rsidP="001B6944">
      <w:pPr>
        <w:pStyle w:val="Heading6"/>
        <w:rPr>
          <w:rFonts w:hint="eastAsia"/>
        </w:rPr>
      </w:pPr>
      <w:r>
        <w:t>Minority</w:t>
      </w:r>
      <w:r>
        <w:noBreakHyphen/>
      </w:r>
      <w:r w:rsidR="00FA18E2">
        <w:t>O</w:t>
      </w:r>
      <w:r>
        <w:t>wned Constituent Entities</w:t>
      </w:r>
    </w:p>
    <w:p w14:paraId="0F8040FD" w14:textId="35B30E34" w:rsidR="00E775EC" w:rsidRDefault="001B6944" w:rsidP="002226BD">
      <w:pPr>
        <w:pStyle w:val="Normalparatextwithnumbers"/>
        <w:numPr>
          <w:ilvl w:val="1"/>
          <w:numId w:val="18"/>
        </w:numPr>
      </w:pPr>
      <w:r>
        <w:t xml:space="preserve">The ETR calculations of a minority owned subgroup within a jurisdiction will be calculated separately to the </w:t>
      </w:r>
      <w:r w:rsidR="00C36E23">
        <w:t>actual</w:t>
      </w:r>
      <w:r>
        <w:t xml:space="preserve"> MNE </w:t>
      </w:r>
      <w:r w:rsidR="00D052C5">
        <w:t>G</w:t>
      </w:r>
      <w:r>
        <w:t>roup</w:t>
      </w:r>
      <w:r w:rsidR="002226BD">
        <w:t xml:space="preserve">, as explained in further detail from paragraph </w:t>
      </w:r>
      <w:r w:rsidR="002226BD">
        <w:fldChar w:fldCharType="begin"/>
      </w:r>
      <w:r w:rsidR="002226BD">
        <w:instrText xml:space="preserve"> REF _Ref183779272 \r \h </w:instrText>
      </w:r>
      <w:r w:rsidR="002226BD">
        <w:fldChar w:fldCharType="separate"/>
      </w:r>
      <w:r w:rsidR="009D6D0D">
        <w:t>5.73</w:t>
      </w:r>
      <w:r w:rsidR="002226BD">
        <w:fldChar w:fldCharType="end"/>
      </w:r>
      <w:r>
        <w:t xml:space="preserve">. </w:t>
      </w:r>
    </w:p>
    <w:p w14:paraId="1B1A4D2F" w14:textId="00992DD7" w:rsidR="001B6944" w:rsidRDefault="001B6944" w:rsidP="00E775EC">
      <w:pPr>
        <w:pStyle w:val="Heading6"/>
        <w:rPr>
          <w:rFonts w:hint="eastAsia"/>
        </w:rPr>
      </w:pPr>
      <w:r>
        <w:t xml:space="preserve">Stateless entities </w:t>
      </w:r>
    </w:p>
    <w:p w14:paraId="5B0FCC14" w14:textId="77777777" w:rsidR="001B6944" w:rsidRPr="006932CC" w:rsidRDefault="001B6944" w:rsidP="001B6944">
      <w:pPr>
        <w:pStyle w:val="Normalparatextwithnumbers"/>
        <w:numPr>
          <w:ilvl w:val="1"/>
          <w:numId w:val="18"/>
        </w:numPr>
        <w:rPr>
          <w:rStyle w:val="References"/>
          <w:b w:val="0"/>
          <w:bCs w:val="0"/>
          <w:i w:val="0"/>
          <w:iCs w:val="0"/>
        </w:rPr>
      </w:pPr>
      <w:r>
        <w:t xml:space="preserve">Stateless Constituent Entities are treated as being the only Constituent Entity in a jurisdiction and are to compute their ETR separately from the actual MNE Group. </w:t>
      </w:r>
      <w:r>
        <w:br/>
      </w:r>
      <w:r w:rsidRPr="00D57094">
        <w:rPr>
          <w:rStyle w:val="References"/>
        </w:rPr>
        <w:t>[</w:t>
      </w:r>
      <w:r>
        <w:rPr>
          <w:rStyle w:val="References"/>
        </w:rPr>
        <w:t>Chapter 5, section 5-45 of the Rules</w:t>
      </w:r>
      <w:r w:rsidRPr="00D57094">
        <w:rPr>
          <w:rStyle w:val="References"/>
        </w:rPr>
        <w:t>]</w:t>
      </w:r>
      <w:r w:rsidRPr="006932CC">
        <w:rPr>
          <w:rStyle w:val="References"/>
        </w:rPr>
        <w:t xml:space="preserve">  </w:t>
      </w:r>
    </w:p>
    <w:p w14:paraId="08150A77" w14:textId="77777777" w:rsidR="001B6944" w:rsidRPr="00FE221F" w:rsidRDefault="001B6944" w:rsidP="00FE221F">
      <w:pPr>
        <w:pStyle w:val="Heading6"/>
        <w:rPr>
          <w:rFonts w:hint="eastAsia"/>
        </w:rPr>
      </w:pPr>
      <w:r w:rsidRPr="00FE221F">
        <w:lastRenderedPageBreak/>
        <w:t xml:space="preserve">Joint ventures </w:t>
      </w:r>
    </w:p>
    <w:p w14:paraId="51C6D0E9" w14:textId="4D291DE9" w:rsidR="001B6944" w:rsidRPr="00351379" w:rsidRDefault="001B6944">
      <w:pPr>
        <w:pStyle w:val="Normalparatextwithnumbers"/>
        <w:numPr>
          <w:ilvl w:val="1"/>
          <w:numId w:val="18"/>
        </w:numPr>
        <w:rPr>
          <w:rStyle w:val="References"/>
          <w:b w:val="0"/>
          <w:i w:val="0"/>
        </w:rPr>
      </w:pPr>
      <w:r>
        <w:t xml:space="preserve">JVs including any JV Subsidiaries with at least 50 per cent Ownership interests held by the MNE Group are to compute their ETR as if they were a separate MNE Group with the </w:t>
      </w:r>
      <w:r w:rsidR="0053425A">
        <w:t>JV</w:t>
      </w:r>
      <w:r>
        <w:t xml:space="preserve"> being the equivalent of a UPE of that Group. </w:t>
      </w:r>
      <w:r w:rsidR="00351379">
        <w:t xml:space="preserve">The </w:t>
      </w:r>
      <w:r>
        <w:t xml:space="preserve">JVs’ </w:t>
      </w:r>
      <w:r w:rsidR="00351379">
        <w:t>income</w:t>
      </w:r>
      <w:r>
        <w:t xml:space="preserve"> and taxes are not blended with other Constituent Entities in the MNE Group</w:t>
      </w:r>
      <w:r w:rsidR="00A511FD">
        <w:t xml:space="preserve">, as explained in further detail at paragraph </w:t>
      </w:r>
      <w:r w:rsidR="00A511FD">
        <w:fldChar w:fldCharType="begin"/>
      </w:r>
      <w:r w:rsidR="00A511FD">
        <w:instrText xml:space="preserve"> REF _Ref183778417 \r \h </w:instrText>
      </w:r>
      <w:r w:rsidR="00A511FD">
        <w:fldChar w:fldCharType="separate"/>
      </w:r>
      <w:r w:rsidR="009D6D0D">
        <w:t>6.64</w:t>
      </w:r>
      <w:r w:rsidR="00A511FD">
        <w:fldChar w:fldCharType="end"/>
      </w:r>
      <w:r>
        <w:t xml:space="preserve">. </w:t>
      </w:r>
      <w:r>
        <w:br/>
      </w:r>
      <w:r w:rsidRPr="00C50A1B">
        <w:rPr>
          <w:rStyle w:val="References"/>
        </w:rPr>
        <w:t>[</w:t>
      </w:r>
      <w:r>
        <w:rPr>
          <w:rStyle w:val="References"/>
        </w:rPr>
        <w:t>Chapter 5, notes</w:t>
      </w:r>
      <w:r w:rsidR="00026CF3">
        <w:rPr>
          <w:rStyle w:val="References"/>
        </w:rPr>
        <w:t xml:space="preserve"> to</w:t>
      </w:r>
      <w:r>
        <w:rPr>
          <w:rStyle w:val="References"/>
        </w:rPr>
        <w:t xml:space="preserve"> section 5-5 of the Rules</w:t>
      </w:r>
      <w:r w:rsidRPr="00C50A1B">
        <w:rPr>
          <w:rStyle w:val="References"/>
        </w:rPr>
        <w:t>]</w:t>
      </w:r>
      <w:r w:rsidRPr="00126637">
        <w:rPr>
          <w:rStyle w:val="References"/>
        </w:rPr>
        <w:t xml:space="preserve"> </w:t>
      </w:r>
    </w:p>
    <w:p w14:paraId="534966EA" w14:textId="36E6BA4C" w:rsidR="001B6944" w:rsidRDefault="001B6944" w:rsidP="001B6944">
      <w:pPr>
        <w:pStyle w:val="Heading5"/>
        <w:numPr>
          <w:ilvl w:val="4"/>
          <w:numId w:val="2"/>
        </w:numPr>
        <w:ind w:left="1701" w:hanging="1701"/>
      </w:pPr>
      <w:r>
        <w:t>Net GloBE Income</w:t>
      </w:r>
      <w:r w:rsidR="00E1378F">
        <w:t xml:space="preserve"> and Net GloBE Loss</w:t>
      </w:r>
    </w:p>
    <w:p w14:paraId="41FE0AE8" w14:textId="282D90AB" w:rsidR="001B6944" w:rsidRDefault="001B6944" w:rsidP="001B6944">
      <w:pPr>
        <w:pStyle w:val="Normalparatextwithnumbers"/>
        <w:numPr>
          <w:ilvl w:val="1"/>
          <w:numId w:val="18"/>
        </w:numPr>
        <w:rPr>
          <w:rStyle w:val="References"/>
          <w:b w:val="0"/>
          <w:i w:val="0"/>
        </w:rPr>
      </w:pPr>
      <w:r>
        <w:t xml:space="preserve">The </w:t>
      </w:r>
      <w:r w:rsidRPr="004C52A2">
        <w:rPr>
          <w:b/>
          <w:i/>
        </w:rPr>
        <w:t>Net GloBE Income</w:t>
      </w:r>
      <w:r>
        <w:t xml:space="preserve"> </w:t>
      </w:r>
      <w:r w:rsidR="006744EA">
        <w:t xml:space="preserve">or </w:t>
      </w:r>
      <w:r w:rsidR="006744EA">
        <w:rPr>
          <w:b/>
          <w:bCs/>
          <w:i/>
          <w:iCs/>
        </w:rPr>
        <w:t>Net GloBE Loss</w:t>
      </w:r>
      <w:r>
        <w:rPr>
          <w:b/>
          <w:i/>
        </w:rPr>
        <w:t xml:space="preserve"> </w:t>
      </w:r>
      <w:r>
        <w:t xml:space="preserve">of an MNE Group for a jurisdiction for a Fiscal Year is equal to the </w:t>
      </w:r>
      <w:r w:rsidRPr="00637F05">
        <w:rPr>
          <w:b/>
          <w:i/>
        </w:rPr>
        <w:t xml:space="preserve">GloBE Income of all </w:t>
      </w:r>
      <w:r>
        <w:rPr>
          <w:b/>
          <w:i/>
        </w:rPr>
        <w:t>Constituent Entities</w:t>
      </w:r>
      <w:r>
        <w:t xml:space="preserve"> in the jurisdiction for the Fiscal Year, minus the </w:t>
      </w:r>
      <w:r w:rsidRPr="00637F05">
        <w:rPr>
          <w:b/>
          <w:i/>
        </w:rPr>
        <w:t xml:space="preserve">GloBE Losses of all </w:t>
      </w:r>
      <w:r>
        <w:rPr>
          <w:b/>
          <w:i/>
        </w:rPr>
        <w:t>Constituent Entities</w:t>
      </w:r>
      <w:r>
        <w:t xml:space="preserve"> in the jurisdiction for the Fiscal Year.</w:t>
      </w:r>
      <w:r w:rsidR="00A02E0C">
        <w:t xml:space="preserve"> If the amount computed is</w:t>
      </w:r>
      <w:r>
        <w:t xml:space="preserve"> a </w:t>
      </w:r>
      <w:r w:rsidR="00A02E0C">
        <w:t>positive amou</w:t>
      </w:r>
      <w:r w:rsidR="008C1EAE">
        <w:t>nt</w:t>
      </w:r>
      <w:r w:rsidR="009508CE">
        <w:t>, is Net GloBE Income. If the amount computed is</w:t>
      </w:r>
      <w:r>
        <w:t xml:space="preserve"> zero</w:t>
      </w:r>
      <w:r w:rsidR="009508CE">
        <w:t xml:space="preserve"> or</w:t>
      </w:r>
      <w:r w:rsidR="006B777A">
        <w:t xml:space="preserve"> a negative amount, is Net GloBE Loss</w:t>
      </w:r>
      <w:r>
        <w:t>.</w:t>
      </w:r>
      <w:r>
        <w:br/>
      </w:r>
      <w:r w:rsidRPr="004C52A2">
        <w:rPr>
          <w:rStyle w:val="References"/>
        </w:rPr>
        <w:t>[</w:t>
      </w:r>
      <w:r>
        <w:rPr>
          <w:rStyle w:val="References"/>
        </w:rPr>
        <w:t>Chapter 5, section 5-</w:t>
      </w:r>
      <w:r w:rsidR="002914B1">
        <w:rPr>
          <w:rStyle w:val="References"/>
        </w:rPr>
        <w:t xml:space="preserve">15 </w:t>
      </w:r>
      <w:r>
        <w:rPr>
          <w:rStyle w:val="References"/>
        </w:rPr>
        <w:t>of the Rules</w:t>
      </w:r>
      <w:r w:rsidRPr="004C52A2">
        <w:rPr>
          <w:rStyle w:val="References"/>
        </w:rPr>
        <w:t>]</w:t>
      </w:r>
      <w:r w:rsidRPr="00126637">
        <w:rPr>
          <w:rStyle w:val="References"/>
        </w:rPr>
        <w:t xml:space="preserve"> </w:t>
      </w:r>
    </w:p>
    <w:p w14:paraId="49F52F56" w14:textId="77777777" w:rsidR="001B6944" w:rsidRPr="00FE221F" w:rsidRDefault="001B6944" w:rsidP="00FE221F">
      <w:pPr>
        <w:pStyle w:val="Heading6"/>
        <w:rPr>
          <w:rStyle w:val="References"/>
          <w:rFonts w:ascii="Helvitica" w:hAnsi="Helvitica" w:hint="eastAsia"/>
          <w:b w:val="0"/>
          <w:bCs w:val="0"/>
          <w:i/>
          <w:iCs w:val="0"/>
        </w:rPr>
      </w:pPr>
      <w:r w:rsidRPr="00FE221F">
        <w:rPr>
          <w:rStyle w:val="References"/>
          <w:rFonts w:ascii="Helvitica" w:hAnsi="Helvitica"/>
          <w:b w:val="0"/>
          <w:bCs w:val="0"/>
          <w:i/>
          <w:iCs w:val="0"/>
        </w:rPr>
        <w:t>Administrative procedure</w:t>
      </w:r>
    </w:p>
    <w:p w14:paraId="5E25D3E7" w14:textId="05838092" w:rsidR="001B6944" w:rsidRPr="0057657C" w:rsidRDefault="001B6944" w:rsidP="001B6944">
      <w:pPr>
        <w:pStyle w:val="Normalparatextwithnumbers"/>
        <w:numPr>
          <w:ilvl w:val="1"/>
          <w:numId w:val="18"/>
        </w:numPr>
        <w:rPr>
          <w:bCs/>
          <w:iCs/>
        </w:rPr>
      </w:pPr>
      <w:r w:rsidRPr="0057657C">
        <w:t xml:space="preserve">An MNE Group is required to apply the Excess Negative Tax Expense administrative procedure where the resulting </w:t>
      </w:r>
      <w:r>
        <w:t>T</w:t>
      </w:r>
      <w:r w:rsidRPr="0057657C">
        <w:t>op</w:t>
      </w:r>
      <w:r w:rsidRPr="0057657C">
        <w:noBreakHyphen/>
        <w:t xml:space="preserve">up </w:t>
      </w:r>
      <w:r>
        <w:t>T</w:t>
      </w:r>
      <w:r w:rsidRPr="0057657C">
        <w:t>ax is greater than 15</w:t>
      </w:r>
      <w:r>
        <w:t xml:space="preserve"> per</w:t>
      </w:r>
      <w:r w:rsidR="00FE221F">
        <w:t xml:space="preserve"> </w:t>
      </w:r>
      <w:r>
        <w:t>cent</w:t>
      </w:r>
      <w:r w:rsidRPr="0057657C">
        <w:t xml:space="preserve">. The administrative procedure has the effect of the MNE Group not being subject to any </w:t>
      </w:r>
      <w:r w:rsidR="00FE221F">
        <w:t>t</w:t>
      </w:r>
      <w:r w:rsidRPr="0057657C">
        <w:t>op</w:t>
      </w:r>
      <w:r w:rsidRPr="0057657C">
        <w:noBreakHyphen/>
        <w:t xml:space="preserve">up </w:t>
      </w:r>
      <w:r w:rsidR="00FE221F">
        <w:t>t</w:t>
      </w:r>
      <w:r w:rsidRPr="0057657C">
        <w:t xml:space="preserve">ax arising under the Rules. To apply the administrative procedure, the </w:t>
      </w:r>
      <w:r w:rsidR="002330EF">
        <w:t>MNE Group</w:t>
      </w:r>
      <w:r w:rsidRPr="0057657C">
        <w:t xml:space="preserve"> must exclude the Excess Negative Tax Expense from the sum of Adjusted Covered Taxes and establish an Excess Negative Tax Expense Carry-forward. This ensures that the Excess Negative Tax Expense attributable to an amount of a loss that is carried back and applied against income for prior taxable years for domestic tax purposes must be considered under section 4</w:t>
      </w:r>
      <w:r w:rsidRPr="0057657C">
        <w:noBreakHyphen/>
        <w:t>30</w:t>
      </w:r>
      <w:r w:rsidR="00C36E23">
        <w:t xml:space="preserve"> of the Rules</w:t>
      </w:r>
      <w:r w:rsidRPr="0057657C">
        <w:t xml:space="preserve"> and cannot be included in the Excess Negative Tax Expense Carry-forward. </w:t>
      </w:r>
    </w:p>
    <w:p w14:paraId="6C3F20B4" w14:textId="77777777" w:rsidR="001B6944" w:rsidRPr="0057657C" w:rsidRDefault="001B6944" w:rsidP="001B6944">
      <w:pPr>
        <w:pStyle w:val="Normalparatextwithnumbers"/>
        <w:numPr>
          <w:ilvl w:val="1"/>
          <w:numId w:val="18"/>
        </w:numPr>
        <w:rPr>
          <w:bCs/>
          <w:iCs/>
        </w:rPr>
      </w:pPr>
      <w:r w:rsidRPr="0057657C">
        <w:t xml:space="preserve">The Excess Negative Tax Expense equals: </w:t>
      </w:r>
    </w:p>
    <w:p w14:paraId="4CD686C9" w14:textId="77777777" w:rsidR="001B6944" w:rsidRPr="0057657C" w:rsidRDefault="001B6944" w:rsidP="00B07214">
      <w:pPr>
        <w:pStyle w:val="Dotpoint1"/>
        <w:rPr>
          <w:bCs/>
          <w:iCs/>
        </w:rPr>
      </w:pPr>
      <w:r w:rsidRPr="0057657C">
        <w:t xml:space="preserve">the total adjusted covered taxes, if there is no GloBE Income; or </w:t>
      </w:r>
    </w:p>
    <w:p w14:paraId="5CFDAE5A" w14:textId="289B9910" w:rsidR="001B6944" w:rsidRPr="0057657C" w:rsidRDefault="001B6944" w:rsidP="00B07214">
      <w:pPr>
        <w:pStyle w:val="Dotpoint1"/>
        <w:rPr>
          <w:bCs/>
          <w:iCs/>
        </w:rPr>
      </w:pPr>
      <w:r w:rsidRPr="0057657C">
        <w:t xml:space="preserve">the amount of negative adjusted covered taxes, where the </w:t>
      </w:r>
      <w:r w:rsidR="002330EF">
        <w:t>MNE Group</w:t>
      </w:r>
      <w:r w:rsidRPr="0057657C">
        <w:t xml:space="preserve"> has a GloBE Income. </w:t>
      </w:r>
    </w:p>
    <w:p w14:paraId="0B168AAA" w14:textId="643AD135" w:rsidR="001B6944" w:rsidRPr="00126637" w:rsidRDefault="001B6944" w:rsidP="001B6944">
      <w:pPr>
        <w:pStyle w:val="Normalparatextwithnumbers"/>
        <w:numPr>
          <w:ilvl w:val="1"/>
          <w:numId w:val="18"/>
        </w:numPr>
        <w:rPr>
          <w:rStyle w:val="References"/>
          <w:b w:val="0"/>
          <w:i w:val="0"/>
        </w:rPr>
      </w:pPr>
      <w:r w:rsidRPr="0057657C">
        <w:t>In each subsequent Fiscal Year in which the MNE Group has positive GloBE Income and Adjusted Covered Taxes for the jurisdiction, the MNE Group reduces the aggregate Adjusted Covered Taxes by the remaining balance of the Excess Negative Tax Expense Carry-forward, with the balance of the Excess Negative Tax Expense Carry-forward being reduced by the same amoun</w:t>
      </w:r>
      <w:r>
        <w:t>t.</w:t>
      </w:r>
      <w:r>
        <w:br/>
      </w:r>
      <w:r w:rsidRPr="0057657C">
        <w:rPr>
          <w:rStyle w:val="References"/>
        </w:rPr>
        <w:t>[</w:t>
      </w:r>
      <w:r>
        <w:rPr>
          <w:rStyle w:val="References"/>
        </w:rPr>
        <w:t>Chapter 5, section 5-</w:t>
      </w:r>
      <w:r w:rsidR="002914B1">
        <w:rPr>
          <w:rStyle w:val="References"/>
        </w:rPr>
        <w:t xml:space="preserve">10 </w:t>
      </w:r>
      <w:r>
        <w:rPr>
          <w:rStyle w:val="References"/>
        </w:rPr>
        <w:t xml:space="preserve">of the Rules] </w:t>
      </w:r>
    </w:p>
    <w:p w14:paraId="7AD258AC" w14:textId="77777777" w:rsidR="001B6944" w:rsidRDefault="001B6944" w:rsidP="00CE709D">
      <w:pPr>
        <w:pStyle w:val="Heading3"/>
        <w:rPr>
          <w:rFonts w:hint="eastAsia"/>
        </w:rPr>
      </w:pPr>
      <w:bookmarkStart w:id="170" w:name="_Toc159845270"/>
      <w:bookmarkStart w:id="171" w:name="_Toc160726355"/>
      <w:bookmarkStart w:id="172" w:name="_Toc180490656"/>
      <w:bookmarkStart w:id="173" w:name="_Toc181720686"/>
      <w:bookmarkStart w:id="174" w:name="_Toc183786659"/>
      <w:bookmarkStart w:id="175" w:name="_Toc185503004"/>
      <w:r>
        <w:lastRenderedPageBreak/>
        <w:t>Top</w:t>
      </w:r>
      <w:r>
        <w:noBreakHyphen/>
        <w:t>up Tax</w:t>
      </w:r>
      <w:bookmarkEnd w:id="170"/>
      <w:bookmarkEnd w:id="171"/>
      <w:bookmarkEnd w:id="172"/>
      <w:bookmarkEnd w:id="173"/>
      <w:bookmarkEnd w:id="174"/>
      <w:bookmarkEnd w:id="175"/>
    </w:p>
    <w:p w14:paraId="72A0B22C" w14:textId="77777777" w:rsidR="001B6944" w:rsidRDefault="001B6944" w:rsidP="001B6944">
      <w:pPr>
        <w:pStyle w:val="Normalparatextwithnumbers"/>
        <w:numPr>
          <w:ilvl w:val="1"/>
          <w:numId w:val="18"/>
        </w:numPr>
      </w:pPr>
      <w:r>
        <w:t>The amount of t</w:t>
      </w:r>
      <w:r w:rsidRPr="007774AB">
        <w:t>op-up tax</w:t>
      </w:r>
      <w:r>
        <w:t xml:space="preserve"> for a jurisdiction is calculated by determining the excess profit that is subject to the </w:t>
      </w:r>
      <w:r w:rsidRPr="007774AB">
        <w:t>top-up tax</w:t>
      </w:r>
      <w:r>
        <w:t xml:space="preserve"> percentage.  </w:t>
      </w:r>
    </w:p>
    <w:p w14:paraId="19E02D36" w14:textId="77777777" w:rsidR="001B6944" w:rsidRDefault="001B6944" w:rsidP="001B6944">
      <w:pPr>
        <w:pStyle w:val="Heading5"/>
        <w:numPr>
          <w:ilvl w:val="4"/>
          <w:numId w:val="2"/>
        </w:numPr>
        <w:ind w:left="1701" w:hanging="1701"/>
      </w:pPr>
      <w:r>
        <w:t>Top-up Tax percentage</w:t>
      </w:r>
    </w:p>
    <w:p w14:paraId="48332165" w14:textId="3B04129C" w:rsidR="001B6944" w:rsidRDefault="001B6944" w:rsidP="00B7652D">
      <w:pPr>
        <w:pStyle w:val="Normalparatextwithnumbers"/>
      </w:pPr>
      <w:r>
        <w:t>Once the ETR calculation has been computed, this is compared to the Minimum Rate of 15 per cent. The t</w:t>
      </w:r>
      <w:r w:rsidRPr="007774AB">
        <w:t>op-up tax</w:t>
      </w:r>
      <w:r>
        <w:t xml:space="preserve"> percentage is 15 per cent minus the </w:t>
      </w:r>
      <w:r w:rsidR="002330EF">
        <w:t>MNE Group</w:t>
      </w:r>
      <w:r>
        <w:t xml:space="preserve">’s ETR in that jurisdiction. </w:t>
      </w:r>
      <w:r>
        <w:br/>
      </w:r>
      <w:r>
        <w:rPr>
          <w:rStyle w:val="References"/>
        </w:rPr>
        <w:t>[Chapter 5, section 5-20 of the Rules</w:t>
      </w:r>
      <w:r w:rsidRPr="00637D02">
        <w:rPr>
          <w:rStyle w:val="References"/>
        </w:rPr>
        <w:t>]</w:t>
      </w:r>
    </w:p>
    <w:p w14:paraId="26D849E6" w14:textId="779743EA" w:rsidR="008B2F95" w:rsidRDefault="008B2F95" w:rsidP="001B6944">
      <w:pPr>
        <w:pStyle w:val="Normalparatextwithnumbers"/>
        <w:numPr>
          <w:ilvl w:val="0"/>
          <w:numId w:val="0"/>
        </w:numPr>
        <w:ind w:left="709"/>
      </w:pPr>
      <w:r w:rsidRPr="008B2F95">
        <w:rPr>
          <w:noProof/>
        </w:rPr>
        <w:drawing>
          <wp:inline distT="0" distB="0" distL="0" distR="0" wp14:anchorId="11582818" wp14:editId="130DAA06">
            <wp:extent cx="4895850" cy="314325"/>
            <wp:effectExtent l="0" t="0" r="0" b="0"/>
            <wp:docPr id="1614143563" name="Picture 26" descr="The top-up tax percentage is 15 per cent minus the MNE Group’s ETR in that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43563" name="Picture 26" descr="The top-up tax percentage is 15 per cent minus the MNE Group’s ETR in that jurisdiction"/>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95850" cy="314325"/>
                    </a:xfrm>
                    <a:prstGeom prst="rect">
                      <a:avLst/>
                    </a:prstGeom>
                    <a:noFill/>
                    <a:ln>
                      <a:noFill/>
                    </a:ln>
                  </pic:spPr>
                </pic:pic>
              </a:graphicData>
            </a:graphic>
          </wp:inline>
        </w:drawing>
      </w:r>
    </w:p>
    <w:p w14:paraId="2BA2B7A8" w14:textId="77777777" w:rsidR="001B6944" w:rsidRDefault="001B6944" w:rsidP="001B6944">
      <w:pPr>
        <w:pStyle w:val="Normalparatextwithnumbers"/>
        <w:numPr>
          <w:ilvl w:val="1"/>
          <w:numId w:val="17"/>
        </w:numPr>
      </w:pPr>
      <w:r>
        <w:t>If the ETR in a jurisdiction is greater than 15 per cent, no t</w:t>
      </w:r>
      <w:r w:rsidRPr="007774AB">
        <w:t>op-up tax</w:t>
      </w:r>
      <w:r>
        <w:t xml:space="preserve"> applies as entities and groups are paying the Minimum Rate. However, if the ETR in a jurisdiction is less than 15 percent, an MNE Group will be made liable for a </w:t>
      </w:r>
      <w:r w:rsidRPr="007774AB">
        <w:t>top-up tax</w:t>
      </w:r>
      <w:r>
        <w:t xml:space="preserve"> amount.</w:t>
      </w:r>
    </w:p>
    <w:p w14:paraId="1C6C68D9" w14:textId="77777777" w:rsidR="001B6944" w:rsidRDefault="001B6944" w:rsidP="001B6944">
      <w:pPr>
        <w:pStyle w:val="Heading5"/>
        <w:numPr>
          <w:ilvl w:val="4"/>
          <w:numId w:val="2"/>
        </w:numPr>
        <w:ind w:left="1701" w:hanging="1701"/>
      </w:pPr>
      <w:r>
        <w:t xml:space="preserve">Excess profit </w:t>
      </w:r>
    </w:p>
    <w:p w14:paraId="05FF04E2" w14:textId="4E683E5F" w:rsidR="001B6944" w:rsidRDefault="001B6944" w:rsidP="001B6944">
      <w:pPr>
        <w:pStyle w:val="Normalparatextwithnumbers"/>
        <w:numPr>
          <w:ilvl w:val="1"/>
          <w:numId w:val="18"/>
        </w:numPr>
      </w:pPr>
      <w:r w:rsidRPr="007660E0">
        <w:rPr>
          <w:b/>
          <w:bCs/>
          <w:i/>
          <w:iCs/>
        </w:rPr>
        <w:t>E</w:t>
      </w:r>
      <w:r w:rsidRPr="007660E0">
        <w:rPr>
          <w:b/>
          <w:i/>
        </w:rPr>
        <w:t>xcess profit</w:t>
      </w:r>
      <w:r>
        <w:t xml:space="preserve"> is the amount of profit of a </w:t>
      </w:r>
      <w:r w:rsidR="002330EF">
        <w:t>MNE Group</w:t>
      </w:r>
      <w:r>
        <w:t xml:space="preserve"> within a jurisdiction on which the </w:t>
      </w:r>
      <w:r w:rsidRPr="00AF51D4">
        <w:t>top-up tax</w:t>
      </w:r>
      <w:r>
        <w:t xml:space="preserve"> is levied. Provided that the entity has applied the substance-based income exclusion, the excess profit only refers to positive amounts and is calculated using the following formula: </w:t>
      </w:r>
    </w:p>
    <w:p w14:paraId="7ABC384E" w14:textId="3B2A64D1" w:rsidR="00E3008D" w:rsidRPr="00661F7D" w:rsidRDefault="00E3008D" w:rsidP="001B6944">
      <w:pPr>
        <w:pStyle w:val="Normalparatextwithnumbers"/>
        <w:numPr>
          <w:ilvl w:val="0"/>
          <w:numId w:val="0"/>
        </w:numPr>
        <w:ind w:left="709"/>
        <w:rPr>
          <w:rFonts w:eastAsiaTheme="minorEastAsia"/>
        </w:rPr>
      </w:pPr>
      <w:r w:rsidRPr="00E3008D">
        <w:rPr>
          <w:noProof/>
        </w:rPr>
        <w:drawing>
          <wp:inline distT="0" distB="0" distL="0" distR="0" wp14:anchorId="35B43E3E" wp14:editId="6677C0EA">
            <wp:extent cx="4896485" cy="474980"/>
            <wp:effectExtent l="0" t="0" r="0" b="0"/>
            <wp:docPr id="1881252871" name="Picture 27" descr="Excess profit is the amount of profit of a MNE Group within a jurisdiction on which the top-up tax is levied. Provided that the entity has applied the substance-based income exclusion, the excess profit only refers to positive amounts and is calculated using the following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52871" name="Picture 27" descr="Excess profit is the amount of profit of a MNE Group within a jurisdiction on which the top-up tax is levied. Provided that the entity has applied the substance-based income exclusion, the excess profit only refers to positive amounts and is calculated using the following formula."/>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896485" cy="474980"/>
                    </a:xfrm>
                    <a:prstGeom prst="rect">
                      <a:avLst/>
                    </a:prstGeom>
                    <a:noFill/>
                    <a:ln>
                      <a:noFill/>
                    </a:ln>
                  </pic:spPr>
                </pic:pic>
              </a:graphicData>
            </a:graphic>
          </wp:inline>
        </w:drawing>
      </w:r>
    </w:p>
    <w:p w14:paraId="6AB21182" w14:textId="77777777" w:rsidR="001B6944" w:rsidRPr="00661F7D" w:rsidRDefault="001B6944" w:rsidP="001B6944">
      <w:pPr>
        <w:pStyle w:val="Normalparatextwithnumbers"/>
        <w:numPr>
          <w:ilvl w:val="0"/>
          <w:numId w:val="0"/>
        </w:numPr>
        <w:ind w:left="709"/>
        <w:rPr>
          <w:rFonts w:eastAsiaTheme="minorEastAsia"/>
        </w:rPr>
      </w:pPr>
      <w:r w:rsidRPr="005E7182">
        <w:rPr>
          <w:rStyle w:val="References"/>
        </w:rPr>
        <w:t>[</w:t>
      </w:r>
      <w:r>
        <w:rPr>
          <w:rStyle w:val="References"/>
        </w:rPr>
        <w:t>Chapter 5, section 5-25 of the Rules</w:t>
      </w:r>
      <w:r w:rsidRPr="005E7182">
        <w:rPr>
          <w:rStyle w:val="References"/>
        </w:rPr>
        <w:t>]</w:t>
      </w:r>
    </w:p>
    <w:p w14:paraId="4C56A9B4" w14:textId="09FD8B11" w:rsidR="001B6944" w:rsidRPr="00661F7D" w:rsidRDefault="001B6944" w:rsidP="001B6944">
      <w:pPr>
        <w:pStyle w:val="Normalparatextwithnumbers"/>
        <w:numPr>
          <w:ilvl w:val="1"/>
          <w:numId w:val="18"/>
        </w:numPr>
        <w:rPr>
          <w:rFonts w:eastAsiaTheme="minorEastAsia"/>
        </w:rPr>
      </w:pPr>
      <w:r>
        <w:t xml:space="preserve">If the Substance-based Income Exclusion is greater than or equal to the Net GloBE Income, there is no excess profit and </w:t>
      </w:r>
      <w:r w:rsidRPr="00AF51D4">
        <w:t>top-up tax</w:t>
      </w:r>
      <w:r>
        <w:t xml:space="preserve"> does not apply</w:t>
      </w:r>
      <w:r w:rsidR="00C36E23">
        <w:t>, however, A</w:t>
      </w:r>
      <w:r>
        <w:t xml:space="preserve">dditional </w:t>
      </w:r>
      <w:r w:rsidR="00C36E23">
        <w:t>C</w:t>
      </w:r>
      <w:r>
        <w:t xml:space="preserve">urrent </w:t>
      </w:r>
      <w:r w:rsidR="00C36E23">
        <w:t>T</w:t>
      </w:r>
      <w:r w:rsidRPr="00AF51D4">
        <w:t xml:space="preserve">op-up </w:t>
      </w:r>
      <w:r w:rsidR="00C36E23">
        <w:t>T</w:t>
      </w:r>
      <w:r w:rsidRPr="00AF51D4">
        <w:t>ax</w:t>
      </w:r>
      <w:r>
        <w:t xml:space="preserve"> may still apply.</w:t>
      </w:r>
    </w:p>
    <w:p w14:paraId="33B9336F" w14:textId="77777777" w:rsidR="001B6944" w:rsidRDefault="001B6944" w:rsidP="001B6944">
      <w:pPr>
        <w:pStyle w:val="Heading5"/>
        <w:numPr>
          <w:ilvl w:val="4"/>
          <w:numId w:val="2"/>
        </w:numPr>
        <w:ind w:left="1701" w:hanging="1701"/>
      </w:pPr>
      <w:r>
        <w:t>Jurisdictional Top-up Tax</w:t>
      </w:r>
    </w:p>
    <w:p w14:paraId="62F70961" w14:textId="1A2B8753" w:rsidR="001B6944" w:rsidRDefault="001B6944" w:rsidP="001B6944">
      <w:pPr>
        <w:pStyle w:val="Normalparatextwithnumbers"/>
        <w:numPr>
          <w:ilvl w:val="1"/>
          <w:numId w:val="17"/>
        </w:numPr>
      </w:pPr>
      <w:r>
        <w:t>The results from the t</w:t>
      </w:r>
      <w:r w:rsidRPr="00AF51D4">
        <w:t>op-up tax</w:t>
      </w:r>
      <w:r>
        <w:t xml:space="preserve"> percentage and excess profit formulas are used to arrive at the Jurisdictional T</w:t>
      </w:r>
      <w:r w:rsidRPr="00AF51D4">
        <w:t>op-up Tax</w:t>
      </w:r>
      <w:r>
        <w:t>. The Jurisdictional T</w:t>
      </w:r>
      <w:r w:rsidRPr="00AF51D4">
        <w:t xml:space="preserve">op-up </w:t>
      </w:r>
      <w:r>
        <w:t>T</w:t>
      </w:r>
      <w:r w:rsidRPr="00AF51D4">
        <w:t>ax</w:t>
      </w:r>
      <w:r>
        <w:t xml:space="preserve"> is calculated by multiplying the top</w:t>
      </w:r>
      <w:r w:rsidRPr="00AF51D4">
        <w:t>-up tax</w:t>
      </w:r>
      <w:r>
        <w:t xml:space="preserve"> percentage by the Excess profits for the </w:t>
      </w:r>
      <w:r w:rsidR="002330EF">
        <w:t>MNE Group</w:t>
      </w:r>
      <w:r>
        <w:t xml:space="preserve"> in each low-tax jurisdiction and reduce the result by the amount of any </w:t>
      </w:r>
      <w:r w:rsidR="008940AA">
        <w:t>Q</w:t>
      </w:r>
      <w:r w:rsidR="00215A2E">
        <w:t>DMTT</w:t>
      </w:r>
      <w:r>
        <w:t xml:space="preserve"> and adding any </w:t>
      </w:r>
      <w:r w:rsidR="00C36E23">
        <w:t>A</w:t>
      </w:r>
      <w:r>
        <w:t xml:space="preserve">dditional </w:t>
      </w:r>
      <w:r w:rsidR="00C36E23">
        <w:t>T</w:t>
      </w:r>
      <w:r>
        <w:t>op</w:t>
      </w:r>
      <w:r w:rsidR="00C36E23">
        <w:noBreakHyphen/>
      </w:r>
      <w:r>
        <w:t xml:space="preserve">up </w:t>
      </w:r>
      <w:r w:rsidR="00C36E23">
        <w:t>T</w:t>
      </w:r>
      <w:r>
        <w:t>ax:</w:t>
      </w:r>
    </w:p>
    <w:p w14:paraId="6246C0DB" w14:textId="7423ABF4" w:rsidR="00966AF7" w:rsidRPr="00685753" w:rsidRDefault="00966AF7" w:rsidP="001B6944">
      <w:pPr>
        <w:pStyle w:val="Normalparatextwithnumbers"/>
        <w:numPr>
          <w:ilvl w:val="0"/>
          <w:numId w:val="0"/>
        </w:numPr>
        <w:ind w:left="709"/>
        <w:rPr>
          <w:rFonts w:eastAsiaTheme="minorEastAsia"/>
        </w:rPr>
      </w:pPr>
      <w:r w:rsidRPr="00966AF7">
        <w:rPr>
          <w:noProof/>
        </w:rPr>
        <w:drawing>
          <wp:inline distT="0" distB="0" distL="0" distR="0" wp14:anchorId="52ABC17D" wp14:editId="1D6E4D56">
            <wp:extent cx="4896485" cy="553085"/>
            <wp:effectExtent l="0" t="0" r="0" b="0"/>
            <wp:docPr id="914657211" name="Picture 28" descr="The Jurisdictional Top-up Tax is calculated by multiplying the top-up tax percentage by the Excess profits for the MNE Group in each low-tax jurisdiction and reduce the result by the amount of any QDMTT and adding any Additional Top up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657211" name="Picture 28" descr="The Jurisdictional Top-up Tax is calculated by multiplying the top-up tax percentage by the Excess profits for the MNE Group in each low-tax jurisdiction and reduce the result by the amount of any QDMTT and adding any Additional Top up Tax"/>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896485" cy="553085"/>
                    </a:xfrm>
                    <a:prstGeom prst="rect">
                      <a:avLst/>
                    </a:prstGeom>
                    <a:noFill/>
                    <a:ln>
                      <a:noFill/>
                    </a:ln>
                  </pic:spPr>
                </pic:pic>
              </a:graphicData>
            </a:graphic>
          </wp:inline>
        </w:drawing>
      </w:r>
    </w:p>
    <w:p w14:paraId="621514A2" w14:textId="77777777" w:rsidR="00685753" w:rsidRDefault="00685753" w:rsidP="00B7652D">
      <w:pPr>
        <w:pStyle w:val="Normalparatextwithnumbers"/>
        <w:numPr>
          <w:ilvl w:val="0"/>
          <w:numId w:val="0"/>
        </w:numPr>
        <w:ind w:left="709" w:hanging="709"/>
      </w:pPr>
    </w:p>
    <w:p w14:paraId="56465FC6" w14:textId="6B30C0BC" w:rsidR="001B6944" w:rsidRPr="005D1364" w:rsidRDefault="001B6944" w:rsidP="001B6944">
      <w:pPr>
        <w:pStyle w:val="Normalparatextwithnumbers"/>
        <w:numPr>
          <w:ilvl w:val="1"/>
          <w:numId w:val="18"/>
        </w:numPr>
        <w:rPr>
          <w:rStyle w:val="References"/>
          <w:b w:val="0"/>
          <w:i w:val="0"/>
        </w:rPr>
      </w:pPr>
      <w:r>
        <w:t>Additional Current T</w:t>
      </w:r>
      <w:r w:rsidRPr="00AF51D4">
        <w:t xml:space="preserve">op-up </w:t>
      </w:r>
      <w:r w:rsidR="00B36A96">
        <w:t>T</w:t>
      </w:r>
      <w:r w:rsidR="00B36A96" w:rsidRPr="00AF51D4">
        <w:t>ax</w:t>
      </w:r>
      <w:r w:rsidR="00B36A96">
        <w:t xml:space="preserve"> </w:t>
      </w:r>
      <w:r>
        <w:t>is an amount of t</w:t>
      </w:r>
      <w:r w:rsidRPr="00AF51D4">
        <w:t>op-up tax</w:t>
      </w:r>
      <w:r>
        <w:t xml:space="preserve"> added to the current year that is attributable to certain re-calculations of the t</w:t>
      </w:r>
      <w:r w:rsidRPr="00AF51D4">
        <w:t>op-up tax</w:t>
      </w:r>
      <w:r>
        <w:t xml:space="preserve"> in previous years.</w:t>
      </w:r>
      <w:r>
        <w:br/>
      </w:r>
      <w:r>
        <w:rPr>
          <w:rStyle w:val="References"/>
        </w:rPr>
        <w:t xml:space="preserve">[Chapter 5, section 5-30 of the Rules] </w:t>
      </w:r>
    </w:p>
    <w:p w14:paraId="64D51C40" w14:textId="77777777" w:rsidR="001B6944" w:rsidRDefault="001B6944" w:rsidP="001B6944">
      <w:pPr>
        <w:pStyle w:val="Heading5"/>
        <w:numPr>
          <w:ilvl w:val="4"/>
          <w:numId w:val="2"/>
        </w:numPr>
        <w:ind w:left="1701" w:hanging="1701"/>
      </w:pPr>
      <w:r>
        <w:t>Top-up-tax of a Constituent Entity</w:t>
      </w:r>
    </w:p>
    <w:p w14:paraId="5EA99D9D" w14:textId="77777777" w:rsidR="001B6944" w:rsidRDefault="001B6944" w:rsidP="001B6944">
      <w:pPr>
        <w:pStyle w:val="Normalparatextwithnumbers"/>
        <w:numPr>
          <w:ilvl w:val="1"/>
          <w:numId w:val="18"/>
        </w:numPr>
      </w:pPr>
      <w:r>
        <w:t>The Jurisdictional T</w:t>
      </w:r>
      <w:r w:rsidRPr="00AF51D4">
        <w:t>op-up tax</w:t>
      </w:r>
      <w:r>
        <w:t xml:space="preserve"> is allocated only to Constituent Entities that have GloBE Income for the relevant year. There is no allocation to entities with a GloBE loss. </w:t>
      </w:r>
    </w:p>
    <w:p w14:paraId="287C3055" w14:textId="250BDF85" w:rsidR="00C92FA3" w:rsidRPr="0062492D" w:rsidRDefault="00C92FA3" w:rsidP="001B6944">
      <w:pPr>
        <w:pStyle w:val="Normalparatextwithnumbers"/>
        <w:numPr>
          <w:ilvl w:val="0"/>
          <w:numId w:val="0"/>
        </w:numPr>
        <w:rPr>
          <w:sz w:val="24"/>
          <w:szCs w:val="24"/>
        </w:rPr>
      </w:pPr>
      <w:r w:rsidRPr="00C92FA3">
        <w:rPr>
          <w:noProof/>
        </w:rPr>
        <w:drawing>
          <wp:inline distT="0" distB="0" distL="0" distR="0" wp14:anchorId="0AB8E707" wp14:editId="389C4BB6">
            <wp:extent cx="4895850" cy="742950"/>
            <wp:effectExtent l="0" t="0" r="0" b="0"/>
            <wp:docPr id="881106170" name="Picture 29" descr="The Jurisdictional Top-up tax is allocated only to Constituent Entities that have GloBE Income for the relevant year. There is no allocation to entities with a GloBE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06170" name="Picture 29" descr="The Jurisdictional Top-up tax is allocated only to Constituent Entities that have GloBE Income for the relevant year. There is no allocation to entities with a GloBE loss"/>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0" cy="742950"/>
                    </a:xfrm>
                    <a:prstGeom prst="rect">
                      <a:avLst/>
                    </a:prstGeom>
                    <a:noFill/>
                    <a:ln>
                      <a:noFill/>
                    </a:ln>
                  </pic:spPr>
                </pic:pic>
              </a:graphicData>
            </a:graphic>
          </wp:inline>
        </w:drawing>
      </w:r>
    </w:p>
    <w:p w14:paraId="57427678" w14:textId="5E354EFD" w:rsidR="001B6944" w:rsidRDefault="001B6944" w:rsidP="001B6944">
      <w:pPr>
        <w:pStyle w:val="Normalparatextwithnumbers"/>
        <w:numPr>
          <w:ilvl w:val="1"/>
          <w:numId w:val="18"/>
        </w:numPr>
      </w:pPr>
      <w:r>
        <w:t xml:space="preserve">An entity within the </w:t>
      </w:r>
      <w:r w:rsidR="002330EF">
        <w:t>MNE Group</w:t>
      </w:r>
      <w:r>
        <w:t xml:space="preserve"> is allocated top-up tax depending on its share of the </w:t>
      </w:r>
      <w:r w:rsidR="002330EF">
        <w:t>MNE Group</w:t>
      </w:r>
      <w:r>
        <w:t>’s income.</w:t>
      </w:r>
    </w:p>
    <w:p w14:paraId="2BC7B30F" w14:textId="72A6AFE3" w:rsidR="001B6944" w:rsidRDefault="001B6944" w:rsidP="001B6944">
      <w:pPr>
        <w:pStyle w:val="Normalparatextwithnumbers"/>
        <w:numPr>
          <w:ilvl w:val="1"/>
          <w:numId w:val="17"/>
        </w:numPr>
      </w:pPr>
      <w:r>
        <w:t xml:space="preserve">The allocation of </w:t>
      </w:r>
      <w:r w:rsidRPr="00AF51D4">
        <w:t>top-up tax</w:t>
      </w:r>
      <w:r>
        <w:t xml:space="preserve"> among LTCEs facilitates the application of the IIR by Parent Entities that are not UPEs and the application of the UTPR where part of an entity’s </w:t>
      </w:r>
      <w:r w:rsidRPr="00962EF1">
        <w:t>top-up tax</w:t>
      </w:r>
      <w:r>
        <w:t xml:space="preserve"> is subject to an IIR</w:t>
      </w:r>
      <w:r w:rsidR="00CB77B8">
        <w:t>,</w:t>
      </w:r>
      <w:r>
        <w:t xml:space="preserve"> and the remainder is subject to the UTPR. </w:t>
      </w:r>
      <w:r>
        <w:br/>
      </w:r>
      <w:r>
        <w:rPr>
          <w:rStyle w:val="References"/>
        </w:rPr>
        <w:t>[Chapter 5, section 5-40 of the Rules]</w:t>
      </w:r>
    </w:p>
    <w:p w14:paraId="272D1BA5" w14:textId="77777777" w:rsidR="001B6944" w:rsidRDefault="001B6944" w:rsidP="00CE709D">
      <w:pPr>
        <w:pStyle w:val="Heading3"/>
        <w:rPr>
          <w:rFonts w:hint="eastAsia"/>
        </w:rPr>
      </w:pPr>
      <w:bookmarkStart w:id="176" w:name="_Toc160726356"/>
      <w:bookmarkStart w:id="177" w:name="_Toc180490657"/>
      <w:bookmarkStart w:id="178" w:name="_Toc181720687"/>
      <w:bookmarkStart w:id="179" w:name="_Toc183786660"/>
      <w:bookmarkStart w:id="180" w:name="_Toc185503005"/>
      <w:r>
        <w:t xml:space="preserve">Substance-based </w:t>
      </w:r>
      <w:bookmarkEnd w:id="176"/>
      <w:bookmarkEnd w:id="177"/>
      <w:bookmarkEnd w:id="178"/>
      <w:r>
        <w:t>Income Exclusion</w:t>
      </w:r>
      <w:bookmarkEnd w:id="179"/>
      <w:bookmarkEnd w:id="180"/>
    </w:p>
    <w:p w14:paraId="088A5094" w14:textId="7C325938" w:rsidR="001B6944" w:rsidRDefault="001B6944" w:rsidP="001B6944">
      <w:pPr>
        <w:pStyle w:val="Normalparatextwithnumbers"/>
        <w:numPr>
          <w:ilvl w:val="1"/>
          <w:numId w:val="18"/>
        </w:numPr>
      </w:pPr>
      <w:r>
        <w:t xml:space="preserve">The purpose of excluding Substance-based Income is to exclude a fixed return for substantive activities within a jurisdiction from the application of the GloBE Rules. Generally, it represents the elements of the business that </w:t>
      </w:r>
      <w:r w:rsidR="00A603D8">
        <w:t>relate</w:t>
      </w:r>
      <w:r>
        <w:t xml:space="preserve"> to the Group’s activities in that jurisdiction, that should not be subject to international taxation. For example, if a company has sufficient presence and economic substance in a jurisdiction where the income is earned, the income should largely be excluded from being considered as GloBE Income. </w:t>
      </w:r>
    </w:p>
    <w:p w14:paraId="3D41E3C1" w14:textId="77777777" w:rsidR="001B6944" w:rsidRDefault="001B6944" w:rsidP="001B6944">
      <w:pPr>
        <w:pStyle w:val="Normalparatextwithnumbers"/>
        <w:numPr>
          <w:ilvl w:val="1"/>
          <w:numId w:val="18"/>
        </w:numPr>
      </w:pPr>
      <w:r>
        <w:t>The amount of substance-based income that may be excluded is:</w:t>
      </w:r>
    </w:p>
    <w:p w14:paraId="3AAB742F" w14:textId="5D079D0A" w:rsidR="00DA2137" w:rsidRPr="00C333B4" w:rsidRDefault="00DA2137" w:rsidP="001B6944">
      <w:pPr>
        <w:pStyle w:val="Normalparatextwithnumbers"/>
        <w:numPr>
          <w:ilvl w:val="0"/>
          <w:numId w:val="0"/>
        </w:numPr>
        <w:ind w:left="709"/>
        <w:rPr>
          <w:bCs/>
          <w:iCs/>
        </w:rPr>
      </w:pPr>
      <w:r w:rsidRPr="00DA2137">
        <w:rPr>
          <w:noProof/>
        </w:rPr>
        <w:drawing>
          <wp:inline distT="0" distB="0" distL="0" distR="0" wp14:anchorId="2977C577" wp14:editId="1089AB52">
            <wp:extent cx="4896485" cy="471805"/>
            <wp:effectExtent l="0" t="0" r="0" b="0"/>
            <wp:docPr id="2041485436" name="Picture 30" descr="The amount of substance-based income that may be ex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85436" name="Picture 30" descr="The amount of substance-based income that may be excluded"/>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896485" cy="471805"/>
                    </a:xfrm>
                    <a:prstGeom prst="rect">
                      <a:avLst/>
                    </a:prstGeom>
                    <a:noFill/>
                    <a:ln>
                      <a:noFill/>
                    </a:ln>
                  </pic:spPr>
                </pic:pic>
              </a:graphicData>
            </a:graphic>
          </wp:inline>
        </w:drawing>
      </w:r>
    </w:p>
    <w:p w14:paraId="7960FD4F" w14:textId="3CF9A158" w:rsidR="001B6944" w:rsidRPr="005D1364" w:rsidRDefault="001B6944" w:rsidP="001B6944">
      <w:pPr>
        <w:pStyle w:val="Normalparatextwithnumbers"/>
        <w:numPr>
          <w:ilvl w:val="1"/>
          <w:numId w:val="18"/>
        </w:numPr>
        <w:rPr>
          <w:rStyle w:val="References"/>
          <w:b w:val="0"/>
          <w:i w:val="0"/>
        </w:rPr>
      </w:pPr>
      <w:r>
        <w:t>The payroll carve</w:t>
      </w:r>
      <w:r>
        <w:noBreakHyphen/>
        <w:t>out and tangible asset ca</w:t>
      </w:r>
      <w:r w:rsidR="00F21DFC">
        <w:t>r</w:t>
      </w:r>
      <w:r>
        <w:t>ve</w:t>
      </w:r>
      <w:r>
        <w:noBreakHyphen/>
        <w:t xml:space="preserve">out are for each Constituent Entity located in the jurisdiction that is not an Investment Entity or Insurance Investment Entity. </w:t>
      </w:r>
      <w:r>
        <w:br/>
      </w:r>
      <w:r>
        <w:rPr>
          <w:rStyle w:val="References"/>
        </w:rPr>
        <w:t>[Chapter 5, subsection 5-50(1) of the Rules</w:t>
      </w:r>
      <w:r w:rsidRPr="00BF714F">
        <w:rPr>
          <w:rStyle w:val="References"/>
        </w:rPr>
        <w:t xml:space="preserve">] </w:t>
      </w:r>
    </w:p>
    <w:p w14:paraId="18E2C5E6" w14:textId="7C397304" w:rsidR="001B6944" w:rsidRDefault="001B6944" w:rsidP="001B6944">
      <w:pPr>
        <w:pStyle w:val="Normalparatextwithnumbers"/>
        <w:numPr>
          <w:ilvl w:val="1"/>
          <w:numId w:val="18"/>
        </w:numPr>
      </w:pPr>
      <w:r>
        <w:lastRenderedPageBreak/>
        <w:t>To determine whether income has sufficient substance the following factors may be taken into consideration with respect to a jurisdiction:</w:t>
      </w:r>
    </w:p>
    <w:p w14:paraId="4ECEC851" w14:textId="77777777" w:rsidR="001B6944" w:rsidRDefault="001B6944" w:rsidP="00B07214">
      <w:pPr>
        <w:pStyle w:val="Dotpoint1"/>
      </w:pPr>
      <w:r>
        <w:t xml:space="preserve">number of employees and level of payroll; </w:t>
      </w:r>
    </w:p>
    <w:p w14:paraId="6DE7BB5E" w14:textId="77777777" w:rsidR="001B6944" w:rsidRDefault="001B6944" w:rsidP="00B07214">
      <w:pPr>
        <w:pStyle w:val="Dotpoint1"/>
      </w:pPr>
      <w:r>
        <w:t xml:space="preserve">level of investment; </w:t>
      </w:r>
    </w:p>
    <w:p w14:paraId="6E0BED39" w14:textId="77777777" w:rsidR="001B6944" w:rsidRDefault="001B6944" w:rsidP="00B07214">
      <w:pPr>
        <w:pStyle w:val="Dotpoint1"/>
      </w:pPr>
      <w:r>
        <w:t>level of physical presence, such as office space and equipment;</w:t>
      </w:r>
    </w:p>
    <w:p w14:paraId="5A988915" w14:textId="77777777" w:rsidR="001B6944" w:rsidRDefault="001B6944" w:rsidP="00B07214">
      <w:pPr>
        <w:pStyle w:val="Dotpoint1"/>
      </w:pPr>
      <w:r>
        <w:t xml:space="preserve">level of decision-making and control exercised; and </w:t>
      </w:r>
    </w:p>
    <w:p w14:paraId="28CFE1B1" w14:textId="77777777" w:rsidR="001B6944" w:rsidRDefault="001B6944" w:rsidP="00B07214">
      <w:pPr>
        <w:pStyle w:val="Dotpoint1"/>
      </w:pPr>
      <w:r>
        <w:t xml:space="preserve">level of research and development activities. </w:t>
      </w:r>
    </w:p>
    <w:p w14:paraId="4A120ED4" w14:textId="23CED0C6" w:rsidR="001B6944" w:rsidDel="00ED7951" w:rsidRDefault="001B6944" w:rsidP="001B6944">
      <w:pPr>
        <w:pStyle w:val="Normalparatextwithnumbers"/>
        <w:numPr>
          <w:ilvl w:val="1"/>
          <w:numId w:val="18"/>
        </w:numPr>
      </w:pPr>
      <w:r>
        <w:t xml:space="preserve">Where the Substance-based Income Exclusion exceeds the GloBE Income, the resulting amount cannot be reduced </w:t>
      </w:r>
      <w:r w:rsidR="00FA52FA">
        <w:t>to result in</w:t>
      </w:r>
      <w:r>
        <w:t xml:space="preserve"> a GloBE Loss. Any excess Substance-based Income Exclusions cannot be carried forward or backward to reduce GloBE Income for another year.</w:t>
      </w:r>
      <w:r w:rsidR="00564DC3">
        <w:t xml:space="preserve"> See paragraph 27 on page 151 of the Consolidated Commentary. </w:t>
      </w:r>
    </w:p>
    <w:p w14:paraId="31CFB874" w14:textId="66070B22" w:rsidR="001B6944" w:rsidRDefault="001B6944" w:rsidP="001B6944">
      <w:pPr>
        <w:pStyle w:val="Heading5"/>
        <w:numPr>
          <w:ilvl w:val="4"/>
          <w:numId w:val="2"/>
        </w:numPr>
      </w:pPr>
      <w:r>
        <w:t xml:space="preserve">Payroll </w:t>
      </w:r>
      <w:r w:rsidR="004E4BAE">
        <w:t>C</w:t>
      </w:r>
      <w:r>
        <w:t xml:space="preserve">arve-out </w:t>
      </w:r>
      <w:r w:rsidR="004E4BAE">
        <w:t>A</w:t>
      </w:r>
      <w:r>
        <w:t>mount</w:t>
      </w:r>
    </w:p>
    <w:p w14:paraId="08E40107" w14:textId="2DEC6F39" w:rsidR="001B6944" w:rsidRPr="000A2185" w:rsidRDefault="001B6944" w:rsidP="001B6944">
      <w:pPr>
        <w:pStyle w:val="Normalparatextwithnumbers"/>
        <w:numPr>
          <w:ilvl w:val="1"/>
          <w:numId w:val="18"/>
        </w:numPr>
        <w:rPr>
          <w:rStyle w:val="References"/>
          <w:b w:val="0"/>
          <w:i w:val="0"/>
        </w:rPr>
      </w:pPr>
      <w:r>
        <w:t xml:space="preserve">The </w:t>
      </w:r>
      <w:r w:rsidR="004E4BAE">
        <w:t>P</w:t>
      </w:r>
      <w:r>
        <w:t xml:space="preserve">ayroll </w:t>
      </w:r>
      <w:r w:rsidR="00AE04DA">
        <w:t>C</w:t>
      </w:r>
      <w:r w:rsidR="00220D10">
        <w:t>arve-out</w:t>
      </w:r>
      <w:r>
        <w:t xml:space="preserve"> </w:t>
      </w:r>
      <w:r w:rsidR="00AE04DA">
        <w:t>Amount</w:t>
      </w:r>
      <w:r>
        <w:t xml:space="preserve"> is five per cent of the </w:t>
      </w:r>
      <w:r w:rsidR="00C877E9">
        <w:t>E</w:t>
      </w:r>
      <w:r>
        <w:t xml:space="preserve">ligible </w:t>
      </w:r>
      <w:r w:rsidR="00C877E9">
        <w:t>P</w:t>
      </w:r>
      <w:r>
        <w:t xml:space="preserve">ayroll </w:t>
      </w:r>
      <w:r w:rsidR="00C877E9">
        <w:t>C</w:t>
      </w:r>
      <w:r>
        <w:t xml:space="preserve">osts of each entity in the </w:t>
      </w:r>
      <w:r w:rsidR="002330EF">
        <w:t>MNE Group</w:t>
      </w:r>
      <w:r>
        <w:t xml:space="preserve">. The </w:t>
      </w:r>
      <w:r w:rsidR="00C877E9">
        <w:t>P</w:t>
      </w:r>
      <w:r>
        <w:t xml:space="preserve">ayroll </w:t>
      </w:r>
      <w:r w:rsidR="00C877E9">
        <w:t>C</w:t>
      </w:r>
      <w:r w:rsidR="00220D10">
        <w:t>arve-out</w:t>
      </w:r>
      <w:r w:rsidR="00C877E9">
        <w:t xml:space="preserve"> Amount</w:t>
      </w:r>
      <w:r>
        <w:t xml:space="preserve"> does not include costs that are included in the carrying value of </w:t>
      </w:r>
      <w:r w:rsidR="002A7665">
        <w:t>E</w:t>
      </w:r>
      <w:r>
        <w:t xml:space="preserve">ligible </w:t>
      </w:r>
      <w:r w:rsidR="002A7665">
        <w:t>T</w:t>
      </w:r>
      <w:r>
        <w:t xml:space="preserve">angible </w:t>
      </w:r>
      <w:r w:rsidR="002A7665">
        <w:t>A</w:t>
      </w:r>
      <w:r>
        <w:t>ssets or attributable to a</w:t>
      </w:r>
      <w:r w:rsidR="00C36E23">
        <w:t xml:space="preserve"> Constituent E</w:t>
      </w:r>
      <w:r>
        <w:t xml:space="preserve">ntity’s </w:t>
      </w:r>
      <w:r w:rsidR="00C36E23">
        <w:t>I</w:t>
      </w:r>
      <w:r>
        <w:t xml:space="preserve">nternational </w:t>
      </w:r>
      <w:r w:rsidR="00C36E23">
        <w:t>S</w:t>
      </w:r>
      <w:r>
        <w:t xml:space="preserve">hipping </w:t>
      </w:r>
      <w:r w:rsidR="00C36E23">
        <w:t>I</w:t>
      </w:r>
      <w:r>
        <w:t xml:space="preserve">ncome and Qualified Ancillary Shipping Income </w:t>
      </w:r>
      <w:r w:rsidR="00D95F6B">
        <w:t xml:space="preserve">if it were </w:t>
      </w:r>
      <w:r>
        <w:t xml:space="preserve">excluded from the GloBE Income or Loss </w:t>
      </w:r>
      <w:r w:rsidR="00D95F6B">
        <w:t xml:space="preserve">computations </w:t>
      </w:r>
      <w:r>
        <w:t xml:space="preserve">for that Fiscal Year. The design recognises a Constituent Entity’s payroll expense as an appropriate proxy for substantive activities carried out by employees of the MNE Group in the relevant jurisdiction. </w:t>
      </w:r>
      <w:r>
        <w:rPr>
          <w:rFonts w:eastAsiaTheme="majorEastAsia" w:cstheme="majorBidi"/>
          <w:bCs/>
          <w:iCs/>
        </w:rPr>
        <w:br/>
      </w:r>
      <w:r>
        <w:rPr>
          <w:rStyle w:val="References"/>
        </w:rPr>
        <w:t>[Chapter 5, subsections 5-55(1) and (2) of the Rules</w:t>
      </w:r>
      <w:r w:rsidRPr="00BF714F">
        <w:rPr>
          <w:rStyle w:val="References"/>
        </w:rPr>
        <w:t xml:space="preserve">] </w:t>
      </w:r>
    </w:p>
    <w:p w14:paraId="2E081694" w14:textId="045DC122" w:rsidR="001B6944" w:rsidRPr="008A728D" w:rsidRDefault="001B6944" w:rsidP="001B6944">
      <w:pPr>
        <w:pStyle w:val="Heading5"/>
        <w:numPr>
          <w:ilvl w:val="4"/>
          <w:numId w:val="2"/>
        </w:numPr>
      </w:pPr>
      <w:r>
        <w:t xml:space="preserve">Tangible </w:t>
      </w:r>
      <w:r w:rsidR="001E2EF4">
        <w:t>A</w:t>
      </w:r>
      <w:r>
        <w:t xml:space="preserve">sset </w:t>
      </w:r>
      <w:r w:rsidR="001E2EF4">
        <w:t>C</w:t>
      </w:r>
      <w:r>
        <w:t>arve</w:t>
      </w:r>
      <w:r>
        <w:noBreakHyphen/>
        <w:t>out</w:t>
      </w:r>
      <w:r w:rsidR="001E2EF4">
        <w:t xml:space="preserve"> Amount</w:t>
      </w:r>
    </w:p>
    <w:p w14:paraId="0756E59D" w14:textId="182121B3" w:rsidR="001B6944" w:rsidRPr="005D1364" w:rsidRDefault="001B6944" w:rsidP="001B6944">
      <w:pPr>
        <w:pStyle w:val="Normalparatextwithnumbers"/>
        <w:numPr>
          <w:ilvl w:val="1"/>
          <w:numId w:val="18"/>
        </w:numPr>
        <w:rPr>
          <w:rStyle w:val="References"/>
          <w:b w:val="0"/>
          <w:i w:val="0"/>
        </w:rPr>
      </w:pPr>
      <w:r>
        <w:t xml:space="preserve">The </w:t>
      </w:r>
      <w:r w:rsidR="00735461">
        <w:t>T</w:t>
      </w:r>
      <w:r>
        <w:t xml:space="preserve">angible </w:t>
      </w:r>
      <w:r w:rsidR="00735461">
        <w:t>A</w:t>
      </w:r>
      <w:r>
        <w:t xml:space="preserve">sset </w:t>
      </w:r>
      <w:r w:rsidR="00735461">
        <w:t>C</w:t>
      </w:r>
      <w:r>
        <w:t xml:space="preserve">arve-out </w:t>
      </w:r>
      <w:r w:rsidR="00735461">
        <w:t>Amount</w:t>
      </w:r>
      <w:r>
        <w:t xml:space="preserve"> is five per cent of the value of </w:t>
      </w:r>
      <w:r w:rsidR="00735461">
        <w:t>E</w:t>
      </w:r>
      <w:r>
        <w:t xml:space="preserve">ligible </w:t>
      </w:r>
      <w:r w:rsidR="00735461">
        <w:t>T</w:t>
      </w:r>
      <w:r>
        <w:t xml:space="preserve">angible </w:t>
      </w:r>
      <w:r w:rsidR="00735461">
        <w:t>A</w:t>
      </w:r>
      <w:r>
        <w:t xml:space="preserve">ssets in a jurisdiction. The term </w:t>
      </w:r>
      <w:r w:rsidR="00735461">
        <w:t>E</w:t>
      </w:r>
      <w:r>
        <w:t xml:space="preserve">ligible </w:t>
      </w:r>
      <w:r w:rsidR="00735461">
        <w:t>T</w:t>
      </w:r>
      <w:r>
        <w:t xml:space="preserve">angible </w:t>
      </w:r>
      <w:r w:rsidR="00735461">
        <w:t>A</w:t>
      </w:r>
      <w:r>
        <w:t xml:space="preserve">ssets </w:t>
      </w:r>
      <w:r w:rsidR="00735461">
        <w:t>is defined as</w:t>
      </w:r>
      <w:r>
        <w:t xml:space="preserve"> the property, plant, equipment, natural resources, lessee’s right to use those tangible assets of the </w:t>
      </w:r>
      <w:r w:rsidR="002330EF">
        <w:t>MNE Group</w:t>
      </w:r>
      <w:r>
        <w:t xml:space="preserve"> that are located in that jurisdiction, and governmental support for the use of immovable property that entails significant investment in tangible assets. This does not include the carrying value of land or buildings held for sale, lease or investment and does not include assets used in generating International Shipping Income and Qualified Ancillary International Shipping Income. This is because this income is not typically included in the GloBE Income or Loss. </w:t>
      </w:r>
      <w:r>
        <w:br/>
      </w:r>
      <w:r>
        <w:rPr>
          <w:rStyle w:val="References"/>
        </w:rPr>
        <w:t xml:space="preserve">[Chapter 5, subsections 5-65(1) and (3) </w:t>
      </w:r>
      <w:r w:rsidR="00B5441E">
        <w:rPr>
          <w:rStyle w:val="References"/>
        </w:rPr>
        <w:t>and section 5-75</w:t>
      </w:r>
      <w:r>
        <w:rPr>
          <w:rStyle w:val="References"/>
        </w:rPr>
        <w:t xml:space="preserve"> of the Rules</w:t>
      </w:r>
      <w:r w:rsidRPr="00BF714F">
        <w:rPr>
          <w:rStyle w:val="References"/>
        </w:rPr>
        <w:t>]</w:t>
      </w:r>
      <w:r w:rsidRPr="005D1364">
        <w:rPr>
          <w:rStyle w:val="References"/>
        </w:rPr>
        <w:t xml:space="preserve"> </w:t>
      </w:r>
    </w:p>
    <w:p w14:paraId="2BB37434" w14:textId="77777777" w:rsidR="001B6944" w:rsidRDefault="001B6944" w:rsidP="001B6944">
      <w:pPr>
        <w:pStyle w:val="Normalparatextwithnumbers"/>
        <w:numPr>
          <w:ilvl w:val="1"/>
          <w:numId w:val="18"/>
        </w:numPr>
        <w:rPr>
          <w:rStyle w:val="References"/>
          <w:b w:val="0"/>
          <w:bCs w:val="0"/>
          <w:i w:val="0"/>
          <w:iCs w:val="0"/>
        </w:rPr>
      </w:pPr>
      <w:r>
        <w:t xml:space="preserve">The carrying value of tangible assets is based on the average carrying value at the beginning and ending of the reporting year as recorded in the CFS of the UPE. The average carrying value is net of accumulated depreciation, amortisation, or depletion and including any amount attributable to </w:t>
      </w:r>
      <w:r>
        <w:lastRenderedPageBreak/>
        <w:t xml:space="preserve">capitalisation of payroll expense. </w:t>
      </w:r>
      <w:r>
        <w:br/>
      </w:r>
      <w:r>
        <w:rPr>
          <w:rStyle w:val="References"/>
        </w:rPr>
        <w:t>[Chapter 5, subsection 5-65(2) of the Rules</w:t>
      </w:r>
      <w:r w:rsidRPr="00BF714F">
        <w:rPr>
          <w:rStyle w:val="References"/>
        </w:rPr>
        <w:t>]</w:t>
      </w:r>
      <w:r w:rsidRPr="00A9143D">
        <w:rPr>
          <w:rStyle w:val="References"/>
        </w:rPr>
        <w:t xml:space="preserve"> </w:t>
      </w:r>
      <w:bookmarkStart w:id="181" w:name="_Hlk147497302"/>
    </w:p>
    <w:p w14:paraId="1E7DC343" w14:textId="085132DE" w:rsidR="001B6944" w:rsidRPr="0094012E" w:rsidRDefault="001B6944" w:rsidP="001B6944">
      <w:pPr>
        <w:pStyle w:val="Normalparatextwithnumbers"/>
        <w:numPr>
          <w:ilvl w:val="1"/>
          <w:numId w:val="18"/>
        </w:numPr>
        <w:rPr>
          <w:rStyle w:val="References"/>
          <w:b w:val="0"/>
          <w:bCs w:val="0"/>
          <w:i w:val="0"/>
          <w:iCs w:val="0"/>
        </w:rPr>
      </w:pPr>
      <w:r>
        <w:t xml:space="preserve">With respect to the proportion of </w:t>
      </w:r>
      <w:r w:rsidR="00410680">
        <w:t>P</w:t>
      </w:r>
      <w:r>
        <w:t xml:space="preserve">ayroll </w:t>
      </w:r>
      <w:r w:rsidR="00593F6F">
        <w:t>C</w:t>
      </w:r>
      <w:r>
        <w:t xml:space="preserve">arve-out </w:t>
      </w:r>
      <w:r w:rsidR="00593F6F">
        <w:t xml:space="preserve">Amount </w:t>
      </w:r>
      <w:r>
        <w:t xml:space="preserve">and </w:t>
      </w:r>
      <w:r w:rsidR="00593F6F">
        <w:t>T</w:t>
      </w:r>
      <w:r>
        <w:t xml:space="preserve">angible </w:t>
      </w:r>
      <w:r w:rsidR="00593F6F">
        <w:t>A</w:t>
      </w:r>
      <w:r>
        <w:t xml:space="preserve">sset </w:t>
      </w:r>
      <w:r w:rsidR="00593F6F">
        <w:t>C</w:t>
      </w:r>
      <w:r>
        <w:t>arve</w:t>
      </w:r>
      <w:r w:rsidR="00DC1DAD">
        <w:noBreakHyphen/>
      </w:r>
      <w:r>
        <w:t>out</w:t>
      </w:r>
      <w:r w:rsidR="00593F6F">
        <w:t xml:space="preserve"> Amount</w:t>
      </w:r>
      <w:r>
        <w:t>, the total eligible payroll costs and tangible assets are reduced to equal the amount of time spent in the jurisdiction. For example, where an employee only spends 30 per</w:t>
      </w:r>
      <w:r w:rsidR="003F5BD6">
        <w:t xml:space="preserve"> </w:t>
      </w:r>
      <w:r>
        <w:t>cent of their time working in Australia, the payroll costs should be reduced to 30 per</w:t>
      </w:r>
      <w:r w:rsidR="003F5BD6">
        <w:t xml:space="preserve"> </w:t>
      </w:r>
      <w:r>
        <w:t xml:space="preserve">cent. </w:t>
      </w:r>
      <w:r>
        <w:br/>
      </w:r>
      <w:r w:rsidRPr="000D3B9A">
        <w:rPr>
          <w:rStyle w:val="References"/>
        </w:rPr>
        <w:t xml:space="preserve">[Chapter 5, subsection 5-55(2) and paragraph 5-65(3)(f) of the </w:t>
      </w:r>
      <w:r w:rsidR="00E86187">
        <w:rPr>
          <w:rStyle w:val="References"/>
        </w:rPr>
        <w:t>R</w:t>
      </w:r>
      <w:r w:rsidRPr="000D3B9A">
        <w:rPr>
          <w:rStyle w:val="References"/>
        </w:rPr>
        <w:t>ules]</w:t>
      </w:r>
    </w:p>
    <w:p w14:paraId="59B8A90C" w14:textId="77777777" w:rsidR="001B6944" w:rsidRPr="00167665" w:rsidRDefault="001B6944" w:rsidP="001B6944">
      <w:pPr>
        <w:pStyle w:val="Heading6"/>
        <w:rPr>
          <w:rFonts w:hint="eastAsia"/>
        </w:rPr>
      </w:pPr>
      <w:r w:rsidRPr="00167665">
        <w:t xml:space="preserve">Transitional rule </w:t>
      </w:r>
    </w:p>
    <w:bookmarkEnd w:id="181"/>
    <w:p w14:paraId="1C3A04AF" w14:textId="6CC9AB82" w:rsidR="001B6944" w:rsidRDefault="001B6944" w:rsidP="001B6944">
      <w:pPr>
        <w:pStyle w:val="Normalparatextwithnumbers"/>
        <w:numPr>
          <w:ilvl w:val="1"/>
          <w:numId w:val="18"/>
        </w:numPr>
      </w:pPr>
      <w:r>
        <w:t>The</w:t>
      </w:r>
      <w:r w:rsidR="00DC1DAD">
        <w:t xml:space="preserve"> payroll and tangible asset</w:t>
      </w:r>
      <w:r>
        <w:t xml:space="preserve"> carve-out percentages are subject to a ten-year transitional rule outlined in Part 9-2 of the Rules that starts with a higher percentage that is gradually reduced to 5 per cent by 2033.  </w:t>
      </w:r>
    </w:p>
    <w:p w14:paraId="78D26073" w14:textId="77777777" w:rsidR="001B6944" w:rsidRDefault="001B6944" w:rsidP="001B6944">
      <w:pPr>
        <w:pStyle w:val="Heading6"/>
        <w:rPr>
          <w:rFonts w:hint="eastAsia"/>
        </w:rPr>
      </w:pPr>
      <w:r>
        <w:t>Operating leases</w:t>
      </w:r>
    </w:p>
    <w:p w14:paraId="39CB026E" w14:textId="75D77423" w:rsidR="001B6944" w:rsidRPr="004771B8" w:rsidRDefault="001B6944" w:rsidP="001B6944">
      <w:pPr>
        <w:pStyle w:val="Normalparatextwithnumbers"/>
        <w:numPr>
          <w:ilvl w:val="1"/>
          <w:numId w:val="17"/>
        </w:numPr>
      </w:pPr>
      <w:r>
        <w:t>Regarding operating leases, the lessor will be allowed to take a portion of the carrying value of an asset subject to an operating lease into account in determining its Eligible Tangible Asset if the asset is located in the same jurisdiction as the lessor. The amount allowed is equal to the excess, if any, of the lessor’s average carrying value of the asset determined at the beginning and end of the Fiscal Year over the average amount of the lessee’s right of use asset determined at the beginning and end of the Fiscal Year. By allowing only the excess of the carrying value over the right-of-use asset, the lessor is prevented from also claiming Substance-based Exclusion Amount in respect of the same asset value that is included in the lessee’s Substance-based Exclusion Amount computation.</w:t>
      </w:r>
      <w:r w:rsidR="007C4D1E">
        <w:br/>
      </w:r>
      <w:r w:rsidR="007C4D1E" w:rsidRPr="000D3B9A">
        <w:rPr>
          <w:rStyle w:val="References"/>
        </w:rPr>
        <w:t>[Chapter 5, section 5-</w:t>
      </w:r>
      <w:r w:rsidR="007C4D1E">
        <w:rPr>
          <w:rStyle w:val="References"/>
        </w:rPr>
        <w:t>70</w:t>
      </w:r>
      <w:r w:rsidR="007C4D1E" w:rsidRPr="000D3B9A">
        <w:rPr>
          <w:rStyle w:val="References"/>
        </w:rPr>
        <w:t xml:space="preserve"> of the </w:t>
      </w:r>
      <w:r w:rsidR="007C4D1E">
        <w:rPr>
          <w:rStyle w:val="References"/>
        </w:rPr>
        <w:t>R</w:t>
      </w:r>
      <w:r w:rsidR="007C4D1E" w:rsidRPr="000D3B9A">
        <w:rPr>
          <w:rStyle w:val="References"/>
        </w:rPr>
        <w:t>ules]</w:t>
      </w:r>
    </w:p>
    <w:p w14:paraId="3C290A1B" w14:textId="77777777" w:rsidR="001B6944" w:rsidRPr="00167665" w:rsidRDefault="001B6944" w:rsidP="001B6944">
      <w:pPr>
        <w:pStyle w:val="Heading6"/>
        <w:rPr>
          <w:rFonts w:hint="eastAsia"/>
        </w:rPr>
      </w:pPr>
      <w:r w:rsidRPr="00167665">
        <w:t>Permanent Establishment</w:t>
      </w:r>
      <w:r>
        <w:t>s and F</w:t>
      </w:r>
      <w:r>
        <w:rPr>
          <w:rFonts w:hint="eastAsia"/>
        </w:rPr>
        <w:t>l</w:t>
      </w:r>
      <w:r>
        <w:t>ow</w:t>
      </w:r>
      <w:r>
        <w:noBreakHyphen/>
        <w:t>through Entities</w:t>
      </w:r>
    </w:p>
    <w:p w14:paraId="0D7586FA" w14:textId="4AE48436" w:rsidR="001B6944" w:rsidRDefault="001B6944" w:rsidP="001B6944">
      <w:pPr>
        <w:pStyle w:val="Normalparatextwithnumbers"/>
        <w:numPr>
          <w:ilvl w:val="1"/>
          <w:numId w:val="17"/>
        </w:numPr>
      </w:pPr>
      <w:r>
        <w:t>Separate rules are required for the tangible assets and payroll for Permanent Establishments and Flow</w:t>
      </w:r>
      <w:r>
        <w:noBreakHyphen/>
        <w:t xml:space="preserve">through Entities. </w:t>
      </w:r>
    </w:p>
    <w:p w14:paraId="70C7DE23" w14:textId="32D0FAA9" w:rsidR="001B6944" w:rsidRDefault="001B6944" w:rsidP="001B6944">
      <w:pPr>
        <w:pStyle w:val="Normalparatextwithnumbers"/>
        <w:numPr>
          <w:ilvl w:val="1"/>
          <w:numId w:val="17"/>
        </w:numPr>
      </w:pPr>
      <w:r>
        <w:t>Eligible payroll costs and eligible tangible assets of a Permanent Establishment are those that are included in the separate financial accounts and adjusted accordingly to arrive at GloBE Income or Loss. This is conditional on the employees and assets being located in the same jurisdiction as the Permanent Establishment. If employees and assets are located in a different location to the Permanent Establishment, those assets and employees are excluded from the Substance-based Income Exclusion Amount.</w:t>
      </w:r>
      <w:r w:rsidR="00DB0516">
        <w:br/>
      </w:r>
      <w:r w:rsidR="00DB0516" w:rsidRPr="000D3B9A">
        <w:rPr>
          <w:rStyle w:val="References"/>
        </w:rPr>
        <w:t>[Chapter 5, section 5-</w:t>
      </w:r>
      <w:r w:rsidR="00DB0516">
        <w:rPr>
          <w:rStyle w:val="References"/>
        </w:rPr>
        <w:t>80</w:t>
      </w:r>
      <w:r w:rsidR="00DB0516" w:rsidRPr="000D3B9A">
        <w:rPr>
          <w:rStyle w:val="References"/>
        </w:rPr>
        <w:t xml:space="preserve"> of the </w:t>
      </w:r>
      <w:r w:rsidR="00DB0516">
        <w:rPr>
          <w:rStyle w:val="References"/>
        </w:rPr>
        <w:t>R</w:t>
      </w:r>
      <w:r w:rsidR="00DB0516" w:rsidRPr="000D3B9A">
        <w:rPr>
          <w:rStyle w:val="References"/>
        </w:rPr>
        <w:t>ules]</w:t>
      </w:r>
    </w:p>
    <w:p w14:paraId="3EA1E332" w14:textId="7115553A" w:rsidR="001B6944" w:rsidRDefault="001B6944" w:rsidP="001B6944">
      <w:pPr>
        <w:pStyle w:val="Normalparatextwithnumbers"/>
        <w:numPr>
          <w:ilvl w:val="1"/>
          <w:numId w:val="18"/>
        </w:numPr>
      </w:pPr>
      <w:r>
        <w:t>To prevent the possibility of costs being double counted, the eligible payroll costs and tangible assets of the Permanent Establishment are not allocated to the Main Entity. If a Permanent Establishment’s income is allocated to the Main Entity under section 3-</w:t>
      </w:r>
      <w:r w:rsidRPr="00167665">
        <w:t>25</w:t>
      </w:r>
      <w:r w:rsidR="0034172B">
        <w:t>0</w:t>
      </w:r>
      <w:r>
        <w:t xml:space="preserve"> of the Rules, the definition of eligible payroll </w:t>
      </w:r>
      <w:r>
        <w:lastRenderedPageBreak/>
        <w:t xml:space="preserve">costs and tangible assets ensures that it remains in the jurisdiction it is located and is not attributed to the Permanent Establishment. </w:t>
      </w:r>
      <w:r>
        <w:br/>
      </w:r>
      <w:r w:rsidRPr="00674E64">
        <w:rPr>
          <w:rStyle w:val="References"/>
        </w:rPr>
        <w:t>[</w:t>
      </w:r>
      <w:r>
        <w:rPr>
          <w:rStyle w:val="References"/>
        </w:rPr>
        <w:t>Chapter 5, subsection 5-80(2) of the Rules</w:t>
      </w:r>
      <w:r w:rsidRPr="00674E64">
        <w:rPr>
          <w:rStyle w:val="References"/>
        </w:rPr>
        <w:t>]</w:t>
      </w:r>
    </w:p>
    <w:p w14:paraId="6395C004" w14:textId="6F22190A" w:rsidR="001B6944" w:rsidRDefault="001B6944" w:rsidP="001B6944">
      <w:pPr>
        <w:pStyle w:val="Normalparatextwithnumbers"/>
        <w:numPr>
          <w:ilvl w:val="1"/>
          <w:numId w:val="17"/>
        </w:numPr>
      </w:pPr>
      <w:r>
        <w:t>A Permanent Establishment that has wholly or partly excluded income under sections 3-</w:t>
      </w:r>
      <w:r w:rsidRPr="00167665">
        <w:t>2</w:t>
      </w:r>
      <w:r w:rsidR="0034172B">
        <w:t>40</w:t>
      </w:r>
      <w:r>
        <w:t xml:space="preserve"> and 7-15 of the Rules is excluded from the Substance-based Income Exclusion Amount computations of the </w:t>
      </w:r>
      <w:r w:rsidR="002330EF">
        <w:t>MNE Group</w:t>
      </w:r>
      <w:r>
        <w:t xml:space="preserve"> in the same proportion.</w:t>
      </w:r>
      <w:r>
        <w:br/>
      </w:r>
      <w:r w:rsidRPr="00674E64">
        <w:rPr>
          <w:rStyle w:val="References"/>
        </w:rPr>
        <w:t>[</w:t>
      </w:r>
      <w:r>
        <w:rPr>
          <w:rStyle w:val="References"/>
        </w:rPr>
        <w:t>Chapter 5, subsection 5-80(2) of the Rules</w:t>
      </w:r>
      <w:r w:rsidRPr="00674E64">
        <w:rPr>
          <w:rStyle w:val="References"/>
        </w:rPr>
        <w:t>]</w:t>
      </w:r>
    </w:p>
    <w:p w14:paraId="02F444E8" w14:textId="6DD94EE0" w:rsidR="001B6944" w:rsidRDefault="001B6944" w:rsidP="001B6944">
      <w:pPr>
        <w:pStyle w:val="Normalparatextwithnumbers"/>
        <w:numPr>
          <w:ilvl w:val="1"/>
          <w:numId w:val="17"/>
        </w:numPr>
      </w:pPr>
      <w:r>
        <w:t>Adjustments are made for a Flow</w:t>
      </w:r>
      <w:r w:rsidR="003F5BD6">
        <w:noBreakHyphen/>
      </w:r>
      <w:r>
        <w:t xml:space="preserve">through Entity regarding tangible asset and payroll so that any amount not considered in determining underlying profit is also excluded. </w:t>
      </w:r>
    </w:p>
    <w:p w14:paraId="70041786" w14:textId="711271D6" w:rsidR="001B6944" w:rsidRDefault="001B6944" w:rsidP="001B6944">
      <w:pPr>
        <w:pStyle w:val="Normalparatextwithnumbers"/>
        <w:numPr>
          <w:ilvl w:val="1"/>
          <w:numId w:val="17"/>
        </w:numPr>
      </w:pPr>
      <w:r>
        <w:t>Employees and assets attributed to a Permanent Establishment are excluded from the allocation rules for Flow</w:t>
      </w:r>
      <w:r w:rsidR="00D95F6B">
        <w:noBreakHyphen/>
      </w:r>
      <w:r>
        <w:t xml:space="preserve">through Entities. There are three separate rules on allocating employees and assets of a flow through entity, which are allocated as follows: </w:t>
      </w:r>
    </w:p>
    <w:p w14:paraId="68076611" w14:textId="44B3D79E" w:rsidR="001B6944" w:rsidRDefault="001B6944" w:rsidP="00B07214">
      <w:pPr>
        <w:pStyle w:val="Dotpoint1"/>
      </w:pPr>
      <w:r>
        <w:t>to the Constituent Entity owner in the same proportion as the accounting income of the Flow</w:t>
      </w:r>
      <w:r w:rsidR="003F5BD6">
        <w:noBreakHyphen/>
      </w:r>
      <w:r>
        <w:t>through Entity that is allocated to the Constituent Entity owner under subsection 5</w:t>
      </w:r>
      <w:r>
        <w:noBreakHyphen/>
        <w:t>85(3) of the Rules;</w:t>
      </w:r>
    </w:p>
    <w:p w14:paraId="7EE38ACA" w14:textId="03E9491C" w:rsidR="001B6944" w:rsidRDefault="001B6944" w:rsidP="00B07214">
      <w:pPr>
        <w:pStyle w:val="Dotpoint1"/>
      </w:pPr>
      <w:r>
        <w:t>to the UPE where the Flow</w:t>
      </w:r>
      <w:r w:rsidR="003F5BD6">
        <w:noBreakHyphen/>
      </w:r>
      <w:r>
        <w:t>through Entity is a UPE and reduced in the same proportion as the income allocated under subsection 7-5(2) of the Rules;</w:t>
      </w:r>
    </w:p>
    <w:p w14:paraId="7A5067CF" w14:textId="60BE0CAF" w:rsidR="001B6944" w:rsidRPr="00377FBC" w:rsidRDefault="001B6944" w:rsidP="00B07214">
      <w:pPr>
        <w:pStyle w:val="Dotpoint1"/>
        <w:rPr>
          <w:rStyle w:val="References"/>
          <w:rFonts w:eastAsiaTheme="minorEastAsia"/>
          <w:b w:val="0"/>
          <w:i w:val="0"/>
        </w:rPr>
      </w:pPr>
      <w:r>
        <w:t>all other eligible payroll costs and eligible tangible assets of a Flow</w:t>
      </w:r>
      <w:r w:rsidR="003F5BD6">
        <w:noBreakHyphen/>
      </w:r>
      <w:r>
        <w:t>through Entity are excluded from the Substance</w:t>
      </w:r>
      <w:r w:rsidR="003F5BD6">
        <w:noBreakHyphen/>
      </w:r>
      <w:r>
        <w:t xml:space="preserve">based Income Exclusion. </w:t>
      </w:r>
      <w:r>
        <w:br/>
      </w:r>
      <w:r w:rsidRPr="00674E64">
        <w:rPr>
          <w:rStyle w:val="References"/>
        </w:rPr>
        <w:t>[</w:t>
      </w:r>
      <w:r>
        <w:rPr>
          <w:rStyle w:val="References"/>
        </w:rPr>
        <w:t>Chapter 5, section 5-85 of the Rules</w:t>
      </w:r>
      <w:r w:rsidRPr="00674E64">
        <w:rPr>
          <w:rStyle w:val="References"/>
        </w:rPr>
        <w:t>]</w:t>
      </w:r>
    </w:p>
    <w:p w14:paraId="79AB56EC" w14:textId="5AB72CAF" w:rsidR="001B6944" w:rsidRPr="00342E24" w:rsidRDefault="001B6944" w:rsidP="001B6944">
      <w:pPr>
        <w:pStyle w:val="Normalparatextwithnumbers"/>
        <w:numPr>
          <w:ilvl w:val="1"/>
          <w:numId w:val="17"/>
        </w:numPr>
        <w:rPr>
          <w:rStyle w:val="References"/>
          <w:rFonts w:cs="Times New Roman"/>
          <w:b w:val="0"/>
          <w:bCs w:val="0"/>
          <w:i w:val="0"/>
        </w:rPr>
      </w:pPr>
      <w:r w:rsidRPr="00342E24">
        <w:rPr>
          <w:rFonts w:cs="Times New Roman"/>
        </w:rPr>
        <w:t>Consistent with the rules above to exclude amounts of Eligible Tangible Assets and Eligible Payroll Costs that is associated with excluded Income, a similar rule applies where a UPE is subject to a Deductible Dividend Regime. Given that section</w:t>
      </w:r>
      <w:r w:rsidR="003F5BD6">
        <w:rPr>
          <w:rFonts w:cs="Times New Roman"/>
        </w:rPr>
        <w:t>s</w:t>
      </w:r>
      <w:r w:rsidRPr="00342E24">
        <w:rPr>
          <w:rFonts w:cs="Times New Roman"/>
        </w:rPr>
        <w:t xml:space="preserve"> </w:t>
      </w:r>
      <w:r w:rsidRPr="2635249C">
        <w:rPr>
          <w:rFonts w:cs="Times New Roman"/>
        </w:rPr>
        <w:t>7</w:t>
      </w:r>
      <w:r w:rsidR="00DE49B4">
        <w:rPr>
          <w:rFonts w:cs="Times New Roman"/>
        </w:rPr>
        <w:t>-</w:t>
      </w:r>
      <w:r w:rsidRPr="2635249C">
        <w:rPr>
          <w:rFonts w:cs="Times New Roman"/>
        </w:rPr>
        <w:t>20</w:t>
      </w:r>
      <w:r w:rsidRPr="00342E24">
        <w:rPr>
          <w:rFonts w:cs="Times New Roman"/>
        </w:rPr>
        <w:t xml:space="preserve"> and </w:t>
      </w:r>
      <w:r w:rsidRPr="2635249C">
        <w:rPr>
          <w:rFonts w:cs="Times New Roman"/>
        </w:rPr>
        <w:t>7</w:t>
      </w:r>
      <w:r w:rsidR="00DE49B4">
        <w:rPr>
          <w:rFonts w:cs="Times New Roman"/>
        </w:rPr>
        <w:t>-</w:t>
      </w:r>
      <w:r w:rsidRPr="2635249C">
        <w:rPr>
          <w:rFonts w:cs="Times New Roman"/>
        </w:rPr>
        <w:t>25</w:t>
      </w:r>
      <w:r w:rsidRPr="00342E24">
        <w:rPr>
          <w:rFonts w:cs="Times New Roman"/>
        </w:rPr>
        <w:t xml:space="preserve"> of the Rules excludes certain amounts subject to Deductible Dividend Regime from GloBE Income, a proportionate reduction to the Eligible Payroll Costs is required so that amounts attributable to that excluded income are not included in the Substance</w:t>
      </w:r>
      <w:r w:rsidR="005D0BE0">
        <w:rPr>
          <w:rFonts w:cs="Times New Roman"/>
        </w:rPr>
        <w:noBreakHyphen/>
      </w:r>
      <w:r w:rsidRPr="00342E24">
        <w:rPr>
          <w:rFonts w:cs="Times New Roman"/>
        </w:rPr>
        <w:t>based Income Exclusion</w:t>
      </w:r>
      <w:r w:rsidRPr="1595A8DF">
        <w:rPr>
          <w:rFonts w:cs="Times New Roman"/>
        </w:rPr>
        <w:t xml:space="preserve"> Amount</w:t>
      </w:r>
      <w:r w:rsidRPr="00342E24">
        <w:rPr>
          <w:rFonts w:cs="Times New Roman"/>
        </w:rPr>
        <w:t xml:space="preserve">. </w:t>
      </w:r>
      <w:r>
        <w:br/>
      </w:r>
      <w:r w:rsidRPr="00342E24">
        <w:rPr>
          <w:rStyle w:val="References"/>
          <w:rFonts w:cs="Times New Roman"/>
        </w:rPr>
        <w:t>[Chapter 5, section 5-</w:t>
      </w:r>
      <w:r w:rsidR="00177D64">
        <w:rPr>
          <w:rStyle w:val="References"/>
          <w:rFonts w:cs="Times New Roman"/>
        </w:rPr>
        <w:t xml:space="preserve">90 </w:t>
      </w:r>
      <w:r w:rsidRPr="00342E24">
        <w:rPr>
          <w:rStyle w:val="References"/>
          <w:rFonts w:cs="Times New Roman"/>
        </w:rPr>
        <w:t>of the Rules]</w:t>
      </w:r>
    </w:p>
    <w:p w14:paraId="3D329D23" w14:textId="77777777" w:rsidR="001B6944" w:rsidRDefault="001B6944" w:rsidP="001B6944">
      <w:pPr>
        <w:pStyle w:val="Heading4"/>
        <w:numPr>
          <w:ilvl w:val="3"/>
          <w:numId w:val="2"/>
        </w:numPr>
      </w:pPr>
      <w:bookmarkStart w:id="182" w:name="_Toc159845271"/>
      <w:bookmarkStart w:id="183" w:name="_Toc160726357"/>
      <w:bookmarkStart w:id="184" w:name="_Toc180490658"/>
      <w:bookmarkStart w:id="185" w:name="_Toc181720688"/>
      <w:r>
        <w:t>Election out of the Substance-based Income Exclusion</w:t>
      </w:r>
    </w:p>
    <w:p w14:paraId="59C315DD" w14:textId="64EE7820" w:rsidR="001B6944" w:rsidRPr="00986EC3" w:rsidRDefault="001B6944" w:rsidP="001B6944">
      <w:pPr>
        <w:pStyle w:val="Normalparatextwithnumbers"/>
        <w:numPr>
          <w:ilvl w:val="1"/>
          <w:numId w:val="18"/>
        </w:numPr>
      </w:pPr>
      <w:r>
        <w:t xml:space="preserve">The Substance-based Income Exclusion applies automatically. However, the filing Constituent Entity may </w:t>
      </w:r>
      <w:r w:rsidR="00D95F6B">
        <w:t xml:space="preserve">make an </w:t>
      </w:r>
      <w:r w:rsidR="002330EF">
        <w:t>Annual Election</w:t>
      </w:r>
      <w:r>
        <w:t xml:space="preserve"> to </w:t>
      </w:r>
      <w:r w:rsidR="00D95F6B">
        <w:t xml:space="preserve">not </w:t>
      </w:r>
      <w:r>
        <w:t>apply the Substance</w:t>
      </w:r>
      <w:r w:rsidR="00D95F6B">
        <w:noBreakHyphen/>
      </w:r>
      <w:r>
        <w:t xml:space="preserve">based Income Exclusion for all </w:t>
      </w:r>
      <w:r w:rsidR="00D95F6B">
        <w:t>E</w:t>
      </w:r>
      <w:r>
        <w:t xml:space="preserve">ntities in the jurisdiction. </w:t>
      </w:r>
    </w:p>
    <w:p w14:paraId="2C2AAA6F" w14:textId="4D36AEED" w:rsidR="001B6944" w:rsidRDefault="001B6944" w:rsidP="001B6944">
      <w:pPr>
        <w:pStyle w:val="Normalparatextwithnumbers"/>
        <w:numPr>
          <w:ilvl w:val="1"/>
          <w:numId w:val="17"/>
        </w:numPr>
        <w:rPr>
          <w:rStyle w:val="References"/>
          <w:b w:val="0"/>
          <w:bCs w:val="0"/>
          <w:i w:val="0"/>
          <w:iCs w:val="0"/>
        </w:rPr>
      </w:pPr>
      <w:r>
        <w:t>The election out of the Substance-based Income Exclusion results in the Substance</w:t>
      </w:r>
      <w:r>
        <w:noBreakHyphen/>
        <w:t xml:space="preserve">based Income Exclusion Amount being zero for the Fiscal Year in </w:t>
      </w:r>
      <w:r>
        <w:lastRenderedPageBreak/>
        <w:t>which the election is made. This has the effect of the E</w:t>
      </w:r>
      <w:r w:rsidRPr="00986EC3">
        <w:t xml:space="preserve">xcess </w:t>
      </w:r>
      <w:r>
        <w:t>P</w:t>
      </w:r>
      <w:r w:rsidRPr="00986EC3">
        <w:t xml:space="preserve">rofit </w:t>
      </w:r>
      <w:r>
        <w:t xml:space="preserve">being </w:t>
      </w:r>
      <w:r w:rsidRPr="00986EC3">
        <w:t>equal to the Net GloBE Income for the jurisdiction.</w:t>
      </w:r>
      <w:r>
        <w:br/>
      </w:r>
      <w:r>
        <w:rPr>
          <w:rStyle w:val="References"/>
        </w:rPr>
        <w:t>[Chapter 5, subsection 5-50(2) of the Rules</w:t>
      </w:r>
      <w:r w:rsidRPr="00BF714F">
        <w:rPr>
          <w:rStyle w:val="References"/>
        </w:rPr>
        <w:t xml:space="preserve">] </w:t>
      </w:r>
    </w:p>
    <w:p w14:paraId="7BD9346B" w14:textId="4FE415E1" w:rsidR="001B6944" w:rsidRPr="005D1364" w:rsidRDefault="001B6944" w:rsidP="001B6944">
      <w:pPr>
        <w:pStyle w:val="Normalparatextwithnumbers"/>
        <w:numPr>
          <w:ilvl w:val="1"/>
          <w:numId w:val="18"/>
        </w:numPr>
        <w:rPr>
          <w:rStyle w:val="References"/>
          <w:b w:val="0"/>
          <w:i w:val="0"/>
        </w:rPr>
      </w:pPr>
      <w:r>
        <w:t xml:space="preserve">The </w:t>
      </w:r>
      <w:r w:rsidR="002330EF">
        <w:t>Annual Election</w:t>
      </w:r>
      <w:r>
        <w:t xml:space="preserve"> does not need to be an express statement but is made by the filing Constituent Entity either completing, or instead claiming the computations for the exclusion in the GloBE Information Return.</w:t>
      </w:r>
      <w:r>
        <w:br/>
      </w:r>
      <w:r>
        <w:rPr>
          <w:rStyle w:val="References"/>
        </w:rPr>
        <w:t>[Chapter 5, subsections 5-50(3) to (5) of the Rules</w:t>
      </w:r>
      <w:r w:rsidRPr="00BF714F">
        <w:rPr>
          <w:rStyle w:val="References"/>
        </w:rPr>
        <w:t xml:space="preserve">] </w:t>
      </w:r>
    </w:p>
    <w:p w14:paraId="56BCF3BE" w14:textId="77777777" w:rsidR="001B6944" w:rsidRDefault="001B6944" w:rsidP="001B6944">
      <w:pPr>
        <w:pStyle w:val="Normalparatextwithnumbers"/>
        <w:numPr>
          <w:ilvl w:val="1"/>
          <w:numId w:val="17"/>
        </w:numPr>
        <w:rPr>
          <w:rStyle w:val="References"/>
        </w:rPr>
      </w:pPr>
      <w:r>
        <w:t xml:space="preserve">Once an entity has filed the GloBE Information Return, an election cannot be varied or revoked. The entity is permitted to elect to apply the Substance-based Income Exclusion Amount in following years as the election resets every year. </w:t>
      </w:r>
      <w:r>
        <w:br/>
      </w:r>
      <w:r w:rsidRPr="00C33310">
        <w:rPr>
          <w:rStyle w:val="References"/>
        </w:rPr>
        <w:t>[</w:t>
      </w:r>
      <w:r>
        <w:rPr>
          <w:rStyle w:val="References"/>
        </w:rPr>
        <w:t>Chapter 5, subsection 5-50(6) of the Rules]</w:t>
      </w:r>
    </w:p>
    <w:p w14:paraId="29DF9811" w14:textId="77777777" w:rsidR="001B6944" w:rsidRDefault="001B6944" w:rsidP="00CE709D">
      <w:pPr>
        <w:pStyle w:val="Heading3"/>
        <w:rPr>
          <w:rFonts w:hint="eastAsia"/>
        </w:rPr>
      </w:pPr>
      <w:bookmarkStart w:id="186" w:name="_Toc183786661"/>
      <w:bookmarkStart w:id="187" w:name="_Toc185503006"/>
      <w:r>
        <w:t>Additional Current T</w:t>
      </w:r>
      <w:r w:rsidRPr="00F2180D">
        <w:t xml:space="preserve">op-up </w:t>
      </w:r>
      <w:r>
        <w:t>T</w:t>
      </w:r>
      <w:r w:rsidRPr="00F2180D">
        <w:t>ax</w:t>
      </w:r>
      <w:bookmarkEnd w:id="182"/>
      <w:bookmarkEnd w:id="183"/>
      <w:bookmarkEnd w:id="184"/>
      <w:bookmarkEnd w:id="185"/>
      <w:bookmarkEnd w:id="186"/>
      <w:bookmarkEnd w:id="187"/>
    </w:p>
    <w:p w14:paraId="01D98811" w14:textId="6B0652BC" w:rsidR="001B6944" w:rsidRPr="00D95F6B" w:rsidRDefault="001B6944" w:rsidP="001B6944">
      <w:pPr>
        <w:pStyle w:val="Normalparatextwithnumbers"/>
        <w:numPr>
          <w:ilvl w:val="1"/>
          <w:numId w:val="17"/>
        </w:numPr>
        <w:rPr>
          <w:rStyle w:val="References"/>
          <w:b w:val="0"/>
          <w:bCs w:val="0"/>
          <w:i w:val="0"/>
          <w:iCs w:val="0"/>
        </w:rPr>
      </w:pPr>
      <w:r>
        <w:t xml:space="preserve">The ETR must be recalculated where certain circumstances require changes to prior year calculations. The resulting change in liability is treated as an Additional Current Top-up-Tax in the current fiscal year. If Additional Top-up Tax is calculated for an entity, that entity is deemed a </w:t>
      </w:r>
      <w:r w:rsidR="00125D0E">
        <w:t>LTCE</w:t>
      </w:r>
      <w:r>
        <w:t xml:space="preserve"> for that year. </w:t>
      </w:r>
      <w:r>
        <w:br/>
      </w:r>
      <w:r w:rsidRPr="007B6DA0">
        <w:rPr>
          <w:rStyle w:val="References"/>
        </w:rPr>
        <w:t>[</w:t>
      </w:r>
      <w:r>
        <w:rPr>
          <w:rStyle w:val="References"/>
        </w:rPr>
        <w:t>Chapter 5, section 5-</w:t>
      </w:r>
      <w:r w:rsidR="00177D64">
        <w:rPr>
          <w:rStyle w:val="References"/>
        </w:rPr>
        <w:t xml:space="preserve">95 </w:t>
      </w:r>
      <w:r>
        <w:rPr>
          <w:rStyle w:val="References"/>
        </w:rPr>
        <w:t>of the Rules</w:t>
      </w:r>
      <w:r w:rsidRPr="007B6DA0">
        <w:rPr>
          <w:rStyle w:val="References"/>
        </w:rPr>
        <w:t>]</w:t>
      </w:r>
      <w:r w:rsidRPr="00D95F6B">
        <w:rPr>
          <w:rStyle w:val="References"/>
          <w:b w:val="0"/>
          <w:bCs w:val="0"/>
          <w:i w:val="0"/>
          <w:iCs w:val="0"/>
        </w:rPr>
        <w:t xml:space="preserve"> </w:t>
      </w:r>
    </w:p>
    <w:p w14:paraId="11459705" w14:textId="486A544A" w:rsidR="001B6944" w:rsidRPr="00690AC6" w:rsidRDefault="001B6944" w:rsidP="00690AC6">
      <w:pPr>
        <w:pStyle w:val="Heading5"/>
      </w:pPr>
      <w:r w:rsidRPr="00690AC6">
        <w:t xml:space="preserve">Additional Current </w:t>
      </w:r>
      <w:r w:rsidR="00BB5793">
        <w:t>T</w:t>
      </w:r>
      <w:r w:rsidRPr="00690AC6">
        <w:t xml:space="preserve">op-up </w:t>
      </w:r>
      <w:r w:rsidR="00BB5793">
        <w:t>T</w:t>
      </w:r>
      <w:r w:rsidRPr="00690AC6">
        <w:t>ax – ETR Adjustment Provisions</w:t>
      </w:r>
    </w:p>
    <w:p w14:paraId="35BF600E" w14:textId="77777777" w:rsidR="001B6944" w:rsidRDefault="001B6944" w:rsidP="001B6944">
      <w:pPr>
        <w:pStyle w:val="Normalparatextwithnumbers"/>
        <w:numPr>
          <w:ilvl w:val="1"/>
          <w:numId w:val="18"/>
        </w:numPr>
      </w:pPr>
      <w:r>
        <w:t>An Additional Current Top-up Tax liability may arise where an ETR Adjustment Provision applies, including under the following provisions:</w:t>
      </w:r>
    </w:p>
    <w:p w14:paraId="09D4BD46" w14:textId="77777777" w:rsidR="001B6944" w:rsidRDefault="001B6944" w:rsidP="00B07214">
      <w:pPr>
        <w:pStyle w:val="Dotpoint1"/>
      </w:pPr>
      <w:r>
        <w:t xml:space="preserve">section 3-145 (relating to asset gain); </w:t>
      </w:r>
    </w:p>
    <w:p w14:paraId="416DE525" w14:textId="77777777" w:rsidR="001B6944" w:rsidRDefault="001B6944" w:rsidP="00B07214">
      <w:pPr>
        <w:pStyle w:val="Dotpoint1"/>
      </w:pPr>
      <w:r>
        <w:t>subs</w:t>
      </w:r>
      <w:r w:rsidRPr="00167665">
        <w:t>ection</w:t>
      </w:r>
      <w:r>
        <w:t xml:space="preserve"> 4-80 (recaptured deferred tax liability); </w:t>
      </w:r>
    </w:p>
    <w:p w14:paraId="2FFC978E" w14:textId="77777777" w:rsidR="001B6944" w:rsidRDefault="001B6944" w:rsidP="00B07214">
      <w:pPr>
        <w:pStyle w:val="Dotpoint1"/>
      </w:pPr>
      <w:r>
        <w:t>subs</w:t>
      </w:r>
      <w:r w:rsidRPr="00167665">
        <w:t>ection</w:t>
      </w:r>
      <w:r>
        <w:t xml:space="preserve"> 4-120 (post-filing adjustments); </w:t>
      </w:r>
    </w:p>
    <w:p w14:paraId="084EF7A2" w14:textId="77777777" w:rsidR="001B6944" w:rsidRDefault="001B6944" w:rsidP="00B07214">
      <w:pPr>
        <w:pStyle w:val="Dotpoint1"/>
      </w:pPr>
      <w:r>
        <w:t>subs</w:t>
      </w:r>
      <w:r w:rsidRPr="00167665">
        <w:t>ection</w:t>
      </w:r>
      <w:r>
        <w:t xml:space="preserve"> 4-125 (current tax expense not paid within 3 years); or </w:t>
      </w:r>
    </w:p>
    <w:p w14:paraId="587EBB8C" w14:textId="37E9C611" w:rsidR="001B6944" w:rsidRPr="001E53F0" w:rsidRDefault="001B6944" w:rsidP="00B07214">
      <w:pPr>
        <w:pStyle w:val="Dotpoint1"/>
        <w:rPr>
          <w:rStyle w:val="References"/>
          <w:b w:val="0"/>
          <w:i w:val="0"/>
        </w:rPr>
      </w:pPr>
      <w:r>
        <w:t>subs</w:t>
      </w:r>
      <w:r w:rsidRPr="00167665">
        <w:t>ection</w:t>
      </w:r>
      <w:r>
        <w:t xml:space="preserve"> 7-75 (deemed distribution tax). </w:t>
      </w:r>
      <w:r>
        <w:br/>
      </w:r>
      <w:r w:rsidRPr="007B6DA0">
        <w:rPr>
          <w:rStyle w:val="References"/>
        </w:rPr>
        <w:t>[</w:t>
      </w:r>
      <w:r>
        <w:rPr>
          <w:rStyle w:val="References"/>
        </w:rPr>
        <w:t>Chapter 5, subsections 5-</w:t>
      </w:r>
      <w:r w:rsidR="00177D64">
        <w:rPr>
          <w:rStyle w:val="References"/>
        </w:rPr>
        <w:t>95</w:t>
      </w:r>
      <w:r>
        <w:rPr>
          <w:rStyle w:val="References"/>
        </w:rPr>
        <w:t>(1), (2) and (6</w:t>
      </w:r>
      <w:r w:rsidRPr="00167665">
        <w:rPr>
          <w:rStyle w:val="References"/>
        </w:rPr>
        <w:t>)</w:t>
      </w:r>
      <w:r>
        <w:rPr>
          <w:rStyle w:val="References"/>
        </w:rPr>
        <w:t xml:space="preserve"> of the Rules</w:t>
      </w:r>
      <w:r w:rsidRPr="00167665">
        <w:rPr>
          <w:rStyle w:val="References"/>
        </w:rPr>
        <w:t xml:space="preserve">] </w:t>
      </w:r>
    </w:p>
    <w:p w14:paraId="10EDBE75" w14:textId="77777777" w:rsidR="001B6944" w:rsidRDefault="001B6944" w:rsidP="001B6944">
      <w:pPr>
        <w:pStyle w:val="Normalparatextwithnumbers"/>
        <w:numPr>
          <w:ilvl w:val="1"/>
          <w:numId w:val="18"/>
        </w:numPr>
      </w:pPr>
      <w:r>
        <w:t>This is not intended to address ordinary mistakes in the computations under the GloBE Rules or adjustments to GloBE Income arising from an examination of a Constituent Entity’s application of the IIR or the UTPR. Instead, it applies when there is an adjustment to a local tax item that has a follow-on effect on computations under the GloBE Rules.</w:t>
      </w:r>
    </w:p>
    <w:p w14:paraId="0BB044C1" w14:textId="4AC0188F" w:rsidR="001B6944" w:rsidRPr="00690AC6" w:rsidRDefault="001B6944" w:rsidP="00690AC6">
      <w:pPr>
        <w:pStyle w:val="Heading5"/>
      </w:pPr>
      <w:r w:rsidRPr="00690AC6">
        <w:t xml:space="preserve">Calculation of Additional Current </w:t>
      </w:r>
      <w:r w:rsidR="00C22517">
        <w:t>T</w:t>
      </w:r>
      <w:r w:rsidRPr="00690AC6">
        <w:t xml:space="preserve">op-up </w:t>
      </w:r>
      <w:r w:rsidR="00C22517">
        <w:t>T</w:t>
      </w:r>
      <w:r w:rsidRPr="00690AC6">
        <w:t>ax</w:t>
      </w:r>
    </w:p>
    <w:p w14:paraId="044A6713" w14:textId="3D179854" w:rsidR="001B6944" w:rsidRPr="001A5237" w:rsidRDefault="001B6944" w:rsidP="001B6944">
      <w:pPr>
        <w:pStyle w:val="Normalparatextwithnumbers"/>
        <w:numPr>
          <w:ilvl w:val="1"/>
          <w:numId w:val="17"/>
        </w:numPr>
        <w:rPr>
          <w:rStyle w:val="References"/>
        </w:rPr>
      </w:pPr>
      <w:r>
        <w:t>If an ETR Adjustment Provision applies in relation to a prior Fiscal Year, the ETR and Jurisdictional Top-up Tax for relevant prior years are recalculated</w:t>
      </w:r>
      <w:r w:rsidDel="004676C5">
        <w:t>.</w:t>
      </w:r>
      <w:r w:rsidRPr="007A3782">
        <w:t xml:space="preserve"> </w:t>
      </w:r>
      <w:r>
        <w:t>However, the difference between the originally calculated t</w:t>
      </w:r>
      <w:r w:rsidRPr="00167665">
        <w:t>op-</w:t>
      </w:r>
      <w:r>
        <w:t>u</w:t>
      </w:r>
      <w:r w:rsidRPr="00167665">
        <w:t xml:space="preserve">p </w:t>
      </w:r>
      <w:r>
        <w:t>t</w:t>
      </w:r>
      <w:r w:rsidRPr="00167665">
        <w:t xml:space="preserve">ax </w:t>
      </w:r>
      <w:r>
        <w:t xml:space="preserve">and the </w:t>
      </w:r>
      <w:r>
        <w:lastRenderedPageBreak/>
        <w:t xml:space="preserve">recalculated top-up tax is not included in the MNE Group’s Jurisdictional Top-up Tax for that prior Fiscal Year. Instead, the amount is treated as </w:t>
      </w:r>
      <w:r w:rsidRPr="00F35D5D">
        <w:t xml:space="preserve">Additional Current </w:t>
      </w:r>
      <w:r w:rsidRPr="00F35D5D">
        <w:rPr>
          <w:bCs/>
        </w:rPr>
        <w:t>Top</w:t>
      </w:r>
      <w:r w:rsidRPr="00F35D5D">
        <w:t>-up tax</w:t>
      </w:r>
      <w:r>
        <w:t xml:space="preserve"> for the current fiscal Year.</w:t>
      </w:r>
      <w:r>
        <w:br/>
      </w:r>
      <w:r w:rsidRPr="00543402">
        <w:rPr>
          <w:rStyle w:val="References"/>
        </w:rPr>
        <w:t>[</w:t>
      </w:r>
      <w:r>
        <w:rPr>
          <w:rStyle w:val="References"/>
        </w:rPr>
        <w:t>Chapter 5, subsections 5-</w:t>
      </w:r>
      <w:r w:rsidR="00177D64">
        <w:rPr>
          <w:rStyle w:val="References"/>
        </w:rPr>
        <w:t>95</w:t>
      </w:r>
      <w:r>
        <w:rPr>
          <w:rStyle w:val="References"/>
        </w:rPr>
        <w:t>(2</w:t>
      </w:r>
      <w:r w:rsidRPr="00167665">
        <w:rPr>
          <w:rStyle w:val="References"/>
        </w:rPr>
        <w:t>)</w:t>
      </w:r>
      <w:r>
        <w:rPr>
          <w:rStyle w:val="References"/>
        </w:rPr>
        <w:t xml:space="preserve"> and (3) of the Rules</w:t>
      </w:r>
      <w:r w:rsidRPr="00167665">
        <w:rPr>
          <w:rStyle w:val="References"/>
        </w:rPr>
        <w:t xml:space="preserve">] </w:t>
      </w:r>
    </w:p>
    <w:p w14:paraId="3560F7E7" w14:textId="77777777" w:rsidR="001B6944" w:rsidRPr="007B6DA0" w:rsidRDefault="001B6944" w:rsidP="001B6944">
      <w:pPr>
        <w:pStyle w:val="Heading6"/>
        <w:rPr>
          <w:rFonts w:hint="eastAsia"/>
        </w:rPr>
      </w:pPr>
      <w:r w:rsidRPr="007B6DA0">
        <w:t xml:space="preserve">No </w:t>
      </w:r>
      <w:r>
        <w:t xml:space="preserve">Net </w:t>
      </w:r>
      <w:r w:rsidRPr="007B6DA0">
        <w:t xml:space="preserve">GloBE Income </w:t>
      </w:r>
    </w:p>
    <w:p w14:paraId="64133501" w14:textId="40631C19" w:rsidR="001B6944" w:rsidRDefault="001B6944" w:rsidP="001B6944">
      <w:pPr>
        <w:pStyle w:val="Normalparatextwithnumbers"/>
        <w:numPr>
          <w:ilvl w:val="1"/>
          <w:numId w:val="18"/>
        </w:numPr>
      </w:pPr>
      <w:r>
        <w:t xml:space="preserve">If Additional Current </w:t>
      </w:r>
      <w:r w:rsidR="00363C89">
        <w:t>T</w:t>
      </w:r>
      <w:r w:rsidR="00363C89" w:rsidRPr="00F2180D">
        <w:t>op</w:t>
      </w:r>
      <w:r w:rsidRPr="00F2180D">
        <w:t xml:space="preserve">-up </w:t>
      </w:r>
      <w:r w:rsidR="00363C89">
        <w:t>T</w:t>
      </w:r>
      <w:r w:rsidR="00363C89" w:rsidRPr="00F2180D">
        <w:t>ax</w:t>
      </w:r>
      <w:r>
        <w:t xml:space="preserve"> applies for the current Fiscal Year and the net GloBE Income of the MNE Group for the jurisdiction for the fiscal year is zero, the GloBE Income of each entity in the MNE Group in the jurisdiction is treated as: </w:t>
      </w:r>
    </w:p>
    <w:p w14:paraId="4FE54A45" w14:textId="76E43438" w:rsidR="001B6944" w:rsidRDefault="008C3AAB" w:rsidP="001B6944">
      <w:pPr>
        <w:pStyle w:val="Normalparatextwithnumbers"/>
        <w:numPr>
          <w:ilvl w:val="0"/>
          <w:numId w:val="0"/>
        </w:numPr>
        <w:ind w:left="709"/>
      </w:pPr>
      <w:bookmarkStart w:id="188" w:name="_Hlk147497018"/>
      <w:r w:rsidRPr="008C3AAB">
        <w:rPr>
          <w:rStyle w:val="References"/>
          <w:b w:val="0"/>
          <w:bCs w:val="0"/>
          <w:i w:val="0"/>
          <w:iCs w:val="0"/>
          <w:noProof/>
        </w:rPr>
        <w:drawing>
          <wp:inline distT="0" distB="0" distL="0" distR="0" wp14:anchorId="24C3603B" wp14:editId="0AEC1E9E">
            <wp:extent cx="4896485" cy="617855"/>
            <wp:effectExtent l="0" t="0" r="0" b="0"/>
            <wp:docPr id="126807764" name="Picture 5" descr="Formula for Constituent Entity's top up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07764" name="Picture 5" descr="Formula for Constituent Entity's top up tax"/>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896485" cy="617855"/>
                    </a:xfrm>
                    <a:prstGeom prst="rect">
                      <a:avLst/>
                    </a:prstGeom>
                    <a:noFill/>
                    <a:ln>
                      <a:noFill/>
                    </a:ln>
                  </pic:spPr>
                </pic:pic>
              </a:graphicData>
            </a:graphic>
          </wp:inline>
        </w:drawing>
      </w:r>
      <w:r w:rsidR="001B6944" w:rsidRPr="007B6DA0">
        <w:rPr>
          <w:rStyle w:val="References"/>
        </w:rPr>
        <w:t>[</w:t>
      </w:r>
      <w:r w:rsidR="001B6944">
        <w:rPr>
          <w:rStyle w:val="References"/>
        </w:rPr>
        <w:t>Chapter 5, subsection 5-</w:t>
      </w:r>
      <w:r w:rsidR="00177D64">
        <w:rPr>
          <w:rStyle w:val="References"/>
        </w:rPr>
        <w:t>95</w:t>
      </w:r>
      <w:r w:rsidR="001B6944">
        <w:rPr>
          <w:rStyle w:val="References"/>
        </w:rPr>
        <w:t>(4) of the Rules</w:t>
      </w:r>
      <w:r w:rsidR="001B6944" w:rsidRPr="007B6DA0">
        <w:rPr>
          <w:rStyle w:val="References"/>
        </w:rPr>
        <w:t xml:space="preserve">] </w:t>
      </w:r>
    </w:p>
    <w:bookmarkEnd w:id="188"/>
    <w:p w14:paraId="2A5F09EA" w14:textId="36F71B86" w:rsidR="001B6944" w:rsidRPr="001A5237" w:rsidRDefault="001B6944" w:rsidP="001B6944">
      <w:pPr>
        <w:pStyle w:val="Normalparatextwithnumbers"/>
        <w:numPr>
          <w:ilvl w:val="1"/>
          <w:numId w:val="18"/>
        </w:numPr>
        <w:rPr>
          <w:rStyle w:val="References"/>
          <w:b w:val="0"/>
          <w:bCs w:val="0"/>
          <w:i w:val="0"/>
          <w:iCs w:val="0"/>
        </w:rPr>
      </w:pPr>
      <w:r>
        <w:t xml:space="preserve">This rule ensures that when a recalculation results in </w:t>
      </w:r>
      <w:r w:rsidR="00737431">
        <w:t>A</w:t>
      </w:r>
      <w:r>
        <w:t>dditional</w:t>
      </w:r>
      <w:r w:rsidR="00737431">
        <w:t xml:space="preserve"> Current</w:t>
      </w:r>
      <w:r>
        <w:t xml:space="preserve"> </w:t>
      </w:r>
      <w:r w:rsidR="00737431">
        <w:t>T</w:t>
      </w:r>
      <w:r w:rsidRPr="00F2180D">
        <w:t xml:space="preserve">op-up </w:t>
      </w:r>
      <w:r w:rsidR="00737431">
        <w:t>T</w:t>
      </w:r>
      <w:r w:rsidRPr="00F2180D">
        <w:t>ax</w:t>
      </w:r>
      <w:r>
        <w:t xml:space="preserve"> that is payable in a Fiscal Year with no GloBE Income for a jurisdiction that there is still a mechanism in place by which the </w:t>
      </w:r>
      <w:r w:rsidRPr="00F2180D">
        <w:t>top-up tax</w:t>
      </w:r>
      <w:r>
        <w:t xml:space="preserve"> that is </w:t>
      </w:r>
      <w:r w:rsidRPr="007B6DA0">
        <w:rPr>
          <w:rStyle w:val="References"/>
        </w:rPr>
        <w:t>owed</w:t>
      </w:r>
      <w:r>
        <w:t xml:space="preserve"> can be allocated to Parent Entities that may be subject to an IIR. Where this rule applies, the Constituent Entity which applied the ETR adjustments resulting in Additional </w:t>
      </w:r>
      <w:r w:rsidR="00737431">
        <w:t>Current</w:t>
      </w:r>
      <w:r>
        <w:t xml:space="preserve"> </w:t>
      </w:r>
      <w:r w:rsidR="00737431">
        <w:t>T</w:t>
      </w:r>
      <w:r>
        <w:t xml:space="preserve">op-up </w:t>
      </w:r>
      <w:r w:rsidR="00737431">
        <w:t>T</w:t>
      </w:r>
      <w:r>
        <w:t xml:space="preserve">ax is treated as a LTCE for the Fiscal Year. </w:t>
      </w:r>
      <w:r>
        <w:br/>
      </w:r>
      <w:r w:rsidRPr="00543402">
        <w:rPr>
          <w:rStyle w:val="References"/>
        </w:rPr>
        <w:t>[</w:t>
      </w:r>
      <w:r>
        <w:rPr>
          <w:rStyle w:val="References"/>
        </w:rPr>
        <w:t>Chapter 5, subsection 5-</w:t>
      </w:r>
      <w:r w:rsidR="00177D64">
        <w:rPr>
          <w:rStyle w:val="References"/>
        </w:rPr>
        <w:t>95</w:t>
      </w:r>
      <w:r>
        <w:rPr>
          <w:rStyle w:val="References"/>
        </w:rPr>
        <w:t>(5) of the Rules</w:t>
      </w:r>
      <w:r w:rsidRPr="00543402">
        <w:rPr>
          <w:rStyle w:val="References"/>
        </w:rPr>
        <w:t>]</w:t>
      </w:r>
      <w:r w:rsidRPr="001A5237">
        <w:rPr>
          <w:rStyle w:val="References"/>
        </w:rPr>
        <w:t xml:space="preserve"> </w:t>
      </w:r>
    </w:p>
    <w:p w14:paraId="1B0C2F7A" w14:textId="77777777" w:rsidR="001B6944" w:rsidRPr="007B6DA0" w:rsidRDefault="001B6944" w:rsidP="001B6944">
      <w:pPr>
        <w:pStyle w:val="Heading6"/>
        <w:rPr>
          <w:rFonts w:hint="eastAsia"/>
        </w:rPr>
      </w:pPr>
      <w:r w:rsidRPr="007B6DA0">
        <w:t xml:space="preserve">Adjusted Covered Taxes less than expected amount </w:t>
      </w:r>
    </w:p>
    <w:p w14:paraId="3D860A27" w14:textId="72A0E972" w:rsidR="001B6944" w:rsidRDefault="001B6944" w:rsidP="001B6944">
      <w:pPr>
        <w:pStyle w:val="Normalparatextwithnumbers"/>
        <w:numPr>
          <w:ilvl w:val="1"/>
          <w:numId w:val="18"/>
        </w:numPr>
      </w:pPr>
      <w:r>
        <w:t xml:space="preserve">A different rule applies if there is Additional </w:t>
      </w:r>
      <w:r w:rsidR="00737431">
        <w:t xml:space="preserve">Current </w:t>
      </w:r>
      <w:r>
        <w:t>Top-</w:t>
      </w:r>
      <w:r w:rsidR="00E44E87">
        <w:t>u</w:t>
      </w:r>
      <w:r>
        <w:t>p Tax due to an MNE Group having no Net GloBE Income for a jurisdiction and a deferred tax asset in the same year. The amount of Additional Current Top-up Tax allocated to a Constituent Entity is:</w:t>
      </w:r>
    </w:p>
    <w:p w14:paraId="5A4041CC" w14:textId="5750B42C" w:rsidR="001B6944" w:rsidRDefault="002E7429" w:rsidP="001B6944">
      <w:pPr>
        <w:pStyle w:val="Normalparatextnonumbers"/>
      </w:pPr>
      <w:r w:rsidRPr="002E7429">
        <w:rPr>
          <w:noProof/>
        </w:rPr>
        <w:drawing>
          <wp:inline distT="0" distB="0" distL="0" distR="0" wp14:anchorId="4A341A25" wp14:editId="1470B3E8">
            <wp:extent cx="4896485" cy="414655"/>
            <wp:effectExtent l="0" t="0" r="0" b="0"/>
            <wp:docPr id="916155780" name="Picture 6" descr="Formula for the amount of Additional Current Top-up Tax allocated to a Constituent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55780" name="Picture 6" descr="Formula for the amount of Additional Current Top-up Tax allocated to a Constituent Entity"/>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896485" cy="414655"/>
                    </a:xfrm>
                    <a:prstGeom prst="rect">
                      <a:avLst/>
                    </a:prstGeom>
                    <a:noFill/>
                    <a:ln>
                      <a:noFill/>
                    </a:ln>
                  </pic:spPr>
                </pic:pic>
              </a:graphicData>
            </a:graphic>
          </wp:inline>
        </w:drawing>
      </w:r>
    </w:p>
    <w:p w14:paraId="6E2921D2" w14:textId="2D2F8C12" w:rsidR="001B6944" w:rsidRPr="00365F3A" w:rsidRDefault="001B6944" w:rsidP="001B6944">
      <w:pPr>
        <w:pStyle w:val="Normalparatextwithnumbers"/>
        <w:numPr>
          <w:ilvl w:val="0"/>
          <w:numId w:val="0"/>
        </w:numPr>
        <w:ind w:left="709"/>
        <w:rPr>
          <w:rStyle w:val="References"/>
          <w:b w:val="0"/>
          <w:bCs w:val="0"/>
          <w:i w:val="0"/>
          <w:iCs w:val="0"/>
        </w:rPr>
      </w:pPr>
      <w:r w:rsidRPr="00543402">
        <w:rPr>
          <w:rStyle w:val="References"/>
        </w:rPr>
        <w:t>[</w:t>
      </w:r>
      <w:r>
        <w:rPr>
          <w:rStyle w:val="References"/>
        </w:rPr>
        <w:t>Chapter 5, subsections 5-</w:t>
      </w:r>
      <w:r w:rsidR="00177D64">
        <w:rPr>
          <w:rStyle w:val="References"/>
        </w:rPr>
        <w:t>100</w:t>
      </w:r>
      <w:r>
        <w:rPr>
          <w:rStyle w:val="References"/>
        </w:rPr>
        <w:t>(1) and (2) of the Rules</w:t>
      </w:r>
      <w:r w:rsidRPr="00543402">
        <w:rPr>
          <w:rStyle w:val="References"/>
        </w:rPr>
        <w:t xml:space="preserve">] </w:t>
      </w:r>
    </w:p>
    <w:p w14:paraId="3B037903" w14:textId="3AE571BD" w:rsidR="001B6944" w:rsidRDefault="001B6944" w:rsidP="001B6944">
      <w:pPr>
        <w:pStyle w:val="Normalparatextwithnumbers"/>
        <w:numPr>
          <w:ilvl w:val="1"/>
          <w:numId w:val="18"/>
        </w:numPr>
      </w:pPr>
      <w:r>
        <w:t xml:space="preserve">However, the amount of Additional Current </w:t>
      </w:r>
      <w:r w:rsidR="00434F4A">
        <w:t>T</w:t>
      </w:r>
      <w:r w:rsidRPr="00F2180D">
        <w:t xml:space="preserve">op-up </w:t>
      </w:r>
      <w:r w:rsidR="00434F4A">
        <w:t>T</w:t>
      </w:r>
      <w:r w:rsidRPr="00F2180D">
        <w:t>ax</w:t>
      </w:r>
      <w:r>
        <w:t xml:space="preserve"> in this circumstance is allocated only to Constituent Entities that have an Adjusted Covered Taxes amount that is:</w:t>
      </w:r>
    </w:p>
    <w:p w14:paraId="0F464E85" w14:textId="77777777" w:rsidR="001B6944" w:rsidRDefault="001B6944" w:rsidP="00B07214">
      <w:pPr>
        <w:pStyle w:val="Dotpoint1"/>
      </w:pPr>
      <w:r>
        <w:t>less than zero; and</w:t>
      </w:r>
    </w:p>
    <w:p w14:paraId="173F0369" w14:textId="77777777" w:rsidR="001B6944" w:rsidRDefault="001B6944" w:rsidP="00B07214">
      <w:pPr>
        <w:pStyle w:val="Dotpoint1"/>
      </w:pPr>
      <w:r>
        <w:t>less than 15 per cent of the GloBE Income or Loss of the Constituent Entity.</w:t>
      </w:r>
    </w:p>
    <w:p w14:paraId="6772845F" w14:textId="1D70F3AD" w:rsidR="001B6944" w:rsidRDefault="001B6944" w:rsidP="001B6944">
      <w:pPr>
        <w:pStyle w:val="Normalparatextwithnumbers"/>
        <w:numPr>
          <w:ilvl w:val="1"/>
          <w:numId w:val="18"/>
        </w:numPr>
      </w:pPr>
      <w:r>
        <w:t xml:space="preserve">A Constituent Entity that is allocated Additional </w:t>
      </w:r>
      <w:r w:rsidR="00B14886">
        <w:t>Current T</w:t>
      </w:r>
      <w:r>
        <w:t xml:space="preserve">op-up </w:t>
      </w:r>
      <w:r w:rsidR="00B14886">
        <w:t>T</w:t>
      </w:r>
      <w:r>
        <w:t xml:space="preserve">ax for a Fiscal Year is treated as an LTCE for that Fiscal Year. These Constituent </w:t>
      </w:r>
      <w:r>
        <w:lastRenderedPageBreak/>
        <w:t xml:space="preserve">Entities are allocated an amount of Additional Current </w:t>
      </w:r>
      <w:r w:rsidR="00B14886">
        <w:t>T</w:t>
      </w:r>
      <w:r>
        <w:t>op</w:t>
      </w:r>
      <w:r>
        <w:noBreakHyphen/>
        <w:t xml:space="preserve">up </w:t>
      </w:r>
      <w:r w:rsidR="00B14886">
        <w:t>T</w:t>
      </w:r>
      <w:r>
        <w:t xml:space="preserve">ax in proportion to their </w:t>
      </w:r>
      <w:r w:rsidR="00B14886">
        <w:t>T</w:t>
      </w:r>
      <w:r>
        <w:t xml:space="preserve">op-up </w:t>
      </w:r>
      <w:r w:rsidR="00B14886">
        <w:t>T</w:t>
      </w:r>
      <w:r>
        <w:t xml:space="preserve">ax </w:t>
      </w:r>
      <w:r w:rsidR="00B14886">
        <w:t>A</w:t>
      </w:r>
      <w:r>
        <w:t>mount, as calculated by:</w:t>
      </w:r>
    </w:p>
    <w:p w14:paraId="2B36C415" w14:textId="30FD3FBB" w:rsidR="005C6E04" w:rsidRDefault="005C6E04" w:rsidP="001B6944">
      <w:pPr>
        <w:pStyle w:val="Normalparatextnonumbers"/>
      </w:pPr>
      <w:r w:rsidRPr="005C6E04">
        <w:rPr>
          <w:noProof/>
        </w:rPr>
        <w:drawing>
          <wp:inline distT="0" distB="0" distL="0" distR="0" wp14:anchorId="560EDB89" wp14:editId="032C3E3B">
            <wp:extent cx="4895850" cy="314325"/>
            <wp:effectExtent l="0" t="0" r="0" b="0"/>
            <wp:docPr id="687493774" name="Picture 31" descr="Calculation for Entities that are allocated an amount of Additional Current Top up Tax in proportion to their Top-up Tax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93774" name="Picture 31" descr="Calculation for Entities that are allocated an amount of Additional Current Top up Tax in proportion to their Top-up Tax Amount"/>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895850" cy="314325"/>
                    </a:xfrm>
                    <a:prstGeom prst="rect">
                      <a:avLst/>
                    </a:prstGeom>
                    <a:noFill/>
                    <a:ln>
                      <a:noFill/>
                    </a:ln>
                  </pic:spPr>
                </pic:pic>
              </a:graphicData>
            </a:graphic>
          </wp:inline>
        </w:drawing>
      </w:r>
    </w:p>
    <w:p w14:paraId="3B8439FF" w14:textId="15C5E133" w:rsidR="001B6944" w:rsidRPr="005D6AA5" w:rsidRDefault="001B6944" w:rsidP="001B6944">
      <w:pPr>
        <w:pStyle w:val="Normalparatextwithnumbers"/>
        <w:numPr>
          <w:ilvl w:val="0"/>
          <w:numId w:val="0"/>
        </w:numPr>
        <w:ind w:left="709"/>
      </w:pPr>
      <w:r w:rsidRPr="00265263">
        <w:rPr>
          <w:rStyle w:val="References"/>
        </w:rPr>
        <w:t>[</w:t>
      </w:r>
      <w:r>
        <w:rPr>
          <w:rStyle w:val="References"/>
        </w:rPr>
        <w:t>Chapter 5, subsections 5-</w:t>
      </w:r>
      <w:r w:rsidR="00177D64">
        <w:rPr>
          <w:rStyle w:val="References"/>
        </w:rPr>
        <w:t>100</w:t>
      </w:r>
      <w:r>
        <w:rPr>
          <w:rStyle w:val="References"/>
        </w:rPr>
        <w:t>(3) and (4) of the Rules</w:t>
      </w:r>
      <w:r w:rsidRPr="00265263">
        <w:rPr>
          <w:rStyle w:val="References"/>
        </w:rPr>
        <w:t>]</w:t>
      </w:r>
    </w:p>
    <w:p w14:paraId="5AB1AE9F" w14:textId="77777777" w:rsidR="001B6944" w:rsidRDefault="001B6944" w:rsidP="00CE709D">
      <w:pPr>
        <w:pStyle w:val="Heading3"/>
        <w:rPr>
          <w:rFonts w:hint="eastAsia"/>
        </w:rPr>
      </w:pPr>
      <w:bookmarkStart w:id="189" w:name="_Toc159845272"/>
      <w:bookmarkStart w:id="190" w:name="_Toc160726358"/>
      <w:bookmarkStart w:id="191" w:name="_Toc180490659"/>
      <w:bookmarkStart w:id="192" w:name="_Toc181720689"/>
      <w:bookmarkStart w:id="193" w:name="_Toc183786662"/>
      <w:bookmarkStart w:id="194" w:name="_Toc185503007"/>
      <w:r>
        <w:t>De minimis exclusion</w:t>
      </w:r>
      <w:bookmarkEnd w:id="189"/>
      <w:bookmarkEnd w:id="190"/>
      <w:bookmarkEnd w:id="191"/>
      <w:bookmarkEnd w:id="192"/>
      <w:bookmarkEnd w:id="193"/>
      <w:bookmarkEnd w:id="194"/>
    </w:p>
    <w:p w14:paraId="6D84F26F" w14:textId="3C45029F" w:rsidR="001B6944" w:rsidRDefault="001B6944" w:rsidP="001B6944">
      <w:pPr>
        <w:pStyle w:val="Normalparatextwithnumbers"/>
        <w:numPr>
          <w:ilvl w:val="1"/>
          <w:numId w:val="17"/>
        </w:numPr>
      </w:pPr>
      <w:r>
        <w:t>Constituent Entities located in a jurisdiction are exempt from calculating top</w:t>
      </w:r>
      <w:r w:rsidR="00690AC6">
        <w:noBreakHyphen/>
      </w:r>
      <w:r>
        <w:t xml:space="preserve">up tax when their aggregated revenue and aggregated income are below certain thresholds. </w:t>
      </w:r>
    </w:p>
    <w:p w14:paraId="20558303" w14:textId="3B732922" w:rsidR="001B6944" w:rsidRDefault="001B6944" w:rsidP="001B6944">
      <w:pPr>
        <w:pStyle w:val="Normalparatextwithnumbers"/>
        <w:numPr>
          <w:ilvl w:val="1"/>
          <w:numId w:val="18"/>
        </w:numPr>
      </w:pPr>
      <w:r>
        <w:t xml:space="preserve">If a Constituent Entity in a jurisdiction meets the criteria for the de minimis exclusion in a Fiscal Year, its top-up tax is taken to be zero for that Fiscal Year. </w:t>
      </w:r>
      <w:r>
        <w:br/>
      </w:r>
      <w:r w:rsidRPr="007B6DA0">
        <w:rPr>
          <w:rStyle w:val="References"/>
        </w:rPr>
        <w:t>[</w:t>
      </w:r>
      <w:r>
        <w:rPr>
          <w:rStyle w:val="References"/>
        </w:rPr>
        <w:t>Chapter 5, subsection 5-</w:t>
      </w:r>
      <w:r w:rsidR="00177D64">
        <w:rPr>
          <w:rStyle w:val="References"/>
        </w:rPr>
        <w:t>105</w:t>
      </w:r>
      <w:r>
        <w:rPr>
          <w:rStyle w:val="References"/>
        </w:rPr>
        <w:t>(1) of the Rules</w:t>
      </w:r>
      <w:r w:rsidRPr="007B6DA0">
        <w:rPr>
          <w:rStyle w:val="References"/>
        </w:rPr>
        <w:t xml:space="preserve">] </w:t>
      </w:r>
    </w:p>
    <w:p w14:paraId="0B8FD925" w14:textId="77777777" w:rsidR="001B6944" w:rsidRDefault="001B6944" w:rsidP="001B6944">
      <w:pPr>
        <w:pStyle w:val="Normalparatextwithnumbers"/>
        <w:numPr>
          <w:ilvl w:val="1"/>
          <w:numId w:val="18"/>
        </w:numPr>
      </w:pPr>
      <w:r>
        <w:t>The criteria include revenue and income thresholds for the jurisdiction. For a Constituent Entity in a jurisdiction to qualify for the exclusion in a Fiscal Year:</w:t>
      </w:r>
    </w:p>
    <w:p w14:paraId="288A05C2" w14:textId="77777777" w:rsidR="001B6944" w:rsidRDefault="001B6944" w:rsidP="00B07214">
      <w:pPr>
        <w:pStyle w:val="Dotpoint1"/>
      </w:pPr>
      <w:bookmarkStart w:id="195" w:name="_Toc181024822"/>
      <w:r>
        <w:t>the average GloBE Revenue of the MNE Group in the jurisdiction in the Fiscal Year must be</w:t>
      </w:r>
      <w:r w:rsidDel="00DF137A">
        <w:t xml:space="preserve"> </w:t>
      </w:r>
      <w:r>
        <w:t xml:space="preserve">less than EUR 10 million; </w:t>
      </w:r>
      <w:r w:rsidDel="00C85EF6">
        <w:t>and</w:t>
      </w:r>
      <w:bookmarkEnd w:id="195"/>
    </w:p>
    <w:p w14:paraId="520BA87C" w14:textId="2811FC7E" w:rsidR="001B6944" w:rsidRDefault="001B6944" w:rsidP="00B07214">
      <w:pPr>
        <w:pStyle w:val="Dotpoint1"/>
      </w:pPr>
      <w:bookmarkStart w:id="196" w:name="_Toc181024823"/>
      <w:r>
        <w:t>the average GloBE Income or Loss of the MNE Group in the jurisdiction in the Fiscal Year must be a loss or less than EUR 1 million</w:t>
      </w:r>
      <w:r>
        <w:br/>
      </w:r>
      <w:r w:rsidRPr="00A45444">
        <w:rPr>
          <w:rStyle w:val="References"/>
        </w:rPr>
        <w:t xml:space="preserve">[Chapter 5, </w:t>
      </w:r>
      <w:r>
        <w:rPr>
          <w:rStyle w:val="References"/>
        </w:rPr>
        <w:t>subsection</w:t>
      </w:r>
      <w:r w:rsidRPr="00A45444">
        <w:rPr>
          <w:rStyle w:val="References"/>
        </w:rPr>
        <w:t xml:space="preserve"> 5-</w:t>
      </w:r>
      <w:r>
        <w:rPr>
          <w:rStyle w:val="References"/>
        </w:rPr>
        <w:t>10</w:t>
      </w:r>
      <w:r w:rsidR="00177D64">
        <w:rPr>
          <w:rStyle w:val="References"/>
        </w:rPr>
        <w:t>5</w:t>
      </w:r>
      <w:r w:rsidRPr="00A45444">
        <w:rPr>
          <w:rStyle w:val="References"/>
        </w:rPr>
        <w:t>(1)</w:t>
      </w:r>
      <w:r>
        <w:rPr>
          <w:rStyle w:val="References"/>
        </w:rPr>
        <w:t xml:space="preserve"> of the Rules</w:t>
      </w:r>
      <w:r w:rsidRPr="00A45444">
        <w:rPr>
          <w:rStyle w:val="References"/>
        </w:rPr>
        <w:t>]</w:t>
      </w:r>
      <w:bookmarkEnd w:id="196"/>
      <w:r>
        <w:t xml:space="preserve"> </w:t>
      </w:r>
    </w:p>
    <w:p w14:paraId="244B820D" w14:textId="5D06024F" w:rsidR="001B6944" w:rsidRPr="007B6DA0" w:rsidRDefault="001B6944" w:rsidP="001B6944">
      <w:pPr>
        <w:pStyle w:val="Normalparatextwithnumbers"/>
        <w:numPr>
          <w:ilvl w:val="1"/>
          <w:numId w:val="18"/>
        </w:numPr>
      </w:pPr>
      <w:r>
        <w:t xml:space="preserve">To make use of the exclusion, the filing Constituent Entity must make an </w:t>
      </w:r>
      <w:r w:rsidR="002330EF">
        <w:t>Annual Election</w:t>
      </w:r>
      <w:r>
        <w:t xml:space="preserve"> to apply the exclusion to the </w:t>
      </w:r>
      <w:r w:rsidRPr="002C1C93">
        <w:t xml:space="preserve">Constituent Entities </w:t>
      </w:r>
      <w:r>
        <w:t xml:space="preserve">located in a jurisdiction and the Fiscal Year. </w:t>
      </w:r>
      <w:r>
        <w:br/>
      </w:r>
      <w:r w:rsidRPr="00E37901">
        <w:rPr>
          <w:rStyle w:val="References"/>
        </w:rPr>
        <w:t>[</w:t>
      </w:r>
      <w:r>
        <w:rPr>
          <w:rStyle w:val="References"/>
        </w:rPr>
        <w:t>Chapter 5, subsections 5-10</w:t>
      </w:r>
      <w:r w:rsidR="00177D64">
        <w:rPr>
          <w:rStyle w:val="References"/>
        </w:rPr>
        <w:t>5</w:t>
      </w:r>
      <w:r>
        <w:rPr>
          <w:rStyle w:val="References"/>
        </w:rPr>
        <w:t>(1) to (3) of the Rules</w:t>
      </w:r>
      <w:r w:rsidRPr="00E37901">
        <w:rPr>
          <w:rStyle w:val="References"/>
        </w:rPr>
        <w:t>]</w:t>
      </w:r>
    </w:p>
    <w:p w14:paraId="7FC900DD" w14:textId="77777777" w:rsidR="001B6944" w:rsidRDefault="001B6944" w:rsidP="001B6944">
      <w:pPr>
        <w:pStyle w:val="Normalparatextwithnumbers"/>
        <w:numPr>
          <w:ilvl w:val="1"/>
          <w:numId w:val="17"/>
        </w:numPr>
        <w:spacing w:after="0"/>
      </w:pPr>
      <w:r>
        <w:rPr>
          <w:b/>
          <w:bCs/>
          <w:i/>
          <w:iCs/>
        </w:rPr>
        <w:t>A</w:t>
      </w:r>
      <w:r w:rsidRPr="007B6DA0">
        <w:rPr>
          <w:b/>
          <w:i/>
        </w:rPr>
        <w:t xml:space="preserve">verage </w:t>
      </w:r>
      <w:r>
        <w:rPr>
          <w:b/>
          <w:bCs/>
          <w:i/>
          <w:iCs/>
        </w:rPr>
        <w:t>G</w:t>
      </w:r>
      <w:r w:rsidRPr="007B6DA0">
        <w:rPr>
          <w:b/>
          <w:i/>
        </w:rPr>
        <w:t>lo</w:t>
      </w:r>
      <w:r>
        <w:rPr>
          <w:b/>
          <w:i/>
        </w:rPr>
        <w:t>be</w:t>
      </w:r>
      <w:r w:rsidRPr="007B6DA0">
        <w:rPr>
          <w:b/>
          <w:i/>
        </w:rPr>
        <w:t xml:space="preserve"> </w:t>
      </w:r>
      <w:r>
        <w:rPr>
          <w:b/>
          <w:bCs/>
          <w:i/>
          <w:iCs/>
        </w:rPr>
        <w:t>R</w:t>
      </w:r>
      <w:r w:rsidRPr="007B6DA0">
        <w:rPr>
          <w:b/>
          <w:i/>
        </w:rPr>
        <w:t>evenue</w:t>
      </w:r>
      <w:r>
        <w:t xml:space="preserve"> of an MNE Group for a jurisdiction for a Fiscal Year is the average of the </w:t>
      </w:r>
      <w:r w:rsidRPr="00241D98">
        <w:rPr>
          <w:b/>
          <w:bCs/>
          <w:i/>
          <w:iCs/>
        </w:rPr>
        <w:t>GloBE Revenue</w:t>
      </w:r>
      <w:r>
        <w:t xml:space="preserve"> of the MNE Group for the jurisdiction for the most recent three years, including the current year. </w:t>
      </w:r>
      <w:r w:rsidRPr="00241D98">
        <w:rPr>
          <w:b/>
          <w:bCs/>
          <w:i/>
          <w:iCs/>
        </w:rPr>
        <w:t>GloBE Revenue</w:t>
      </w:r>
      <w:r>
        <w:t xml:space="preserve"> of an MNE Group for a jurisdiction for a Fiscal Year is the sum of the revenue for the current year of all Constituent Entities of the MNE Group in the jurisdiction per Chapter 3. </w:t>
      </w:r>
    </w:p>
    <w:p w14:paraId="5D331DD0" w14:textId="5ADBFE71" w:rsidR="001B6944" w:rsidRDefault="001B6944" w:rsidP="001B6944">
      <w:pPr>
        <w:pStyle w:val="Normalparatextwithnumbers"/>
        <w:numPr>
          <w:ilvl w:val="0"/>
          <w:numId w:val="0"/>
        </w:numPr>
        <w:spacing w:before="0"/>
        <w:ind w:left="709"/>
      </w:pPr>
      <w:r w:rsidRPr="003D3D3B">
        <w:rPr>
          <w:rStyle w:val="References"/>
        </w:rPr>
        <w:t>[</w:t>
      </w:r>
      <w:r>
        <w:rPr>
          <w:rStyle w:val="References"/>
        </w:rPr>
        <w:t>Chapter 5, subsections 5-</w:t>
      </w:r>
      <w:r w:rsidR="00177D64">
        <w:rPr>
          <w:rStyle w:val="References"/>
        </w:rPr>
        <w:t>110</w:t>
      </w:r>
      <w:r>
        <w:rPr>
          <w:rStyle w:val="References"/>
        </w:rPr>
        <w:t>(1</w:t>
      </w:r>
      <w:r w:rsidRPr="00167665">
        <w:rPr>
          <w:rStyle w:val="References"/>
        </w:rPr>
        <w:t>)</w:t>
      </w:r>
      <w:r>
        <w:rPr>
          <w:rStyle w:val="References"/>
        </w:rPr>
        <w:t xml:space="preserve"> and (3) of the Rules</w:t>
      </w:r>
      <w:r w:rsidRPr="003D3D3B">
        <w:rPr>
          <w:rStyle w:val="References"/>
        </w:rPr>
        <w:t>]</w:t>
      </w:r>
    </w:p>
    <w:p w14:paraId="0D0B9466" w14:textId="4B48D0B1" w:rsidR="001B6944" w:rsidRDefault="001B6944" w:rsidP="001B6944">
      <w:pPr>
        <w:pStyle w:val="Normalparatextwithnumbers"/>
        <w:numPr>
          <w:ilvl w:val="1"/>
          <w:numId w:val="17"/>
        </w:numPr>
        <w:rPr>
          <w:rStyle w:val="References"/>
        </w:rPr>
      </w:pPr>
      <w:r w:rsidRPr="007B6DA0">
        <w:rPr>
          <w:b/>
          <w:i/>
        </w:rPr>
        <w:t>Average GloBE Income or Loss</w:t>
      </w:r>
      <w:r>
        <w:t xml:space="preserve"> of an MNE Group for a jurisdiction for a Fiscal Year is the average of the GloBE Income or Loss of the MNE Group for the most recent three years, including the current year. </w:t>
      </w:r>
      <w:r w:rsidRPr="006C2667">
        <w:rPr>
          <w:b/>
          <w:i/>
        </w:rPr>
        <w:t>GloBE Income or Loss</w:t>
      </w:r>
      <w:r>
        <w:rPr>
          <w:bCs/>
          <w:iCs/>
        </w:rPr>
        <w:t xml:space="preserve"> of an MNE Group for a jurisdiction for a Fiscal Year is the GloBE Income of all Constituent Entities subtracting GloBE Losses of all Constituent </w:t>
      </w:r>
      <w:r>
        <w:t>Entities</w:t>
      </w:r>
      <w:r>
        <w:rPr>
          <w:bCs/>
          <w:iCs/>
        </w:rPr>
        <w:t>.</w:t>
      </w:r>
      <w:r>
        <w:br/>
      </w:r>
      <w:r w:rsidRPr="003D3D3B">
        <w:rPr>
          <w:rStyle w:val="References"/>
        </w:rPr>
        <w:t>[</w:t>
      </w:r>
      <w:r>
        <w:rPr>
          <w:rStyle w:val="References"/>
        </w:rPr>
        <w:t>Chapter 5, subsections 5-</w:t>
      </w:r>
      <w:r w:rsidR="00177D64">
        <w:rPr>
          <w:rStyle w:val="References"/>
        </w:rPr>
        <w:t>110</w:t>
      </w:r>
      <w:r>
        <w:rPr>
          <w:rStyle w:val="References"/>
        </w:rPr>
        <w:t>(1</w:t>
      </w:r>
      <w:r w:rsidRPr="00167665">
        <w:rPr>
          <w:rStyle w:val="References"/>
        </w:rPr>
        <w:t>)</w:t>
      </w:r>
      <w:r>
        <w:rPr>
          <w:rStyle w:val="References"/>
        </w:rPr>
        <w:t xml:space="preserve"> and </w:t>
      </w:r>
      <w:r w:rsidRPr="00167665">
        <w:rPr>
          <w:rStyle w:val="References"/>
        </w:rPr>
        <w:t>(</w:t>
      </w:r>
      <w:r>
        <w:rPr>
          <w:rStyle w:val="References"/>
        </w:rPr>
        <w:t>3) and 5-1</w:t>
      </w:r>
      <w:r w:rsidR="00177D64">
        <w:rPr>
          <w:rStyle w:val="References"/>
        </w:rPr>
        <w:t>5</w:t>
      </w:r>
      <w:r>
        <w:rPr>
          <w:rStyle w:val="References"/>
        </w:rPr>
        <w:t>(2) of the Rules</w:t>
      </w:r>
      <w:r w:rsidRPr="003D3D3B">
        <w:rPr>
          <w:rStyle w:val="References"/>
        </w:rPr>
        <w:t>]</w:t>
      </w:r>
    </w:p>
    <w:p w14:paraId="1048CCBF" w14:textId="77777777" w:rsidR="001B6944" w:rsidDel="005550C9" w:rsidRDefault="001B6944" w:rsidP="001B6944">
      <w:pPr>
        <w:pStyle w:val="Normalparatextwithnumbers"/>
        <w:numPr>
          <w:ilvl w:val="1"/>
          <w:numId w:val="18"/>
        </w:numPr>
      </w:pPr>
      <w:r>
        <w:lastRenderedPageBreak/>
        <w:t xml:space="preserve">The computation method assumes that each Fiscal Year is 12 months. If a Fiscal Year for an Entity is not 12 months, then the average should be adjusted proportionally. </w:t>
      </w:r>
    </w:p>
    <w:p w14:paraId="53E37DFF" w14:textId="4D737B96" w:rsidR="001B6944" w:rsidRPr="00A45444" w:rsidDel="0002497D" w:rsidRDefault="001B6944" w:rsidP="001B6944">
      <w:pPr>
        <w:pStyle w:val="Normalparatextwithnumbers"/>
        <w:numPr>
          <w:ilvl w:val="1"/>
          <w:numId w:val="17"/>
        </w:numPr>
        <w:rPr>
          <w:rStyle w:val="References"/>
          <w:b w:val="0"/>
          <w:i w:val="0"/>
        </w:rPr>
      </w:pPr>
      <w:r>
        <w:t xml:space="preserve">Both the Average GloBE Revenue and Average GloBE Income or Loss are determined by applying the same rules used to compute the GloBE Income or Loss of a jurisdiction. The Average GloBE revenue calculation must exclude any preceding years where there were no Constituent Entities of the MNE Group in that jurisdiction with GloBE Revenue or GloBE losses. In the first year of the GloBE Rules, </w:t>
      </w:r>
      <w:r w:rsidRPr="00ED6877">
        <w:t>the average</w:t>
      </w:r>
      <w:r>
        <w:t xml:space="preserve"> GloBE Revenue and GloBE Income or Loss</w:t>
      </w:r>
      <w:r w:rsidRPr="00ED6877">
        <w:t xml:space="preserve"> will be based off </w:t>
      </w:r>
      <w:r>
        <w:t>the first</w:t>
      </w:r>
      <w:r w:rsidR="00BC0D89" w:rsidRPr="00ED6877">
        <w:t>-</w:t>
      </w:r>
      <w:r w:rsidRPr="00ED6877">
        <w:t xml:space="preserve">year </w:t>
      </w:r>
      <w:r>
        <w:t xml:space="preserve">amounts </w:t>
      </w:r>
      <w:r w:rsidRPr="00ED6877">
        <w:t>only</w:t>
      </w:r>
      <w:r>
        <w:t>, as no previous calculation of GloBE amounts exists.</w:t>
      </w:r>
      <w:r>
        <w:br/>
      </w:r>
      <w:r w:rsidRPr="003D3D3B">
        <w:rPr>
          <w:rStyle w:val="References"/>
        </w:rPr>
        <w:t>[</w:t>
      </w:r>
      <w:r>
        <w:rPr>
          <w:rStyle w:val="References"/>
        </w:rPr>
        <w:t>Chapter 5, subsection 5-</w:t>
      </w:r>
      <w:r w:rsidR="00177D64">
        <w:rPr>
          <w:rStyle w:val="References"/>
        </w:rPr>
        <w:t>110</w:t>
      </w:r>
      <w:r>
        <w:rPr>
          <w:rStyle w:val="References"/>
        </w:rPr>
        <w:t>(2) of the Rules]</w:t>
      </w:r>
    </w:p>
    <w:p w14:paraId="59658BD5" w14:textId="77777777" w:rsidR="001B6944" w:rsidRPr="003D3D3B" w:rsidRDefault="001B6944" w:rsidP="001B6944">
      <w:pPr>
        <w:pStyle w:val="Heading6"/>
        <w:rPr>
          <w:rFonts w:hint="eastAsia"/>
        </w:rPr>
      </w:pPr>
      <w:r>
        <w:t>Stateless Constituent Entities and Investment Entities</w:t>
      </w:r>
    </w:p>
    <w:p w14:paraId="27B24F4F" w14:textId="354578A8" w:rsidR="001B6944" w:rsidRPr="00E37901" w:rsidRDefault="001B6944" w:rsidP="001B6944">
      <w:pPr>
        <w:pStyle w:val="Normalparatextwithnumbers"/>
        <w:numPr>
          <w:ilvl w:val="1"/>
          <w:numId w:val="18"/>
        </w:numPr>
      </w:pPr>
      <w:r>
        <w:t>Even if the filing Constituent Entity has made an election and the Constituent Entities in the jurisdiction meet the revenue and income requirements, a Constituent Entity cannot use the de minimis exclusion if it is a Stateless Constituent Entity or an Investment Entity. This is because these entities must compute their ETR separately.</w:t>
      </w:r>
      <w:r>
        <w:br/>
      </w:r>
      <w:r w:rsidRPr="00E37901">
        <w:rPr>
          <w:rStyle w:val="References"/>
        </w:rPr>
        <w:t>[</w:t>
      </w:r>
      <w:r>
        <w:rPr>
          <w:rStyle w:val="References"/>
        </w:rPr>
        <w:t xml:space="preserve">Chapter 5, </w:t>
      </w:r>
      <w:r w:rsidR="00CE34D1">
        <w:rPr>
          <w:rStyle w:val="References"/>
        </w:rPr>
        <w:t>paragraph</w:t>
      </w:r>
      <w:r>
        <w:rPr>
          <w:rStyle w:val="References"/>
        </w:rPr>
        <w:t xml:space="preserve"> 5-</w:t>
      </w:r>
      <w:r w:rsidR="00177D64">
        <w:rPr>
          <w:rStyle w:val="References"/>
        </w:rPr>
        <w:t>105</w:t>
      </w:r>
      <w:r>
        <w:rPr>
          <w:rStyle w:val="References"/>
        </w:rPr>
        <w:t>(1)</w:t>
      </w:r>
      <w:r w:rsidR="00CE34D1">
        <w:rPr>
          <w:rStyle w:val="References"/>
        </w:rPr>
        <w:t>(d</w:t>
      </w:r>
      <w:r>
        <w:rPr>
          <w:rStyle w:val="References"/>
        </w:rPr>
        <w:t>) of the Rules</w:t>
      </w:r>
      <w:r w:rsidRPr="00E37901">
        <w:rPr>
          <w:rStyle w:val="References"/>
        </w:rPr>
        <w:t xml:space="preserve">] </w:t>
      </w:r>
    </w:p>
    <w:p w14:paraId="7E9956DF" w14:textId="47BE4F58" w:rsidR="001B6944" w:rsidRDefault="001B6944" w:rsidP="001B6944">
      <w:pPr>
        <w:pStyle w:val="Normalparatextwithnumbers"/>
        <w:numPr>
          <w:ilvl w:val="1"/>
          <w:numId w:val="18"/>
        </w:numPr>
      </w:pPr>
      <w:r>
        <w:t>The</w:t>
      </w:r>
      <w:r w:rsidDel="00957755">
        <w:t xml:space="preserve"> </w:t>
      </w:r>
      <w:r>
        <w:t xml:space="preserve">revenue and GloBE Income or Loss of Stateless Constituent Entities and Investment Entities is not included when calculating </w:t>
      </w:r>
      <w:r w:rsidR="008D1350">
        <w:t>regardless of whether</w:t>
      </w:r>
      <w:r>
        <w:t xml:space="preserve"> the Constituent Entities in a jurisdiction meet the revenue and income thresholds. </w:t>
      </w:r>
      <w:r>
        <w:br/>
      </w:r>
      <w:r w:rsidRPr="003D3D3B">
        <w:rPr>
          <w:rStyle w:val="References"/>
        </w:rPr>
        <w:t>[</w:t>
      </w:r>
      <w:r>
        <w:rPr>
          <w:rStyle w:val="References"/>
        </w:rPr>
        <w:t xml:space="preserve">Chapter 5, </w:t>
      </w:r>
      <w:r w:rsidR="004E6EBC">
        <w:rPr>
          <w:rStyle w:val="References"/>
        </w:rPr>
        <w:t>paragraph</w:t>
      </w:r>
      <w:r>
        <w:rPr>
          <w:rStyle w:val="References"/>
        </w:rPr>
        <w:t xml:space="preserve"> 5-</w:t>
      </w:r>
      <w:r w:rsidR="00177D64">
        <w:rPr>
          <w:rStyle w:val="References"/>
        </w:rPr>
        <w:t>110</w:t>
      </w:r>
      <w:r>
        <w:rPr>
          <w:rStyle w:val="References"/>
        </w:rPr>
        <w:t>(3)</w:t>
      </w:r>
      <w:r w:rsidR="004E6EBC">
        <w:rPr>
          <w:rStyle w:val="References"/>
        </w:rPr>
        <w:t>(d</w:t>
      </w:r>
      <w:r>
        <w:rPr>
          <w:rStyle w:val="References"/>
        </w:rPr>
        <w:t>) of the Rules</w:t>
      </w:r>
      <w:r w:rsidRPr="003D3D3B">
        <w:rPr>
          <w:rStyle w:val="References"/>
        </w:rPr>
        <w:t>]</w:t>
      </w:r>
    </w:p>
    <w:p w14:paraId="5BA6ACA9" w14:textId="283D1195" w:rsidR="001B6944" w:rsidRDefault="001B6944" w:rsidP="00CE709D">
      <w:pPr>
        <w:pStyle w:val="Heading3"/>
        <w:rPr>
          <w:rFonts w:hint="eastAsia"/>
        </w:rPr>
      </w:pPr>
      <w:bookmarkStart w:id="197" w:name="_Toc160726359"/>
      <w:bookmarkStart w:id="198" w:name="_Toc180490660"/>
      <w:bookmarkStart w:id="199" w:name="_Toc181720690"/>
      <w:bookmarkStart w:id="200" w:name="_Toc183786663"/>
      <w:bookmarkStart w:id="201" w:name="_Toc185503008"/>
      <w:r>
        <w:t>Minority-</w:t>
      </w:r>
      <w:r w:rsidR="00131603">
        <w:t>O</w:t>
      </w:r>
      <w:r>
        <w:t>wned Constituent Entities</w:t>
      </w:r>
      <w:bookmarkEnd w:id="197"/>
      <w:bookmarkEnd w:id="198"/>
      <w:bookmarkEnd w:id="199"/>
      <w:bookmarkEnd w:id="200"/>
      <w:bookmarkEnd w:id="201"/>
      <w:r>
        <w:t xml:space="preserve"> </w:t>
      </w:r>
    </w:p>
    <w:p w14:paraId="243AAEC8" w14:textId="77690F0B" w:rsidR="001B6944" w:rsidRDefault="00E92E56" w:rsidP="001B6944">
      <w:pPr>
        <w:pStyle w:val="Normalparatextwithnumbers"/>
        <w:numPr>
          <w:ilvl w:val="1"/>
          <w:numId w:val="18"/>
        </w:numPr>
      </w:pPr>
      <w:r>
        <w:t>Rules</w:t>
      </w:r>
      <w:r w:rsidR="001B6944">
        <w:t xml:space="preserve"> apply for calculating the Jurisdictional ETR and </w:t>
      </w:r>
      <w:r w:rsidR="001B6944" w:rsidRPr="002C1C93">
        <w:t>top</w:t>
      </w:r>
      <w:r w:rsidR="001B6944" w:rsidRPr="002C1C93">
        <w:noBreakHyphen/>
        <w:t>up tax</w:t>
      </w:r>
      <w:r w:rsidR="001B6944">
        <w:t xml:space="preserve"> of MOCEs</w:t>
      </w:r>
      <w:r w:rsidR="00391583">
        <w:t>.</w:t>
      </w:r>
      <w:r w:rsidR="001B6944">
        <w:t xml:space="preserve"> </w:t>
      </w:r>
      <w:r w:rsidR="00391583">
        <w:t xml:space="preserve">MOCEs are defined as Constituent Entities where the UPE has less than 30 per cent indirect or direct ownership. MOCEs may become Parent Entities where that Entity owns controlling interest in another Constituent Entity. Multiple owned entities by </w:t>
      </w:r>
      <w:r w:rsidR="00391583" w:rsidRPr="008D2296">
        <w:rPr>
          <w:b/>
          <w:i/>
        </w:rPr>
        <w:t>Minority</w:t>
      </w:r>
      <w:r w:rsidR="00391583" w:rsidRPr="008D2296">
        <w:rPr>
          <w:b/>
          <w:i/>
        </w:rPr>
        <w:noBreakHyphen/>
      </w:r>
      <w:r w:rsidR="009B4A47" w:rsidRPr="008D2296">
        <w:rPr>
          <w:b/>
          <w:i/>
        </w:rPr>
        <w:t>O</w:t>
      </w:r>
      <w:r w:rsidR="00391583" w:rsidRPr="008D2296">
        <w:rPr>
          <w:b/>
          <w:i/>
        </w:rPr>
        <w:t>wned Parent Entities</w:t>
      </w:r>
      <w:r w:rsidR="00391583">
        <w:t xml:space="preserve"> become part of a </w:t>
      </w:r>
      <w:r w:rsidR="001B6944" w:rsidRPr="007B6DA0">
        <w:rPr>
          <w:b/>
          <w:i/>
        </w:rPr>
        <w:t>Minority-</w:t>
      </w:r>
      <w:r w:rsidR="00DF7957">
        <w:rPr>
          <w:b/>
          <w:i/>
        </w:rPr>
        <w:t>O</w:t>
      </w:r>
      <w:r w:rsidR="001B6944" w:rsidRPr="007B6DA0">
        <w:rPr>
          <w:b/>
          <w:i/>
        </w:rPr>
        <w:t>wned Subgroups</w:t>
      </w:r>
      <w:r w:rsidR="001B6944">
        <w:t xml:space="preserve">, which comprise of two or more MOCEs </w:t>
      </w:r>
      <w:r w:rsidR="00391583">
        <w:t>in</w:t>
      </w:r>
      <w:r w:rsidR="001B6944">
        <w:t xml:space="preserve"> an MNE Group. </w:t>
      </w:r>
      <w:r w:rsidR="001B6944">
        <w:br/>
      </w:r>
      <w:r w:rsidR="001B6944" w:rsidRPr="007B6DA0">
        <w:rPr>
          <w:rStyle w:val="References"/>
        </w:rPr>
        <w:t>[</w:t>
      </w:r>
      <w:r w:rsidR="001B6944">
        <w:rPr>
          <w:rStyle w:val="References"/>
        </w:rPr>
        <w:t>Chapter 5, subsection</w:t>
      </w:r>
      <w:r w:rsidR="00DB1F6B">
        <w:rPr>
          <w:rStyle w:val="References"/>
        </w:rPr>
        <w:t>s</w:t>
      </w:r>
      <w:r w:rsidR="001B6944">
        <w:rPr>
          <w:rStyle w:val="References"/>
        </w:rPr>
        <w:t xml:space="preserve"> 5-</w:t>
      </w:r>
      <w:r w:rsidR="00277ECD">
        <w:rPr>
          <w:rStyle w:val="References"/>
        </w:rPr>
        <w:t>120</w:t>
      </w:r>
      <w:r w:rsidR="001B6944">
        <w:rPr>
          <w:rStyle w:val="References"/>
        </w:rPr>
        <w:t xml:space="preserve">(1) </w:t>
      </w:r>
      <w:r w:rsidR="00DB1F6B">
        <w:rPr>
          <w:rStyle w:val="References"/>
        </w:rPr>
        <w:t>and (2)</w:t>
      </w:r>
      <w:r w:rsidR="00291692">
        <w:rPr>
          <w:rStyle w:val="References"/>
        </w:rPr>
        <w:t xml:space="preserve">, </w:t>
      </w:r>
      <w:r w:rsidR="008D2296">
        <w:rPr>
          <w:rStyle w:val="References"/>
        </w:rPr>
        <w:t xml:space="preserve">section </w:t>
      </w:r>
      <w:r w:rsidR="00291692">
        <w:rPr>
          <w:rStyle w:val="References"/>
        </w:rPr>
        <w:t>5-130 and 5-135</w:t>
      </w:r>
      <w:r w:rsidR="001B6944">
        <w:rPr>
          <w:rStyle w:val="References"/>
        </w:rPr>
        <w:t xml:space="preserve"> of the Rules</w:t>
      </w:r>
      <w:r w:rsidR="001B6944" w:rsidRPr="007B6DA0">
        <w:rPr>
          <w:rStyle w:val="References"/>
        </w:rPr>
        <w:t xml:space="preserve">] </w:t>
      </w:r>
    </w:p>
    <w:p w14:paraId="7A4FEAE5" w14:textId="39E15C97" w:rsidR="001B6944" w:rsidRDefault="001B6944">
      <w:pPr>
        <w:pStyle w:val="Normalparatextwithnumbers"/>
        <w:numPr>
          <w:ilvl w:val="1"/>
          <w:numId w:val="18"/>
        </w:numPr>
      </w:pPr>
      <w:r>
        <w:t xml:space="preserve">The computations for MOCEs and </w:t>
      </w:r>
      <w:r w:rsidRPr="00EE27B8">
        <w:t>Minority-</w:t>
      </w:r>
      <w:r w:rsidR="00DF7957">
        <w:t>O</w:t>
      </w:r>
      <w:r w:rsidRPr="00EE27B8">
        <w:t>wned Subgroups</w:t>
      </w:r>
      <w:r>
        <w:t xml:space="preserve"> are done separately to the MNE Group in recognition of the fact that MOCEs have different owners outside of the MNE Group. If MOCEs are included in the computations of the MNE Group, it could result in third-party owners outside of the MNE Group bearing top-up tax liability, which is not </w:t>
      </w:r>
      <w:r w:rsidR="00073221">
        <w:t>correct outcome</w:t>
      </w:r>
      <w:r>
        <w:t>. As such, ETR and Net GloBE Income or Loss computations of MOCE and Minority-</w:t>
      </w:r>
      <w:r w:rsidR="00DF7957">
        <w:t>O</w:t>
      </w:r>
      <w:r>
        <w:t xml:space="preserve">wned Subgroups do not consider the other Constituent Entities of </w:t>
      </w:r>
      <w:r>
        <w:lastRenderedPageBreak/>
        <w:t>the MNE Group.</w:t>
      </w:r>
      <w:r w:rsidR="000622D7" w:rsidRPr="000622D7">
        <w:t xml:space="preserve"> </w:t>
      </w:r>
      <w:r>
        <w:br/>
      </w:r>
      <w:r w:rsidRPr="007B6DA0">
        <w:rPr>
          <w:rStyle w:val="References"/>
        </w:rPr>
        <w:t>[</w:t>
      </w:r>
      <w:r>
        <w:rPr>
          <w:rStyle w:val="References"/>
        </w:rPr>
        <w:t>Chapter 5, subsection 5-</w:t>
      </w:r>
      <w:r w:rsidR="00277ECD">
        <w:rPr>
          <w:rStyle w:val="References"/>
        </w:rPr>
        <w:t>120</w:t>
      </w:r>
      <w:r>
        <w:rPr>
          <w:rStyle w:val="References"/>
        </w:rPr>
        <w:t>(</w:t>
      </w:r>
      <w:r w:rsidR="00AB4EF1">
        <w:rPr>
          <w:rStyle w:val="References"/>
        </w:rPr>
        <w:t>3</w:t>
      </w:r>
      <w:r>
        <w:rPr>
          <w:rStyle w:val="References"/>
        </w:rPr>
        <w:t>) of the Rules</w:t>
      </w:r>
      <w:r w:rsidRPr="007B6DA0">
        <w:rPr>
          <w:rStyle w:val="References"/>
        </w:rPr>
        <w:t xml:space="preserve">] </w:t>
      </w:r>
      <w:r>
        <w:t xml:space="preserve"> </w:t>
      </w:r>
    </w:p>
    <w:p w14:paraId="66F354E4" w14:textId="64A0AB89" w:rsidR="001B6944" w:rsidRDefault="001B6944" w:rsidP="001B6944">
      <w:pPr>
        <w:pStyle w:val="Normalparatextwithnumbers"/>
        <w:numPr>
          <w:ilvl w:val="1"/>
          <w:numId w:val="18"/>
        </w:numPr>
      </w:pPr>
      <w:r>
        <w:t>The computation methods for Jurisdictional ETR and top-up tax for the MOCEs and Minority-</w:t>
      </w:r>
      <w:r w:rsidR="00DF7957">
        <w:t>O</w:t>
      </w:r>
      <w:r>
        <w:t xml:space="preserve">wned Subgroups are otherwise the same as the computation methods applied to the MNE Group. </w:t>
      </w:r>
    </w:p>
    <w:p w14:paraId="200C98DB" w14:textId="749095FA" w:rsidR="001B6944" w:rsidRDefault="001B6944">
      <w:pPr>
        <w:pStyle w:val="Normalparatextwithnumbers"/>
        <w:numPr>
          <w:ilvl w:val="1"/>
          <w:numId w:val="18"/>
        </w:numPr>
      </w:pPr>
      <w:bookmarkStart w:id="202" w:name="_Ref183779272"/>
      <w:r>
        <w:t>If a MOCE is not in a Minority-</w:t>
      </w:r>
      <w:r w:rsidR="00DF7957">
        <w:t>O</w:t>
      </w:r>
      <w:r>
        <w:t>wned Subgroup and is not an Investment Entity, it</w:t>
      </w:r>
      <w:r w:rsidDel="0006611A">
        <w:t xml:space="preserve"> is </w:t>
      </w:r>
      <w:r>
        <w:t>treated as the only Constituent Entity of the MNE Group in its jurisdiction when calculating its Jurisdictional ETR and top-up tax.</w:t>
      </w:r>
      <w:r w:rsidR="003266BF" w:rsidRPr="003266BF">
        <w:t xml:space="preserve"> </w:t>
      </w:r>
      <w:r w:rsidR="00217ADA">
        <w:t>If a MOCE is an Investment Entity, the Investment rules described in Chapter 7 takes priority.</w:t>
      </w:r>
      <w:r w:rsidR="00217ADA" w:rsidRPr="00D052C5">
        <w:t xml:space="preserve"> </w:t>
      </w:r>
      <w:r w:rsidR="003266BF">
        <w:t xml:space="preserve">The separate ETR calculation for MOCEs </w:t>
      </w:r>
      <w:r w:rsidR="00217ADA">
        <w:t xml:space="preserve">may </w:t>
      </w:r>
      <w:r w:rsidR="003266BF">
        <w:t>also apply to Permanent Establishments and Main Entities that meet the definition of a MOCE.</w:t>
      </w:r>
      <w:r w:rsidR="00217ADA" w:rsidRPr="00217ADA">
        <w:t xml:space="preserve"> </w:t>
      </w:r>
      <w:r w:rsidR="00217ADA">
        <w:br/>
      </w:r>
      <w:r w:rsidRPr="007B6DA0">
        <w:rPr>
          <w:rStyle w:val="References"/>
        </w:rPr>
        <w:t>[</w:t>
      </w:r>
      <w:r>
        <w:rPr>
          <w:rStyle w:val="References"/>
        </w:rPr>
        <w:t>Chapter 5, subsections 5-</w:t>
      </w:r>
      <w:r w:rsidR="00277ECD">
        <w:rPr>
          <w:rStyle w:val="References"/>
        </w:rPr>
        <w:t>120</w:t>
      </w:r>
      <w:r>
        <w:rPr>
          <w:rStyle w:val="References"/>
        </w:rPr>
        <w:t>(</w:t>
      </w:r>
      <w:r w:rsidR="003B2B82">
        <w:rPr>
          <w:rStyle w:val="References"/>
        </w:rPr>
        <w:t>1</w:t>
      </w:r>
      <w:r>
        <w:rPr>
          <w:rStyle w:val="References"/>
        </w:rPr>
        <w:t>)</w:t>
      </w:r>
      <w:r w:rsidR="003B2B82">
        <w:rPr>
          <w:rStyle w:val="References"/>
        </w:rPr>
        <w:t>, (2</w:t>
      </w:r>
      <w:r>
        <w:rPr>
          <w:rStyle w:val="References"/>
        </w:rPr>
        <w:t>) and (4) of the Rules</w:t>
      </w:r>
      <w:r w:rsidRPr="007B6DA0">
        <w:rPr>
          <w:rStyle w:val="References"/>
        </w:rPr>
        <w:t>]</w:t>
      </w:r>
      <w:bookmarkEnd w:id="202"/>
      <w:r w:rsidRPr="0094012E">
        <w:t xml:space="preserve"> </w:t>
      </w:r>
    </w:p>
    <w:p w14:paraId="1E50BDDC" w14:textId="65AD9D95" w:rsidR="001B6944" w:rsidRDefault="001B6944" w:rsidP="001B6944">
      <w:pPr>
        <w:pStyle w:val="Normalparatextwithnumbers"/>
        <w:numPr>
          <w:ilvl w:val="1"/>
          <w:numId w:val="17"/>
        </w:numPr>
      </w:pPr>
      <w:r>
        <w:t xml:space="preserve">The deeming of a separate group is important for the jurisdictional calculations including any </w:t>
      </w:r>
      <w:r w:rsidR="0077075D">
        <w:t>Additional Current Top-</w:t>
      </w:r>
      <w:r>
        <w:t xml:space="preserve">up </w:t>
      </w:r>
      <w:r w:rsidR="0077075D">
        <w:t>Tax</w:t>
      </w:r>
      <w:r>
        <w:t xml:space="preserve"> arising </w:t>
      </w:r>
      <w:r w:rsidRPr="00D303E0">
        <w:t>under</w:t>
      </w:r>
      <w:r>
        <w:t xml:space="preserve"> section</w:t>
      </w:r>
      <w:r w:rsidRPr="00D303E0">
        <w:t xml:space="preserve"> 4-30 </w:t>
      </w:r>
      <w:r w:rsidR="00EF11D3">
        <w:t xml:space="preserve">of the Rules </w:t>
      </w:r>
      <w:r w:rsidRPr="00D303E0">
        <w:t xml:space="preserve">and for </w:t>
      </w:r>
      <w:r>
        <w:t>determining</w:t>
      </w:r>
      <w:r w:rsidRPr="00D303E0">
        <w:t xml:space="preserve"> </w:t>
      </w:r>
      <w:r>
        <w:t xml:space="preserve">a </w:t>
      </w:r>
      <w:r w:rsidRPr="00D303E0">
        <w:t>LTCE</w:t>
      </w:r>
      <w:r>
        <w:t xml:space="preserve">. </w:t>
      </w:r>
      <w:r>
        <w:br/>
      </w:r>
      <w:r>
        <w:rPr>
          <w:rStyle w:val="References"/>
        </w:rPr>
        <w:t xml:space="preserve">[Chapter 5, </w:t>
      </w:r>
      <w:r w:rsidRPr="000D3B9A">
        <w:rPr>
          <w:rStyle w:val="References"/>
        </w:rPr>
        <w:t>subsection</w:t>
      </w:r>
      <w:r>
        <w:rPr>
          <w:rStyle w:val="References"/>
        </w:rPr>
        <w:t xml:space="preserve"> </w:t>
      </w:r>
      <w:r w:rsidRPr="000D3B9A">
        <w:rPr>
          <w:rStyle w:val="References"/>
        </w:rPr>
        <w:t>5-</w:t>
      </w:r>
      <w:r w:rsidR="00277ECD">
        <w:rPr>
          <w:rStyle w:val="References"/>
        </w:rPr>
        <w:t>120</w:t>
      </w:r>
      <w:r w:rsidRPr="000D3B9A">
        <w:rPr>
          <w:rStyle w:val="References"/>
        </w:rPr>
        <w:t>(3)</w:t>
      </w:r>
      <w:r>
        <w:rPr>
          <w:rStyle w:val="References"/>
        </w:rPr>
        <w:t xml:space="preserve"> of the Rules]</w:t>
      </w:r>
      <w:r>
        <w:t xml:space="preserve"> </w:t>
      </w:r>
    </w:p>
    <w:p w14:paraId="2C22881B" w14:textId="032B8145" w:rsidR="003266BF" w:rsidRDefault="003266BF" w:rsidP="003266BF">
      <w:pPr>
        <w:pStyle w:val="Normalparatextwithnumbers"/>
      </w:pPr>
      <w:r>
        <w:t>The deeming has no effect in determining FANIL or adjustments to FANIL under Chapter 3 of the Rules. An election to apply a consolidated accounting treatment under section 3-</w:t>
      </w:r>
      <w:r w:rsidR="00177D64">
        <w:t>200</w:t>
      </w:r>
      <w:r>
        <w:t xml:space="preserve"> of the Rules </w:t>
      </w:r>
      <w:r w:rsidRPr="00EA782E">
        <w:t>can also apply to transactions between members of a subgroup</w:t>
      </w:r>
      <w:r>
        <w:t>. For example,</w:t>
      </w:r>
      <w:r w:rsidRPr="00EA782E">
        <w:t xml:space="preserve"> transactions </w:t>
      </w:r>
      <w:r>
        <w:t>exclusively</w:t>
      </w:r>
      <w:r w:rsidRPr="00EA782E">
        <w:t xml:space="preserve"> between MOCEs, or between </w:t>
      </w:r>
      <w:r>
        <w:t xml:space="preserve">Investment Entities, Insurance Investment Entities </w:t>
      </w:r>
      <w:r w:rsidRPr="00EA782E">
        <w:t xml:space="preserve">or between JV Group entities. </w:t>
      </w:r>
    </w:p>
    <w:p w14:paraId="43CC4B7A" w14:textId="7B272617" w:rsidR="003266BF" w:rsidRDefault="003266BF" w:rsidP="003266BF">
      <w:pPr>
        <w:pStyle w:val="Normalparatextwithnumbers"/>
      </w:pPr>
      <w:r w:rsidRPr="00525F73">
        <w:t xml:space="preserve">Covered Taxes can be allocated to and from MOCEs from and to regular </w:t>
      </w:r>
      <w:r>
        <w:t>Constituent Entitie</w:t>
      </w:r>
      <w:r w:rsidRPr="00525F73">
        <w:t>s under Part 4-3</w:t>
      </w:r>
      <w:r>
        <w:t xml:space="preserve"> of the Rules. The rules under chapter 6 continue to </w:t>
      </w:r>
      <w:r w:rsidRPr="00C8240C">
        <w:t xml:space="preserve">apply to acquisitions and transactions involving MOCEs and regular </w:t>
      </w:r>
      <w:r>
        <w:t>Constituent Entitie</w:t>
      </w:r>
      <w:r w:rsidRPr="00C8240C">
        <w:t>s.</w:t>
      </w:r>
      <w:r>
        <w:t xml:space="preserve"> </w:t>
      </w:r>
      <w:r w:rsidRPr="00AD59D8">
        <w:t xml:space="preserve">Elections are made by the Filing </w:t>
      </w:r>
      <w:r>
        <w:t xml:space="preserve">Constituent Entity </w:t>
      </w:r>
      <w:r w:rsidRPr="00AD59D8">
        <w:t xml:space="preserve">of the Applicable MNE Group (not by a </w:t>
      </w:r>
      <w:r>
        <w:t xml:space="preserve">Constituent Entity </w:t>
      </w:r>
      <w:r w:rsidRPr="00AD59D8">
        <w:t>of the subgroup</w:t>
      </w:r>
      <w:r>
        <w:t>).</w:t>
      </w:r>
      <w:r w:rsidRPr="002A610A">
        <w:t xml:space="preserve"> </w:t>
      </w:r>
      <w:r w:rsidR="00217ADA">
        <w:t xml:space="preserve">The </w:t>
      </w:r>
      <w:r>
        <w:t>GloBE Loss Deferred Tax Asset election under Part 4</w:t>
      </w:r>
      <w:r>
        <w:noBreakHyphen/>
        <w:t xml:space="preserve">5 of the Rules </w:t>
      </w:r>
      <w:r w:rsidRPr="007C6577">
        <w:t>appl</w:t>
      </w:r>
      <w:r>
        <w:t>ies</w:t>
      </w:r>
      <w:r w:rsidRPr="007C6577">
        <w:t xml:space="preserve"> separately to JVs, MOCEs, I</w:t>
      </w:r>
      <w:r>
        <w:t xml:space="preserve">nvestment </w:t>
      </w:r>
      <w:r w:rsidRPr="007C6577">
        <w:t>E</w:t>
      </w:r>
      <w:r>
        <w:t>ntities</w:t>
      </w:r>
      <w:r w:rsidRPr="007C6577">
        <w:t xml:space="preserve"> and I</w:t>
      </w:r>
      <w:r>
        <w:t xml:space="preserve">nsurance </w:t>
      </w:r>
      <w:r w:rsidRPr="007C6577">
        <w:t>I</w:t>
      </w:r>
      <w:r>
        <w:t xml:space="preserve">nvestment </w:t>
      </w:r>
      <w:r w:rsidRPr="007C6577">
        <w:t>E</w:t>
      </w:r>
      <w:r>
        <w:t>ntitie</w:t>
      </w:r>
      <w:r w:rsidRPr="007C6577">
        <w:t xml:space="preserve">s from regular </w:t>
      </w:r>
      <w:r>
        <w:t>Constituent Entities</w:t>
      </w:r>
      <w:r w:rsidRPr="007C6577">
        <w:t xml:space="preserve"> </w:t>
      </w:r>
      <w:r>
        <w:t xml:space="preserve">due to having separate </w:t>
      </w:r>
      <w:r w:rsidRPr="007C6577">
        <w:t>Net GloBE Income and ETR calculations at a jurisdictional level</w:t>
      </w:r>
      <w:r>
        <w:t>.</w:t>
      </w:r>
    </w:p>
    <w:p w14:paraId="565DD5E6" w14:textId="3EB0F65E" w:rsidR="002226BD" w:rsidRPr="006479AC" w:rsidRDefault="002226BD" w:rsidP="002226BD">
      <w:pPr>
        <w:pStyle w:val="Normalparatextwithnumbers"/>
        <w:numPr>
          <w:ilvl w:val="1"/>
          <w:numId w:val="17"/>
        </w:numPr>
        <w:spacing w:before="0" w:after="160" w:line="259" w:lineRule="auto"/>
      </w:pPr>
      <w:r>
        <w:t xml:space="preserve">The Chapter 6 </w:t>
      </w:r>
      <w:r w:rsidR="00EF4F1D">
        <w:t xml:space="preserve">rules </w:t>
      </w:r>
      <w:r>
        <w:t xml:space="preserve">continue to </w:t>
      </w:r>
      <w:r w:rsidRPr="00C8240C">
        <w:t xml:space="preserve">apply to acquisitions and transactions involving MOCEs and regular </w:t>
      </w:r>
      <w:r>
        <w:t>Constituent Entities</w:t>
      </w:r>
      <w:r w:rsidRPr="00C8240C">
        <w:t>.</w:t>
      </w:r>
      <w:r>
        <w:t xml:space="preserve"> Any e</w:t>
      </w:r>
      <w:r w:rsidRPr="00AD59D8">
        <w:t xml:space="preserve">lections </w:t>
      </w:r>
      <w:r>
        <w:t xml:space="preserve">that are </w:t>
      </w:r>
      <w:r w:rsidRPr="00AD59D8">
        <w:t xml:space="preserve">made by the Filing </w:t>
      </w:r>
      <w:r>
        <w:t>Constituent Entity</w:t>
      </w:r>
      <w:r w:rsidRPr="00AD59D8">
        <w:t xml:space="preserve"> </w:t>
      </w:r>
      <w:r w:rsidR="002F471E">
        <w:t>for</w:t>
      </w:r>
      <w:r w:rsidRPr="00AD59D8">
        <w:t xml:space="preserve"> the MNE Group</w:t>
      </w:r>
      <w:r w:rsidR="00406140">
        <w:t>, that is not the MOCE,</w:t>
      </w:r>
      <w:r w:rsidRPr="00AD59D8">
        <w:t xml:space="preserve"> </w:t>
      </w:r>
      <w:r>
        <w:t xml:space="preserve">also apply to </w:t>
      </w:r>
      <w:r w:rsidR="00406140">
        <w:t xml:space="preserve">the </w:t>
      </w:r>
      <w:r>
        <w:t xml:space="preserve">MOCE </w:t>
      </w:r>
      <w:r w:rsidR="00406140">
        <w:t xml:space="preserve">and any </w:t>
      </w:r>
      <w:r>
        <w:t>subgroup entities. This has the effect of the</w:t>
      </w:r>
      <w:r w:rsidRPr="007C6577">
        <w:t xml:space="preserve"> election cover</w:t>
      </w:r>
      <w:r>
        <w:t>ing</w:t>
      </w:r>
      <w:r w:rsidRPr="007C6577">
        <w:t xml:space="preserve"> the entirety of a jurisdiction</w:t>
      </w:r>
      <w:r>
        <w:t xml:space="preserve">, including all </w:t>
      </w:r>
      <w:r w:rsidRPr="007C6577">
        <w:t xml:space="preserve">standard </w:t>
      </w:r>
      <w:r>
        <w:t>Constituent Entities</w:t>
      </w:r>
      <w:r w:rsidRPr="007C6577">
        <w:t xml:space="preserve"> and subgroups </w:t>
      </w:r>
      <w:r>
        <w:t xml:space="preserve">that are </w:t>
      </w:r>
      <w:r w:rsidRPr="007C6577">
        <w:t>in the jurisdiction</w:t>
      </w:r>
      <w:r>
        <w:t xml:space="preserve">.  </w:t>
      </w:r>
    </w:p>
    <w:bookmarkEnd w:id="159"/>
    <w:p w14:paraId="54993B2B" w14:textId="77777777" w:rsidR="00B74B15" w:rsidRDefault="00B74B15" w:rsidP="00B74B15">
      <w:pPr>
        <w:pStyle w:val="Normalparatextwithnumbers"/>
        <w:numPr>
          <w:ilvl w:val="0"/>
          <w:numId w:val="0"/>
        </w:numPr>
      </w:pPr>
    </w:p>
    <w:p w14:paraId="55D2CCD1" w14:textId="77777777" w:rsidR="0025163B" w:rsidRPr="00020288" w:rsidRDefault="0025163B" w:rsidP="00873094">
      <w:pPr>
        <w:spacing w:after="0" w:line="360" w:lineRule="auto"/>
        <w:contextualSpacing/>
        <w:sectPr w:rsidR="0025163B" w:rsidRPr="00020288" w:rsidSect="0025163B">
          <w:headerReference w:type="even" r:id="rId76"/>
          <w:headerReference w:type="default" r:id="rId77"/>
          <w:footerReference w:type="even" r:id="rId78"/>
          <w:footerReference w:type="default" r:id="rId79"/>
          <w:headerReference w:type="first" r:id="rId80"/>
          <w:footerReference w:type="first" r:id="rId81"/>
          <w:type w:val="oddPage"/>
          <w:pgSz w:w="9979" w:h="14175" w:code="9"/>
          <w:pgMar w:top="567" w:right="1134" w:bottom="567" w:left="1134" w:header="709" w:footer="709" w:gutter="0"/>
          <w:cols w:space="708"/>
          <w:titlePg/>
          <w:docGrid w:linePitch="360"/>
        </w:sectPr>
      </w:pPr>
    </w:p>
    <w:p w14:paraId="13084332" w14:textId="75876888" w:rsidR="0025163B" w:rsidRPr="0073326A" w:rsidRDefault="000C23B6" w:rsidP="00777A92">
      <w:pPr>
        <w:pStyle w:val="Chapterheading"/>
        <w:rPr>
          <w:rFonts w:hint="eastAsia"/>
        </w:rPr>
      </w:pPr>
      <w:bookmarkStart w:id="203" w:name="_Toc183417103"/>
      <w:bookmarkStart w:id="204" w:name="_Toc183786664"/>
      <w:r>
        <w:lastRenderedPageBreak/>
        <w:t>Corporate structures</w:t>
      </w:r>
      <w:bookmarkEnd w:id="203"/>
      <w:bookmarkEnd w:id="204"/>
    </w:p>
    <w:p w14:paraId="3F6348AA" w14:textId="776E1B1F" w:rsidR="007136C1" w:rsidRDefault="007136C1" w:rsidP="007136C1">
      <w:pPr>
        <w:pStyle w:val="TOCHeading"/>
      </w:pPr>
      <w:bookmarkStart w:id="205" w:name="Chapter6"/>
      <w:r>
        <w:t xml:space="preserve">Table of Contents: </w:t>
      </w:r>
    </w:p>
    <w:p w14:paraId="1FF10CBE" w14:textId="246AC96C" w:rsidR="0096460F" w:rsidRDefault="007136C1">
      <w:pPr>
        <w:pStyle w:val="TOC2"/>
        <w:rPr>
          <w:rFonts w:asciiTheme="minorHAnsi" w:eastAsiaTheme="minorEastAsia" w:hAnsiTheme="minorHAnsi"/>
          <w:kern w:val="2"/>
          <w:sz w:val="22"/>
          <w:lang w:eastAsia="en-AU"/>
          <w14:ligatures w14:val="standardContextual"/>
        </w:rPr>
      </w:pPr>
      <w:r>
        <w:fldChar w:fldCharType="begin"/>
      </w:r>
      <w:r>
        <w:instrText xml:space="preserve"> TOC \o "1-3" \z  \B Chapter6</w:instrText>
      </w:r>
      <w:r>
        <w:fldChar w:fldCharType="separate"/>
      </w:r>
      <w:r w:rsidR="0096460F">
        <w:t>Outline of chapter</w:t>
      </w:r>
      <w:r w:rsidR="0096460F">
        <w:rPr>
          <w:webHidden/>
        </w:rPr>
        <w:tab/>
      </w:r>
      <w:r w:rsidR="0096460F">
        <w:rPr>
          <w:webHidden/>
        </w:rPr>
        <w:fldChar w:fldCharType="begin"/>
      </w:r>
      <w:r w:rsidR="0096460F">
        <w:rPr>
          <w:webHidden/>
        </w:rPr>
        <w:instrText xml:space="preserve"> PAGEREF _Toc185503009 \h </w:instrText>
      </w:r>
      <w:r w:rsidR="0096460F">
        <w:rPr>
          <w:webHidden/>
        </w:rPr>
      </w:r>
      <w:r w:rsidR="0096460F">
        <w:rPr>
          <w:webHidden/>
        </w:rPr>
        <w:fldChar w:fldCharType="separate"/>
      </w:r>
      <w:r w:rsidR="009D6D0D">
        <w:rPr>
          <w:webHidden/>
        </w:rPr>
        <w:t>121</w:t>
      </w:r>
      <w:r w:rsidR="0096460F">
        <w:rPr>
          <w:webHidden/>
        </w:rPr>
        <w:fldChar w:fldCharType="end"/>
      </w:r>
    </w:p>
    <w:p w14:paraId="7D829B61" w14:textId="23B11FD1" w:rsidR="0096460F" w:rsidRDefault="0096460F">
      <w:pPr>
        <w:pStyle w:val="TOC2"/>
        <w:rPr>
          <w:rFonts w:asciiTheme="minorHAnsi" w:eastAsiaTheme="minorEastAsia" w:hAnsiTheme="minorHAnsi"/>
          <w:kern w:val="2"/>
          <w:sz w:val="22"/>
          <w:lang w:eastAsia="en-AU"/>
          <w14:ligatures w14:val="standardContextual"/>
        </w:rPr>
      </w:pPr>
      <w:r>
        <w:t>Detailed explanation of new law</w:t>
      </w:r>
      <w:r>
        <w:rPr>
          <w:webHidden/>
        </w:rPr>
        <w:tab/>
      </w:r>
      <w:r>
        <w:rPr>
          <w:webHidden/>
        </w:rPr>
        <w:fldChar w:fldCharType="begin"/>
      </w:r>
      <w:r>
        <w:rPr>
          <w:webHidden/>
        </w:rPr>
        <w:instrText xml:space="preserve"> PAGEREF _Toc185503010 \h </w:instrText>
      </w:r>
      <w:r>
        <w:rPr>
          <w:webHidden/>
        </w:rPr>
      </w:r>
      <w:r>
        <w:rPr>
          <w:webHidden/>
        </w:rPr>
        <w:fldChar w:fldCharType="separate"/>
      </w:r>
      <w:r w:rsidR="009D6D0D">
        <w:rPr>
          <w:webHidden/>
        </w:rPr>
        <w:t>121</w:t>
      </w:r>
      <w:r>
        <w:rPr>
          <w:webHidden/>
        </w:rPr>
        <w:fldChar w:fldCharType="end"/>
      </w:r>
    </w:p>
    <w:p w14:paraId="168FC796" w14:textId="70C626D1"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Mergers and demergers</w:t>
      </w:r>
      <w:r>
        <w:rPr>
          <w:noProof/>
          <w:webHidden/>
        </w:rPr>
        <w:tab/>
      </w:r>
      <w:r>
        <w:rPr>
          <w:noProof/>
          <w:webHidden/>
        </w:rPr>
        <w:fldChar w:fldCharType="begin"/>
      </w:r>
      <w:r>
        <w:rPr>
          <w:noProof/>
          <w:webHidden/>
        </w:rPr>
        <w:instrText xml:space="preserve"> PAGEREF _Toc185503011 \h </w:instrText>
      </w:r>
      <w:r>
        <w:rPr>
          <w:noProof/>
          <w:webHidden/>
        </w:rPr>
      </w:r>
      <w:r>
        <w:rPr>
          <w:noProof/>
          <w:webHidden/>
        </w:rPr>
        <w:fldChar w:fldCharType="separate"/>
      </w:r>
      <w:r w:rsidR="009D6D0D">
        <w:rPr>
          <w:noProof/>
          <w:webHidden/>
        </w:rPr>
        <w:t>121</w:t>
      </w:r>
      <w:r>
        <w:rPr>
          <w:noProof/>
          <w:webHidden/>
        </w:rPr>
        <w:fldChar w:fldCharType="end"/>
      </w:r>
    </w:p>
    <w:p w14:paraId="24E875F9" w14:textId="3B39237F"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Transfers of Ownership Interests</w:t>
      </w:r>
      <w:r>
        <w:rPr>
          <w:noProof/>
          <w:webHidden/>
        </w:rPr>
        <w:tab/>
      </w:r>
      <w:r>
        <w:rPr>
          <w:noProof/>
          <w:webHidden/>
        </w:rPr>
        <w:fldChar w:fldCharType="begin"/>
      </w:r>
      <w:r>
        <w:rPr>
          <w:noProof/>
          <w:webHidden/>
        </w:rPr>
        <w:instrText xml:space="preserve"> PAGEREF _Toc185503012 \h </w:instrText>
      </w:r>
      <w:r>
        <w:rPr>
          <w:noProof/>
          <w:webHidden/>
        </w:rPr>
      </w:r>
      <w:r>
        <w:rPr>
          <w:noProof/>
          <w:webHidden/>
        </w:rPr>
        <w:fldChar w:fldCharType="separate"/>
      </w:r>
      <w:r w:rsidR="009D6D0D">
        <w:rPr>
          <w:noProof/>
          <w:webHidden/>
        </w:rPr>
        <w:t>123</w:t>
      </w:r>
      <w:r>
        <w:rPr>
          <w:noProof/>
          <w:webHidden/>
        </w:rPr>
        <w:fldChar w:fldCharType="end"/>
      </w:r>
    </w:p>
    <w:p w14:paraId="050298F1" w14:textId="7AFD9637"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Transfer of Ownership Interests treated as transfer of assets and liabilities</w:t>
      </w:r>
      <w:r>
        <w:rPr>
          <w:noProof/>
          <w:webHidden/>
        </w:rPr>
        <w:tab/>
      </w:r>
      <w:r>
        <w:rPr>
          <w:noProof/>
          <w:webHidden/>
        </w:rPr>
        <w:fldChar w:fldCharType="begin"/>
      </w:r>
      <w:r>
        <w:rPr>
          <w:noProof/>
          <w:webHidden/>
        </w:rPr>
        <w:instrText xml:space="preserve"> PAGEREF _Toc185503013 \h </w:instrText>
      </w:r>
      <w:r>
        <w:rPr>
          <w:noProof/>
          <w:webHidden/>
        </w:rPr>
      </w:r>
      <w:r>
        <w:rPr>
          <w:noProof/>
          <w:webHidden/>
        </w:rPr>
        <w:fldChar w:fldCharType="separate"/>
      </w:r>
      <w:r w:rsidR="009D6D0D">
        <w:rPr>
          <w:noProof/>
          <w:webHidden/>
        </w:rPr>
        <w:t>126</w:t>
      </w:r>
      <w:r>
        <w:rPr>
          <w:noProof/>
          <w:webHidden/>
        </w:rPr>
        <w:fldChar w:fldCharType="end"/>
      </w:r>
    </w:p>
    <w:p w14:paraId="4FB213F7" w14:textId="4C0BE67E"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Transfer of assets and liabilities</w:t>
      </w:r>
      <w:r>
        <w:rPr>
          <w:noProof/>
          <w:webHidden/>
        </w:rPr>
        <w:tab/>
      </w:r>
      <w:r>
        <w:rPr>
          <w:noProof/>
          <w:webHidden/>
        </w:rPr>
        <w:fldChar w:fldCharType="begin"/>
      </w:r>
      <w:r>
        <w:rPr>
          <w:noProof/>
          <w:webHidden/>
        </w:rPr>
        <w:instrText xml:space="preserve"> PAGEREF _Toc185503014 \h </w:instrText>
      </w:r>
      <w:r>
        <w:rPr>
          <w:noProof/>
          <w:webHidden/>
        </w:rPr>
      </w:r>
      <w:r>
        <w:rPr>
          <w:noProof/>
          <w:webHidden/>
        </w:rPr>
        <w:fldChar w:fldCharType="separate"/>
      </w:r>
      <w:r w:rsidR="009D6D0D">
        <w:rPr>
          <w:noProof/>
          <w:webHidden/>
        </w:rPr>
        <w:t>128</w:t>
      </w:r>
      <w:r>
        <w:rPr>
          <w:noProof/>
          <w:webHidden/>
        </w:rPr>
        <w:fldChar w:fldCharType="end"/>
      </w:r>
    </w:p>
    <w:p w14:paraId="7DB4D054" w14:textId="44F18DEE"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Joint Ventures</w:t>
      </w:r>
      <w:r>
        <w:rPr>
          <w:noProof/>
          <w:webHidden/>
        </w:rPr>
        <w:tab/>
      </w:r>
      <w:r>
        <w:rPr>
          <w:noProof/>
          <w:webHidden/>
        </w:rPr>
        <w:fldChar w:fldCharType="begin"/>
      </w:r>
      <w:r>
        <w:rPr>
          <w:noProof/>
          <w:webHidden/>
        </w:rPr>
        <w:instrText xml:space="preserve"> PAGEREF _Toc185503015 \h </w:instrText>
      </w:r>
      <w:r>
        <w:rPr>
          <w:noProof/>
          <w:webHidden/>
        </w:rPr>
      </w:r>
      <w:r>
        <w:rPr>
          <w:noProof/>
          <w:webHidden/>
        </w:rPr>
        <w:fldChar w:fldCharType="separate"/>
      </w:r>
      <w:r w:rsidR="009D6D0D">
        <w:rPr>
          <w:noProof/>
          <w:webHidden/>
        </w:rPr>
        <w:t>133</w:t>
      </w:r>
      <w:r>
        <w:rPr>
          <w:noProof/>
          <w:webHidden/>
        </w:rPr>
        <w:fldChar w:fldCharType="end"/>
      </w:r>
    </w:p>
    <w:p w14:paraId="1CA93269" w14:textId="58648C67"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Multi-Parented MNE Groups</w:t>
      </w:r>
      <w:r>
        <w:rPr>
          <w:noProof/>
          <w:webHidden/>
        </w:rPr>
        <w:tab/>
      </w:r>
      <w:r>
        <w:rPr>
          <w:noProof/>
          <w:webHidden/>
        </w:rPr>
        <w:fldChar w:fldCharType="begin"/>
      </w:r>
      <w:r>
        <w:rPr>
          <w:noProof/>
          <w:webHidden/>
        </w:rPr>
        <w:instrText xml:space="preserve"> PAGEREF _Toc185503016 \h </w:instrText>
      </w:r>
      <w:r>
        <w:rPr>
          <w:noProof/>
          <w:webHidden/>
        </w:rPr>
      </w:r>
      <w:r>
        <w:rPr>
          <w:noProof/>
          <w:webHidden/>
        </w:rPr>
        <w:fldChar w:fldCharType="separate"/>
      </w:r>
      <w:r w:rsidR="009D6D0D">
        <w:rPr>
          <w:noProof/>
          <w:webHidden/>
        </w:rPr>
        <w:t>134</w:t>
      </w:r>
      <w:r>
        <w:rPr>
          <w:noProof/>
          <w:webHidden/>
        </w:rPr>
        <w:fldChar w:fldCharType="end"/>
      </w:r>
    </w:p>
    <w:p w14:paraId="7CC55E6E" w14:textId="25CF19D6" w:rsidR="0025163B" w:rsidRPr="00020288" w:rsidRDefault="007136C1" w:rsidP="007136C1">
      <w:r>
        <w:fldChar w:fldCharType="end"/>
      </w:r>
    </w:p>
    <w:p w14:paraId="2D384949" w14:textId="77777777" w:rsidR="0025163B" w:rsidRPr="00020288" w:rsidRDefault="0025163B" w:rsidP="005D0844">
      <w:pPr>
        <w:pStyle w:val="Heading2"/>
        <w:rPr>
          <w:rFonts w:hint="eastAsia"/>
        </w:rPr>
      </w:pPr>
      <w:bookmarkStart w:id="206" w:name="_Toc183786665"/>
      <w:bookmarkStart w:id="207" w:name="_Toc185503009"/>
      <w:r w:rsidRPr="00020288">
        <w:t xml:space="preserve">Outline </w:t>
      </w:r>
      <w:r w:rsidRPr="005D0844">
        <w:t>of</w:t>
      </w:r>
      <w:r w:rsidRPr="00020288">
        <w:t xml:space="preserve"> chapter</w:t>
      </w:r>
      <w:bookmarkEnd w:id="206"/>
      <w:bookmarkEnd w:id="207"/>
    </w:p>
    <w:p w14:paraId="4CBDB502" w14:textId="337A75AD" w:rsidR="00C3512F" w:rsidRDefault="00C3512F" w:rsidP="00C3512F">
      <w:pPr>
        <w:pStyle w:val="Normalparatextwithnumbers"/>
      </w:pPr>
      <w:r>
        <w:t>Chapter 6 of the Rules sets out special rules for acquisitions and disposal of ownership interests or assets as well as the application of the Rules to certain holding structures</w:t>
      </w:r>
      <w:r w:rsidR="00D464C3">
        <w:t>, including</w:t>
      </w:r>
      <w:r>
        <w:t xml:space="preserve"> JVs, stapled structures and dual</w:t>
      </w:r>
      <w:r>
        <w:noBreakHyphen/>
        <w:t xml:space="preserve">listed arrangements. </w:t>
      </w:r>
    </w:p>
    <w:p w14:paraId="0D6A886C" w14:textId="77777777" w:rsidR="0025163B" w:rsidRPr="00020288" w:rsidRDefault="0025163B" w:rsidP="0025163B">
      <w:pPr>
        <w:pStyle w:val="Heading2"/>
        <w:numPr>
          <w:ilvl w:val="1"/>
          <w:numId w:val="2"/>
        </w:numPr>
        <w:tabs>
          <w:tab w:val="num" w:pos="567"/>
        </w:tabs>
        <w:ind w:left="567" w:hanging="567"/>
        <w:rPr>
          <w:rFonts w:hint="eastAsia"/>
        </w:rPr>
      </w:pPr>
      <w:bookmarkStart w:id="208" w:name="_Toc183786666"/>
      <w:bookmarkStart w:id="209" w:name="_Toc185503010"/>
      <w:r w:rsidRPr="00020288">
        <w:t>Detailed explanation of new law</w:t>
      </w:r>
      <w:bookmarkEnd w:id="208"/>
      <w:bookmarkEnd w:id="209"/>
    </w:p>
    <w:p w14:paraId="4C0EDE2A" w14:textId="467CF784" w:rsidR="00E57CA7" w:rsidRDefault="00E57CA7" w:rsidP="00E57CA7">
      <w:pPr>
        <w:pStyle w:val="Heading3"/>
        <w:rPr>
          <w:rFonts w:hint="eastAsia"/>
        </w:rPr>
      </w:pPr>
      <w:bookmarkStart w:id="210" w:name="_Toc159845286"/>
      <w:bookmarkStart w:id="211" w:name="_Toc160641341"/>
      <w:bookmarkStart w:id="212" w:name="_Toc160726344"/>
      <w:bookmarkStart w:id="213" w:name="_Toc181104526"/>
      <w:bookmarkStart w:id="214" w:name="_Toc181104540"/>
      <w:bookmarkStart w:id="215" w:name="_Toc183786667"/>
      <w:bookmarkStart w:id="216" w:name="_Toc185503011"/>
      <w:r>
        <w:t xml:space="preserve">Mergers and </w:t>
      </w:r>
      <w:bookmarkEnd w:id="210"/>
      <w:bookmarkEnd w:id="211"/>
      <w:bookmarkEnd w:id="212"/>
      <w:bookmarkEnd w:id="213"/>
      <w:bookmarkEnd w:id="214"/>
      <w:bookmarkEnd w:id="215"/>
      <w:r w:rsidR="00377CFA">
        <w:t>d</w:t>
      </w:r>
      <w:r>
        <w:t>emergers</w:t>
      </w:r>
      <w:bookmarkEnd w:id="216"/>
      <w:r>
        <w:t xml:space="preserve"> </w:t>
      </w:r>
    </w:p>
    <w:p w14:paraId="1ED7DA18" w14:textId="743FE3E3" w:rsidR="006C16EF" w:rsidRDefault="006C16EF" w:rsidP="00E57CA7">
      <w:pPr>
        <w:numPr>
          <w:ilvl w:val="1"/>
          <w:numId w:val="4"/>
        </w:numPr>
      </w:pPr>
      <w:r>
        <w:t>Generally, the GloBE regime is based on a steady state that assume</w:t>
      </w:r>
      <w:r w:rsidR="003B0271">
        <w:t>s</w:t>
      </w:r>
      <w:r>
        <w:t xml:space="preserve"> the MNE Group is comprised of the same Constituent Entities through the entire Fiscal Year. </w:t>
      </w:r>
      <w:r w:rsidR="00AD4A79">
        <w:t>T</w:t>
      </w:r>
      <w:r w:rsidR="00B505A1">
        <w:t xml:space="preserve">he Rules are modified or clarified to ensure the appropriate outcomes </w:t>
      </w:r>
      <w:r w:rsidR="00AE7B48">
        <w:t xml:space="preserve">for both the </w:t>
      </w:r>
      <w:r w:rsidR="00144E7E" w:rsidRPr="00101F1B">
        <w:rPr>
          <w:bCs/>
          <w:iCs/>
        </w:rPr>
        <w:t>acquiring MNE Group</w:t>
      </w:r>
      <w:r w:rsidR="00AE7B48">
        <w:t xml:space="preserve"> and the </w:t>
      </w:r>
      <w:r w:rsidR="00E701CB">
        <w:t xml:space="preserve">disposing </w:t>
      </w:r>
      <w:r w:rsidR="000C09DD" w:rsidRPr="00101F1B">
        <w:rPr>
          <w:bCs/>
          <w:iCs/>
        </w:rPr>
        <w:t>MNE Group</w:t>
      </w:r>
      <w:r w:rsidR="00D56FE7">
        <w:rPr>
          <w:bCs/>
          <w:iCs/>
        </w:rPr>
        <w:t xml:space="preserve"> (defined in the paragraphs below)</w:t>
      </w:r>
      <w:r w:rsidR="00AE7B48" w:rsidRPr="00101F1B">
        <w:rPr>
          <w:bCs/>
          <w:iCs/>
        </w:rPr>
        <w:t>.</w:t>
      </w:r>
    </w:p>
    <w:p w14:paraId="716DBD9B" w14:textId="3A0A23DD" w:rsidR="00E57CA7" w:rsidRDefault="001B4393" w:rsidP="00B7652D">
      <w:pPr>
        <w:keepNext/>
        <w:keepLines/>
        <w:numPr>
          <w:ilvl w:val="1"/>
          <w:numId w:val="4"/>
        </w:numPr>
        <w:ind w:left="706" w:hanging="706"/>
      </w:pPr>
      <w:r>
        <w:lastRenderedPageBreak/>
        <w:t>F</w:t>
      </w:r>
      <w:r w:rsidR="00E57CA7">
        <w:t xml:space="preserve">or MNE Groups that merge or demerge during a </w:t>
      </w:r>
      <w:r w:rsidR="00AD3C89">
        <w:t>Fiscal Year</w:t>
      </w:r>
      <w:r w:rsidR="00C254EF">
        <w:t>,</w:t>
      </w:r>
      <w:r w:rsidR="00E57CA7">
        <w:t xml:space="preserve"> </w:t>
      </w:r>
      <w:r>
        <w:t xml:space="preserve">the GloBE Threshold is modified </w:t>
      </w:r>
      <w:r w:rsidR="00E57CA7">
        <w:t>to determine whether the GloBE Threshold for those MNE Groups has been met</w:t>
      </w:r>
      <w:r>
        <w:t>, see</w:t>
      </w:r>
      <w:r w:rsidR="00E57CA7">
        <w:t xml:space="preserve"> </w:t>
      </w:r>
      <w:r w:rsidR="005303CC">
        <w:t xml:space="preserve">paragraphs 19 to </w:t>
      </w:r>
      <w:r w:rsidR="00DA3635">
        <w:t>40</w:t>
      </w:r>
      <w:r w:rsidR="005303CC">
        <w:t xml:space="preserve"> on pages 175 to </w:t>
      </w:r>
      <w:r w:rsidR="00DA3635">
        <w:t>179</w:t>
      </w:r>
      <w:r w:rsidR="005303CC">
        <w:t xml:space="preserve"> of the Consolidated Commentary.</w:t>
      </w:r>
    </w:p>
    <w:p w14:paraId="1A0FE709" w14:textId="77777777" w:rsidR="00E57CA7" w:rsidRPr="000A462C" w:rsidRDefault="00E57CA7" w:rsidP="00E57CA7">
      <w:pPr>
        <w:pStyle w:val="Heading6"/>
        <w:rPr>
          <w:rFonts w:hint="eastAsia"/>
        </w:rPr>
      </w:pPr>
      <w:r w:rsidRPr="000A462C">
        <w:t xml:space="preserve">Mergers </w:t>
      </w:r>
    </w:p>
    <w:p w14:paraId="6F1F0455" w14:textId="478C41AC" w:rsidR="00E57CA7" w:rsidRDefault="002667F9" w:rsidP="00E57CA7">
      <w:pPr>
        <w:numPr>
          <w:ilvl w:val="1"/>
          <w:numId w:val="4"/>
        </w:numPr>
      </w:pPr>
      <w:r>
        <w:t xml:space="preserve">Where </w:t>
      </w:r>
      <w:r w:rsidR="00EC10C7">
        <w:t>two</w:t>
      </w:r>
      <w:r w:rsidR="00FC72D4">
        <w:t xml:space="preserve"> or more Groups merge into a single Group, p</w:t>
      </w:r>
      <w:r w:rsidR="00E57CA7">
        <w:t xml:space="preserve">aragraph 12(1)(b) of the Assessment Act empowers the Rules to specify merger conditions for the purposes of meeting the definition of an </w:t>
      </w:r>
      <w:r w:rsidR="00E60EA4">
        <w:t>A</w:t>
      </w:r>
      <w:r w:rsidR="00E57CA7">
        <w:t xml:space="preserve">pplicable MNE Group. </w:t>
      </w:r>
      <w:r w:rsidR="00A6613B">
        <w:t>More specifically,</w:t>
      </w:r>
      <w:r w:rsidR="00E57CA7">
        <w:t xml:space="preserve"> </w:t>
      </w:r>
      <w:r w:rsidR="00A6613B">
        <w:t>a</w:t>
      </w:r>
      <w:r w:rsidR="00E57CA7">
        <w:t xml:space="preserve"> merger, in relation to an Applicable MNE Group, is any arrangement under which: </w:t>
      </w:r>
    </w:p>
    <w:p w14:paraId="13F61656" w14:textId="77777777" w:rsidR="00E57CA7" w:rsidRDefault="00E57CA7" w:rsidP="00B7652D">
      <w:pPr>
        <w:pStyle w:val="Dotpoint1"/>
      </w:pPr>
      <w:r>
        <w:t xml:space="preserve">all </w:t>
      </w:r>
      <w:r w:rsidRPr="0014139D">
        <w:t xml:space="preserve">or substantially all </w:t>
      </w:r>
      <w:r>
        <w:t>of the Group Entities of two or more Groups;</w:t>
      </w:r>
    </w:p>
    <w:p w14:paraId="62C3929E" w14:textId="77777777" w:rsidR="00E57CA7" w:rsidRDefault="00E57CA7" w:rsidP="00B7652D">
      <w:pPr>
        <w:pStyle w:val="Dotpoint1"/>
      </w:pPr>
      <w:r>
        <w:t xml:space="preserve">all (or substantially all) of the Group Entities of a Group, or two or more separate Groups, together with one or more Entities; or </w:t>
      </w:r>
    </w:p>
    <w:p w14:paraId="03DCAC24" w14:textId="77777777" w:rsidR="00E57CA7" w:rsidRDefault="00E57CA7" w:rsidP="00B7652D">
      <w:pPr>
        <w:pStyle w:val="Dotpoint1"/>
      </w:pPr>
      <w:r>
        <w:t>an Entity that is not a member of any Group, together with one or more other Entities or Groups,</w:t>
      </w:r>
    </w:p>
    <w:p w14:paraId="43C49467" w14:textId="250AA8BA" w:rsidR="00E57CA7" w:rsidRDefault="00E57CA7" w:rsidP="00E57CA7">
      <w:pPr>
        <w:pStyle w:val="Normalparatextwithnumbers"/>
        <w:numPr>
          <w:ilvl w:val="0"/>
          <w:numId w:val="0"/>
        </w:numPr>
        <w:ind w:left="709"/>
      </w:pPr>
      <w:r>
        <w:t xml:space="preserve">are brought under common control such that they are Group Entities of one Group. </w:t>
      </w:r>
      <w:r w:rsidRPr="000A462C">
        <w:br/>
      </w:r>
      <w:r w:rsidRPr="000A462C">
        <w:rPr>
          <w:b/>
          <w:bCs/>
          <w:i/>
          <w:iCs/>
        </w:rPr>
        <w:t xml:space="preserve">[Chapter 6, </w:t>
      </w:r>
      <w:r>
        <w:rPr>
          <w:b/>
          <w:i/>
        </w:rPr>
        <w:t>sub</w:t>
      </w:r>
      <w:r w:rsidRPr="000A462C">
        <w:rPr>
          <w:b/>
          <w:i/>
        </w:rPr>
        <w:t>section</w:t>
      </w:r>
      <w:r>
        <w:rPr>
          <w:b/>
          <w:i/>
        </w:rPr>
        <w:t>s</w:t>
      </w:r>
      <w:r w:rsidRPr="000A462C">
        <w:rPr>
          <w:b/>
          <w:bCs/>
          <w:i/>
          <w:iCs/>
        </w:rPr>
        <w:t xml:space="preserve"> 6-</w:t>
      </w:r>
      <w:r>
        <w:rPr>
          <w:b/>
          <w:bCs/>
          <w:i/>
          <w:iCs/>
        </w:rPr>
        <w:t>5(1) and (4)</w:t>
      </w:r>
      <w:r w:rsidRPr="000A462C">
        <w:rPr>
          <w:b/>
          <w:bCs/>
          <w:i/>
          <w:iCs/>
        </w:rPr>
        <w:t xml:space="preserve"> of </w:t>
      </w:r>
      <w:r>
        <w:rPr>
          <w:b/>
          <w:bCs/>
          <w:i/>
          <w:iCs/>
        </w:rPr>
        <w:t>the Rules</w:t>
      </w:r>
      <w:r w:rsidRPr="000A462C">
        <w:rPr>
          <w:b/>
          <w:bCs/>
          <w:i/>
          <w:iCs/>
        </w:rPr>
        <w:t>]</w:t>
      </w:r>
    </w:p>
    <w:p w14:paraId="677E1D84" w14:textId="77777777" w:rsidR="00E57CA7" w:rsidRDefault="00E57CA7" w:rsidP="00E57CA7">
      <w:pPr>
        <w:pStyle w:val="Normalparatextwithnumbers"/>
        <w:numPr>
          <w:ilvl w:val="1"/>
          <w:numId w:val="16"/>
        </w:numPr>
      </w:pPr>
      <w:r>
        <w:t>A Group is an Applicable MNE Group in a Fiscal Year (the test year) if it was formed when:</w:t>
      </w:r>
    </w:p>
    <w:p w14:paraId="6C3F3295" w14:textId="77777777" w:rsidR="00E57CA7" w:rsidRPr="00AE0F7F" w:rsidRDefault="00E57CA7" w:rsidP="00B7652D">
      <w:pPr>
        <w:pStyle w:val="Dotpoint1"/>
      </w:pPr>
      <w:r w:rsidRPr="00AE0F7F">
        <w:t xml:space="preserve">two or more Groups merged to form this Group and the sum of the revenue included in the </w:t>
      </w:r>
      <w:r>
        <w:t>CFS</w:t>
      </w:r>
      <w:r w:rsidRPr="00AE0F7F">
        <w:t xml:space="preserve"> of each of the pre-merger Groups is at least EUR 750 million in any year prior to the merger; or </w:t>
      </w:r>
    </w:p>
    <w:p w14:paraId="4F8471F8" w14:textId="362334EE" w:rsidR="00E57CA7" w:rsidRPr="00AE0F7F" w:rsidRDefault="00E57CA7" w:rsidP="00B7652D">
      <w:pPr>
        <w:pStyle w:val="Dotpoint1"/>
      </w:pPr>
      <w:r w:rsidRPr="00AE0F7F">
        <w:t xml:space="preserve">one or more Entities that are not part of a Group merged with one or more Entities or Groups, and the sum of the revenue included in the financial statements or </w:t>
      </w:r>
      <w:r>
        <w:t>CFS</w:t>
      </w:r>
      <w:r w:rsidRPr="00AE0F7F">
        <w:t xml:space="preserve"> (as the case may be) in each of the pre-merger Entities or Groups is at least EUR 750 million in two of the four Fiscal Years immediately preceding the test year.</w:t>
      </w:r>
      <w:r w:rsidR="006B26C1">
        <w:br/>
      </w:r>
      <w:r w:rsidR="006B26C1">
        <w:rPr>
          <w:rStyle w:val="References"/>
        </w:rPr>
        <w:t>[Chapter 6, subsection 6-5(2) of the Rules]</w:t>
      </w:r>
    </w:p>
    <w:p w14:paraId="27150A0B" w14:textId="4CC6A5D8" w:rsidR="00E57CA7" w:rsidRPr="000A462C" w:rsidRDefault="00E57CA7" w:rsidP="00E57CA7">
      <w:pPr>
        <w:pStyle w:val="Normalparatextwithnumbers"/>
        <w:numPr>
          <w:ilvl w:val="1"/>
          <w:numId w:val="16"/>
        </w:numPr>
      </w:pPr>
      <w:r w:rsidRPr="00CE14AF">
        <w:rPr>
          <w:rFonts w:cs="Times New Roman"/>
          <w:iCs/>
        </w:rPr>
        <w:t>The merger</w:t>
      </w:r>
      <w:r w:rsidRPr="00CE14AF">
        <w:rPr>
          <w:rFonts w:cs="Times New Roman"/>
        </w:rPr>
        <w:t xml:space="preserve"> </w:t>
      </w:r>
      <w:r w:rsidRPr="00CE14AF">
        <w:rPr>
          <w:rFonts w:cs="Times New Roman"/>
          <w:iCs/>
        </w:rPr>
        <w:t xml:space="preserve">definition requires that “all or substantially all” of the Entities that are the members of the separate Groups become members of the </w:t>
      </w:r>
      <w:r w:rsidRPr="00CE14AF" w:rsidDel="00B06D84">
        <w:rPr>
          <w:rFonts w:cs="Times New Roman"/>
          <w:iCs/>
        </w:rPr>
        <w:t xml:space="preserve">merged </w:t>
      </w:r>
      <w:r w:rsidRPr="00CE14AF">
        <w:rPr>
          <w:rFonts w:cs="Times New Roman"/>
          <w:iCs/>
        </w:rPr>
        <w:t>Group. It would not apply, for example, where a Group sells all the Entities that make a business division unless that division represented virtually all the business of the selling Group.</w:t>
      </w:r>
    </w:p>
    <w:p w14:paraId="6D2EFE64" w14:textId="427A587C" w:rsidR="00E57CA7" w:rsidRDefault="00E57CA7" w:rsidP="00E57CA7">
      <w:pPr>
        <w:numPr>
          <w:ilvl w:val="1"/>
          <w:numId w:val="4"/>
        </w:numPr>
      </w:pPr>
      <w:r>
        <w:t>In determining whether a merged Group is an Applicable MNE Group in the test year, the following amounts for an accounting period ending within a Fiscal Year in the test period are included in the merged Group’s annual revenue for the Fiscal Year, regardless of whether the merged Group existed in the Fiscal Year:</w:t>
      </w:r>
    </w:p>
    <w:p w14:paraId="3EE23D96" w14:textId="77777777" w:rsidR="00E57CA7" w:rsidRDefault="00E57CA7" w:rsidP="00B7652D">
      <w:pPr>
        <w:pStyle w:val="Dotpoint1"/>
      </w:pPr>
      <w:r>
        <w:lastRenderedPageBreak/>
        <w:t>for mergers of two or more Groups:</w:t>
      </w:r>
    </w:p>
    <w:p w14:paraId="086175B1" w14:textId="77777777" w:rsidR="00E57CA7" w:rsidRDefault="00E57CA7" w:rsidP="001243A6">
      <w:pPr>
        <w:pStyle w:val="dotpoint2"/>
        <w:tabs>
          <w:tab w:val="clear" w:pos="1513"/>
          <w:tab w:val="clear" w:pos="2127"/>
        </w:tabs>
        <w:ind w:left="2127" w:hanging="709"/>
      </w:pPr>
      <w:r>
        <w:t>each amount of annual revenue in the CFS of the UPE of a pre</w:t>
      </w:r>
      <w:r>
        <w:noBreakHyphen/>
        <w:t>merger Group;</w:t>
      </w:r>
    </w:p>
    <w:p w14:paraId="1DECC4BF" w14:textId="77777777" w:rsidR="00E57CA7" w:rsidRDefault="00E57CA7" w:rsidP="00B7652D">
      <w:pPr>
        <w:pStyle w:val="Dotpoint1"/>
      </w:pPr>
      <w:r>
        <w:t>for an Entity that is not part of a Group, that acquires or merges with one or more Entities or Groups:</w:t>
      </w:r>
    </w:p>
    <w:p w14:paraId="1F4484C4" w14:textId="77777777" w:rsidR="00E57CA7" w:rsidRDefault="00E57CA7" w:rsidP="00B7652D">
      <w:pPr>
        <w:pStyle w:val="dotpoint2"/>
        <w:tabs>
          <w:tab w:val="clear" w:pos="1513"/>
          <w:tab w:val="clear" w:pos="2127"/>
        </w:tabs>
        <w:ind w:left="2127" w:hanging="709"/>
      </w:pPr>
      <w:r>
        <w:t>the annual revenue amount in the financial accounts of the acquirer;</w:t>
      </w:r>
    </w:p>
    <w:p w14:paraId="22A62195" w14:textId="77777777" w:rsidR="00E57CA7" w:rsidRDefault="00E57CA7" w:rsidP="00B7652D">
      <w:pPr>
        <w:pStyle w:val="dotpoint2"/>
        <w:tabs>
          <w:tab w:val="clear" w:pos="1513"/>
          <w:tab w:val="clear" w:pos="2127"/>
        </w:tabs>
        <w:ind w:left="2127" w:hanging="709"/>
      </w:pPr>
      <w:r>
        <w:t>the annual revenue amount in the CFS of the UPE of the target (if the target is part of a Group for the Fiscal year);</w:t>
      </w:r>
    </w:p>
    <w:p w14:paraId="5A630474" w14:textId="77777777" w:rsidR="00E57CA7" w:rsidRPr="00B7652D" w:rsidRDefault="00E57CA7" w:rsidP="00B7652D">
      <w:pPr>
        <w:pStyle w:val="dotpoint2"/>
        <w:tabs>
          <w:tab w:val="clear" w:pos="1513"/>
          <w:tab w:val="clear" w:pos="2127"/>
        </w:tabs>
        <w:ind w:left="2127" w:hanging="709"/>
      </w:pPr>
      <w:r>
        <w:t>the annual revenue amount in the financial accounts of the target (if the target is not part of a Group for the Fiscal Year).</w:t>
      </w:r>
      <w:r>
        <w:br/>
      </w:r>
      <w:r w:rsidRPr="00B7652D">
        <w:t>[Chapter 6, subsection 6-5(3) of the Rules]</w:t>
      </w:r>
    </w:p>
    <w:p w14:paraId="23AEC03E" w14:textId="1961D795" w:rsidR="00E57CA7" w:rsidRPr="000A462C" w:rsidRDefault="00E57CA7" w:rsidP="00E57CA7">
      <w:pPr>
        <w:numPr>
          <w:ilvl w:val="1"/>
          <w:numId w:val="4"/>
        </w:numPr>
      </w:pPr>
      <w:r w:rsidRPr="000A462C">
        <w:t>The</w:t>
      </w:r>
      <w:r>
        <w:t xml:space="preserve"> G</w:t>
      </w:r>
      <w:r w:rsidRPr="000A462C">
        <w:t xml:space="preserve">roups may use </w:t>
      </w:r>
      <w:r>
        <w:t>separate</w:t>
      </w:r>
      <w:r w:rsidRPr="000A462C">
        <w:t xml:space="preserve"> financial statements to determine their combined revenue figure </w:t>
      </w:r>
      <w:r w:rsidR="00F00865" w:rsidRPr="000A462C">
        <w:t>if</w:t>
      </w:r>
      <w:r w:rsidRPr="000A462C">
        <w:t xml:space="preserve"> </w:t>
      </w:r>
      <w:r w:rsidR="00F00865">
        <w:t>a</w:t>
      </w:r>
      <w:r w:rsidRPr="000A462C">
        <w:t xml:space="preserve"> </w:t>
      </w:r>
      <w:r>
        <w:t>CFS</w:t>
      </w:r>
      <w:r w:rsidRPr="000A462C">
        <w:t xml:space="preserve"> were not prepared. </w:t>
      </w:r>
    </w:p>
    <w:p w14:paraId="0211C5CC" w14:textId="77777777" w:rsidR="00E57CA7" w:rsidRPr="000A462C" w:rsidRDefault="00E57CA7" w:rsidP="00E57CA7">
      <w:pPr>
        <w:pStyle w:val="Heading6"/>
        <w:rPr>
          <w:rFonts w:hint="eastAsia"/>
        </w:rPr>
      </w:pPr>
      <w:r w:rsidRPr="00AB0734">
        <w:t>Demergers</w:t>
      </w:r>
      <w:r w:rsidRPr="000A462C">
        <w:t xml:space="preserve"> </w:t>
      </w:r>
    </w:p>
    <w:p w14:paraId="7EDDCA38" w14:textId="4B25E018" w:rsidR="00E57CA7" w:rsidRPr="000A462C" w:rsidRDefault="00034A08" w:rsidP="00E57CA7">
      <w:pPr>
        <w:pStyle w:val="Normalparatextwithnumbers"/>
        <w:numPr>
          <w:ilvl w:val="1"/>
          <w:numId w:val="16"/>
        </w:numPr>
      </w:pPr>
      <w:r>
        <w:t xml:space="preserve">Where </w:t>
      </w:r>
      <w:r w:rsidR="00847BAD">
        <w:t>an MNE Group</w:t>
      </w:r>
      <w:r w:rsidR="00B22C9F">
        <w:t xml:space="preserve"> demerges</w:t>
      </w:r>
      <w:r>
        <w:t xml:space="preserve">, paragraph 12(1)(b) of the Assessment Act empowers the Rules to specify </w:t>
      </w:r>
      <w:r w:rsidR="002872A6">
        <w:t>de</w:t>
      </w:r>
      <w:r>
        <w:t xml:space="preserve">merger conditions for the purposes of meeting the definition of an Applicable MNE Group. </w:t>
      </w:r>
      <w:r w:rsidR="00E57CA7" w:rsidRPr="000A462C">
        <w:t>A demerger is where a single</w:t>
      </w:r>
      <w:r w:rsidR="00E57CA7">
        <w:t xml:space="preserve"> Applicable</w:t>
      </w:r>
      <w:r w:rsidR="00E57CA7" w:rsidRPr="000A462C">
        <w:t xml:space="preserve"> MNE </w:t>
      </w:r>
      <w:r w:rsidR="00E57CA7">
        <w:t>G</w:t>
      </w:r>
      <w:r w:rsidR="00E57CA7" w:rsidRPr="000A462C">
        <w:t xml:space="preserve">roup separates into two or more </w:t>
      </w:r>
      <w:r w:rsidR="00E57CA7">
        <w:t>G</w:t>
      </w:r>
      <w:r w:rsidR="00E57CA7" w:rsidRPr="000A462C">
        <w:t xml:space="preserve">roups that are no longer consolidated by the same </w:t>
      </w:r>
      <w:r w:rsidR="00E57CA7">
        <w:t>UPE.</w:t>
      </w:r>
      <w:r w:rsidR="00E57CA7" w:rsidRPr="000A462C">
        <w:t xml:space="preserve"> The revenue threshold test for demergers is </w:t>
      </w:r>
      <w:r w:rsidR="00E57CA7">
        <w:t>intended to ascertain whether a Group resulting from the demerger of the Applicable MNE Group, is an Applicable MNE Group and remains subject to the GloBE Rules</w:t>
      </w:r>
      <w:r w:rsidR="00E57CA7" w:rsidRPr="000A462C">
        <w:t xml:space="preserve">. </w:t>
      </w:r>
      <w:r w:rsidR="00E57CA7">
        <w:t>Unlike in mergers, the revenue threshold for demergers is applied prospectively by testing the future four years ending after the demerger.</w:t>
      </w:r>
      <w:r w:rsidR="00E57CA7" w:rsidRPr="000A462C">
        <w:br/>
      </w:r>
      <w:r w:rsidR="00E57CA7" w:rsidRPr="00F27BDC">
        <w:rPr>
          <w:b/>
          <w:bCs/>
          <w:i/>
          <w:iCs/>
        </w:rPr>
        <w:t>[Chapter 6, subsections 6-1</w:t>
      </w:r>
      <w:r w:rsidR="007C1D51">
        <w:rPr>
          <w:b/>
          <w:bCs/>
          <w:i/>
          <w:iCs/>
        </w:rPr>
        <w:t>0</w:t>
      </w:r>
      <w:r w:rsidR="00E57CA7" w:rsidRPr="00F27BDC">
        <w:rPr>
          <w:b/>
          <w:bCs/>
          <w:i/>
          <w:iCs/>
        </w:rPr>
        <w:t>(1) and (3) and of the Rules]</w:t>
      </w:r>
    </w:p>
    <w:p w14:paraId="1DA3BF82" w14:textId="600F3613" w:rsidR="00E57CA7" w:rsidRPr="00842434" w:rsidRDefault="00E57CA7" w:rsidP="00625E71">
      <w:pPr>
        <w:pStyle w:val="Normalparatextwithnumbers"/>
        <w:numPr>
          <w:ilvl w:val="1"/>
          <w:numId w:val="16"/>
        </w:numPr>
        <w:rPr>
          <w:rStyle w:val="References"/>
          <w:b w:val="0"/>
          <w:bCs w:val="0"/>
          <w:i w:val="0"/>
          <w:iCs w:val="0"/>
        </w:rPr>
      </w:pPr>
      <w:r>
        <w:t xml:space="preserve">A demerged </w:t>
      </w:r>
      <w:r w:rsidRPr="007D6320">
        <w:t xml:space="preserve">Group </w:t>
      </w:r>
      <w:r>
        <w:t xml:space="preserve">is an Applicable MNE Group </w:t>
      </w:r>
      <w:r w:rsidRPr="005C43BA">
        <w:t xml:space="preserve">if </w:t>
      </w:r>
      <w:r>
        <w:t>f</w:t>
      </w:r>
      <w:r w:rsidRPr="000A462C">
        <w:t xml:space="preserve">or the first year after the demerger, </w:t>
      </w:r>
      <w:r>
        <w:t xml:space="preserve">the </w:t>
      </w:r>
      <w:r w:rsidRPr="000A462C">
        <w:t xml:space="preserve">demerged </w:t>
      </w:r>
      <w:r>
        <w:t>G</w:t>
      </w:r>
      <w:r w:rsidRPr="000A462C">
        <w:t>roup has annual revenues of at least EUR 750 million,</w:t>
      </w:r>
      <w:r>
        <w:t xml:space="preserve"> and f</w:t>
      </w:r>
      <w:r w:rsidRPr="000A462C">
        <w:t xml:space="preserve">or the second to fourth years after the demerger, the demerged </w:t>
      </w:r>
      <w:r>
        <w:t>G</w:t>
      </w:r>
      <w:r w:rsidRPr="000A462C">
        <w:t>roup ha</w:t>
      </w:r>
      <w:r>
        <w:t>s</w:t>
      </w:r>
      <w:r w:rsidRPr="000A462C">
        <w:t xml:space="preserve"> at least EUR 750 million in any two years.</w:t>
      </w:r>
      <w:r w:rsidRPr="000A462C">
        <w:br/>
      </w:r>
      <w:r w:rsidRPr="000A462C">
        <w:rPr>
          <w:b/>
          <w:bCs/>
          <w:i/>
          <w:iCs/>
        </w:rPr>
        <w:t>[Chapter 6, subsection 6-</w:t>
      </w:r>
      <w:r>
        <w:rPr>
          <w:b/>
          <w:bCs/>
          <w:i/>
          <w:iCs/>
        </w:rPr>
        <w:t>1</w:t>
      </w:r>
      <w:r w:rsidR="007C1D51">
        <w:rPr>
          <w:b/>
          <w:bCs/>
          <w:i/>
          <w:iCs/>
        </w:rPr>
        <w:t>0</w:t>
      </w:r>
      <w:r w:rsidRPr="000A462C">
        <w:rPr>
          <w:b/>
          <w:bCs/>
          <w:i/>
          <w:iCs/>
        </w:rPr>
        <w:t xml:space="preserve">(2) of </w:t>
      </w:r>
      <w:r>
        <w:rPr>
          <w:b/>
          <w:bCs/>
          <w:i/>
          <w:iCs/>
        </w:rPr>
        <w:t>the Rules</w:t>
      </w:r>
      <w:r w:rsidRPr="000A462C">
        <w:rPr>
          <w:b/>
          <w:bCs/>
          <w:i/>
          <w:iCs/>
        </w:rPr>
        <w:t>]</w:t>
      </w:r>
    </w:p>
    <w:p w14:paraId="2DF69DB1" w14:textId="08E64933" w:rsidR="00E57CA7" w:rsidRDefault="00F24C36" w:rsidP="00E57CA7">
      <w:pPr>
        <w:pStyle w:val="Heading3"/>
        <w:rPr>
          <w:rFonts w:hint="eastAsia"/>
        </w:rPr>
      </w:pPr>
      <w:bookmarkStart w:id="217" w:name="_Toc183786668"/>
      <w:bookmarkStart w:id="218" w:name="_Toc185503012"/>
      <w:r>
        <w:t>Transfers of Ownership Interests</w:t>
      </w:r>
      <w:bookmarkEnd w:id="217"/>
      <w:bookmarkEnd w:id="218"/>
    </w:p>
    <w:p w14:paraId="27656AAD" w14:textId="44493DFB" w:rsidR="009B0B66" w:rsidRDefault="00E57CA7" w:rsidP="00E57CA7">
      <w:pPr>
        <w:pStyle w:val="Normalparatextwithnumbers"/>
        <w:numPr>
          <w:ilvl w:val="1"/>
          <w:numId w:val="16"/>
        </w:numPr>
      </w:pPr>
      <w:r>
        <w:t>Special rules apply to MNE Groups that acquire or dispose of a Constituent Entity during the Fiscal Year. This has implications for calculating for GloBE Income or Loss, Adjusted Covered Taxes, Substance based Income Exclusion, and the application of the IIR</w:t>
      </w:r>
      <w:r w:rsidR="00BB5EA5">
        <w:t>, see paragraph 44 and following on page 179 of the Consolidated Commentary</w:t>
      </w:r>
      <w:r>
        <w:t xml:space="preserve">. </w:t>
      </w:r>
    </w:p>
    <w:p w14:paraId="690C635E" w14:textId="0A8F8E82" w:rsidR="00E57CA7" w:rsidRDefault="001C533A" w:rsidP="00B7652D">
      <w:pPr>
        <w:pStyle w:val="Normalparatextwithnumbers"/>
        <w:keepNext/>
        <w:keepLines/>
        <w:numPr>
          <w:ilvl w:val="1"/>
          <w:numId w:val="16"/>
        </w:numPr>
        <w:ind w:left="706" w:hanging="706"/>
      </w:pPr>
      <w:r>
        <w:lastRenderedPageBreak/>
        <w:t>S</w:t>
      </w:r>
      <w:r w:rsidR="00E57CA7">
        <w:t>ections 6-</w:t>
      </w:r>
      <w:r w:rsidR="00A06FBA">
        <w:t>15</w:t>
      </w:r>
      <w:r w:rsidR="00E57CA7">
        <w:t xml:space="preserve"> to 6-</w:t>
      </w:r>
      <w:r w:rsidR="00A06FBA">
        <w:t>50</w:t>
      </w:r>
      <w:r w:rsidR="00E57CA7" w:rsidRPr="00E713BE">
        <w:t xml:space="preserve"> </w:t>
      </w:r>
      <w:r w:rsidR="006D1D01">
        <w:t>(excluding section 6-3</w:t>
      </w:r>
      <w:r w:rsidR="00CB5842">
        <w:t>0</w:t>
      </w:r>
      <w:r w:rsidR="006D1D01">
        <w:t>)</w:t>
      </w:r>
      <w:r w:rsidR="00CE709D">
        <w:t xml:space="preserve"> of the Rules</w:t>
      </w:r>
      <w:r w:rsidR="00E57CA7" w:rsidRPr="00E713BE">
        <w:t xml:space="preserve"> apply to </w:t>
      </w:r>
      <w:r w:rsidR="00E57CA7">
        <w:t xml:space="preserve">a </w:t>
      </w:r>
      <w:r w:rsidR="00E57CA7" w:rsidRPr="00E713BE">
        <w:t>direct or indirect disposition or acquisition of a Controlling Interest that occurs during a Transition Year and subsequent Fiscal Years</w:t>
      </w:r>
      <w:r w:rsidR="00E57CA7">
        <w:t>.</w:t>
      </w:r>
      <w:r w:rsidR="00E57CA7" w:rsidRPr="009554ED">
        <w:t xml:space="preserve"> </w:t>
      </w:r>
      <w:r w:rsidR="00E57CA7">
        <w:t>T</w:t>
      </w:r>
      <w:r w:rsidR="00E57CA7" w:rsidRPr="009554ED">
        <w:t>he definition of the Transition Year also considers any modifications to that term when an MNE Group is subject to the Transitional CbC</w:t>
      </w:r>
      <w:r w:rsidR="007C1D51">
        <w:t xml:space="preserve"> </w:t>
      </w:r>
      <w:r w:rsidR="00E57CA7" w:rsidRPr="009554ED">
        <w:t>R</w:t>
      </w:r>
      <w:r w:rsidR="007C1D51">
        <w:t>eporting</w:t>
      </w:r>
      <w:r w:rsidR="00E57CA7" w:rsidRPr="009554ED">
        <w:t xml:space="preserve"> Safe Harbour in a specific jurisdiction</w:t>
      </w:r>
      <w:r w:rsidR="00E57CA7">
        <w:t>.</w:t>
      </w:r>
    </w:p>
    <w:p w14:paraId="1B4D05B6" w14:textId="3475A8DE" w:rsidR="00E57CA7" w:rsidRPr="00CF1070" w:rsidRDefault="00E57CA7" w:rsidP="00E57CA7">
      <w:pPr>
        <w:pStyle w:val="Normalparatextwithnumbers"/>
        <w:numPr>
          <w:ilvl w:val="1"/>
          <w:numId w:val="16"/>
        </w:numPr>
        <w:rPr>
          <w:rStyle w:val="References"/>
          <w:b w:val="0"/>
          <w:i w:val="0"/>
        </w:rPr>
      </w:pPr>
      <w:r>
        <w:t xml:space="preserve">An Entity that becomes or ceases to be a Constituent Entity of an MNE Group is referred to as the </w:t>
      </w:r>
      <w:r>
        <w:rPr>
          <w:b/>
          <w:bCs/>
          <w:i/>
          <w:iCs/>
        </w:rPr>
        <w:t>target</w:t>
      </w:r>
      <w:r>
        <w:t xml:space="preserve">. The Fiscal Year in which the Ownership Interests in the target are transferred to facilitate the acquisition or disposal is referred to as the </w:t>
      </w:r>
      <w:r>
        <w:rPr>
          <w:b/>
          <w:bCs/>
          <w:i/>
          <w:iCs/>
        </w:rPr>
        <w:t>transfer year</w:t>
      </w:r>
      <w:r>
        <w:t>.</w:t>
      </w:r>
      <w:r>
        <w:br/>
      </w:r>
      <w:r w:rsidRPr="00F50FC0">
        <w:rPr>
          <w:rStyle w:val="References"/>
        </w:rPr>
        <w:t>[</w:t>
      </w:r>
      <w:r>
        <w:rPr>
          <w:rStyle w:val="References"/>
        </w:rPr>
        <w:t>Chapter 6, subsection 6-</w:t>
      </w:r>
      <w:r w:rsidR="007C1D51">
        <w:rPr>
          <w:rStyle w:val="References"/>
        </w:rPr>
        <w:t>15</w:t>
      </w:r>
      <w:r>
        <w:rPr>
          <w:rStyle w:val="References"/>
        </w:rPr>
        <w:t>(1) and 6-25 of the Rules</w:t>
      </w:r>
      <w:r w:rsidRPr="00F50FC0">
        <w:rPr>
          <w:rStyle w:val="References"/>
        </w:rPr>
        <w:t xml:space="preserve">] </w:t>
      </w:r>
    </w:p>
    <w:p w14:paraId="74E0D48E" w14:textId="30C0B100" w:rsidR="00E57CA7" w:rsidRPr="000961E2" w:rsidRDefault="00E57CA7" w:rsidP="00E57CA7">
      <w:pPr>
        <w:pStyle w:val="Normalparatextwithnumbers"/>
        <w:numPr>
          <w:ilvl w:val="1"/>
          <w:numId w:val="16"/>
        </w:numPr>
        <w:rPr>
          <w:rStyle w:val="References"/>
          <w:b w:val="0"/>
          <w:bCs w:val="0"/>
          <w:i w:val="0"/>
          <w:iCs w:val="0"/>
        </w:rPr>
      </w:pPr>
      <w:r>
        <w:t xml:space="preserve">The special rules apply where the target ceases to be a Constituent Entity of an MNE Group (the </w:t>
      </w:r>
      <w:r w:rsidRPr="00D56FE7">
        <w:rPr>
          <w:b/>
          <w:i/>
        </w:rPr>
        <w:t>disposing MNE Group</w:t>
      </w:r>
      <w:r>
        <w:t>), regardless of whether the target then becomes the Constituent Entity of another MNE Group.</w:t>
      </w:r>
      <w:r w:rsidRPr="00E9580F">
        <w:rPr>
          <w:rStyle w:val="References"/>
          <w:b w:val="0"/>
          <w:bCs w:val="0"/>
          <w:i w:val="0"/>
          <w:iCs w:val="0"/>
        </w:rPr>
        <w:t xml:space="preserve"> </w:t>
      </w:r>
      <w:r>
        <w:rPr>
          <w:rStyle w:val="References"/>
          <w:b w:val="0"/>
          <w:bCs w:val="0"/>
          <w:i w:val="0"/>
          <w:iCs w:val="0"/>
        </w:rPr>
        <w:t xml:space="preserve">The rules also apply where the target becomes a Constituent Entity of an MNE Group </w:t>
      </w:r>
      <w:r>
        <w:t xml:space="preserve">(the </w:t>
      </w:r>
      <w:r w:rsidRPr="00D56FE7">
        <w:rPr>
          <w:b/>
          <w:i/>
        </w:rPr>
        <w:t>acquiring MNE Group</w:t>
      </w:r>
      <w:r>
        <w:t>)</w:t>
      </w:r>
      <w:r>
        <w:rPr>
          <w:rStyle w:val="References"/>
          <w:b w:val="0"/>
          <w:bCs w:val="0"/>
          <w:i w:val="0"/>
          <w:iCs w:val="0"/>
        </w:rPr>
        <w:t>, including if the acquiring MNE Group is a new Group and the target becomes the UPE of the acquiring MNE Group.</w:t>
      </w:r>
      <w:r>
        <w:br/>
      </w:r>
      <w:r>
        <w:rPr>
          <w:rStyle w:val="References"/>
        </w:rPr>
        <w:t>[Chapter 6, section 6-</w:t>
      </w:r>
      <w:r w:rsidR="007C1D51">
        <w:rPr>
          <w:rStyle w:val="References"/>
        </w:rPr>
        <w:t>15</w:t>
      </w:r>
      <w:r>
        <w:rPr>
          <w:rStyle w:val="References"/>
        </w:rPr>
        <w:t>(2) of the Rules</w:t>
      </w:r>
      <w:r w:rsidRPr="000961E2">
        <w:rPr>
          <w:rStyle w:val="References"/>
        </w:rPr>
        <w:t xml:space="preserve">] </w:t>
      </w:r>
    </w:p>
    <w:p w14:paraId="79E2D9BF" w14:textId="2CFFADEE" w:rsidR="00E57CA7" w:rsidRPr="00613592" w:rsidRDefault="00E57CA7" w:rsidP="00E57CA7">
      <w:pPr>
        <w:pStyle w:val="Normalparatextwithnumbers"/>
        <w:numPr>
          <w:ilvl w:val="1"/>
          <w:numId w:val="16"/>
        </w:numPr>
        <w:rPr>
          <w:rStyle w:val="References"/>
          <w:b w:val="0"/>
          <w:bCs w:val="0"/>
          <w:i w:val="0"/>
          <w:iCs w:val="0"/>
        </w:rPr>
      </w:pPr>
      <w:r>
        <w:rPr>
          <w:rStyle w:val="References"/>
          <w:b w:val="0"/>
          <w:bCs w:val="0"/>
          <w:i w:val="0"/>
          <w:iCs w:val="0"/>
        </w:rPr>
        <w:t xml:space="preserve">The target is considered a Constituent Entity of the disposing MNE Group or the acquiring MNE Group if at any point in the transfer year a portion of the target’s financial amounts are included on a line-by-line basis in the CFS of the UPE of the acquiring MNE Group. In the transfer year, this may result in the target’s financials being included in both the disposing and acquiring MNE Group’s CFS and may be treated as a Constituent Entity of both MNE Groups. </w:t>
      </w:r>
      <w:r>
        <w:rPr>
          <w:rStyle w:val="References"/>
          <w:b w:val="0"/>
          <w:bCs w:val="0"/>
          <w:i w:val="0"/>
          <w:iCs w:val="0"/>
        </w:rPr>
        <w:br/>
      </w:r>
      <w:r w:rsidRPr="00F32C35">
        <w:rPr>
          <w:rStyle w:val="References"/>
        </w:rPr>
        <w:t>[</w:t>
      </w:r>
      <w:r>
        <w:rPr>
          <w:rStyle w:val="References"/>
        </w:rPr>
        <w:t>Chapter 6, section 6-2</w:t>
      </w:r>
      <w:r w:rsidR="007C1D51">
        <w:rPr>
          <w:rStyle w:val="References"/>
        </w:rPr>
        <w:t>0</w:t>
      </w:r>
      <w:r>
        <w:rPr>
          <w:rStyle w:val="References"/>
        </w:rPr>
        <w:t xml:space="preserve"> of the Rules</w:t>
      </w:r>
      <w:r w:rsidRPr="00F32C35">
        <w:rPr>
          <w:rStyle w:val="References"/>
        </w:rPr>
        <w:t>]</w:t>
      </w:r>
    </w:p>
    <w:p w14:paraId="0EC87B7C" w14:textId="77777777" w:rsidR="00E57CA7" w:rsidRPr="00083022" w:rsidRDefault="00E57CA7" w:rsidP="00E57CA7">
      <w:pPr>
        <w:pStyle w:val="Heading4"/>
        <w:numPr>
          <w:ilvl w:val="3"/>
          <w:numId w:val="2"/>
        </w:numPr>
        <w:rPr>
          <w:rFonts w:ascii="Helvitica" w:hAnsi="Helvitica" w:hint="eastAsia"/>
          <w:i/>
          <w:sz w:val="22"/>
        </w:rPr>
      </w:pPr>
      <w:r w:rsidRPr="00083022">
        <w:rPr>
          <w:rFonts w:ascii="Helvitica" w:hAnsi="Helvitica"/>
          <w:i/>
          <w:sz w:val="22"/>
        </w:rPr>
        <w:t>FANIL and GloBE Income or Loss calculations</w:t>
      </w:r>
    </w:p>
    <w:p w14:paraId="3C360AB4" w14:textId="787C655C" w:rsidR="00E57CA7" w:rsidRPr="001C1E7C" w:rsidRDefault="00E57CA7" w:rsidP="00E57CA7">
      <w:pPr>
        <w:pStyle w:val="Normalparatextwithnumbers"/>
        <w:numPr>
          <w:ilvl w:val="1"/>
          <w:numId w:val="16"/>
        </w:numPr>
        <w:rPr>
          <w:rStyle w:val="References"/>
          <w:b w:val="0"/>
          <w:bCs w:val="0"/>
          <w:i w:val="0"/>
          <w:iCs w:val="0"/>
        </w:rPr>
      </w:pPr>
      <w:r w:rsidRPr="001C1E7C">
        <w:rPr>
          <w:rStyle w:val="References"/>
          <w:b w:val="0"/>
          <w:bCs w:val="0"/>
          <w:i w:val="0"/>
          <w:iCs w:val="0"/>
        </w:rPr>
        <w:t xml:space="preserve">Despite the target’s financial information potentially being included in the CFS of more than one MNE Group during a Fiscal Year, the relevant income and taxes to compute the ETR and to apply any </w:t>
      </w:r>
      <w:r w:rsidR="008B3474">
        <w:rPr>
          <w:rStyle w:val="References"/>
          <w:b w:val="0"/>
          <w:bCs w:val="0"/>
          <w:i w:val="0"/>
          <w:iCs w:val="0"/>
        </w:rPr>
        <w:t>T</w:t>
      </w:r>
      <w:r w:rsidRPr="001C1E7C">
        <w:rPr>
          <w:rStyle w:val="References"/>
          <w:b w:val="0"/>
          <w:bCs w:val="0"/>
          <w:i w:val="0"/>
          <w:iCs w:val="0"/>
        </w:rPr>
        <w:t>op</w:t>
      </w:r>
      <w:r w:rsidRPr="001C1E7C">
        <w:rPr>
          <w:rStyle w:val="References"/>
          <w:b w:val="0"/>
          <w:bCs w:val="0"/>
          <w:i w:val="0"/>
          <w:iCs w:val="0"/>
        </w:rPr>
        <w:noBreakHyphen/>
        <w:t xml:space="preserve">up </w:t>
      </w:r>
      <w:r w:rsidR="008B3474">
        <w:rPr>
          <w:rStyle w:val="References"/>
          <w:b w:val="0"/>
          <w:bCs w:val="0"/>
          <w:i w:val="0"/>
          <w:iCs w:val="0"/>
        </w:rPr>
        <w:t>T</w:t>
      </w:r>
      <w:r w:rsidRPr="001C1E7C">
        <w:rPr>
          <w:rStyle w:val="References"/>
          <w:b w:val="0"/>
          <w:bCs w:val="0"/>
          <w:i w:val="0"/>
          <w:iCs w:val="0"/>
        </w:rPr>
        <w:t xml:space="preserve">axes are only taken into account by the disposing MNE Group or acquiring MNE Group in their respective CFS in the transfer year. </w:t>
      </w:r>
      <w:r>
        <w:rPr>
          <w:rStyle w:val="References"/>
          <w:b w:val="0"/>
          <w:bCs w:val="0"/>
          <w:i w:val="0"/>
          <w:iCs w:val="0"/>
        </w:rPr>
        <w:t xml:space="preserve"> </w:t>
      </w:r>
      <w:r w:rsidRPr="001C1E7C">
        <w:rPr>
          <w:rStyle w:val="References"/>
          <w:b w:val="0"/>
          <w:bCs w:val="0"/>
          <w:i w:val="0"/>
          <w:iCs w:val="0"/>
        </w:rPr>
        <w:br/>
      </w:r>
      <w:r w:rsidRPr="00FC1981">
        <w:rPr>
          <w:rStyle w:val="References"/>
        </w:rPr>
        <w:t>[Chapter 6, section 6-</w:t>
      </w:r>
      <w:r w:rsidR="007C1D51">
        <w:rPr>
          <w:rStyle w:val="References"/>
        </w:rPr>
        <w:t>25</w:t>
      </w:r>
      <w:r w:rsidRPr="00FC1981">
        <w:rPr>
          <w:rStyle w:val="References"/>
        </w:rPr>
        <w:t xml:space="preserve"> </w:t>
      </w:r>
      <w:r>
        <w:rPr>
          <w:rStyle w:val="References"/>
        </w:rPr>
        <w:t>of the Rules</w:t>
      </w:r>
      <w:r w:rsidRPr="00FC1981">
        <w:rPr>
          <w:rStyle w:val="References"/>
        </w:rPr>
        <w:t>]</w:t>
      </w:r>
    </w:p>
    <w:p w14:paraId="00458040" w14:textId="69B22CEA" w:rsidR="00E57CA7" w:rsidRDefault="00E57CA7" w:rsidP="00E57CA7">
      <w:pPr>
        <w:pStyle w:val="Normalparatextwithnumbers"/>
        <w:numPr>
          <w:ilvl w:val="1"/>
          <w:numId w:val="16"/>
        </w:numPr>
      </w:pPr>
      <w:r>
        <w:t>An MNE Group that acquires a Controlling Interest in a Constituent Entity is to exclude the effect of any purchase accounting consolidation adjustments attributable to the acquisition and treat the target, for GloBE purposes, as having the same carrying value in its assets that it has prior to the transfer</w:t>
      </w:r>
      <w:r w:rsidR="00E735B6">
        <w:t>, that is</w:t>
      </w:r>
      <w:r w:rsidR="004C61CF">
        <w:t>,</w:t>
      </w:r>
      <w:r>
        <w:t xml:space="preserve"> the historical carrying value of assets and liabilities</w:t>
      </w:r>
      <w:r w:rsidR="007B4B63">
        <w:t>, see paragraph 50</w:t>
      </w:r>
      <w:r w:rsidR="00CF07AA">
        <w:t xml:space="preserve"> </w:t>
      </w:r>
      <w:r w:rsidR="00CA5AC9">
        <w:t>and </w:t>
      </w:r>
      <w:r w:rsidR="00CF07AA">
        <w:t>51 on page 181</w:t>
      </w:r>
      <w:r w:rsidR="003C0212">
        <w:t xml:space="preserve"> of the Consolidated Commentary</w:t>
      </w:r>
      <w:r>
        <w:t>.</w:t>
      </w:r>
      <w:r w:rsidR="00D84E55">
        <w:br/>
      </w:r>
      <w:r w:rsidR="00D84E55" w:rsidRPr="00773315">
        <w:rPr>
          <w:rStyle w:val="References"/>
        </w:rPr>
        <w:t>[Chapter 6, section 6-</w:t>
      </w:r>
      <w:r w:rsidR="00D84E55">
        <w:rPr>
          <w:rStyle w:val="References"/>
        </w:rPr>
        <w:t>3</w:t>
      </w:r>
      <w:r w:rsidR="007C1D51">
        <w:rPr>
          <w:rStyle w:val="References"/>
        </w:rPr>
        <w:t>0</w:t>
      </w:r>
      <w:r w:rsidR="00D84E55" w:rsidRPr="00773315">
        <w:rPr>
          <w:rStyle w:val="References"/>
        </w:rPr>
        <w:t xml:space="preserve"> </w:t>
      </w:r>
      <w:r w:rsidR="00D84E55">
        <w:rPr>
          <w:rStyle w:val="References"/>
        </w:rPr>
        <w:t>of the Rules</w:t>
      </w:r>
      <w:r w:rsidR="00D84E55" w:rsidRPr="00773315">
        <w:rPr>
          <w:rStyle w:val="References"/>
        </w:rPr>
        <w:t>]</w:t>
      </w:r>
    </w:p>
    <w:p w14:paraId="0555B719" w14:textId="1562B599" w:rsidR="00E57CA7" w:rsidRDefault="00E57CA7" w:rsidP="00E57CA7">
      <w:pPr>
        <w:pStyle w:val="Normalparatextwithnumbers"/>
        <w:numPr>
          <w:ilvl w:val="1"/>
          <w:numId w:val="16"/>
        </w:numPr>
      </w:pPr>
      <w:r>
        <w:t xml:space="preserve">This is consistent with subsection 3-10(4) of the Rules, which requires that the </w:t>
      </w:r>
      <w:r w:rsidR="007F222C">
        <w:t xml:space="preserve">FANIL </w:t>
      </w:r>
      <w:r>
        <w:t xml:space="preserve">of the Constituent Entity does not include any amounts relating to purchase accounting adjustments, irrespective of whether Constituent Entity </w:t>
      </w:r>
      <w:r>
        <w:lastRenderedPageBreak/>
        <w:t xml:space="preserve">was acquired before or after the Transition Year of the acquiring Constituent Entity. Subsection 3-10(5) </w:t>
      </w:r>
      <w:r w:rsidR="007A7E7B">
        <w:t xml:space="preserve">of the Rules </w:t>
      </w:r>
      <w:r>
        <w:t xml:space="preserve">provides an exception such that purchase accounting adjustments may be taken into account where acquisition occurs prior to December 2021 and a MNE Group does not have sufficient records to compute </w:t>
      </w:r>
      <w:r w:rsidR="00B65285">
        <w:t>FANIL</w:t>
      </w:r>
      <w:r>
        <w:t xml:space="preserve"> without adjustment.</w:t>
      </w:r>
      <w:r>
        <w:br/>
      </w:r>
      <w:r w:rsidRPr="00773315">
        <w:rPr>
          <w:rStyle w:val="References"/>
        </w:rPr>
        <w:t>[Chapter 6, section 6-</w:t>
      </w:r>
      <w:r>
        <w:rPr>
          <w:rStyle w:val="References"/>
        </w:rPr>
        <w:t>3</w:t>
      </w:r>
      <w:r w:rsidR="007C1D51">
        <w:rPr>
          <w:rStyle w:val="References"/>
        </w:rPr>
        <w:t>0</w:t>
      </w:r>
      <w:r w:rsidRPr="00773315">
        <w:rPr>
          <w:rStyle w:val="References"/>
        </w:rPr>
        <w:t xml:space="preserve"> </w:t>
      </w:r>
      <w:r>
        <w:rPr>
          <w:rStyle w:val="References"/>
        </w:rPr>
        <w:t>of the Rules</w:t>
      </w:r>
      <w:r w:rsidRPr="00773315">
        <w:rPr>
          <w:rStyle w:val="References"/>
        </w:rPr>
        <w:t>]</w:t>
      </w:r>
    </w:p>
    <w:p w14:paraId="445DF521" w14:textId="1821EA31" w:rsidR="00E57CA7" w:rsidRDefault="00E57CA7" w:rsidP="00E57CA7">
      <w:pPr>
        <w:pStyle w:val="Normalparatextwithnumbers"/>
        <w:numPr>
          <w:ilvl w:val="1"/>
          <w:numId w:val="16"/>
        </w:numPr>
      </w:pPr>
      <w:r>
        <w:t>T</w:t>
      </w:r>
      <w:r w:rsidRPr="002077FC">
        <w:t>here are cases where the Constituent Entity</w:t>
      </w:r>
      <w:r>
        <w:t xml:space="preserve"> is required</w:t>
      </w:r>
      <w:r w:rsidRPr="002077FC">
        <w:t xml:space="preserve"> to determine its GloBE Income or Loss by reference to a carrying value of assets or liabilities that may be different from the carrying value reflected in t</w:t>
      </w:r>
      <w:r>
        <w:t>h</w:t>
      </w:r>
      <w:r w:rsidRPr="002077FC">
        <w:t>e financial account</w:t>
      </w:r>
      <w:r>
        <w:t>s used for calculating FANIL</w:t>
      </w:r>
      <w:r w:rsidRPr="002077FC">
        <w:t>.</w:t>
      </w:r>
      <w:r w:rsidR="00E970BB">
        <w:br/>
      </w:r>
      <w:r w:rsidR="00E970BB" w:rsidRPr="00773315">
        <w:rPr>
          <w:rStyle w:val="References"/>
        </w:rPr>
        <w:t>[Chapter 6, section 6-</w:t>
      </w:r>
      <w:r w:rsidR="00E970BB">
        <w:rPr>
          <w:rStyle w:val="References"/>
        </w:rPr>
        <w:t>3</w:t>
      </w:r>
      <w:r w:rsidR="007C1D51">
        <w:rPr>
          <w:rStyle w:val="References"/>
        </w:rPr>
        <w:t>0</w:t>
      </w:r>
      <w:r w:rsidR="00E970BB" w:rsidRPr="00773315">
        <w:rPr>
          <w:rStyle w:val="References"/>
        </w:rPr>
        <w:t xml:space="preserve"> </w:t>
      </w:r>
      <w:r w:rsidR="00E970BB">
        <w:rPr>
          <w:rStyle w:val="References"/>
        </w:rPr>
        <w:t>of the Rules</w:t>
      </w:r>
      <w:r w:rsidR="00E970BB" w:rsidRPr="00773315">
        <w:rPr>
          <w:rStyle w:val="References"/>
        </w:rPr>
        <w:t>]</w:t>
      </w:r>
    </w:p>
    <w:p w14:paraId="6391B9EE" w14:textId="258DF843" w:rsidR="00E57CA7" w:rsidRDefault="00E57CA7" w:rsidP="00E57CA7">
      <w:pPr>
        <w:pStyle w:val="Normalparatextwithnumbers"/>
        <w:numPr>
          <w:ilvl w:val="1"/>
          <w:numId w:val="16"/>
        </w:numPr>
      </w:pPr>
      <w:r w:rsidRPr="00817BA5">
        <w:t xml:space="preserve">MNE Groups </w:t>
      </w:r>
      <w:r>
        <w:t xml:space="preserve">are required </w:t>
      </w:r>
      <w:r w:rsidRPr="00817BA5">
        <w:t xml:space="preserve">to determine the </w:t>
      </w:r>
      <w:r>
        <w:t xml:space="preserve">deferred tax assets and deferred tax liabilities </w:t>
      </w:r>
      <w:r w:rsidRPr="00817BA5">
        <w:t xml:space="preserve">for GloBE purposes based on the GloBE carrying value and the tax carrying value, in accordance with the Acceptable </w:t>
      </w:r>
      <w:r w:rsidR="00C52B53">
        <w:t xml:space="preserve">FAS </w:t>
      </w:r>
      <w:r w:rsidRPr="00817BA5">
        <w:t xml:space="preserve">(or Authorised </w:t>
      </w:r>
      <w:r w:rsidR="00C52B53">
        <w:t>FAS</w:t>
      </w:r>
      <w:r w:rsidRPr="00817BA5">
        <w:t>, if applicable), unless otherwise specified</w:t>
      </w:r>
      <w:r>
        <w:t>. T</w:t>
      </w:r>
      <w:r w:rsidRPr="00817BA5">
        <w:t xml:space="preserve">he deferred tax expense or benefit in respect of such deferred tax asset or liability and its subsequent adjustments must be used to compute the Total Deferred Tax Adjustment Amount for purposes of determining the </w:t>
      </w:r>
      <w:r>
        <w:t>Adjusted Covered Taxes</w:t>
      </w:r>
      <w:r w:rsidRPr="00817BA5">
        <w:t xml:space="preserve"> of the C</w:t>
      </w:r>
      <w:r>
        <w:t>onstituent Entity.</w:t>
      </w:r>
      <w:r w:rsidR="006B5C6E">
        <w:t xml:space="preserve"> </w:t>
      </w:r>
    </w:p>
    <w:p w14:paraId="7BB6B4F7" w14:textId="2CE19BFB" w:rsidR="00E57CA7" w:rsidRPr="00A17801" w:rsidRDefault="00E57CA7">
      <w:pPr>
        <w:pStyle w:val="Normalparatextwithnumbers"/>
        <w:numPr>
          <w:ilvl w:val="1"/>
          <w:numId w:val="16"/>
        </w:numPr>
        <w:rPr>
          <w:rStyle w:val="References"/>
          <w:b w:val="0"/>
          <w:bCs w:val="0"/>
          <w:i w:val="0"/>
          <w:iCs w:val="0"/>
        </w:rPr>
      </w:pPr>
      <w:r w:rsidRPr="00C15220">
        <w:t>Determination of deferred tax assets based on GloBE carrying values does not displace the application of the financial accounting standard used under</w:t>
      </w:r>
      <w:r>
        <w:t xml:space="preserve"> section 3-10 of the Rules.</w:t>
      </w:r>
      <w:r w:rsidR="00A17801">
        <w:t xml:space="preserve"> </w:t>
      </w:r>
      <w:r>
        <w:t xml:space="preserve">However, the carrying value </w:t>
      </w:r>
      <w:r w:rsidR="00DD0E26">
        <w:t xml:space="preserve">of the target’s Eligible Tangible Assets for the transfer year </w:t>
      </w:r>
      <w:r>
        <w:t xml:space="preserve">must be adjusted </w:t>
      </w:r>
      <w:r w:rsidR="00DD0E26">
        <w:t xml:space="preserve">proportionally to correspond to the period </w:t>
      </w:r>
      <w:r>
        <w:t xml:space="preserve">in the transfer year </w:t>
      </w:r>
      <w:r w:rsidR="00DD0E26">
        <w:t xml:space="preserve">that </w:t>
      </w:r>
      <w:r>
        <w:t>the target was a member of the disposing MNE Group or acquiring MNE Group, as relevant</w:t>
      </w:r>
      <w:r w:rsidR="00287775">
        <w:t xml:space="preserve"> when computing the target’s Tangible Asset Carve</w:t>
      </w:r>
      <w:r w:rsidR="00287775">
        <w:noBreakHyphen/>
        <w:t>out Amount for the transfer year.</w:t>
      </w:r>
      <w:r w:rsidR="00DD1C93">
        <w:t xml:space="preserve"> </w:t>
      </w:r>
      <w:r>
        <w:br/>
      </w:r>
      <w:r w:rsidRPr="00421A7C">
        <w:rPr>
          <w:rStyle w:val="References"/>
        </w:rPr>
        <w:t>[Chapter 6, subsection 6-</w:t>
      </w:r>
      <w:r w:rsidR="007C1D51">
        <w:rPr>
          <w:rStyle w:val="References"/>
        </w:rPr>
        <w:t>35</w:t>
      </w:r>
      <w:r w:rsidRPr="00421A7C">
        <w:rPr>
          <w:rStyle w:val="References"/>
        </w:rPr>
        <w:t xml:space="preserve">(2) </w:t>
      </w:r>
      <w:r>
        <w:rPr>
          <w:rStyle w:val="References"/>
        </w:rPr>
        <w:t>of the Rules</w:t>
      </w:r>
      <w:r w:rsidRPr="00421A7C">
        <w:rPr>
          <w:rStyle w:val="References"/>
        </w:rPr>
        <w:t>]</w:t>
      </w:r>
    </w:p>
    <w:p w14:paraId="2B4967EF" w14:textId="2059B99F" w:rsidR="00E57CA7" w:rsidRDefault="00E57CA7" w:rsidP="00E57CA7">
      <w:pPr>
        <w:pStyle w:val="Normalparatextwithnumbers"/>
        <w:numPr>
          <w:ilvl w:val="1"/>
          <w:numId w:val="16"/>
        </w:numPr>
      </w:pPr>
      <w:r>
        <w:t xml:space="preserve">Similarly, the amount of </w:t>
      </w:r>
      <w:r w:rsidR="00883675">
        <w:t>Eligible Payroll Costs</w:t>
      </w:r>
      <w:r>
        <w:t xml:space="preserve"> of the target </w:t>
      </w:r>
      <w:r w:rsidR="00883675">
        <w:t xml:space="preserve">for the transfer year </w:t>
      </w:r>
      <w:r>
        <w:t>is the amount reflected in the CFS of the disposing MNE Group or the acquiring MNE Group.</w:t>
      </w:r>
      <w:r>
        <w:br/>
      </w:r>
      <w:r w:rsidRPr="0043415E">
        <w:rPr>
          <w:rStyle w:val="References"/>
        </w:rPr>
        <w:t xml:space="preserve">[Chapter 6, </w:t>
      </w:r>
      <w:r>
        <w:rPr>
          <w:rStyle w:val="References"/>
        </w:rPr>
        <w:t>sub</w:t>
      </w:r>
      <w:r w:rsidRPr="0043415E">
        <w:rPr>
          <w:rStyle w:val="References"/>
        </w:rPr>
        <w:t>section 6-</w:t>
      </w:r>
      <w:r w:rsidR="007C1D51">
        <w:rPr>
          <w:rStyle w:val="References"/>
        </w:rPr>
        <w:t>35</w:t>
      </w:r>
      <w:r w:rsidRPr="0043415E">
        <w:rPr>
          <w:rStyle w:val="References"/>
        </w:rPr>
        <w:t xml:space="preserve">(1) </w:t>
      </w:r>
      <w:r>
        <w:rPr>
          <w:rStyle w:val="References"/>
        </w:rPr>
        <w:t>of the Rules</w:t>
      </w:r>
      <w:r w:rsidRPr="0043415E">
        <w:rPr>
          <w:rStyle w:val="References"/>
        </w:rPr>
        <w:t>]</w:t>
      </w:r>
    </w:p>
    <w:p w14:paraId="3A250D92" w14:textId="0267A8D5" w:rsidR="00E57CA7" w:rsidRPr="00BF1935" w:rsidRDefault="00E57CA7" w:rsidP="00E57CA7">
      <w:pPr>
        <w:pStyle w:val="Normalparatextwithnumbers"/>
        <w:numPr>
          <w:ilvl w:val="1"/>
          <w:numId w:val="16"/>
        </w:numPr>
        <w:rPr>
          <w:rStyle w:val="References"/>
          <w:b w:val="0"/>
          <w:i w:val="0"/>
        </w:rPr>
      </w:pPr>
      <w:r>
        <w:t xml:space="preserve">In applying </w:t>
      </w:r>
      <w:r w:rsidR="00FB33B8">
        <w:t>the Rules</w:t>
      </w:r>
      <w:r>
        <w:t xml:space="preserve"> to the acquiring MNE Group, a deferred tax asset or deferred tax liability is taken into account in the same manner as if the acquiring MNE Group controlled the target at the time the deferred tax asset or liability arose. A deferred tax asset or</w:t>
      </w:r>
      <w:r w:rsidR="00FB33B8">
        <w:t xml:space="preserve"> </w:t>
      </w:r>
      <w:r w:rsidR="00FB33B8" w:rsidRPr="00666172">
        <w:t>deferred tax</w:t>
      </w:r>
      <w:r>
        <w:t xml:space="preserve"> liability is only taken into account by the acquiring MNE Group, if under the financial accounting standard, the deferred tax asset or deferred tax liability is considered to be transferred, which depends largely on the allocation of items for tax purposes under jurisdictional laws. The exception to this is GloBE </w:t>
      </w:r>
      <w:r w:rsidR="00FB33B8">
        <w:t xml:space="preserve">Loss </w:t>
      </w:r>
      <w:r>
        <w:t>Deferred Tax Asset which is a jurisdictional attribute and is unable to be transferred to another MNE Group.</w:t>
      </w:r>
      <w:r>
        <w:br/>
      </w:r>
      <w:r w:rsidRPr="004B09C4">
        <w:rPr>
          <w:rStyle w:val="References"/>
        </w:rPr>
        <w:t>[Chapter 6, subsection</w:t>
      </w:r>
      <w:r>
        <w:rPr>
          <w:rStyle w:val="References"/>
        </w:rPr>
        <w:t>s</w:t>
      </w:r>
      <w:r w:rsidRPr="004B09C4">
        <w:rPr>
          <w:rStyle w:val="References"/>
        </w:rPr>
        <w:t xml:space="preserve"> 6-</w:t>
      </w:r>
      <w:r>
        <w:rPr>
          <w:rStyle w:val="References"/>
        </w:rPr>
        <w:t>4</w:t>
      </w:r>
      <w:r w:rsidR="00D072BA">
        <w:rPr>
          <w:rStyle w:val="References"/>
        </w:rPr>
        <w:t>0</w:t>
      </w:r>
      <w:r w:rsidRPr="004B09C4">
        <w:rPr>
          <w:rStyle w:val="References"/>
        </w:rPr>
        <w:t>(1</w:t>
      </w:r>
      <w:r w:rsidR="004B40A4">
        <w:rPr>
          <w:rStyle w:val="References"/>
        </w:rPr>
        <w:t xml:space="preserve">), </w:t>
      </w:r>
      <w:r w:rsidRPr="004B09C4">
        <w:rPr>
          <w:rStyle w:val="References"/>
        </w:rPr>
        <w:t>(</w:t>
      </w:r>
      <w:r w:rsidR="00D072BA">
        <w:rPr>
          <w:rStyle w:val="References"/>
        </w:rPr>
        <w:t>2</w:t>
      </w:r>
      <w:r w:rsidRPr="004B09C4">
        <w:rPr>
          <w:rStyle w:val="References"/>
        </w:rPr>
        <w:t xml:space="preserve">) </w:t>
      </w:r>
      <w:r>
        <w:rPr>
          <w:rStyle w:val="References"/>
        </w:rPr>
        <w:t>and (</w:t>
      </w:r>
      <w:r w:rsidR="00D072BA">
        <w:rPr>
          <w:rStyle w:val="References"/>
        </w:rPr>
        <w:t>3</w:t>
      </w:r>
      <w:r>
        <w:rPr>
          <w:rStyle w:val="References"/>
        </w:rPr>
        <w:t>)</w:t>
      </w:r>
      <w:r w:rsidRPr="004B09C4">
        <w:rPr>
          <w:rStyle w:val="References"/>
        </w:rPr>
        <w:t xml:space="preserve"> </w:t>
      </w:r>
      <w:r>
        <w:rPr>
          <w:rStyle w:val="References"/>
        </w:rPr>
        <w:t>of the Rules</w:t>
      </w:r>
      <w:r w:rsidRPr="004B09C4">
        <w:rPr>
          <w:rStyle w:val="References"/>
        </w:rPr>
        <w:t>]</w:t>
      </w:r>
    </w:p>
    <w:p w14:paraId="3A867A66" w14:textId="5F04B62B" w:rsidR="00E57CA7" w:rsidRDefault="00E57CA7" w:rsidP="00E57CA7">
      <w:pPr>
        <w:pStyle w:val="Normalparatextwithnumbers"/>
        <w:numPr>
          <w:ilvl w:val="1"/>
          <w:numId w:val="16"/>
        </w:numPr>
      </w:pPr>
      <w:r>
        <w:t xml:space="preserve">An MNE Group must make appropriate adjustments for a target that joins or leaves an MNE Group and has deferred tax liabilities that were included in the </w:t>
      </w:r>
      <w:r w:rsidR="00136EB3">
        <w:t>Total Deferred Tax Adjustment Amount</w:t>
      </w:r>
      <w:r>
        <w:t xml:space="preserve"> under Part 4-4 of these Rules. At the </w:t>
      </w:r>
      <w:r>
        <w:lastRenderedPageBreak/>
        <w:t xml:space="preserve">time a target ceases to be a Constituent Entity of an MNE Group, the disposing MNE Group must treat the deferred tax liability recorded under Part 4-4 as reversed in the transfer year. This is intended to relieve the disposing MNE Group from needing to reflect this deemed reversal in computations of total deferred tax adjustment. </w:t>
      </w:r>
      <w:r>
        <w:br/>
      </w:r>
      <w:r w:rsidRPr="005C1475">
        <w:rPr>
          <w:rStyle w:val="References"/>
        </w:rPr>
        <w:t>[Chapter 6, subsections 6-</w:t>
      </w:r>
      <w:r>
        <w:rPr>
          <w:rStyle w:val="References"/>
        </w:rPr>
        <w:t>4</w:t>
      </w:r>
      <w:r w:rsidR="007C1D51">
        <w:rPr>
          <w:rStyle w:val="References"/>
        </w:rPr>
        <w:t>0</w:t>
      </w:r>
      <w:r w:rsidRPr="005C1475">
        <w:rPr>
          <w:rStyle w:val="References"/>
        </w:rPr>
        <w:t xml:space="preserve">(3) and (4) </w:t>
      </w:r>
      <w:r>
        <w:rPr>
          <w:rStyle w:val="References"/>
        </w:rPr>
        <w:t>of the Rules</w:t>
      </w:r>
      <w:r w:rsidRPr="005C1475">
        <w:rPr>
          <w:rStyle w:val="References"/>
        </w:rPr>
        <w:t>]</w:t>
      </w:r>
    </w:p>
    <w:p w14:paraId="54126528" w14:textId="7FAC343B" w:rsidR="00E57CA7" w:rsidRDefault="00E57CA7" w:rsidP="00E57CA7">
      <w:pPr>
        <w:pStyle w:val="Normalparatextwithnumbers"/>
        <w:numPr>
          <w:ilvl w:val="1"/>
          <w:numId w:val="16"/>
        </w:numPr>
      </w:pPr>
      <w:r>
        <w:t>Conversely, a MNE Group that acquires a target with a deferred tax liability must treat that liability as arising in the transfer year, regardless of the year it arose. This restarts the five</w:t>
      </w:r>
      <w:r>
        <w:noBreakHyphen/>
        <w:t xml:space="preserve">year period, meaning that any subsequent increases to reductions to Covered Taxes have effect for the Fiscal Year </w:t>
      </w:r>
      <w:r w:rsidRPr="009E0285">
        <w:t xml:space="preserve">in which </w:t>
      </w:r>
      <w:r>
        <w:t xml:space="preserve">the </w:t>
      </w:r>
      <w:r w:rsidRPr="009E0285">
        <w:t>amount was recaptured</w:t>
      </w:r>
      <w:r>
        <w:t>, t</w:t>
      </w:r>
      <w:r w:rsidRPr="009E0285">
        <w:t xml:space="preserve">hat is, the fifth subsequent </w:t>
      </w:r>
      <w:r>
        <w:t>F</w:t>
      </w:r>
      <w:r w:rsidRPr="009E0285">
        <w:t xml:space="preserve">iscal </w:t>
      </w:r>
      <w:r>
        <w:t>Y</w:t>
      </w:r>
      <w:r w:rsidRPr="009E0285">
        <w:t>ear following the transfer year</w:t>
      </w:r>
      <w:r>
        <w:t>.</w:t>
      </w:r>
      <w:r w:rsidRPr="009E0285">
        <w:t xml:space="preserve"> The ordinary rule in </w:t>
      </w:r>
      <w:r>
        <w:t xml:space="preserve">section </w:t>
      </w:r>
      <w:r w:rsidRPr="009E0285">
        <w:t>4-80</w:t>
      </w:r>
      <w:r w:rsidR="009468B2">
        <w:t xml:space="preserve"> of the Rules</w:t>
      </w:r>
      <w:r w:rsidRPr="009E0285">
        <w:t xml:space="preserve"> would have required that a Recaptured Deferred Tax Liability increas</w:t>
      </w:r>
      <w:r>
        <w:t>e r</w:t>
      </w:r>
      <w:r w:rsidRPr="009E0285">
        <w:t>eductions to Covered Taxes for the fifth preceding Fiscal Year</w:t>
      </w:r>
      <w:r>
        <w:t>. This application only applies to deferred tax liabilities that fall within the meaning of recapture exception accruals under Part 4-4</w:t>
      </w:r>
      <w:r w:rsidR="009468B2">
        <w:t xml:space="preserve"> of the Rules</w:t>
      </w:r>
      <w:r>
        <w:t>.</w:t>
      </w:r>
      <w:r>
        <w:br/>
      </w:r>
      <w:r w:rsidRPr="00BF305A">
        <w:rPr>
          <w:rStyle w:val="References"/>
        </w:rPr>
        <w:t>[Chapter 6, subsections 6-</w:t>
      </w:r>
      <w:r>
        <w:rPr>
          <w:rStyle w:val="References"/>
        </w:rPr>
        <w:t>4</w:t>
      </w:r>
      <w:r w:rsidR="007C1D51">
        <w:rPr>
          <w:rStyle w:val="References"/>
        </w:rPr>
        <w:t>0</w:t>
      </w:r>
      <w:r w:rsidRPr="00BF305A">
        <w:rPr>
          <w:rStyle w:val="References"/>
        </w:rPr>
        <w:t>(</w:t>
      </w:r>
      <w:r w:rsidR="00E74D03">
        <w:rPr>
          <w:rStyle w:val="References"/>
        </w:rPr>
        <w:t>4</w:t>
      </w:r>
      <w:r w:rsidRPr="00BF305A">
        <w:rPr>
          <w:rStyle w:val="References"/>
        </w:rPr>
        <w:t>) and (</w:t>
      </w:r>
      <w:r w:rsidR="00E74D03">
        <w:rPr>
          <w:rStyle w:val="References"/>
        </w:rPr>
        <w:t>6</w:t>
      </w:r>
      <w:r w:rsidRPr="00BF305A">
        <w:rPr>
          <w:rStyle w:val="References"/>
        </w:rPr>
        <w:t xml:space="preserve">) </w:t>
      </w:r>
      <w:r>
        <w:rPr>
          <w:rStyle w:val="References"/>
        </w:rPr>
        <w:t>of the Rules</w:t>
      </w:r>
      <w:r w:rsidRPr="00BF305A">
        <w:rPr>
          <w:rStyle w:val="References"/>
        </w:rPr>
        <w:t>]</w:t>
      </w:r>
      <w:r>
        <w:t xml:space="preserve">  </w:t>
      </w:r>
    </w:p>
    <w:p w14:paraId="671C7B6B" w14:textId="0689217F" w:rsidR="000E5CFB" w:rsidRDefault="000E5CFB" w:rsidP="000E5CFB">
      <w:pPr>
        <w:pStyle w:val="Normalparatextwithnumbers"/>
        <w:numPr>
          <w:ilvl w:val="1"/>
          <w:numId w:val="16"/>
        </w:numPr>
      </w:pPr>
      <w:bookmarkStart w:id="219" w:name="_Toc159845288"/>
      <w:bookmarkStart w:id="220" w:name="_Toc160641343"/>
      <w:bookmarkStart w:id="221" w:name="_Toc160726346"/>
      <w:bookmarkStart w:id="222" w:name="_Toc181104528"/>
      <w:bookmarkStart w:id="223" w:name="_Toc181104542"/>
      <w:r>
        <w:t xml:space="preserve">If in a transfer year, a target is an UPE and a group Entity of one or more MNE Groups, then the target shall apply the IIR separately to its Allocable Shares of the Top-up Tax of </w:t>
      </w:r>
      <w:r w:rsidR="009A621C">
        <w:t>LTCEs</w:t>
      </w:r>
      <w:r>
        <w:t xml:space="preserve"> determined for each MNE Group. Thus, a determination whether a Constituent Entity in which the target has ownership interest is a </w:t>
      </w:r>
      <w:r w:rsidR="009A621C">
        <w:t xml:space="preserve">LTCE </w:t>
      </w:r>
      <w:r w:rsidRPr="00901A8F">
        <w:rPr>
          <w:rFonts w:cs="Times New Roman"/>
        </w:rPr>
        <w:t xml:space="preserve">must be made separately with respect to both the MNE Groups that the target joined or left. Similarly, a determination of whether a target is an UPE that is required to apply IIR must be determined based on the facts of each </w:t>
      </w:r>
      <w:r>
        <w:t xml:space="preserve">MNE Group and IIR rule order.                                                                                                  </w:t>
      </w:r>
      <w:r w:rsidRPr="00C326F4">
        <w:rPr>
          <w:b/>
          <w:bCs/>
          <w:i/>
          <w:iCs/>
        </w:rPr>
        <w:t>[Chapter 6, subsection 6-</w:t>
      </w:r>
      <w:r w:rsidR="00BD1CE5">
        <w:rPr>
          <w:b/>
          <w:bCs/>
          <w:i/>
          <w:iCs/>
        </w:rPr>
        <w:t>4</w:t>
      </w:r>
      <w:r w:rsidRPr="00C326F4">
        <w:rPr>
          <w:b/>
          <w:bCs/>
          <w:i/>
          <w:iCs/>
        </w:rPr>
        <w:t>5 of the Rules]</w:t>
      </w:r>
    </w:p>
    <w:p w14:paraId="3247EBD7" w14:textId="77777777" w:rsidR="00CE5705" w:rsidRPr="00CE5705" w:rsidRDefault="00CE5705" w:rsidP="00AF25B2">
      <w:pPr>
        <w:pStyle w:val="Heading3"/>
        <w:rPr>
          <w:rFonts w:hint="eastAsia"/>
        </w:rPr>
      </w:pPr>
      <w:bookmarkStart w:id="224" w:name="_Toc183786669"/>
      <w:bookmarkStart w:id="225" w:name="_Toc185503013"/>
      <w:bookmarkEnd w:id="219"/>
      <w:bookmarkEnd w:id="220"/>
      <w:bookmarkEnd w:id="221"/>
      <w:bookmarkEnd w:id="222"/>
      <w:bookmarkEnd w:id="223"/>
      <w:r w:rsidRPr="00CE5705">
        <w:t>Transfer of Ownership Interests treated as transfer of assets and liabilities</w:t>
      </w:r>
      <w:bookmarkEnd w:id="224"/>
      <w:bookmarkEnd w:id="225"/>
    </w:p>
    <w:p w14:paraId="0C2F590C" w14:textId="4DFCF0E8" w:rsidR="00CE5705" w:rsidRPr="00191EFB" w:rsidRDefault="00CE5705" w:rsidP="00CE5705">
      <w:pPr>
        <w:pStyle w:val="Normalparatextwithnumbers"/>
        <w:numPr>
          <w:ilvl w:val="1"/>
          <w:numId w:val="16"/>
        </w:numPr>
      </w:pPr>
      <w:r w:rsidRPr="00610173">
        <w:t>Division 2 of Part 6-2 of the Rules applies</w:t>
      </w:r>
      <w:r>
        <w:t xml:space="preserve"> to capture transfers of a Controlling </w:t>
      </w:r>
      <w:r w:rsidR="001C5A24">
        <w:t>I</w:t>
      </w:r>
      <w:r>
        <w:t xml:space="preserve">nterest in the target by treating the transfer as a transfer of the assets and liabilities of the target for local tax purposes as an acquisition or disposal of Ownership Interest for GloBE computations, provided that the relevant conditions are satisfied. </w:t>
      </w:r>
      <w:r>
        <w:br/>
      </w:r>
      <w:r w:rsidRPr="00191EFB">
        <w:rPr>
          <w:b/>
          <w:bCs/>
          <w:i/>
          <w:iCs/>
        </w:rPr>
        <w:t>[Chapter 6, section 6-5</w:t>
      </w:r>
      <w:r w:rsidR="00BD1CE5">
        <w:rPr>
          <w:b/>
          <w:bCs/>
          <w:i/>
          <w:iCs/>
        </w:rPr>
        <w:t>0</w:t>
      </w:r>
      <w:r w:rsidRPr="00191EFB">
        <w:rPr>
          <w:b/>
          <w:bCs/>
          <w:i/>
          <w:iCs/>
        </w:rPr>
        <w:t xml:space="preserve"> of the Rules]</w:t>
      </w:r>
    </w:p>
    <w:p w14:paraId="0F77CED8" w14:textId="77777777" w:rsidR="00CE5705" w:rsidRDefault="00CE5705" w:rsidP="00CE5705">
      <w:pPr>
        <w:pStyle w:val="Normalparatextwithnumbers"/>
        <w:numPr>
          <w:ilvl w:val="1"/>
          <w:numId w:val="16"/>
        </w:numPr>
      </w:pPr>
      <w:r>
        <w:t xml:space="preserve">The two conditions that must be met are that the jurisdiction in which the target is located: </w:t>
      </w:r>
    </w:p>
    <w:p w14:paraId="0246F1C4" w14:textId="77777777" w:rsidR="00CE5705" w:rsidRDefault="00CE5705" w:rsidP="00B07214">
      <w:pPr>
        <w:pStyle w:val="Dotpoint1"/>
      </w:pPr>
      <w:r>
        <w:t xml:space="preserve">treats the acquisition or disposal in the same or similar manner as the acquisition or disposition of the underlying assets and liabilities of the target; and </w:t>
      </w:r>
    </w:p>
    <w:p w14:paraId="76B58FA4" w14:textId="66EC9B09" w:rsidR="00CE5705" w:rsidRDefault="00CE5705" w:rsidP="00B07214">
      <w:pPr>
        <w:pStyle w:val="Dotpoint1"/>
      </w:pPr>
      <w:r w:rsidRPr="001102A9">
        <w:lastRenderedPageBreak/>
        <w:t>imposes a Covered Tax on the person disposing the Controlling Interest.</w:t>
      </w:r>
      <w:r>
        <w:br/>
      </w:r>
      <w:r w:rsidRPr="00F83E16">
        <w:rPr>
          <w:rStyle w:val="References"/>
        </w:rPr>
        <w:t>[Chapter 6, subsection 6-5</w:t>
      </w:r>
      <w:r w:rsidR="00BD1CE5">
        <w:rPr>
          <w:rStyle w:val="References"/>
        </w:rPr>
        <w:t>0</w:t>
      </w:r>
      <w:r w:rsidRPr="00F83E16">
        <w:rPr>
          <w:rStyle w:val="References"/>
        </w:rPr>
        <w:t>(1) of the Rules]</w:t>
      </w:r>
    </w:p>
    <w:p w14:paraId="2E548390" w14:textId="12BA55A1" w:rsidR="00CE5705" w:rsidRPr="00191EFB" w:rsidRDefault="00CE5705" w:rsidP="00CE5705">
      <w:pPr>
        <w:pStyle w:val="Normalparatextwithnumbers"/>
        <w:numPr>
          <w:ilvl w:val="1"/>
          <w:numId w:val="16"/>
        </w:numPr>
      </w:pPr>
      <w:r>
        <w:t>The first condition is met where, on acquisition of a Controlling Interest in the target, the jurisdiction of the target recognises the assets and liabilities of the target as forming part of another Constituent Entity in that jurisdiction for tax purposes because the target forms part of a TCG.</w:t>
      </w:r>
      <w:r>
        <w:br/>
      </w:r>
      <w:r w:rsidRPr="00191EFB">
        <w:rPr>
          <w:b/>
          <w:bCs/>
          <w:i/>
          <w:iCs/>
        </w:rPr>
        <w:t>[Chapter 6, subsection 6-5</w:t>
      </w:r>
      <w:r w:rsidR="00BD1CE5">
        <w:rPr>
          <w:b/>
          <w:bCs/>
          <w:i/>
          <w:iCs/>
        </w:rPr>
        <w:t>0</w:t>
      </w:r>
      <w:r w:rsidRPr="00191EFB">
        <w:rPr>
          <w:b/>
          <w:bCs/>
          <w:i/>
          <w:iCs/>
        </w:rPr>
        <w:t>(1) of the Rules]</w:t>
      </w:r>
    </w:p>
    <w:p w14:paraId="7B47F4F7" w14:textId="77777777" w:rsidR="00CE5705" w:rsidRDefault="00CE5705" w:rsidP="00CE5705">
      <w:pPr>
        <w:pStyle w:val="Normalparatextwithnumbers"/>
        <w:numPr>
          <w:ilvl w:val="1"/>
          <w:numId w:val="16"/>
        </w:numPr>
        <w:tabs>
          <w:tab w:val="clear" w:pos="709"/>
          <w:tab w:val="left" w:pos="720"/>
        </w:tabs>
      </w:pPr>
      <w:r>
        <w:t xml:space="preserve">If the target is a Tax Transparent Entity, then satisfying the first condition is based on the treatment of jurisdiction in which the assets are located.  </w:t>
      </w:r>
    </w:p>
    <w:p w14:paraId="128D96C7" w14:textId="4FD6BDFE" w:rsidR="00CE5705" w:rsidRPr="00191EFB" w:rsidRDefault="00CE5705" w:rsidP="00CE5705">
      <w:pPr>
        <w:pStyle w:val="Normalparatextwithnumbers"/>
        <w:numPr>
          <w:ilvl w:val="1"/>
          <w:numId w:val="16"/>
        </w:numPr>
        <w:tabs>
          <w:tab w:val="clear" w:pos="709"/>
          <w:tab w:val="left" w:pos="720"/>
        </w:tabs>
      </w:pPr>
      <w:r>
        <w:t xml:space="preserve">To meet the second condition, the Covered Tax must be based on a gain that is determined by reference to the inside basis of the target’s assets and liabilities. The Covered Tax is based on the difference between the tax basis of assets and liabilities and the consideration received for the Controlling Interest or the fair value of the underlying assets and liabilities of the target. </w:t>
      </w:r>
      <w:r>
        <w:br/>
      </w:r>
      <w:r w:rsidRPr="00191EFB">
        <w:rPr>
          <w:b/>
          <w:bCs/>
          <w:i/>
          <w:iCs/>
        </w:rPr>
        <w:t>[Chapter 6, subsection 6-5</w:t>
      </w:r>
      <w:r w:rsidR="00BD1CE5">
        <w:rPr>
          <w:b/>
          <w:bCs/>
          <w:i/>
          <w:iCs/>
        </w:rPr>
        <w:t>0</w:t>
      </w:r>
      <w:r w:rsidRPr="00191EFB">
        <w:rPr>
          <w:b/>
          <w:bCs/>
          <w:i/>
          <w:iCs/>
        </w:rPr>
        <w:t>(1) of the Rules]</w:t>
      </w:r>
    </w:p>
    <w:p w14:paraId="7336FA62" w14:textId="62AC0F19" w:rsidR="00E43492" w:rsidRDefault="004E3A0D" w:rsidP="00AF7A60">
      <w:pPr>
        <w:pStyle w:val="Normalparatextwithnumbers"/>
        <w:numPr>
          <w:ilvl w:val="1"/>
          <w:numId w:val="16"/>
        </w:numPr>
        <w:tabs>
          <w:tab w:val="clear" w:pos="709"/>
          <w:tab w:val="left" w:pos="720"/>
        </w:tabs>
      </w:pPr>
      <w:r>
        <w:t xml:space="preserve">Division 1 of this Part does not apply to the acquisition or disposal of the Controlling Interest. </w:t>
      </w:r>
      <w:r w:rsidR="00E43492">
        <w:br/>
      </w:r>
      <w:r w:rsidR="00E43492" w:rsidRPr="00191EFB">
        <w:rPr>
          <w:b/>
          <w:bCs/>
          <w:i/>
          <w:iCs/>
        </w:rPr>
        <w:t>[Chapter 6, subsection 6-5</w:t>
      </w:r>
      <w:r w:rsidR="00BD1CE5">
        <w:rPr>
          <w:b/>
          <w:bCs/>
          <w:i/>
          <w:iCs/>
        </w:rPr>
        <w:t>0</w:t>
      </w:r>
      <w:r w:rsidR="00E43492" w:rsidRPr="00191EFB">
        <w:rPr>
          <w:b/>
          <w:bCs/>
          <w:i/>
          <w:iCs/>
        </w:rPr>
        <w:t>(2) of the Rules]</w:t>
      </w:r>
    </w:p>
    <w:p w14:paraId="5CAD06B9" w14:textId="46CF7D83" w:rsidR="00AF7A60" w:rsidRPr="00191EFB" w:rsidRDefault="00AF7A60" w:rsidP="00AF7A60">
      <w:pPr>
        <w:pStyle w:val="Normalparatextwithnumbers"/>
        <w:numPr>
          <w:ilvl w:val="1"/>
          <w:numId w:val="16"/>
        </w:numPr>
        <w:tabs>
          <w:tab w:val="clear" w:pos="709"/>
          <w:tab w:val="left" w:pos="720"/>
        </w:tabs>
      </w:pPr>
      <w:r>
        <w:t>The consequences of Division 2 of Part 6-2 of the Rules applying are that the seller is treated as selling its Ownership Interest and the gain or loss on that sale is treated as an Excluded Gain or Loss under section 3-45 of the Rules in the jurisdiction in which the target is located. The gains on the disposition of assets and liabilities and Covered Taxes are included in the disposing MNE Group’s ETR computation for the jurisdiction that imposed the treatment for local tax purposes, rather than the jurisdiction of the seller of the Ownership Interest.</w:t>
      </w:r>
      <w:r>
        <w:br/>
      </w:r>
      <w:r w:rsidRPr="00191EFB">
        <w:rPr>
          <w:b/>
          <w:bCs/>
          <w:i/>
          <w:iCs/>
        </w:rPr>
        <w:t>[Chapter 6, subsection 6-5</w:t>
      </w:r>
      <w:r w:rsidR="00BD1CE5">
        <w:rPr>
          <w:b/>
          <w:bCs/>
          <w:i/>
          <w:iCs/>
        </w:rPr>
        <w:t>0</w:t>
      </w:r>
      <w:r w:rsidRPr="00191EFB">
        <w:rPr>
          <w:b/>
          <w:bCs/>
          <w:i/>
          <w:iCs/>
        </w:rPr>
        <w:t>(</w:t>
      </w:r>
      <w:r w:rsidR="00C8521E">
        <w:rPr>
          <w:b/>
          <w:bCs/>
          <w:i/>
          <w:iCs/>
        </w:rPr>
        <w:t>3</w:t>
      </w:r>
      <w:r w:rsidRPr="00191EFB">
        <w:rPr>
          <w:b/>
          <w:bCs/>
          <w:i/>
          <w:iCs/>
        </w:rPr>
        <w:t>) of the Rules]</w:t>
      </w:r>
    </w:p>
    <w:p w14:paraId="5CDE0B43" w14:textId="1A6D831F" w:rsidR="00CE5705" w:rsidRPr="00191EFB" w:rsidRDefault="00CE5705" w:rsidP="00CE5705">
      <w:pPr>
        <w:pStyle w:val="Normalparatextwithnumbers"/>
        <w:numPr>
          <w:ilvl w:val="1"/>
          <w:numId w:val="16"/>
        </w:numPr>
        <w:tabs>
          <w:tab w:val="clear" w:pos="709"/>
          <w:tab w:val="left" w:pos="720"/>
        </w:tabs>
        <w:rPr>
          <w:b/>
          <w:bCs/>
        </w:rPr>
      </w:pPr>
      <w:r>
        <w:t>The acquiring Constituent Entity determines its GloBE Income or Loss using the fair value of the assets and liabilities of the target instead of the historic carrying value of assets and liabilities of the target. The fair value must be used in the computation of the acquiring entity’s computation of GloBE Income or Loss in the transfer year and in the subsequent Fiscal Year, regardless of whether the fair value is in the target’s financial accounts or in the CFS.</w:t>
      </w:r>
      <w:r>
        <w:rPr>
          <w:b/>
          <w:bCs/>
        </w:rPr>
        <w:br/>
      </w:r>
      <w:r w:rsidRPr="00191EFB">
        <w:rPr>
          <w:b/>
          <w:bCs/>
          <w:i/>
          <w:iCs/>
        </w:rPr>
        <w:t>[Chapter 6, subsection 6-</w:t>
      </w:r>
      <w:r w:rsidR="00EB51C6">
        <w:rPr>
          <w:b/>
          <w:bCs/>
          <w:i/>
          <w:iCs/>
        </w:rPr>
        <w:t>55</w:t>
      </w:r>
      <w:r w:rsidRPr="00191EFB">
        <w:rPr>
          <w:b/>
          <w:bCs/>
          <w:i/>
          <w:iCs/>
        </w:rPr>
        <w:t>(</w:t>
      </w:r>
      <w:r w:rsidR="00C43FAA">
        <w:rPr>
          <w:b/>
          <w:bCs/>
          <w:i/>
          <w:iCs/>
        </w:rPr>
        <w:t>2</w:t>
      </w:r>
      <w:r w:rsidRPr="00191EFB">
        <w:rPr>
          <w:b/>
          <w:bCs/>
          <w:i/>
          <w:iCs/>
        </w:rPr>
        <w:t>) of the Rules]</w:t>
      </w:r>
    </w:p>
    <w:p w14:paraId="656A509D" w14:textId="77777777" w:rsidR="00CE5705" w:rsidRDefault="00CE5705" w:rsidP="00CE5705">
      <w:pPr>
        <w:pStyle w:val="Heading6"/>
        <w:rPr>
          <w:rFonts w:hint="eastAsia"/>
        </w:rPr>
      </w:pPr>
      <w:r>
        <w:t xml:space="preserve">Application to TCGs </w:t>
      </w:r>
    </w:p>
    <w:p w14:paraId="3AA38ABA" w14:textId="4F28B9FF" w:rsidR="00CE5705" w:rsidRDefault="00CE5705" w:rsidP="00CE5705">
      <w:pPr>
        <w:pStyle w:val="Normalparatextwithnumbers"/>
        <w:numPr>
          <w:ilvl w:val="1"/>
          <w:numId w:val="16"/>
        </w:numPr>
        <w:tabs>
          <w:tab w:val="clear" w:pos="709"/>
          <w:tab w:val="left" w:pos="720"/>
        </w:tabs>
      </w:pPr>
      <w:r>
        <w:t>Section 6-</w:t>
      </w:r>
      <w:r w:rsidR="004F7810">
        <w:t xml:space="preserve">50 </w:t>
      </w:r>
      <w:r w:rsidR="00134F81">
        <w:t xml:space="preserve">of the Rules </w:t>
      </w:r>
      <w:r>
        <w:t>applies where there is a transfer of Ownership Interests which results in an ‘exit’ from an existing TCG and an ‘entry’ into another TCG. However, where there is an ‘exit’ but there is no ‘entry’ into another TCG, the rules under section 6-5</w:t>
      </w:r>
      <w:r w:rsidR="00EB51C6">
        <w:t>0</w:t>
      </w:r>
      <w:r>
        <w:t xml:space="preserve"> </w:t>
      </w:r>
      <w:r w:rsidR="00134F81">
        <w:t xml:space="preserve">of the Rules </w:t>
      </w:r>
      <w:r>
        <w:t xml:space="preserve">are not applicable.  </w:t>
      </w:r>
    </w:p>
    <w:p w14:paraId="2F0DC66E" w14:textId="77777777" w:rsidR="00CE5705" w:rsidRPr="0035793F" w:rsidRDefault="00CE5705" w:rsidP="00CE5705">
      <w:pPr>
        <w:pStyle w:val="ExampleHeading"/>
        <w:numPr>
          <w:ilvl w:val="3"/>
          <w:numId w:val="16"/>
        </w:numPr>
        <w:tabs>
          <w:tab w:val="num" w:pos="360"/>
        </w:tabs>
        <w:ind w:left="0" w:firstLine="0"/>
      </w:pPr>
      <w:r>
        <w:lastRenderedPageBreak/>
        <w:t>Treatment of Ownership Interest transfers between TCGs</w:t>
      </w:r>
    </w:p>
    <w:p w14:paraId="3E824107" w14:textId="77777777" w:rsidR="00CE5705" w:rsidRDefault="00CE5705" w:rsidP="00CE5705">
      <w:pPr>
        <w:pStyle w:val="Exampletext"/>
      </w:pPr>
      <w:r>
        <w:t xml:space="preserve">Hold Co 1 and Hold Co 2 are unrelated parties and the respective head companies of two separate, existing Australian TCGs, respectively Aus TCG 1 and Aus TCG 2. Hold Co 1 holds a Controlling Interest in A Co. </w:t>
      </w:r>
    </w:p>
    <w:p w14:paraId="260585EE" w14:textId="77777777" w:rsidR="00CE5705" w:rsidRDefault="00CE5705" w:rsidP="00CE5705">
      <w:pPr>
        <w:pStyle w:val="Exampletext"/>
      </w:pPr>
      <w:r>
        <w:t xml:space="preserve">A Co exits in Australian TCG 1. As a result, Hold Co 1 determines its gain or loss on the sale of the shares in A Co pursuant to the </w:t>
      </w:r>
      <w:r w:rsidRPr="00B23652">
        <w:t>Capital Gains Tax</w:t>
      </w:r>
      <w:r>
        <w:t xml:space="preserve"> rules and the Exit ACA rules in Division 711 of the ITAA 1997.</w:t>
      </w:r>
    </w:p>
    <w:p w14:paraId="3CEFD3E0" w14:textId="77777777" w:rsidR="00CE5705" w:rsidRDefault="00CE5705" w:rsidP="00CE5705">
      <w:pPr>
        <w:pStyle w:val="Exampletext"/>
      </w:pPr>
      <w:r>
        <w:t>Hold Co 2 acquires 100% of the shares in A Co in the Transition Year (i.e., when Chapter 6 of the Rules are in effect) from Hold Co 1, an unrelated third party. As a result of the ‘one-in, all-in’ rule, A Co automatically joined the Aus TCG 2.</w:t>
      </w:r>
    </w:p>
    <w:p w14:paraId="57A01F1A" w14:textId="77777777" w:rsidR="00CE5705" w:rsidRDefault="00CE5705" w:rsidP="00CE5705">
      <w:pPr>
        <w:pStyle w:val="Exampletext"/>
      </w:pPr>
      <w:r>
        <w:t>Hold Co 2’s acquisition of A Co is treated as a business combination for accounting purposes. The historical book carrying value of the assets prior to the acquisition is nil.</w:t>
      </w:r>
    </w:p>
    <w:p w14:paraId="34D60369" w14:textId="77777777" w:rsidR="00CE5705" w:rsidRDefault="00CE5705" w:rsidP="00CE5705">
      <w:pPr>
        <w:pStyle w:val="Exampletext"/>
      </w:pPr>
      <w:r>
        <w:t>The book carrying value of the assets of A Co at the beginning of the Transition Year was 3,000. The reset tax basis of the assets of A Co at the beginning of Transition Year was 3,000.</w:t>
      </w:r>
    </w:p>
    <w:p w14:paraId="114D9A41" w14:textId="77777777" w:rsidR="00CE5705" w:rsidRDefault="00CE5705" w:rsidP="00CE5705">
      <w:pPr>
        <w:pStyle w:val="Exampletext"/>
      </w:pPr>
      <w:r>
        <w:t>There was no DTA recognised in relation to the step up in tax basis of the assets, as the book carrying value and reset tax basis was equal.</w:t>
      </w:r>
    </w:p>
    <w:p w14:paraId="6923718C" w14:textId="77777777" w:rsidR="00CE5705" w:rsidRDefault="00CE5705" w:rsidP="00CE5705">
      <w:pPr>
        <w:pStyle w:val="Exampletext"/>
      </w:pPr>
      <w:r>
        <w:t>The remaining book and tax depreciation period at the beginning of the Transition Year is 10 years.</w:t>
      </w:r>
    </w:p>
    <w:p w14:paraId="0FC80212" w14:textId="749B6DDE" w:rsidR="00CE5705" w:rsidRDefault="00CE5705" w:rsidP="00CE5705">
      <w:pPr>
        <w:pStyle w:val="Exampletext"/>
      </w:pPr>
      <w:r>
        <w:t>Section 6-</w:t>
      </w:r>
      <w:r w:rsidR="004B2656">
        <w:t xml:space="preserve">50 </w:t>
      </w:r>
      <w:r>
        <w:t>therefore applies to this transaction in the following way. Hold Co 1 is treated as selling its Ownership Interests in A Co and the gain or loss on that sale is excluded in calculating its GloBE Income or Loss for Australia.</w:t>
      </w:r>
    </w:p>
    <w:p w14:paraId="070429D6" w14:textId="77777777" w:rsidR="00CE5705" w:rsidRPr="00923009" w:rsidRDefault="00CE5705" w:rsidP="00CE5705">
      <w:pPr>
        <w:pStyle w:val="Exampletext"/>
      </w:pPr>
      <w:r>
        <w:t>A Co is treated as selling its assets and liabilities to Hold Co 2 in exchange for the consideration received by Hold Co 1. A Co’s gain or loss and Covered Taxes on the sale of its assets and liabilities are taken into account in computing its GloBE Income or Loss and Adjusted Covered Taxes and Hold Co 1’s ETR for Australia. A Co should be treated as acquiring the assets and liabilities based on fair value (i.e., the ‘stepped up’ basis).</w:t>
      </w:r>
    </w:p>
    <w:p w14:paraId="32B788A3" w14:textId="33515A75" w:rsidR="00E57CA7" w:rsidRDefault="00E57CA7" w:rsidP="00AF25B2">
      <w:pPr>
        <w:pStyle w:val="Heading3"/>
        <w:rPr>
          <w:rFonts w:hint="eastAsia"/>
        </w:rPr>
      </w:pPr>
      <w:bookmarkStart w:id="226" w:name="_Toc183786670"/>
      <w:bookmarkStart w:id="227" w:name="_Toc185503014"/>
      <w:r>
        <w:t xml:space="preserve">Transfer of </w:t>
      </w:r>
      <w:r w:rsidR="00651CA2">
        <w:t>a</w:t>
      </w:r>
      <w:r>
        <w:t xml:space="preserve">ssets and </w:t>
      </w:r>
      <w:bookmarkEnd w:id="226"/>
      <w:r w:rsidR="00651CA2">
        <w:t>l</w:t>
      </w:r>
      <w:r>
        <w:t>iabilities</w:t>
      </w:r>
      <w:bookmarkEnd w:id="227"/>
    </w:p>
    <w:p w14:paraId="4601A17E" w14:textId="798E1E2D" w:rsidR="00E57CA7" w:rsidRDefault="00E57CA7" w:rsidP="00E57CA7">
      <w:pPr>
        <w:pStyle w:val="Normalparatextwithnumbers"/>
        <w:numPr>
          <w:ilvl w:val="1"/>
          <w:numId w:val="16"/>
        </w:numPr>
      </w:pPr>
      <w:r>
        <w:t xml:space="preserve">Part 6-3 of these Rules provides rules for the recognition or non-recognition of gain or loss on the disposition of assets and liabilities by a disposing MNE </w:t>
      </w:r>
      <w:r>
        <w:lastRenderedPageBreak/>
        <w:t>Group and for determining the carrying values of assets and liabilities acquired by the acquiring MNE Group</w:t>
      </w:r>
      <w:r w:rsidR="00634B9D">
        <w:t>, s</w:t>
      </w:r>
      <w:r w:rsidR="00CC573D">
        <w:t>e</w:t>
      </w:r>
      <w:r w:rsidR="00CA014B">
        <w:t xml:space="preserve">e paragraph 69 </w:t>
      </w:r>
      <w:r w:rsidR="00634B9D">
        <w:t xml:space="preserve">on </w:t>
      </w:r>
      <w:r w:rsidR="00CA014B">
        <w:t xml:space="preserve">page 185 of the Consolidated Commentary. </w:t>
      </w:r>
    </w:p>
    <w:p w14:paraId="479D352A" w14:textId="3C286246" w:rsidR="00E57CA7" w:rsidRDefault="00E57CA7" w:rsidP="00E57CA7">
      <w:pPr>
        <w:pStyle w:val="Normalparatextwithnumbers"/>
        <w:numPr>
          <w:ilvl w:val="1"/>
          <w:numId w:val="16"/>
        </w:numPr>
      </w:pPr>
      <w:r w:rsidRPr="009F28D4">
        <w:t>For acquisitions and disposals of assets and liabilities between Constituent Entities</w:t>
      </w:r>
      <w:r>
        <w:t>, the</w:t>
      </w:r>
      <w:r w:rsidRPr="009F28D4">
        <w:t xml:space="preserve"> GloBE Income or Loss of </w:t>
      </w:r>
      <w:r>
        <w:t xml:space="preserve">a </w:t>
      </w:r>
      <w:r w:rsidRPr="009F28D4">
        <w:t xml:space="preserve">disposing Constituent Entity is adjusted in accordance with </w:t>
      </w:r>
      <w:r>
        <w:t xml:space="preserve">the </w:t>
      </w:r>
      <w:r w:rsidR="002330EF">
        <w:t>Arm’s Length Principle</w:t>
      </w:r>
      <w:r w:rsidR="00D27B69">
        <w:t xml:space="preserve"> described under </w:t>
      </w:r>
      <w:r w:rsidRPr="009F28D4">
        <w:t xml:space="preserve">sections 3-100 and 3-105 </w:t>
      </w:r>
      <w:r w:rsidR="00C94390">
        <w:t xml:space="preserve">of the Rules </w:t>
      </w:r>
      <w:r w:rsidR="00223CD6">
        <w:t xml:space="preserve">regardless </w:t>
      </w:r>
      <w:r w:rsidRPr="009F28D4">
        <w:t>of whether transactions are recorded at cost rather than on fair value basis</w:t>
      </w:r>
      <w:r w:rsidR="00D830F3">
        <w:t>,</w:t>
      </w:r>
      <w:r w:rsidR="006641E5">
        <w:t xml:space="preserve"> </w:t>
      </w:r>
      <w:r w:rsidR="00D830F3">
        <w:t>s</w:t>
      </w:r>
      <w:r w:rsidR="006641E5">
        <w:t xml:space="preserve">ee paragraph 73.1 </w:t>
      </w:r>
      <w:r w:rsidR="00A96F05">
        <w:t>on page 185 of the Consolidated Commentary.</w:t>
      </w:r>
    </w:p>
    <w:p w14:paraId="750D76A7" w14:textId="6639403D" w:rsidR="00E57CA7" w:rsidRDefault="00E57CA7" w:rsidP="00E57CA7">
      <w:pPr>
        <w:pStyle w:val="Normalparatextwithnumbers"/>
        <w:numPr>
          <w:ilvl w:val="1"/>
          <w:numId w:val="16"/>
        </w:numPr>
      </w:pPr>
      <w:r>
        <w:t xml:space="preserve">Gains or losses arising from the transfer of assets and liabilities are generally included in GloBE Income </w:t>
      </w:r>
      <w:r w:rsidR="00ED3F83">
        <w:t>or Loss</w:t>
      </w:r>
      <w:r>
        <w:t xml:space="preserve"> (except for gains or losses arising on GloBE Reorganisations) to align the GloBE values with accounting values where accounting values generally reflect fair market value of assets and liabilities at the time of disposition. </w:t>
      </w:r>
    </w:p>
    <w:p w14:paraId="208DE22D" w14:textId="7C693899" w:rsidR="00E57CA7" w:rsidRPr="00191EFB" w:rsidRDefault="00E57CA7" w:rsidP="00E57CA7">
      <w:pPr>
        <w:pStyle w:val="Normalparatextwithnumbers"/>
        <w:numPr>
          <w:ilvl w:val="1"/>
          <w:numId w:val="16"/>
        </w:numPr>
      </w:pPr>
      <w:r>
        <w:t>Section 6-</w:t>
      </w:r>
      <w:r w:rsidR="000A47AD">
        <w:t>55</w:t>
      </w:r>
      <w:r>
        <w:t xml:space="preserve"> of the Rules generally requires inclusion of gain or loss arising from a transfer of assets (other than Ownership Interests that are not portfolio shareholdings) and liabilities in the computation of GloBE Income or Loss. Gains or losses from a transfer of Ownership Interests in another Constituent Entity are not included in GloBE Income or Loss under </w:t>
      </w:r>
      <w:r w:rsidR="004A17FE">
        <w:t>s</w:t>
      </w:r>
      <w:r>
        <w:t>ection 6-</w:t>
      </w:r>
      <w:r w:rsidR="00EB51C6">
        <w:t>55</w:t>
      </w:r>
      <w:r>
        <w:t xml:space="preserve"> of the Rules, instead the gain</w:t>
      </w:r>
      <w:r w:rsidR="00992EB5">
        <w:t>s</w:t>
      </w:r>
      <w:r>
        <w:t xml:space="preserve"> or losses on transfer of Ownership Interests are considered Excluded Gains or Losses under </w:t>
      </w:r>
      <w:r w:rsidR="00992EB5">
        <w:t>s</w:t>
      </w:r>
      <w:r>
        <w:t>ection 3-</w:t>
      </w:r>
      <w:r w:rsidR="00EB51C6">
        <w:t>30</w:t>
      </w:r>
      <w:r>
        <w:t xml:space="preserve"> of the Rules.</w:t>
      </w:r>
      <w:r>
        <w:br/>
      </w:r>
      <w:r w:rsidRPr="00191EFB">
        <w:rPr>
          <w:b/>
          <w:bCs/>
          <w:i/>
          <w:iCs/>
        </w:rPr>
        <w:t>[Chapter 6, section 6-</w:t>
      </w:r>
      <w:r w:rsidR="00EB51C6">
        <w:rPr>
          <w:b/>
          <w:bCs/>
          <w:i/>
          <w:iCs/>
        </w:rPr>
        <w:t>55</w:t>
      </w:r>
      <w:r w:rsidRPr="00191EFB">
        <w:rPr>
          <w:b/>
          <w:bCs/>
          <w:i/>
          <w:iCs/>
        </w:rPr>
        <w:t xml:space="preserve"> of the Rules]</w:t>
      </w:r>
    </w:p>
    <w:p w14:paraId="7E2A9569" w14:textId="4907F12F" w:rsidR="00E57CA7" w:rsidRDefault="00E57CA7" w:rsidP="00E57CA7">
      <w:pPr>
        <w:pStyle w:val="Normalparatextwithnumbers"/>
        <w:numPr>
          <w:ilvl w:val="1"/>
          <w:numId w:val="16"/>
        </w:numPr>
      </w:pPr>
      <w:r>
        <w:t xml:space="preserve">The treatment of the disposition of assets and liabilities in calculating the GloBE Income or Loss of the disposing and acquiring Constituent Entities depends on whether or not the disposition is part of a GloBE Reorganisation. </w:t>
      </w:r>
      <w:r>
        <w:br/>
      </w:r>
      <w:r w:rsidRPr="004C5A0F">
        <w:rPr>
          <w:rStyle w:val="References"/>
        </w:rPr>
        <w:t>[</w:t>
      </w:r>
      <w:r>
        <w:rPr>
          <w:rStyle w:val="References"/>
        </w:rPr>
        <w:t>Chapter 6, sections 6-</w:t>
      </w:r>
      <w:r w:rsidR="00EB51C6">
        <w:rPr>
          <w:rStyle w:val="References"/>
        </w:rPr>
        <w:t>55</w:t>
      </w:r>
      <w:r w:rsidR="00265C33">
        <w:rPr>
          <w:rStyle w:val="References"/>
        </w:rPr>
        <w:t>,</w:t>
      </w:r>
      <w:r>
        <w:rPr>
          <w:rStyle w:val="References"/>
        </w:rPr>
        <w:t xml:space="preserve"> 6-6</w:t>
      </w:r>
      <w:r w:rsidR="00EB51C6">
        <w:rPr>
          <w:rStyle w:val="References"/>
        </w:rPr>
        <w:t>0</w:t>
      </w:r>
      <w:r>
        <w:rPr>
          <w:rStyle w:val="References"/>
        </w:rPr>
        <w:t xml:space="preserve"> </w:t>
      </w:r>
      <w:r w:rsidR="00265C33">
        <w:rPr>
          <w:rStyle w:val="References"/>
        </w:rPr>
        <w:t>and 6-</w:t>
      </w:r>
      <w:r w:rsidR="00EB51C6">
        <w:rPr>
          <w:rStyle w:val="References"/>
        </w:rPr>
        <w:t>65</w:t>
      </w:r>
      <w:r>
        <w:rPr>
          <w:rStyle w:val="References"/>
        </w:rPr>
        <w:t xml:space="preserve"> of the Rules</w:t>
      </w:r>
      <w:r w:rsidRPr="004C5A0F">
        <w:rPr>
          <w:rStyle w:val="References"/>
        </w:rPr>
        <w:t xml:space="preserve">] </w:t>
      </w:r>
    </w:p>
    <w:p w14:paraId="42B2DEC5" w14:textId="50BC74C3" w:rsidR="00E57CA7" w:rsidRPr="005C68FE" w:rsidRDefault="00E57CA7" w:rsidP="00E57CA7">
      <w:pPr>
        <w:pStyle w:val="Normalparatextwithnumbers"/>
        <w:numPr>
          <w:ilvl w:val="1"/>
          <w:numId w:val="16"/>
        </w:numPr>
      </w:pPr>
      <w:r>
        <w:t>T</w:t>
      </w:r>
      <w:r w:rsidRPr="00CE4BE8">
        <w:t xml:space="preserve">he </w:t>
      </w:r>
      <w:r w:rsidR="00BE0C8B">
        <w:t>disposing</w:t>
      </w:r>
      <w:r w:rsidR="00C23759">
        <w:t xml:space="preserve"> </w:t>
      </w:r>
      <w:r w:rsidR="0023286E">
        <w:t xml:space="preserve">Constituent </w:t>
      </w:r>
      <w:r w:rsidR="00C23759">
        <w:t>E</w:t>
      </w:r>
      <w:r w:rsidR="0023286E">
        <w:t>ntity</w:t>
      </w:r>
      <w:r w:rsidR="00C23759" w:rsidRPr="00CE4BE8">
        <w:t xml:space="preserve"> </w:t>
      </w:r>
      <w:r w:rsidRPr="00CE4BE8">
        <w:t xml:space="preserve">needs to include a gain or loss in respect of </w:t>
      </w:r>
      <w:r w:rsidR="00047DC5">
        <w:t xml:space="preserve">disposal of </w:t>
      </w:r>
      <w:r w:rsidRPr="00CE4BE8">
        <w:t xml:space="preserve">assets and liabilities, in </w:t>
      </w:r>
      <w:r w:rsidR="00336C89" w:rsidRPr="00FA1FA0">
        <w:t xml:space="preserve">computing the GloBE Income or Loss of the disposing Constituent Entity </w:t>
      </w:r>
      <w:r w:rsidR="00336C89" w:rsidRPr="00A4682C">
        <w:t>for the Fiscal Year in which the disposal occurs</w:t>
      </w:r>
      <w:r w:rsidR="004F1B8A">
        <w:t>.</w:t>
      </w:r>
      <w:r w:rsidR="00253995">
        <w:br/>
      </w:r>
      <w:r w:rsidR="00253995" w:rsidRPr="00191EFB">
        <w:rPr>
          <w:b/>
          <w:bCs/>
          <w:i/>
          <w:iCs/>
        </w:rPr>
        <w:t>[Chapter 6,</w:t>
      </w:r>
      <w:r w:rsidR="00134F81">
        <w:rPr>
          <w:b/>
          <w:bCs/>
          <w:i/>
          <w:iCs/>
        </w:rPr>
        <w:t xml:space="preserve"> sub</w:t>
      </w:r>
      <w:r w:rsidR="00253995" w:rsidRPr="00191EFB">
        <w:rPr>
          <w:b/>
          <w:bCs/>
          <w:i/>
          <w:iCs/>
        </w:rPr>
        <w:t>section 6-</w:t>
      </w:r>
      <w:r w:rsidR="00EB51C6">
        <w:rPr>
          <w:b/>
          <w:bCs/>
          <w:i/>
          <w:iCs/>
        </w:rPr>
        <w:t>55</w:t>
      </w:r>
      <w:r w:rsidR="00253995">
        <w:rPr>
          <w:b/>
          <w:bCs/>
          <w:i/>
          <w:iCs/>
        </w:rPr>
        <w:t>(1)</w:t>
      </w:r>
      <w:r w:rsidR="00253995" w:rsidRPr="00191EFB">
        <w:rPr>
          <w:b/>
          <w:bCs/>
          <w:i/>
          <w:iCs/>
        </w:rPr>
        <w:t xml:space="preserve"> of the Rules]</w:t>
      </w:r>
    </w:p>
    <w:p w14:paraId="68154B4C" w14:textId="77777777" w:rsidR="005F10FB" w:rsidRDefault="005F10FB" w:rsidP="00B7652D">
      <w:pPr>
        <w:pStyle w:val="Normalparatextwithnumbers"/>
        <w:numPr>
          <w:ilvl w:val="0"/>
          <w:numId w:val="0"/>
        </w:numPr>
        <w:ind w:left="709"/>
      </w:pPr>
    </w:p>
    <w:p w14:paraId="5355A86A" w14:textId="77777777" w:rsidR="00E57CA7" w:rsidRDefault="00E57CA7" w:rsidP="00B7652D">
      <w:pPr>
        <w:pStyle w:val="TableHeading"/>
        <w:keepLines/>
        <w:numPr>
          <w:ilvl w:val="4"/>
          <w:numId w:val="16"/>
        </w:numPr>
        <w:ind w:left="0" w:firstLine="0"/>
      </w:pPr>
      <w:r>
        <w:lastRenderedPageBreak/>
        <w:t>Treatment of dispositions when calculating GloBE Income or Loss</w:t>
      </w:r>
    </w:p>
    <w:tbl>
      <w:tblPr>
        <w:tblStyle w:val="TableGrid"/>
        <w:tblW w:w="4967" w:type="pct"/>
        <w:tblLook w:val="04A0" w:firstRow="1" w:lastRow="0" w:firstColumn="1" w:lastColumn="0" w:noHBand="0" w:noVBand="1"/>
      </w:tblPr>
      <w:tblGrid>
        <w:gridCol w:w="2263"/>
        <w:gridCol w:w="2318"/>
        <w:gridCol w:w="3069"/>
      </w:tblGrid>
      <w:tr w:rsidR="00E57CA7" w14:paraId="21B6BEB0" w14:textId="77777777" w:rsidTr="000F3093">
        <w:tc>
          <w:tcPr>
            <w:tcW w:w="1479" w:type="pct"/>
          </w:tcPr>
          <w:p w14:paraId="182ADDFA" w14:textId="77777777" w:rsidR="00E57CA7" w:rsidRDefault="00E57CA7" w:rsidP="00B7652D">
            <w:pPr>
              <w:pStyle w:val="Tableheaderrowtext"/>
              <w:keepLines/>
              <w:numPr>
                <w:ilvl w:val="0"/>
                <w:numId w:val="0"/>
              </w:numPr>
            </w:pPr>
            <w:r>
              <w:t>Scenario</w:t>
            </w:r>
          </w:p>
        </w:tc>
        <w:tc>
          <w:tcPr>
            <w:tcW w:w="1515" w:type="pct"/>
          </w:tcPr>
          <w:p w14:paraId="3F926FC6" w14:textId="77777777" w:rsidR="00E57CA7" w:rsidRDefault="00E57CA7" w:rsidP="00B7652D">
            <w:pPr>
              <w:pStyle w:val="Tableheaderrowtext"/>
              <w:keepLines/>
              <w:numPr>
                <w:ilvl w:val="0"/>
                <w:numId w:val="0"/>
              </w:numPr>
            </w:pPr>
            <w:r>
              <w:t>Disposing Constituent Entity</w:t>
            </w:r>
          </w:p>
        </w:tc>
        <w:tc>
          <w:tcPr>
            <w:tcW w:w="2006" w:type="pct"/>
          </w:tcPr>
          <w:p w14:paraId="6FD6E25B" w14:textId="77777777" w:rsidR="00E57CA7" w:rsidRDefault="00E57CA7" w:rsidP="00B7652D">
            <w:pPr>
              <w:pStyle w:val="Tableheaderrowtext"/>
              <w:keepLines/>
              <w:numPr>
                <w:ilvl w:val="0"/>
                <w:numId w:val="0"/>
              </w:numPr>
            </w:pPr>
            <w:r>
              <w:t>Acquiring Constituent Entity</w:t>
            </w:r>
          </w:p>
        </w:tc>
      </w:tr>
      <w:tr w:rsidR="00E57CA7" w14:paraId="431923A1" w14:textId="77777777" w:rsidTr="000F3093">
        <w:tc>
          <w:tcPr>
            <w:tcW w:w="1479" w:type="pct"/>
          </w:tcPr>
          <w:p w14:paraId="7ABE22B3" w14:textId="77777777" w:rsidR="00E57CA7" w:rsidRPr="00615FCB" w:rsidRDefault="00E57CA7" w:rsidP="00B7652D">
            <w:pPr>
              <w:pStyle w:val="Tabletext"/>
              <w:keepNext/>
              <w:keepLines/>
              <w:rPr>
                <w:b/>
                <w:bCs/>
              </w:rPr>
            </w:pPr>
            <w:r w:rsidRPr="00615FCB">
              <w:rPr>
                <w:b/>
                <w:bCs/>
              </w:rPr>
              <w:t>GloBE Reorganisation</w:t>
            </w:r>
          </w:p>
        </w:tc>
        <w:tc>
          <w:tcPr>
            <w:tcW w:w="1515" w:type="pct"/>
          </w:tcPr>
          <w:p w14:paraId="6B463924" w14:textId="77777777" w:rsidR="00E57CA7" w:rsidRDefault="00E57CA7" w:rsidP="00B7652D">
            <w:pPr>
              <w:pStyle w:val="Tabletext"/>
              <w:keepNext/>
              <w:keepLines/>
            </w:pPr>
            <w:r>
              <w:t>Exclude the gain or loss on disposition.</w:t>
            </w:r>
          </w:p>
        </w:tc>
        <w:tc>
          <w:tcPr>
            <w:tcW w:w="2006" w:type="pct"/>
          </w:tcPr>
          <w:p w14:paraId="000B0DB2" w14:textId="77777777" w:rsidR="00E57CA7" w:rsidRDefault="00E57CA7" w:rsidP="00B7652D">
            <w:pPr>
              <w:pStyle w:val="Tabletext"/>
              <w:keepNext/>
              <w:keepLines/>
            </w:pPr>
            <w:r>
              <w:t>Use the disposing Constituent Entity’s carrying value of the asset/liability upon disposition.</w:t>
            </w:r>
          </w:p>
        </w:tc>
      </w:tr>
      <w:tr w:rsidR="00E57CA7" w14:paraId="1D7460DA" w14:textId="77777777" w:rsidTr="000F3093">
        <w:tc>
          <w:tcPr>
            <w:tcW w:w="1479" w:type="pct"/>
          </w:tcPr>
          <w:p w14:paraId="3678B9A6" w14:textId="77777777" w:rsidR="00E57CA7" w:rsidRPr="00615FCB" w:rsidRDefault="00E57CA7" w:rsidP="00B7652D">
            <w:pPr>
              <w:pStyle w:val="Tabletext"/>
              <w:keepNext/>
              <w:keepLines/>
              <w:rPr>
                <w:b/>
                <w:bCs/>
              </w:rPr>
            </w:pPr>
            <w:r w:rsidRPr="00615FCB">
              <w:rPr>
                <w:b/>
                <w:bCs/>
              </w:rPr>
              <w:t xml:space="preserve">GloBE Reorganisation where the disposing </w:t>
            </w:r>
            <w:r>
              <w:rPr>
                <w:b/>
                <w:bCs/>
              </w:rPr>
              <w:t>Constituent Entity</w:t>
            </w:r>
            <w:r w:rsidRPr="00615FCB">
              <w:rPr>
                <w:b/>
                <w:bCs/>
              </w:rPr>
              <w:t xml:space="preserve"> has a Non-qualifying Gain or Loss</w:t>
            </w:r>
          </w:p>
        </w:tc>
        <w:tc>
          <w:tcPr>
            <w:tcW w:w="1515" w:type="pct"/>
          </w:tcPr>
          <w:p w14:paraId="5076D478" w14:textId="77777777" w:rsidR="00E57CA7" w:rsidRDefault="00E57CA7" w:rsidP="00B7652D">
            <w:pPr>
              <w:pStyle w:val="Tabletext"/>
              <w:keepNext/>
              <w:keepLines/>
            </w:pPr>
            <w:r>
              <w:t>Include the gain or loss on disposition to the extent of the Non-qualifying Gain or Loss.</w:t>
            </w:r>
          </w:p>
        </w:tc>
        <w:tc>
          <w:tcPr>
            <w:tcW w:w="2006" w:type="pct"/>
          </w:tcPr>
          <w:p w14:paraId="79C1DE26" w14:textId="77777777" w:rsidR="00E57CA7" w:rsidRDefault="00E57CA7" w:rsidP="00B7652D">
            <w:pPr>
              <w:pStyle w:val="Tabletext"/>
              <w:keepNext/>
              <w:keepLines/>
            </w:pPr>
            <w:r>
              <w:t>Use the disposing Constituent Entity’s carrying value of the asset/liability upon disposition, adjusted to be consistent with the local tax rules to account for the Non</w:t>
            </w:r>
            <w:r>
              <w:noBreakHyphen/>
              <w:t>qualifying Gain or Loss.</w:t>
            </w:r>
          </w:p>
        </w:tc>
      </w:tr>
      <w:tr w:rsidR="00E57CA7" w14:paraId="3E688C13" w14:textId="77777777" w:rsidTr="000F3093">
        <w:tc>
          <w:tcPr>
            <w:tcW w:w="1479" w:type="pct"/>
          </w:tcPr>
          <w:p w14:paraId="14B44737" w14:textId="77777777" w:rsidR="00E57CA7" w:rsidRPr="00615FCB" w:rsidRDefault="00E57CA7" w:rsidP="00B7652D">
            <w:pPr>
              <w:pStyle w:val="Tabletext"/>
              <w:keepNext/>
              <w:keepLines/>
              <w:rPr>
                <w:b/>
                <w:bCs/>
              </w:rPr>
            </w:pPr>
            <w:r w:rsidRPr="00615FCB">
              <w:rPr>
                <w:b/>
                <w:bCs/>
              </w:rPr>
              <w:t>Disposition other than a GloBE Reorganisation</w:t>
            </w:r>
          </w:p>
        </w:tc>
        <w:tc>
          <w:tcPr>
            <w:tcW w:w="1515" w:type="pct"/>
          </w:tcPr>
          <w:p w14:paraId="631CCF69" w14:textId="77777777" w:rsidR="00E57CA7" w:rsidRDefault="00E57CA7" w:rsidP="00B7652D">
            <w:pPr>
              <w:pStyle w:val="Tabletext"/>
              <w:keepNext/>
              <w:keepLines/>
            </w:pPr>
            <w:r>
              <w:t>Include the gain or loss on disposition.</w:t>
            </w:r>
          </w:p>
        </w:tc>
        <w:tc>
          <w:tcPr>
            <w:tcW w:w="2006" w:type="pct"/>
          </w:tcPr>
          <w:p w14:paraId="634DE574" w14:textId="77777777" w:rsidR="00E57CA7" w:rsidRDefault="00E57CA7" w:rsidP="00B7652D">
            <w:pPr>
              <w:pStyle w:val="Tabletext"/>
              <w:keepNext/>
              <w:keepLines/>
            </w:pPr>
            <w:r>
              <w:t>Use the acquiring Constituent Entity’s carrying value of the asset/liability, as determined under the accounting standard used in preparing the CFS of the UPE.</w:t>
            </w:r>
          </w:p>
        </w:tc>
      </w:tr>
    </w:tbl>
    <w:p w14:paraId="74088B1A" w14:textId="77777777" w:rsidR="00E57CA7" w:rsidRDefault="00E57CA7" w:rsidP="00E57CA7">
      <w:pPr>
        <w:pStyle w:val="Heading4"/>
        <w:numPr>
          <w:ilvl w:val="3"/>
          <w:numId w:val="2"/>
        </w:numPr>
      </w:pPr>
      <w:r>
        <w:t>Definition of GloBE Reorganisation</w:t>
      </w:r>
    </w:p>
    <w:p w14:paraId="06CD5943" w14:textId="5F140592" w:rsidR="00E57CA7" w:rsidRDefault="00004117" w:rsidP="00E57CA7">
      <w:pPr>
        <w:pStyle w:val="Normalparatextwithnumbers"/>
        <w:numPr>
          <w:ilvl w:val="1"/>
          <w:numId w:val="16"/>
        </w:numPr>
      </w:pPr>
      <w:r>
        <w:t xml:space="preserve">These rules are </w:t>
      </w:r>
      <w:r w:rsidR="0009723E">
        <w:t>intended</w:t>
      </w:r>
      <w:r>
        <w:t xml:space="preserve"> to harmonise the GloBE Rules with common tax reorganisation rules. </w:t>
      </w:r>
      <w:r w:rsidR="00E57CA7">
        <w:t>A GloBE Reorganisation is</w:t>
      </w:r>
      <w:r w:rsidR="00B35A9C">
        <w:t xml:space="preserve"> defined in Article 10.1 of the Consolidated Commentary and</w:t>
      </w:r>
      <w:r w:rsidR="00E57CA7">
        <w:t xml:space="preserve"> is an acquisition or disposition where the sellers of the target are compensated with equity interests in the acquirer and the gains or losses on the acquired assets and liabilities are deferred under the local tax rules.</w:t>
      </w:r>
      <w:r w:rsidR="00BB61F3">
        <w:t xml:space="preserve"> </w:t>
      </w:r>
      <w:r w:rsidR="00E57CA7">
        <w:br/>
      </w:r>
      <w:r w:rsidR="00E57CA7" w:rsidRPr="00C7710B">
        <w:rPr>
          <w:rStyle w:val="References"/>
        </w:rPr>
        <w:t>[</w:t>
      </w:r>
      <w:r w:rsidR="00E57CA7">
        <w:rPr>
          <w:rStyle w:val="References"/>
        </w:rPr>
        <w:t>Chapter 6, section</w:t>
      </w:r>
      <w:r w:rsidR="007946C1">
        <w:rPr>
          <w:rStyle w:val="References"/>
        </w:rPr>
        <w:t>s 6-6</w:t>
      </w:r>
      <w:r w:rsidR="00EB51C6">
        <w:rPr>
          <w:rStyle w:val="References"/>
        </w:rPr>
        <w:t>0</w:t>
      </w:r>
      <w:r w:rsidR="007946C1">
        <w:rPr>
          <w:rStyle w:val="References"/>
        </w:rPr>
        <w:t xml:space="preserve"> and</w:t>
      </w:r>
      <w:r w:rsidR="00E57CA7">
        <w:rPr>
          <w:rStyle w:val="References"/>
        </w:rPr>
        <w:t xml:space="preserve"> 6-</w:t>
      </w:r>
      <w:r w:rsidR="00EB51C6">
        <w:rPr>
          <w:rStyle w:val="References"/>
        </w:rPr>
        <w:t>65</w:t>
      </w:r>
      <w:r w:rsidR="00E57CA7">
        <w:rPr>
          <w:rStyle w:val="References"/>
        </w:rPr>
        <w:t xml:space="preserve"> of the Rules</w:t>
      </w:r>
      <w:r w:rsidR="00E57CA7" w:rsidRPr="00C7710B">
        <w:rPr>
          <w:rStyle w:val="References"/>
        </w:rPr>
        <w:t xml:space="preserve">] </w:t>
      </w:r>
    </w:p>
    <w:p w14:paraId="2E5E50C0" w14:textId="6413DE4C" w:rsidR="00CD55AD" w:rsidRDefault="00CD55AD" w:rsidP="00E57CA7">
      <w:pPr>
        <w:pStyle w:val="Normalparatextwithnumbers"/>
        <w:numPr>
          <w:ilvl w:val="1"/>
          <w:numId w:val="16"/>
        </w:numPr>
      </w:pPr>
      <w:r>
        <w:t xml:space="preserve">To meet the definition of GloBE Reorganisation, various conditions must be met, including consideration of equity interests, taxability of the gain or loss on the asset and the local tax laws of the jurisdiction. </w:t>
      </w:r>
      <w:r w:rsidR="005E7330">
        <w:t xml:space="preserve">A GloBE Reorganisation extends to transformations </w:t>
      </w:r>
      <w:r w:rsidR="005B2B65">
        <w:t>where a transferor or acquiror is involved</w:t>
      </w:r>
      <w:r w:rsidR="00F664AA">
        <w:t xml:space="preserve">, such as when a business changes from a partnership to a corporation. Further, a transformation </w:t>
      </w:r>
      <w:r w:rsidR="00CB4CAC" w:rsidRPr="00CB4CAC">
        <w:t xml:space="preserve">includes a contribution of assets to the capital of an existing Entity, </w:t>
      </w:r>
      <w:r w:rsidR="009D65F0">
        <w:t xml:space="preserve">provided that </w:t>
      </w:r>
      <w:r w:rsidR="00CB4CAC" w:rsidRPr="00CB4CAC">
        <w:t>the Entity does not issue new or additional Ownership Interests in exchange for the contributed assets.</w:t>
      </w:r>
      <w:r w:rsidR="00F664AA">
        <w:br/>
      </w:r>
      <w:r w:rsidR="00F664AA" w:rsidRPr="00F664AA">
        <w:rPr>
          <w:rStyle w:val="References"/>
        </w:rPr>
        <w:t xml:space="preserve">[Chapter 6, </w:t>
      </w:r>
      <w:r w:rsidR="00F664AA">
        <w:rPr>
          <w:rStyle w:val="References"/>
        </w:rPr>
        <w:t>sub</w:t>
      </w:r>
      <w:r w:rsidR="00F664AA" w:rsidRPr="00F664AA">
        <w:rPr>
          <w:rStyle w:val="References"/>
        </w:rPr>
        <w:t>sections 6-</w:t>
      </w:r>
      <w:r w:rsidR="00EB51C6">
        <w:rPr>
          <w:rStyle w:val="References"/>
        </w:rPr>
        <w:t>65</w:t>
      </w:r>
      <w:r w:rsidR="00F664AA">
        <w:rPr>
          <w:rStyle w:val="References"/>
        </w:rPr>
        <w:t>(2) and (3)</w:t>
      </w:r>
      <w:r w:rsidR="00F664AA" w:rsidRPr="00F664AA">
        <w:rPr>
          <w:rStyle w:val="References"/>
        </w:rPr>
        <w:t xml:space="preserve"> of the Rules]</w:t>
      </w:r>
    </w:p>
    <w:p w14:paraId="0EE619B6" w14:textId="62342BCB" w:rsidR="00E57CA7" w:rsidRPr="00461982" w:rsidRDefault="00E57CA7" w:rsidP="00E57CA7">
      <w:pPr>
        <w:pStyle w:val="Normalparatextwithnumbers"/>
        <w:numPr>
          <w:ilvl w:val="1"/>
          <w:numId w:val="16"/>
        </w:numPr>
      </w:pPr>
      <w:r w:rsidRPr="00461982">
        <w:t xml:space="preserve">To qualify as a GloBE Reorganisation, </w:t>
      </w:r>
      <w:r w:rsidR="005746AB">
        <w:t>the transformation or transfer involves the disposal or acquisition of assets or liabilities</w:t>
      </w:r>
      <w:r w:rsidR="00F90169">
        <w:t>.</w:t>
      </w:r>
      <w:r w:rsidR="005746AB">
        <w:t xml:space="preserve"> </w:t>
      </w:r>
      <w:r w:rsidR="00F90169">
        <w:t>I</w:t>
      </w:r>
      <w:r w:rsidR="00D3377A">
        <w:t>f no</w:t>
      </w:r>
      <w:r w:rsidRPr="00461982">
        <w:t xml:space="preserve"> consideration </w:t>
      </w:r>
      <w:r w:rsidR="00D3377A">
        <w:t>is provided</w:t>
      </w:r>
      <w:r w:rsidR="00160028">
        <w:t xml:space="preserve"> </w:t>
      </w:r>
      <w:r w:rsidR="00160028" w:rsidRPr="00FA1FA0">
        <w:t>the issuance of an equity interest as consideration for the transformation or transfer would have no economic significance</w:t>
      </w:r>
      <w:r w:rsidR="00F90169">
        <w:t>, if consideration provided</w:t>
      </w:r>
      <w:r w:rsidR="00E34AD3">
        <w:t xml:space="preserve"> it</w:t>
      </w:r>
      <w:r w:rsidRPr="00461982">
        <w:t xml:space="preserve"> </w:t>
      </w:r>
      <w:r w:rsidR="00AB7D36">
        <w:t xml:space="preserve">is </w:t>
      </w:r>
      <w:r w:rsidR="00E34AD3">
        <w:t>in</w:t>
      </w:r>
      <w:r w:rsidR="006B0B74">
        <w:t xml:space="preserve"> whole </w:t>
      </w:r>
      <w:r w:rsidR="00AB7D36">
        <w:t xml:space="preserve">or </w:t>
      </w:r>
      <w:r w:rsidR="00AB7D36" w:rsidRPr="00461982">
        <w:t>significant part</w:t>
      </w:r>
      <w:r w:rsidR="006B0B74">
        <w:t xml:space="preserve"> of </w:t>
      </w:r>
      <w:r w:rsidRPr="00461982">
        <w:t xml:space="preserve">equity interests issued by the acquiring </w:t>
      </w:r>
      <w:r>
        <w:t>Constituent Entity</w:t>
      </w:r>
      <w:r w:rsidRPr="00461982">
        <w:t xml:space="preserve"> or by a person connected with the </w:t>
      </w:r>
      <w:r w:rsidRPr="00461982">
        <w:lastRenderedPageBreak/>
        <w:t xml:space="preserve">acquiring </w:t>
      </w:r>
      <w:r>
        <w:t>Constituent Entity</w:t>
      </w:r>
      <w:r w:rsidR="002F6D8F">
        <w:t>, or</w:t>
      </w:r>
      <w:r w:rsidRPr="00461982">
        <w:t xml:space="preserve"> </w:t>
      </w:r>
      <w:r w:rsidR="008C7CCB">
        <w:t>i</w:t>
      </w:r>
      <w:r>
        <w:t xml:space="preserve">n case of liquidation, the consideration </w:t>
      </w:r>
      <w:r w:rsidR="005576D7">
        <w:t xml:space="preserve">is with respect to </w:t>
      </w:r>
      <w:r>
        <w:t>the cancellation of equity interest of the target.</w:t>
      </w:r>
      <w:r>
        <w:br/>
      </w:r>
      <w:r w:rsidRPr="00C7710B">
        <w:rPr>
          <w:rStyle w:val="References"/>
        </w:rPr>
        <w:t>[</w:t>
      </w:r>
      <w:r>
        <w:rPr>
          <w:rStyle w:val="References"/>
        </w:rPr>
        <w:t xml:space="preserve">Chapter 6, </w:t>
      </w:r>
      <w:r w:rsidR="008861DF">
        <w:rPr>
          <w:rStyle w:val="References"/>
        </w:rPr>
        <w:t xml:space="preserve">paragraphs </w:t>
      </w:r>
      <w:r>
        <w:rPr>
          <w:rStyle w:val="References"/>
        </w:rPr>
        <w:t>6-</w:t>
      </w:r>
      <w:r w:rsidR="00BC5D38">
        <w:rPr>
          <w:rStyle w:val="References"/>
        </w:rPr>
        <w:t>65</w:t>
      </w:r>
      <w:r>
        <w:rPr>
          <w:rStyle w:val="References"/>
        </w:rPr>
        <w:t>(</w:t>
      </w:r>
      <w:r w:rsidR="00061828">
        <w:rPr>
          <w:rStyle w:val="References"/>
        </w:rPr>
        <w:t>1)</w:t>
      </w:r>
      <w:r>
        <w:rPr>
          <w:rStyle w:val="References"/>
        </w:rPr>
        <w:t>(a</w:t>
      </w:r>
      <w:r w:rsidR="00061828">
        <w:rPr>
          <w:rStyle w:val="References"/>
        </w:rPr>
        <w:t>), (</w:t>
      </w:r>
      <w:r w:rsidR="00BC5D38">
        <w:rPr>
          <w:rStyle w:val="References"/>
        </w:rPr>
        <w:t>b</w:t>
      </w:r>
      <w:r>
        <w:rPr>
          <w:rStyle w:val="References"/>
        </w:rPr>
        <w:t>) and (</w:t>
      </w:r>
      <w:r w:rsidR="00BC5D38">
        <w:rPr>
          <w:rStyle w:val="References"/>
        </w:rPr>
        <w:t>c</w:t>
      </w:r>
      <w:r>
        <w:rPr>
          <w:rStyle w:val="References"/>
        </w:rPr>
        <w:t>) of the Rules</w:t>
      </w:r>
      <w:r w:rsidRPr="00C7710B">
        <w:rPr>
          <w:rStyle w:val="References"/>
        </w:rPr>
        <w:t xml:space="preserve">] </w:t>
      </w:r>
    </w:p>
    <w:p w14:paraId="2C7521B3" w14:textId="7AC17BE4" w:rsidR="00E57CA7" w:rsidRDefault="00E57CA7" w:rsidP="00E57CA7">
      <w:pPr>
        <w:pStyle w:val="Normalparatextwithnumbers"/>
        <w:numPr>
          <w:ilvl w:val="1"/>
          <w:numId w:val="16"/>
        </w:numPr>
      </w:pPr>
      <w:r>
        <w:t xml:space="preserve">Additionally, the disposing Constituent Entity’s gain or loss on the assets and liabilities must be </w:t>
      </w:r>
      <w:r w:rsidR="005576D7">
        <w:t xml:space="preserve">at least </w:t>
      </w:r>
      <w:r>
        <w:t xml:space="preserve">partially non-taxable at the time of the transformation or transaction. </w:t>
      </w:r>
      <w:r>
        <w:br/>
      </w:r>
      <w:r w:rsidRPr="00C7710B">
        <w:rPr>
          <w:rStyle w:val="References"/>
        </w:rPr>
        <w:t>[</w:t>
      </w:r>
      <w:r>
        <w:rPr>
          <w:rStyle w:val="References"/>
        </w:rPr>
        <w:t xml:space="preserve">Chapter 6, </w:t>
      </w:r>
      <w:r w:rsidR="00C66C00">
        <w:rPr>
          <w:rStyle w:val="References"/>
        </w:rPr>
        <w:t>paragraph</w:t>
      </w:r>
      <w:r>
        <w:rPr>
          <w:rStyle w:val="References"/>
        </w:rPr>
        <w:t xml:space="preserve"> 6-</w:t>
      </w:r>
      <w:r w:rsidR="00BC5D38">
        <w:rPr>
          <w:rStyle w:val="References"/>
        </w:rPr>
        <w:t>65</w:t>
      </w:r>
      <w:r>
        <w:rPr>
          <w:rStyle w:val="References"/>
        </w:rPr>
        <w:t>(</w:t>
      </w:r>
      <w:r w:rsidR="008861DF">
        <w:rPr>
          <w:rStyle w:val="References"/>
        </w:rPr>
        <w:t>1)</w:t>
      </w:r>
      <w:r>
        <w:rPr>
          <w:rStyle w:val="References"/>
        </w:rPr>
        <w:t>(</w:t>
      </w:r>
      <w:r w:rsidR="0065725B">
        <w:rPr>
          <w:rStyle w:val="References"/>
        </w:rPr>
        <w:t>d</w:t>
      </w:r>
      <w:r>
        <w:rPr>
          <w:rStyle w:val="References"/>
        </w:rPr>
        <w:t>) of the Rules</w:t>
      </w:r>
      <w:r w:rsidRPr="00C7710B">
        <w:rPr>
          <w:rStyle w:val="References"/>
        </w:rPr>
        <w:t xml:space="preserve">] </w:t>
      </w:r>
    </w:p>
    <w:p w14:paraId="64CB071C" w14:textId="5AE494A1" w:rsidR="007D1F51" w:rsidRDefault="007D1F51" w:rsidP="007D1F51">
      <w:pPr>
        <w:pStyle w:val="Normalparatextwithnumbers"/>
        <w:numPr>
          <w:ilvl w:val="1"/>
          <w:numId w:val="16"/>
        </w:numPr>
      </w:pPr>
      <w:r>
        <w:t xml:space="preserve">The criteria for the tax laws of the jurisdiction is considered to be satisfied </w:t>
      </w:r>
      <w:r w:rsidRPr="00A0674D">
        <w:rPr>
          <w:rFonts w:cstheme="minorHAnsi"/>
        </w:rPr>
        <w:t xml:space="preserve">where </w:t>
      </w:r>
      <w:r>
        <w:rPr>
          <w:rFonts w:cstheme="minorHAnsi"/>
        </w:rPr>
        <w:t xml:space="preserve">the </w:t>
      </w:r>
      <w:r w:rsidRPr="00A0674D">
        <w:rPr>
          <w:rFonts w:cstheme="minorHAnsi"/>
        </w:rPr>
        <w:t>tax laws of acquiring entity’s jurisdiction require the acquiring entity to compute its taxable income after the acquisition using the disposing entity tax basis adjusted for any taxable gain or loss on the d</w:t>
      </w:r>
      <w:r>
        <w:rPr>
          <w:rFonts w:cstheme="minorHAnsi"/>
        </w:rPr>
        <w:t>i</w:t>
      </w:r>
      <w:r w:rsidRPr="00A0674D">
        <w:rPr>
          <w:rFonts w:cstheme="minorHAnsi"/>
        </w:rPr>
        <w:t>s</w:t>
      </w:r>
      <w:r>
        <w:rPr>
          <w:rFonts w:cstheme="minorHAnsi"/>
        </w:rPr>
        <w:t>pos</w:t>
      </w:r>
      <w:r w:rsidRPr="00A0674D">
        <w:rPr>
          <w:rFonts w:cstheme="minorHAnsi"/>
        </w:rPr>
        <w:t>ition or acquisition and that the taxable gain or loss on the transaction is generally lower than financial accounting gain or loss arising on the transaction.</w:t>
      </w:r>
      <w:r w:rsidRPr="00A0674D">
        <w:rPr>
          <w:rFonts w:cstheme="minorHAnsi"/>
        </w:rPr>
        <w:br/>
      </w:r>
      <w:r>
        <w:rPr>
          <w:rStyle w:val="References"/>
        </w:rPr>
        <w:t>[Chapter 6, paragraph 6-</w:t>
      </w:r>
      <w:r w:rsidR="00BC5D38">
        <w:rPr>
          <w:rStyle w:val="References"/>
        </w:rPr>
        <w:t>65</w:t>
      </w:r>
      <w:r>
        <w:rPr>
          <w:rStyle w:val="References"/>
        </w:rPr>
        <w:t>(1)(</w:t>
      </w:r>
      <w:r w:rsidR="0065725B">
        <w:rPr>
          <w:rStyle w:val="References"/>
        </w:rPr>
        <w:t>e</w:t>
      </w:r>
      <w:r>
        <w:rPr>
          <w:rStyle w:val="References"/>
        </w:rPr>
        <w:t>) of the Rules]</w:t>
      </w:r>
    </w:p>
    <w:p w14:paraId="249AADEA" w14:textId="16DF54F9" w:rsidR="00E57CA7" w:rsidRDefault="00E57CA7" w:rsidP="00E57CA7">
      <w:pPr>
        <w:pStyle w:val="Normalparatextwithnumbers"/>
        <w:numPr>
          <w:ilvl w:val="1"/>
          <w:numId w:val="16"/>
        </w:numPr>
      </w:pPr>
      <w:r>
        <w:t>Finally, the tax laws of the jurisdiction in which the acquiring Constituent Entity is located must require the acquiring Constituent Entity to compute taxable income after the acquisition using the disposing Constituent Entity’s tax basis in the assets or liabilities, adjusted for any Non</w:t>
      </w:r>
      <w:r>
        <w:noBreakHyphen/>
        <w:t xml:space="preserve">Qualifying Gain or Loss on the disposition or acquisition. The Non-qualifying Gain or Loss is the lesser of gain or loss of the transferor arising in connection with a GloBE Reorganisation that is subject to tax in jurisdiction, or the financial accounting gains or loss of the transferor. </w:t>
      </w:r>
      <w:r>
        <w:br/>
      </w:r>
      <w:r w:rsidRPr="00E55D0C">
        <w:rPr>
          <w:b/>
          <w:bCs/>
          <w:i/>
          <w:iCs/>
        </w:rPr>
        <w:t>[Chapter 6, subsection 6-</w:t>
      </w:r>
      <w:r w:rsidR="00BC5D38">
        <w:rPr>
          <w:b/>
          <w:bCs/>
          <w:i/>
          <w:iCs/>
        </w:rPr>
        <w:t>65</w:t>
      </w:r>
      <w:r w:rsidRPr="00E55D0C">
        <w:rPr>
          <w:b/>
          <w:bCs/>
          <w:i/>
          <w:iCs/>
        </w:rPr>
        <w:t>(4) of the Rules]</w:t>
      </w:r>
      <w:r w:rsidRPr="00A0674D" w:rsidDel="00CF2F60">
        <w:rPr>
          <w:rStyle w:val="References"/>
        </w:rPr>
        <w:t xml:space="preserve"> </w:t>
      </w:r>
    </w:p>
    <w:p w14:paraId="18292847" w14:textId="77777777" w:rsidR="00E57CA7" w:rsidRPr="00C12FFA" w:rsidRDefault="00E57CA7" w:rsidP="00E57CA7">
      <w:pPr>
        <w:pStyle w:val="Heading6"/>
        <w:rPr>
          <w:rFonts w:hint="eastAsia"/>
        </w:rPr>
      </w:pPr>
      <w:r w:rsidRPr="00C12FFA">
        <w:t>Gain or loss from GloBE Reorganisation of dispos</w:t>
      </w:r>
      <w:r>
        <w:t>ed</w:t>
      </w:r>
      <w:r w:rsidRPr="00C12FFA">
        <w:t xml:space="preserve"> assets and liabilities </w:t>
      </w:r>
    </w:p>
    <w:p w14:paraId="7DFAE7E2" w14:textId="35E72022" w:rsidR="00E57CA7" w:rsidRPr="00C12FFA" w:rsidRDefault="00E57CA7" w:rsidP="00E57CA7">
      <w:pPr>
        <w:pStyle w:val="Normalparatextwithnumbers"/>
        <w:numPr>
          <w:ilvl w:val="1"/>
          <w:numId w:val="16"/>
        </w:numPr>
      </w:pPr>
      <w:r w:rsidRPr="00C12FFA">
        <w:t xml:space="preserve">In the case of a GloBE Reorganisation, where there is a transfer of assets and liabilities, the entity disposing of the assets and liabilities will exclude any gain or loss from its GloBE Income. The acquiring entity will </w:t>
      </w:r>
      <w:r>
        <w:t xml:space="preserve">compute its GloBE income or loss based on </w:t>
      </w:r>
      <w:r w:rsidRPr="00C12FFA">
        <w:t xml:space="preserve">the disposing entity’s carrying values of the acquired assets and liabilities </w:t>
      </w:r>
      <w:r>
        <w:t xml:space="preserve">immediately before </w:t>
      </w:r>
      <w:r w:rsidRPr="00C12FFA">
        <w:t xml:space="preserve">disposal. </w:t>
      </w:r>
      <w:r w:rsidR="008377F3">
        <w:br/>
      </w:r>
      <w:r w:rsidR="00C549EC" w:rsidRPr="00E55D0C">
        <w:rPr>
          <w:b/>
          <w:bCs/>
          <w:i/>
          <w:iCs/>
        </w:rPr>
        <w:t>[Chapter 6, section 6-</w:t>
      </w:r>
      <w:r w:rsidR="00C549EC">
        <w:rPr>
          <w:b/>
          <w:bCs/>
          <w:i/>
          <w:iCs/>
        </w:rPr>
        <w:t>6</w:t>
      </w:r>
      <w:r w:rsidR="00C8299A">
        <w:rPr>
          <w:b/>
          <w:bCs/>
          <w:i/>
          <w:iCs/>
        </w:rPr>
        <w:t>0</w:t>
      </w:r>
      <w:r w:rsidR="00C549EC" w:rsidRPr="00E55D0C">
        <w:rPr>
          <w:b/>
          <w:bCs/>
          <w:i/>
          <w:iCs/>
        </w:rPr>
        <w:t xml:space="preserve"> of the Rules]</w:t>
      </w:r>
    </w:p>
    <w:p w14:paraId="1D9EBCDE" w14:textId="321390E2" w:rsidR="00E57CA7" w:rsidRPr="00B75F78" w:rsidRDefault="00E57CA7" w:rsidP="00E57CA7">
      <w:pPr>
        <w:pStyle w:val="Normalparatextwithnumbers"/>
        <w:numPr>
          <w:ilvl w:val="1"/>
          <w:numId w:val="16"/>
        </w:numPr>
      </w:pPr>
      <w:r w:rsidRPr="00C12FFA">
        <w:t xml:space="preserve">The gain or loss of a transfer of assets and liabilities resulting from a GloBE Reorganisation is included in the computation of GloBE Income or Loss only to the extent it relates to a Non-qualifying Gain or Loss, defined in </w:t>
      </w:r>
      <w:r>
        <w:t>subsection</w:t>
      </w:r>
      <w:r w:rsidRPr="00C12FFA">
        <w:t xml:space="preserve"> 6-</w:t>
      </w:r>
      <w:r>
        <w:t>65</w:t>
      </w:r>
      <w:r w:rsidRPr="00C12FFA">
        <w:t xml:space="preserve">(4) of the Rules generally as the lesser of the taxable or financial accounting gain or loss on the transfer. In most cases, there will not be any Non-qualifying Loss because jurisdictions typically do not allow losses to be taken into account in connection with a tax-free reorganisation. </w:t>
      </w:r>
      <w:r>
        <w:t>An adjustment to the FANIL for a Non-qualifying Gain is a positive adjustment, whereas an adjustment to FANIL for Non-qualifying Loss is a negative adjustment.</w:t>
      </w:r>
      <w:r>
        <w:br/>
      </w:r>
      <w:r w:rsidRPr="00E55D0C">
        <w:rPr>
          <w:b/>
          <w:bCs/>
          <w:i/>
          <w:iCs/>
        </w:rPr>
        <w:t>[Chapter 6, subsection 6-</w:t>
      </w:r>
      <w:r w:rsidR="00C8299A">
        <w:rPr>
          <w:b/>
          <w:bCs/>
          <w:i/>
          <w:iCs/>
        </w:rPr>
        <w:t>65</w:t>
      </w:r>
      <w:r w:rsidRPr="00E55D0C">
        <w:rPr>
          <w:b/>
          <w:bCs/>
          <w:i/>
          <w:iCs/>
        </w:rPr>
        <w:t>(4) of the Rules]</w:t>
      </w:r>
    </w:p>
    <w:p w14:paraId="1DDEE25C" w14:textId="77777777" w:rsidR="002E7302" w:rsidRDefault="002E7302" w:rsidP="002E7302">
      <w:pPr>
        <w:pStyle w:val="Heading4"/>
        <w:numPr>
          <w:ilvl w:val="3"/>
          <w:numId w:val="2"/>
        </w:numPr>
      </w:pPr>
      <w:r>
        <w:lastRenderedPageBreak/>
        <w:t>Fair value adjustments</w:t>
      </w:r>
    </w:p>
    <w:p w14:paraId="0A9E94E1" w14:textId="158E32DF" w:rsidR="002E7302" w:rsidRDefault="002E7302" w:rsidP="002E7302">
      <w:pPr>
        <w:pStyle w:val="Normalparatextwithnumbers"/>
        <w:numPr>
          <w:ilvl w:val="1"/>
          <w:numId w:val="16"/>
        </w:numPr>
      </w:pPr>
      <w:r>
        <w:t>A Filing Constituent Entity</w:t>
      </w:r>
      <w:r w:rsidR="0098717C" w:rsidDel="008A3CD2">
        <w:t xml:space="preserve"> </w:t>
      </w:r>
      <w:r w:rsidR="008A3CD2">
        <w:t xml:space="preserve">for </w:t>
      </w:r>
      <w:r w:rsidR="0098717C">
        <w:t>an MNE Group</w:t>
      </w:r>
      <w:r>
        <w:t xml:space="preserve"> may make an annual or </w:t>
      </w:r>
      <w:r w:rsidR="002330EF">
        <w:t>Five-Year</w:t>
      </w:r>
      <w:r>
        <w:t xml:space="preserve"> election to apply a fair value adjustment</w:t>
      </w:r>
      <w:r w:rsidR="00937483">
        <w:t>,</w:t>
      </w:r>
      <w:r w:rsidR="00DA3321">
        <w:t xml:space="preserve"> if certain conditions are met</w:t>
      </w:r>
      <w:r>
        <w:t>.</w:t>
      </w:r>
      <w:r w:rsidRPr="00F975EA">
        <w:t xml:space="preserve"> </w:t>
      </w:r>
      <w:r>
        <w:t>The adjustment required for tax purposes is usually, but not always, based on fair value and may lead to determination of fair value for local tax purposes that is different from fair value for financial reporting purposes. A</w:t>
      </w:r>
      <w:r w:rsidR="00290F65">
        <w:t>n adjusting</w:t>
      </w:r>
      <w:r>
        <w:t xml:space="preserve"> Constituent Entity </w:t>
      </w:r>
      <w:r w:rsidR="00DC6F88">
        <w:t>is</w:t>
      </w:r>
      <w:r>
        <w:t xml:space="preserve"> required or permitted to adjust the basis of its assets or amount of its liabilities to fair value for local tax purposes in a variety of circumstances, including where:  </w:t>
      </w:r>
    </w:p>
    <w:p w14:paraId="00C22AB9" w14:textId="77777777" w:rsidR="002E7302" w:rsidRDefault="002E7302" w:rsidP="00B7652D">
      <w:pPr>
        <w:pStyle w:val="Dotpoint1"/>
      </w:pPr>
      <w:r>
        <w:t>a Constituent Entity is subject to exit tax because of a cross border re</w:t>
      </w:r>
      <w:r>
        <w:noBreakHyphen/>
        <w:t>organisation or change in Entity’s tax residence; or</w:t>
      </w:r>
    </w:p>
    <w:p w14:paraId="33EDAA6A" w14:textId="3EF4AE31" w:rsidR="002E7302" w:rsidRDefault="002E7302" w:rsidP="00B7652D">
      <w:pPr>
        <w:pStyle w:val="Dotpoint1"/>
      </w:pPr>
      <w:r>
        <w:t>a Constituent Entity joins or leaves a TCG.</w:t>
      </w:r>
      <w:r>
        <w:br/>
      </w:r>
      <w:r w:rsidRPr="004B1BA5">
        <w:rPr>
          <w:rStyle w:val="References"/>
        </w:rPr>
        <w:t>[</w:t>
      </w:r>
      <w:r>
        <w:rPr>
          <w:rStyle w:val="References"/>
        </w:rPr>
        <w:t>Chapter 6, subsections 6-7</w:t>
      </w:r>
      <w:r w:rsidR="00C8299A">
        <w:rPr>
          <w:rStyle w:val="References"/>
        </w:rPr>
        <w:t>0</w:t>
      </w:r>
      <w:r>
        <w:rPr>
          <w:rStyle w:val="References"/>
        </w:rPr>
        <w:t>(1)</w:t>
      </w:r>
      <w:r w:rsidR="0098717C">
        <w:rPr>
          <w:rStyle w:val="References"/>
        </w:rPr>
        <w:t>,</w:t>
      </w:r>
      <w:r>
        <w:rPr>
          <w:rStyle w:val="References"/>
        </w:rPr>
        <w:t xml:space="preserve"> (2) </w:t>
      </w:r>
      <w:r w:rsidR="00431D86">
        <w:rPr>
          <w:rStyle w:val="References"/>
        </w:rPr>
        <w:t>and (3)</w:t>
      </w:r>
      <w:r>
        <w:rPr>
          <w:rStyle w:val="References"/>
        </w:rPr>
        <w:t xml:space="preserve"> of the Rules</w:t>
      </w:r>
      <w:r w:rsidRPr="004B1BA5">
        <w:rPr>
          <w:rStyle w:val="References"/>
        </w:rPr>
        <w:t>]</w:t>
      </w:r>
    </w:p>
    <w:p w14:paraId="3FAF689F" w14:textId="1386E0C6" w:rsidR="002E7302" w:rsidRDefault="002E7302" w:rsidP="002E7302">
      <w:pPr>
        <w:pStyle w:val="Normalparatextwithnumbers"/>
        <w:numPr>
          <w:ilvl w:val="1"/>
          <w:numId w:val="16"/>
        </w:numPr>
      </w:pPr>
      <w:r>
        <w:t>The most common circumstance where a Constituent Entity would be required or permitted to adjust the basis of its assets</w:t>
      </w:r>
      <w:r w:rsidR="00921CCB">
        <w:t>,</w:t>
      </w:r>
      <w:r>
        <w:t xml:space="preserve"> or the amount of its liabilities is where the Constituent Entity is subject to an exit tax because of a cross-border reorganisation or a change in the Entity’s tax residence. </w:t>
      </w:r>
    </w:p>
    <w:p w14:paraId="474D5F02" w14:textId="3EEA4696" w:rsidR="002E7302" w:rsidRDefault="002E7302" w:rsidP="002E7302">
      <w:pPr>
        <w:pStyle w:val="Normalparatextwithnumbers"/>
        <w:numPr>
          <w:ilvl w:val="1"/>
          <w:numId w:val="16"/>
        </w:numPr>
      </w:pPr>
      <w:r>
        <w:t>However, t</w:t>
      </w:r>
      <w:r w:rsidRPr="00E709E5">
        <w:t xml:space="preserve">he </w:t>
      </w:r>
      <w:r>
        <w:t>fair value</w:t>
      </w:r>
      <w:r w:rsidR="00F0251F">
        <w:t xml:space="preserve"> adjustment</w:t>
      </w:r>
      <w:r>
        <w:t xml:space="preserve"> </w:t>
      </w:r>
      <w:r w:rsidRPr="00E709E5">
        <w:t>election does not apply to ordinary sales of assets (</w:t>
      </w:r>
      <w:r w:rsidR="003112FF">
        <w:t>such as</w:t>
      </w:r>
      <w:r w:rsidRPr="00E709E5">
        <w:t xml:space="preserve"> sales of inventory) by a Constituent Entity or transfer pricing adjustments. Moreover, if an election is made under </w:t>
      </w:r>
      <w:r>
        <w:t>section 6-</w:t>
      </w:r>
      <w:r w:rsidR="008A17BA">
        <w:t>70</w:t>
      </w:r>
      <w:r w:rsidRPr="00E709E5">
        <w:t xml:space="preserve"> </w:t>
      </w:r>
      <w:r>
        <w:t xml:space="preserve">of the Rules </w:t>
      </w:r>
      <w:r w:rsidRPr="00E709E5">
        <w:t xml:space="preserve">in connection with the acquisition of a Controlling Interest in a Constituent Entity that is governed by </w:t>
      </w:r>
      <w:r>
        <w:t>sections</w:t>
      </w:r>
      <w:r w:rsidRPr="00E709E5">
        <w:t xml:space="preserve"> 6</w:t>
      </w:r>
      <w:r>
        <w:t>-</w:t>
      </w:r>
      <w:r w:rsidR="00C8299A">
        <w:t>15</w:t>
      </w:r>
      <w:r>
        <w:t xml:space="preserve"> to 6-</w:t>
      </w:r>
      <w:r w:rsidR="00C8299A">
        <w:t>45</w:t>
      </w:r>
      <w:r>
        <w:t xml:space="preserve"> of the Rules</w:t>
      </w:r>
      <w:r w:rsidRPr="00E709E5">
        <w:t xml:space="preserve">, the election does not affect the application of </w:t>
      </w:r>
      <w:r>
        <w:t>sections</w:t>
      </w:r>
      <w:r w:rsidRPr="00E709E5">
        <w:t xml:space="preserve"> 3</w:t>
      </w:r>
      <w:r>
        <w:t>-</w:t>
      </w:r>
      <w:r w:rsidR="00C8299A">
        <w:t>30</w:t>
      </w:r>
      <w:r>
        <w:t xml:space="preserve"> and 3-</w:t>
      </w:r>
      <w:r w:rsidR="00C8299A">
        <w:t>3</w:t>
      </w:r>
      <w:r>
        <w:t>5</w:t>
      </w:r>
      <w:r w:rsidRPr="00E709E5">
        <w:t xml:space="preserve"> </w:t>
      </w:r>
      <w:r>
        <w:t xml:space="preserve">of the Rules </w:t>
      </w:r>
      <w:r w:rsidRPr="00E709E5">
        <w:t>to the seller.</w:t>
      </w:r>
    </w:p>
    <w:p w14:paraId="7E42BD91" w14:textId="2C084A91" w:rsidR="002E7302" w:rsidRPr="002D17C1" w:rsidRDefault="002E7302" w:rsidP="002E7302">
      <w:pPr>
        <w:pStyle w:val="Normalparatextwithnumbers"/>
        <w:numPr>
          <w:ilvl w:val="1"/>
          <w:numId w:val="16"/>
        </w:numPr>
        <w:rPr>
          <w:rStyle w:val="References"/>
          <w:b w:val="0"/>
          <w:bCs w:val="0"/>
          <w:i w:val="0"/>
          <w:iCs w:val="0"/>
        </w:rPr>
      </w:pPr>
      <w:r>
        <w:t xml:space="preserve">The election must specify the jurisdiction, the adjusting Constituent Entity, and the Fiscal Year in which the event that triggers the tax adjustment (the </w:t>
      </w:r>
      <w:r>
        <w:rPr>
          <w:b/>
          <w:bCs/>
          <w:i/>
          <w:iCs/>
        </w:rPr>
        <w:t>triggering event</w:t>
      </w:r>
      <w:r>
        <w:t>) occurs. The election is required to be disclosed in the GloBE Information Return by the filing Constituent Entity, and the fair value adjustment applies when calculating GloBE Income or Loss in Fiscal Years which end after the triggering event.</w:t>
      </w:r>
      <w:r w:rsidRPr="00112C0A">
        <w:t xml:space="preserve"> A choice is available to the </w:t>
      </w:r>
      <w:r w:rsidR="00615561">
        <w:t>F</w:t>
      </w:r>
      <w:r w:rsidRPr="00112C0A">
        <w:t xml:space="preserve">iling Constituent Entity of the MNE Group to include the amount of gain or loss in computing GloBE </w:t>
      </w:r>
      <w:r>
        <w:t>I</w:t>
      </w:r>
      <w:r w:rsidRPr="00112C0A">
        <w:t xml:space="preserve">ncome </w:t>
      </w:r>
      <w:r>
        <w:t xml:space="preserve">or Loss </w:t>
      </w:r>
      <w:r w:rsidRPr="00112C0A">
        <w:t xml:space="preserve">in the </w:t>
      </w:r>
      <w:r>
        <w:t>F</w:t>
      </w:r>
      <w:r w:rsidRPr="00112C0A">
        <w:t xml:space="preserve">iscal </w:t>
      </w:r>
      <w:r>
        <w:t>Y</w:t>
      </w:r>
      <w:r w:rsidRPr="00112C0A">
        <w:t xml:space="preserve">ear in which </w:t>
      </w:r>
      <w:r>
        <w:t xml:space="preserve">the </w:t>
      </w:r>
      <w:r w:rsidRPr="00112C0A">
        <w:t>trigger</w:t>
      </w:r>
      <w:r>
        <w:t>ing</w:t>
      </w:r>
      <w:r w:rsidRPr="00112C0A">
        <w:t xml:space="preserve"> event occurs or spread the gain or loss equally in the </w:t>
      </w:r>
      <w:r>
        <w:t>F</w:t>
      </w:r>
      <w:r w:rsidRPr="00112C0A">
        <w:t xml:space="preserve">iscal </w:t>
      </w:r>
      <w:r>
        <w:t>Y</w:t>
      </w:r>
      <w:r w:rsidRPr="00112C0A">
        <w:t xml:space="preserve">ear that </w:t>
      </w:r>
      <w:r>
        <w:t xml:space="preserve">the </w:t>
      </w:r>
      <w:r w:rsidRPr="00112C0A">
        <w:t>trigger</w:t>
      </w:r>
      <w:r>
        <w:t>ing</w:t>
      </w:r>
      <w:r w:rsidRPr="00112C0A">
        <w:t xml:space="preserve"> event occurs and 4 subsequent </w:t>
      </w:r>
      <w:r>
        <w:t>F</w:t>
      </w:r>
      <w:r w:rsidRPr="00112C0A">
        <w:t xml:space="preserve">iscal </w:t>
      </w:r>
      <w:r>
        <w:t>Y</w:t>
      </w:r>
      <w:r w:rsidRPr="00112C0A">
        <w:t>ears. The election can be made separately for each triggering event.</w:t>
      </w:r>
      <w:r>
        <w:br/>
      </w:r>
      <w:r w:rsidRPr="004B1BA5">
        <w:rPr>
          <w:rStyle w:val="References"/>
        </w:rPr>
        <w:t>[</w:t>
      </w:r>
      <w:r>
        <w:rPr>
          <w:rStyle w:val="References"/>
        </w:rPr>
        <w:t>Chapter 6, subsections 6-7</w:t>
      </w:r>
      <w:r w:rsidR="00C8299A">
        <w:rPr>
          <w:rStyle w:val="References"/>
        </w:rPr>
        <w:t>0</w:t>
      </w:r>
      <w:r>
        <w:rPr>
          <w:rStyle w:val="References"/>
        </w:rPr>
        <w:t>(</w:t>
      </w:r>
      <w:r w:rsidR="00394705">
        <w:rPr>
          <w:rStyle w:val="References"/>
        </w:rPr>
        <w:t xml:space="preserve">1), </w:t>
      </w:r>
      <w:r>
        <w:rPr>
          <w:rStyle w:val="References"/>
        </w:rPr>
        <w:t>(2), (3) and (4) of the Rules</w:t>
      </w:r>
      <w:r w:rsidRPr="004B1BA5">
        <w:rPr>
          <w:rStyle w:val="References"/>
        </w:rPr>
        <w:t xml:space="preserve">] </w:t>
      </w:r>
    </w:p>
    <w:p w14:paraId="5B45AF6A" w14:textId="63E1961F" w:rsidR="003050EF" w:rsidRDefault="003050EF" w:rsidP="003050EF">
      <w:pPr>
        <w:pStyle w:val="Normalparatextwithnumbers"/>
        <w:numPr>
          <w:ilvl w:val="1"/>
          <w:numId w:val="16"/>
        </w:numPr>
      </w:pPr>
      <w:r>
        <w:t>The d</w:t>
      </w:r>
      <w:r w:rsidRPr="00942536">
        <w:t xml:space="preserve">ifference between </w:t>
      </w:r>
      <w:r>
        <w:t xml:space="preserve">the </w:t>
      </w:r>
      <w:r w:rsidRPr="00942536">
        <w:t xml:space="preserve">carrying value </w:t>
      </w:r>
      <w:r>
        <w:t xml:space="preserve">for financial accounting purposes </w:t>
      </w:r>
      <w:r w:rsidRPr="00942536">
        <w:t xml:space="preserve">immediately before </w:t>
      </w:r>
      <w:r>
        <w:t xml:space="preserve">the </w:t>
      </w:r>
      <w:r w:rsidRPr="00942536">
        <w:t>trigger</w:t>
      </w:r>
      <w:r>
        <w:t>ing event</w:t>
      </w:r>
      <w:r w:rsidRPr="00942536">
        <w:t>, and</w:t>
      </w:r>
      <w:r>
        <w:t xml:space="preserve"> the</w:t>
      </w:r>
      <w:r w:rsidRPr="00942536">
        <w:t xml:space="preserve"> fair value immediately after </w:t>
      </w:r>
      <w:r>
        <w:t xml:space="preserve">the </w:t>
      </w:r>
      <w:r w:rsidRPr="00942536">
        <w:t>trigger</w:t>
      </w:r>
      <w:r>
        <w:t>ing event</w:t>
      </w:r>
      <w:r w:rsidRPr="00942536">
        <w:t xml:space="preserve">, adjusted to account for </w:t>
      </w:r>
      <w:r>
        <w:t>any N</w:t>
      </w:r>
      <w:r w:rsidRPr="00942536">
        <w:t>on</w:t>
      </w:r>
      <w:r>
        <w:noBreakHyphen/>
      </w:r>
      <w:r w:rsidRPr="00942536">
        <w:t xml:space="preserve">qualifying </w:t>
      </w:r>
      <w:r>
        <w:t>G</w:t>
      </w:r>
      <w:r w:rsidRPr="00942536">
        <w:t xml:space="preserve">ain or </w:t>
      </w:r>
      <w:r>
        <w:t>L</w:t>
      </w:r>
      <w:r w:rsidRPr="00942536">
        <w:t>oss</w:t>
      </w:r>
      <w:r>
        <w:t>, must also be included as income or loss in respect of each of the Constituent Entity’s assets and liabilities.</w:t>
      </w:r>
      <w:r>
        <w:br/>
      </w:r>
      <w:r w:rsidRPr="00A60AE9">
        <w:rPr>
          <w:rStyle w:val="References"/>
        </w:rPr>
        <w:t>[</w:t>
      </w:r>
      <w:r>
        <w:rPr>
          <w:rStyle w:val="References"/>
        </w:rPr>
        <w:t>Chapter 6, subsection 6-7</w:t>
      </w:r>
      <w:r w:rsidR="002D4E0A">
        <w:rPr>
          <w:rStyle w:val="References"/>
        </w:rPr>
        <w:t>0</w:t>
      </w:r>
      <w:r>
        <w:rPr>
          <w:rStyle w:val="References"/>
        </w:rPr>
        <w:t>(5) of the Rules</w:t>
      </w:r>
      <w:r w:rsidRPr="00A60AE9">
        <w:rPr>
          <w:rStyle w:val="References"/>
        </w:rPr>
        <w:t xml:space="preserve">] </w:t>
      </w:r>
    </w:p>
    <w:p w14:paraId="616F6ED1" w14:textId="5EBC7ECC" w:rsidR="002E7302" w:rsidRDefault="002E7302" w:rsidP="002E7302">
      <w:pPr>
        <w:pStyle w:val="Normalparatextwithnumbers"/>
        <w:numPr>
          <w:ilvl w:val="1"/>
          <w:numId w:val="16"/>
        </w:numPr>
      </w:pPr>
      <w:r>
        <w:lastRenderedPageBreak/>
        <w:t>Where a fair value adjustment election applies, the fair value for accounting purposes immediately after the triggering event is used in calculating the Constituent Entity’s GloBE Income or Loss.</w:t>
      </w:r>
      <w:r>
        <w:br/>
      </w:r>
      <w:r w:rsidRPr="00A60AE9">
        <w:rPr>
          <w:rStyle w:val="References"/>
        </w:rPr>
        <w:t>[</w:t>
      </w:r>
      <w:r>
        <w:rPr>
          <w:rStyle w:val="References"/>
        </w:rPr>
        <w:t>Chapter 6, subsection 6-7</w:t>
      </w:r>
      <w:r w:rsidR="002D4E0A">
        <w:rPr>
          <w:rStyle w:val="References"/>
        </w:rPr>
        <w:t>0</w:t>
      </w:r>
      <w:r>
        <w:rPr>
          <w:rStyle w:val="References"/>
        </w:rPr>
        <w:t>(6) of the Rules</w:t>
      </w:r>
      <w:r w:rsidRPr="00A60AE9">
        <w:rPr>
          <w:rStyle w:val="References"/>
        </w:rPr>
        <w:t xml:space="preserve">] </w:t>
      </w:r>
    </w:p>
    <w:p w14:paraId="635338F7" w14:textId="13537776" w:rsidR="00C249CD" w:rsidRPr="00C249CD" w:rsidRDefault="00A54460" w:rsidP="002E7302">
      <w:pPr>
        <w:pStyle w:val="Normalparatextwithnumbers"/>
        <w:numPr>
          <w:ilvl w:val="1"/>
          <w:numId w:val="16"/>
        </w:numPr>
        <w:rPr>
          <w:rStyle w:val="References"/>
          <w:b w:val="0"/>
          <w:i w:val="0"/>
        </w:rPr>
      </w:pPr>
      <w:r>
        <w:rPr>
          <w:rStyle w:val="References"/>
          <w:b w:val="0"/>
          <w:i w:val="0"/>
        </w:rPr>
        <w:t xml:space="preserve">Pursuant to </w:t>
      </w:r>
      <w:r w:rsidR="00C94390">
        <w:rPr>
          <w:rStyle w:val="References"/>
          <w:b w:val="0"/>
          <w:i w:val="0"/>
        </w:rPr>
        <w:t>sub</w:t>
      </w:r>
      <w:r>
        <w:rPr>
          <w:rStyle w:val="References"/>
          <w:b w:val="0"/>
          <w:i w:val="0"/>
        </w:rPr>
        <w:t>section 6-</w:t>
      </w:r>
      <w:r w:rsidR="00E23BE4">
        <w:rPr>
          <w:rStyle w:val="References"/>
          <w:b w:val="0"/>
          <w:i w:val="0"/>
        </w:rPr>
        <w:t>70</w:t>
      </w:r>
      <w:r>
        <w:rPr>
          <w:rStyle w:val="References"/>
          <w:b w:val="0"/>
          <w:i w:val="0"/>
        </w:rPr>
        <w:t>(5)</w:t>
      </w:r>
      <w:r w:rsidR="00C94390">
        <w:rPr>
          <w:rStyle w:val="References"/>
          <w:b w:val="0"/>
          <w:i w:val="0"/>
        </w:rPr>
        <w:t xml:space="preserve"> of the R</w:t>
      </w:r>
      <w:r w:rsidR="00393697">
        <w:rPr>
          <w:rStyle w:val="References"/>
          <w:b w:val="0"/>
          <w:i w:val="0"/>
        </w:rPr>
        <w:t>u</w:t>
      </w:r>
      <w:r w:rsidR="00C94390">
        <w:rPr>
          <w:rStyle w:val="References"/>
          <w:b w:val="0"/>
          <w:i w:val="0"/>
        </w:rPr>
        <w:t>les</w:t>
      </w:r>
      <w:r>
        <w:rPr>
          <w:rStyle w:val="References"/>
          <w:b w:val="0"/>
          <w:i w:val="0"/>
        </w:rPr>
        <w:t>, i</w:t>
      </w:r>
      <w:r w:rsidR="003739A4">
        <w:rPr>
          <w:rStyle w:val="References"/>
          <w:b w:val="0"/>
          <w:i w:val="0"/>
        </w:rPr>
        <w:t xml:space="preserve">f the election is an </w:t>
      </w:r>
      <w:r w:rsidR="002330EF">
        <w:rPr>
          <w:rStyle w:val="References"/>
          <w:b w:val="0"/>
          <w:i w:val="0"/>
        </w:rPr>
        <w:t>Annual Election</w:t>
      </w:r>
      <w:r w:rsidR="003739A4">
        <w:rPr>
          <w:rStyle w:val="References"/>
          <w:b w:val="0"/>
          <w:i w:val="0"/>
        </w:rPr>
        <w:t xml:space="preserve">, include </w:t>
      </w:r>
      <w:r>
        <w:rPr>
          <w:rStyle w:val="References"/>
          <w:b w:val="0"/>
          <w:i w:val="0"/>
        </w:rPr>
        <w:t>all</w:t>
      </w:r>
      <w:r w:rsidR="003739A4">
        <w:rPr>
          <w:rStyle w:val="References"/>
          <w:b w:val="0"/>
          <w:i w:val="0"/>
        </w:rPr>
        <w:t xml:space="preserve"> amount</w:t>
      </w:r>
      <w:r>
        <w:rPr>
          <w:rStyle w:val="References"/>
          <w:b w:val="0"/>
          <w:i w:val="0"/>
        </w:rPr>
        <w:t>s</w:t>
      </w:r>
      <w:r w:rsidR="003739A4">
        <w:rPr>
          <w:rStyle w:val="References"/>
          <w:b w:val="0"/>
          <w:i w:val="0"/>
        </w:rPr>
        <w:t xml:space="preserve"> </w:t>
      </w:r>
      <w:r w:rsidR="006D2743">
        <w:rPr>
          <w:rStyle w:val="References"/>
          <w:b w:val="0"/>
          <w:i w:val="0"/>
        </w:rPr>
        <w:t>related to the Fiscal Year</w:t>
      </w:r>
      <w:r w:rsidR="00630025">
        <w:rPr>
          <w:rStyle w:val="References"/>
          <w:b w:val="0"/>
          <w:i w:val="0"/>
        </w:rPr>
        <w:t xml:space="preserve"> in which the triggering event occurs</w:t>
      </w:r>
      <w:r w:rsidR="003D3FDA">
        <w:rPr>
          <w:rStyle w:val="References"/>
          <w:b w:val="0"/>
          <w:i w:val="0"/>
        </w:rPr>
        <w:t xml:space="preserve">. If the election is a </w:t>
      </w:r>
      <w:r w:rsidR="00990287">
        <w:rPr>
          <w:rStyle w:val="References"/>
          <w:b w:val="0"/>
          <w:i w:val="0"/>
        </w:rPr>
        <w:t>F</w:t>
      </w:r>
      <w:r w:rsidR="003D3FDA">
        <w:rPr>
          <w:rStyle w:val="References"/>
          <w:b w:val="0"/>
          <w:i w:val="0"/>
        </w:rPr>
        <w:t>ive-</w:t>
      </w:r>
      <w:r w:rsidR="00990287">
        <w:rPr>
          <w:rStyle w:val="References"/>
          <w:b w:val="0"/>
          <w:i w:val="0"/>
        </w:rPr>
        <w:t>Y</w:t>
      </w:r>
      <w:r w:rsidR="003D3FDA">
        <w:rPr>
          <w:rStyle w:val="References"/>
          <w:b w:val="0"/>
          <w:i w:val="0"/>
        </w:rPr>
        <w:t xml:space="preserve">ear </w:t>
      </w:r>
      <w:r w:rsidR="00A55670">
        <w:rPr>
          <w:rStyle w:val="References"/>
          <w:b w:val="0"/>
          <w:i w:val="0"/>
        </w:rPr>
        <w:t xml:space="preserve">election, include </w:t>
      </w:r>
      <w:r w:rsidR="00FA1A99">
        <w:rPr>
          <w:rStyle w:val="References"/>
          <w:b w:val="0"/>
          <w:i w:val="0"/>
        </w:rPr>
        <w:t>one fifth of that amount related to the Fiscal Year</w:t>
      </w:r>
      <w:r w:rsidR="00B3612C">
        <w:rPr>
          <w:rStyle w:val="References"/>
          <w:b w:val="0"/>
          <w:i w:val="0"/>
        </w:rPr>
        <w:t xml:space="preserve"> in which the triggering event occurs and in the subsequent four Fiscal Years.</w:t>
      </w:r>
      <w:r w:rsidR="00B3612C">
        <w:rPr>
          <w:rStyle w:val="References"/>
          <w:b w:val="0"/>
          <w:i w:val="0"/>
        </w:rPr>
        <w:br/>
      </w:r>
      <w:r w:rsidR="00255896" w:rsidRPr="00340182">
        <w:rPr>
          <w:rStyle w:val="References"/>
        </w:rPr>
        <w:t>[Chapter 6, subsection 6-7</w:t>
      </w:r>
      <w:r w:rsidR="002D4E0A">
        <w:rPr>
          <w:rStyle w:val="References"/>
        </w:rPr>
        <w:t>0</w:t>
      </w:r>
      <w:r w:rsidR="00255896" w:rsidRPr="00340182">
        <w:rPr>
          <w:rStyle w:val="References"/>
        </w:rPr>
        <w:t>(</w:t>
      </w:r>
      <w:r w:rsidR="00E055D9" w:rsidRPr="00340182">
        <w:rPr>
          <w:rStyle w:val="References"/>
        </w:rPr>
        <w:t>7)</w:t>
      </w:r>
      <w:r w:rsidR="00340182" w:rsidRPr="00340182">
        <w:rPr>
          <w:rStyle w:val="References"/>
        </w:rPr>
        <w:t xml:space="preserve"> of the Rules]</w:t>
      </w:r>
    </w:p>
    <w:p w14:paraId="61115971" w14:textId="290643D7" w:rsidR="002E7302" w:rsidRPr="00F14D43" w:rsidRDefault="002E7302" w:rsidP="002E7302">
      <w:pPr>
        <w:pStyle w:val="Normalparatextwithnumbers"/>
        <w:numPr>
          <w:ilvl w:val="1"/>
          <w:numId w:val="16"/>
        </w:numPr>
        <w:rPr>
          <w:rStyle w:val="References"/>
          <w:b w:val="0"/>
          <w:i w:val="0"/>
        </w:rPr>
      </w:pPr>
      <w:r>
        <w:rPr>
          <w:rStyle w:val="References"/>
          <w:b w:val="0"/>
          <w:bCs w:val="0"/>
          <w:i w:val="0"/>
          <w:iCs w:val="0"/>
        </w:rPr>
        <w:t>If the amount is spread across 5 Fiscal Years, and during that time the adjusting Constituent Entity ceases to be a Constituent Entity of the MNE Group in a Fiscal Year, then any remaining parts of the amount must be included in the Fiscal Year in which the adjusting Constituent Entity leaves the MNE Group.</w:t>
      </w:r>
      <w:r>
        <w:rPr>
          <w:rStyle w:val="References"/>
          <w:b w:val="0"/>
          <w:bCs w:val="0"/>
          <w:i w:val="0"/>
          <w:iCs w:val="0"/>
        </w:rPr>
        <w:br/>
      </w:r>
      <w:r w:rsidRPr="004E6719">
        <w:rPr>
          <w:rStyle w:val="References"/>
        </w:rPr>
        <w:t>[</w:t>
      </w:r>
      <w:r>
        <w:rPr>
          <w:rStyle w:val="References"/>
        </w:rPr>
        <w:t>Chapter 6, subsection 6-7</w:t>
      </w:r>
      <w:r w:rsidR="002D4E0A">
        <w:rPr>
          <w:rStyle w:val="References"/>
        </w:rPr>
        <w:t>0</w:t>
      </w:r>
      <w:r>
        <w:rPr>
          <w:rStyle w:val="References"/>
        </w:rPr>
        <w:t>(8) of the Rules</w:t>
      </w:r>
      <w:r w:rsidRPr="004E6719">
        <w:rPr>
          <w:rStyle w:val="References"/>
        </w:rPr>
        <w:t xml:space="preserve">] </w:t>
      </w:r>
    </w:p>
    <w:p w14:paraId="71A11E7D" w14:textId="5240D1A3" w:rsidR="002E7302" w:rsidRDefault="002E7302" w:rsidP="002E7302">
      <w:pPr>
        <w:pStyle w:val="Normalparatextwithnumbers"/>
        <w:numPr>
          <w:ilvl w:val="1"/>
          <w:numId w:val="16"/>
        </w:numPr>
      </w:pPr>
      <w:r>
        <w:t>The Constituent Entity</w:t>
      </w:r>
      <w:r w:rsidRPr="0010494C">
        <w:t xml:space="preserve"> is not required to apply the consequences in subsections </w:t>
      </w:r>
      <w:r>
        <w:t>6-7</w:t>
      </w:r>
      <w:r w:rsidR="002D4E0A">
        <w:t>0</w:t>
      </w:r>
      <w:r w:rsidRPr="0010494C">
        <w:t xml:space="preserve">(5) to (8) </w:t>
      </w:r>
      <w:r w:rsidR="003C45C8">
        <w:t xml:space="preserve">of the Rules </w:t>
      </w:r>
      <w:r w:rsidRPr="0010494C">
        <w:t>to both assets and liabilities if the C</w:t>
      </w:r>
      <w:r>
        <w:t>onstituent Entity</w:t>
      </w:r>
      <w:r w:rsidRPr="0010494C">
        <w:t xml:space="preserve"> is only able to adjust the tax cost of its assets for tax purposes.</w:t>
      </w:r>
    </w:p>
    <w:p w14:paraId="4D1B8477" w14:textId="3955BF59" w:rsidR="002E7302" w:rsidRDefault="002E7302" w:rsidP="002E7302">
      <w:pPr>
        <w:pStyle w:val="Heading6"/>
        <w:rPr>
          <w:rFonts w:hint="eastAsia"/>
        </w:rPr>
      </w:pPr>
      <w:r>
        <w:t xml:space="preserve">Interactions with </w:t>
      </w:r>
      <w:r w:rsidR="00D4665C">
        <w:t xml:space="preserve">Adjusted Covered Taxes </w:t>
      </w:r>
    </w:p>
    <w:p w14:paraId="33B5A82A" w14:textId="77777777" w:rsidR="002E7302" w:rsidRDefault="002E7302" w:rsidP="002E7302">
      <w:pPr>
        <w:pStyle w:val="Normalparatextwithnumbers"/>
        <w:numPr>
          <w:ilvl w:val="1"/>
          <w:numId w:val="16"/>
        </w:numPr>
      </w:pPr>
      <w:r>
        <w:t>The deferred tax asset and liabilities that existed prior to the triggering event are reversed and included in Adjusted Covered Taxes. However, the d</w:t>
      </w:r>
      <w:r w:rsidRPr="00174DAA">
        <w:t xml:space="preserve">eferred tax adjustment arising due to </w:t>
      </w:r>
      <w:r>
        <w:t>the triggering event</w:t>
      </w:r>
      <w:r w:rsidRPr="00174DAA">
        <w:t xml:space="preserve"> itself </w:t>
      </w:r>
      <w:r>
        <w:t xml:space="preserve">is </w:t>
      </w:r>
      <w:r w:rsidRPr="00174DAA">
        <w:t>excluded from Adjusted Covered Taxes. Th</w:t>
      </w:r>
      <w:r>
        <w:t xml:space="preserve">e exclusion </w:t>
      </w:r>
      <w:r w:rsidRPr="00174DAA">
        <w:t>ensure</w:t>
      </w:r>
      <w:r>
        <w:t>s</w:t>
      </w:r>
      <w:r w:rsidRPr="00174DAA">
        <w:t xml:space="preserve"> no double counting arises as the increase in fair of assets or liabilities is included in GloBE </w:t>
      </w:r>
      <w:r>
        <w:t>I</w:t>
      </w:r>
      <w:r w:rsidRPr="00174DAA">
        <w:t>ncome</w:t>
      </w:r>
      <w:r>
        <w:t xml:space="preserve"> or Loss</w:t>
      </w:r>
      <w:r w:rsidRPr="00174DAA">
        <w:t>. If recognition of deferred tax asset was also included in</w:t>
      </w:r>
      <w:r>
        <w:t xml:space="preserve"> Adjusted Covered Taxes, </w:t>
      </w:r>
      <w:r w:rsidRPr="00174DAA">
        <w:t>it w</w:t>
      </w:r>
      <w:r>
        <w:t>ould</w:t>
      </w:r>
      <w:r w:rsidRPr="00174DAA">
        <w:t xml:space="preserve"> lead to double inclusion of</w:t>
      </w:r>
      <w:r w:rsidRPr="0010494C">
        <w:t xml:space="preserve"> </w:t>
      </w:r>
      <w:r>
        <w:t>tax base fair value increase in calculating the ETR.</w:t>
      </w:r>
    </w:p>
    <w:p w14:paraId="5B01326A" w14:textId="77777777" w:rsidR="002E7302" w:rsidRPr="00983531" w:rsidRDefault="002E7302" w:rsidP="002E7302">
      <w:pPr>
        <w:pStyle w:val="Normalparatextwithnumbers"/>
        <w:numPr>
          <w:ilvl w:val="1"/>
          <w:numId w:val="16"/>
        </w:numPr>
      </w:pPr>
      <w:r>
        <w:t xml:space="preserve">Total deferred tax adjustment amount for the Fiscal Year in which the triggering event occurs and subsequent fiscal years should be recalculated based on GloBE carrying values determined after including purchase accounting adjustments. </w:t>
      </w:r>
    </w:p>
    <w:p w14:paraId="6DC05C8C" w14:textId="77777777" w:rsidR="00E57CA7" w:rsidRDefault="00E57CA7" w:rsidP="007136C1">
      <w:pPr>
        <w:pStyle w:val="Heading3"/>
        <w:rPr>
          <w:rFonts w:hint="eastAsia"/>
        </w:rPr>
      </w:pPr>
      <w:bookmarkStart w:id="228" w:name="_Toc181104529"/>
      <w:bookmarkStart w:id="229" w:name="_Toc181104543"/>
      <w:bookmarkStart w:id="230" w:name="_Toc183786671"/>
      <w:bookmarkStart w:id="231" w:name="_Toc185503015"/>
      <w:bookmarkStart w:id="232" w:name="_Toc159845289"/>
      <w:bookmarkStart w:id="233" w:name="_Toc160641344"/>
      <w:bookmarkStart w:id="234" w:name="_Toc160726347"/>
      <w:r>
        <w:t>Joint Ventures</w:t>
      </w:r>
      <w:bookmarkEnd w:id="228"/>
      <w:bookmarkEnd w:id="229"/>
      <w:bookmarkEnd w:id="230"/>
      <w:bookmarkEnd w:id="231"/>
    </w:p>
    <w:p w14:paraId="73920B9E" w14:textId="44EABACB" w:rsidR="0092159B" w:rsidRDefault="00B01BD5" w:rsidP="00E57CA7">
      <w:pPr>
        <w:pStyle w:val="Normalparatextwithnumbers"/>
        <w:numPr>
          <w:ilvl w:val="1"/>
          <w:numId w:val="16"/>
        </w:numPr>
      </w:pPr>
      <w:r>
        <w:t>A common business practice undertaken by MNE Groups is entering into JV</w:t>
      </w:r>
      <w:r w:rsidR="00160BC0">
        <w:t>s</w:t>
      </w:r>
      <w:r>
        <w:t xml:space="preserve"> with third parties. Generally, for accounting purposes, a JV is a business enterprise</w:t>
      </w:r>
      <w:r w:rsidR="00B62C59">
        <w:t xml:space="preserve"> that is jointly controlled by two or more persons or entities. </w:t>
      </w:r>
      <w:r w:rsidR="007260A6">
        <w:t>Given the enterprise is not controlled exclusively by one person or entity, its accounting is not consolidated with any of its owners on a line-by-line basis</w:t>
      </w:r>
      <w:r w:rsidR="00572720">
        <w:t>.</w:t>
      </w:r>
      <w:r w:rsidR="0092159B">
        <w:t xml:space="preserve"> </w:t>
      </w:r>
      <w:r w:rsidR="00462428">
        <w:t xml:space="preserve">Instead, </w:t>
      </w:r>
      <w:r w:rsidR="000A3ABD">
        <w:t>JVs commonly report</w:t>
      </w:r>
      <w:r w:rsidR="005A19CE">
        <w:t xml:space="preserve"> using the equity method</w:t>
      </w:r>
      <w:r w:rsidR="00613F0B">
        <w:t xml:space="preserve"> in their CF</w:t>
      </w:r>
      <w:r w:rsidR="00467F8E">
        <w:t>S</w:t>
      </w:r>
      <w:r w:rsidR="005B38CE">
        <w:t>, which absent a special rule would exclude them from the scope of the GloBE Rules</w:t>
      </w:r>
      <w:r w:rsidR="00A64429">
        <w:t xml:space="preserve"> </w:t>
      </w:r>
      <w:r w:rsidR="00A64429">
        <w:lastRenderedPageBreak/>
        <w:t xml:space="preserve">because they </w:t>
      </w:r>
      <w:r w:rsidR="00315A26">
        <w:t>would</w:t>
      </w:r>
      <w:r w:rsidR="00A64429">
        <w:t xml:space="preserve"> not meet the definition of a Constituent Entity</w:t>
      </w:r>
      <w:r w:rsidR="00393697">
        <w:t>, s</w:t>
      </w:r>
      <w:r w:rsidR="00434F9C">
        <w:t xml:space="preserve">ee paragraphs 85 to </w:t>
      </w:r>
      <w:r w:rsidR="007508DE">
        <w:t>94 on pages 188 and 189 of the Consolidated Commentary.</w:t>
      </w:r>
    </w:p>
    <w:p w14:paraId="14D72ED4" w14:textId="2119FA70" w:rsidR="006116D5" w:rsidRDefault="006116D5" w:rsidP="006116D5">
      <w:pPr>
        <w:pStyle w:val="Normalparatextwithnumbers"/>
        <w:numPr>
          <w:ilvl w:val="1"/>
          <w:numId w:val="16"/>
        </w:numPr>
      </w:pPr>
      <w:r>
        <w:t xml:space="preserve">A JV Entity or a deemed JV group, comprised of a JV and their Subsidiaries </w:t>
      </w:r>
      <w:r w:rsidRPr="002748A1">
        <w:t xml:space="preserve">(each of which is a </w:t>
      </w:r>
      <w:r w:rsidRPr="002748A1">
        <w:rPr>
          <w:b/>
          <w:i/>
        </w:rPr>
        <w:t xml:space="preserve">JV </w:t>
      </w:r>
      <w:r>
        <w:rPr>
          <w:b/>
          <w:i/>
        </w:rPr>
        <w:t>E</w:t>
      </w:r>
      <w:r w:rsidRPr="002748A1">
        <w:rPr>
          <w:b/>
          <w:i/>
        </w:rPr>
        <w:t>ntity</w:t>
      </w:r>
      <w:r w:rsidRPr="002748A1">
        <w:t>)</w:t>
      </w:r>
      <w:r w:rsidRPr="00AE7950">
        <w:t xml:space="preserve"> </w:t>
      </w:r>
      <w:r>
        <w:t>are treated as Constituent Entities of a separate MNE Group for the purpose of computing Top-up Tax, including the relevant calculations for the ETR of the jurisdiction and the Jurisdictional Top-up Tax.</w:t>
      </w:r>
      <w:r w:rsidRPr="00B6427A">
        <w:t xml:space="preserve"> </w:t>
      </w:r>
      <w:r>
        <w:br/>
      </w:r>
      <w:r w:rsidRPr="00901180">
        <w:rPr>
          <w:b/>
          <w:bCs/>
          <w:i/>
          <w:iCs/>
        </w:rPr>
        <w:t>[Chapter 6, section 6-</w:t>
      </w:r>
      <w:r w:rsidR="002D4E0A">
        <w:rPr>
          <w:b/>
          <w:bCs/>
          <w:i/>
          <w:iCs/>
        </w:rPr>
        <w:t>75</w:t>
      </w:r>
      <w:r>
        <w:rPr>
          <w:b/>
          <w:bCs/>
          <w:i/>
          <w:iCs/>
        </w:rPr>
        <w:t xml:space="preserve"> </w:t>
      </w:r>
      <w:r w:rsidRPr="00901180">
        <w:rPr>
          <w:b/>
          <w:bCs/>
          <w:i/>
          <w:iCs/>
        </w:rPr>
        <w:t>of the Rules]</w:t>
      </w:r>
    </w:p>
    <w:p w14:paraId="07AB6724" w14:textId="04FFB5C9" w:rsidR="00E57CA7" w:rsidRPr="00506048" w:rsidRDefault="00E57CA7" w:rsidP="00B7652D">
      <w:pPr>
        <w:pStyle w:val="Normalparatextwithnumbers"/>
        <w:keepNext/>
        <w:keepLines/>
        <w:numPr>
          <w:ilvl w:val="1"/>
          <w:numId w:val="16"/>
        </w:numPr>
        <w:ind w:left="706" w:hanging="706"/>
      </w:pPr>
      <w:r w:rsidRPr="00882E6F">
        <w:t xml:space="preserve">A </w:t>
      </w:r>
      <w:r w:rsidR="0053425A">
        <w:t>JV</w:t>
      </w:r>
      <w:r w:rsidR="00706DBD">
        <w:t xml:space="preserve"> Entity</w:t>
      </w:r>
      <w:r w:rsidRPr="00882E6F">
        <w:t xml:space="preserve"> or JV </w:t>
      </w:r>
      <w:r>
        <w:t>S</w:t>
      </w:r>
      <w:r w:rsidRPr="00882E6F">
        <w:t>ubsidiary is only deemed a C</w:t>
      </w:r>
      <w:r>
        <w:t xml:space="preserve">onstituent </w:t>
      </w:r>
      <w:r w:rsidRPr="00882E6F">
        <w:t>E</w:t>
      </w:r>
      <w:r>
        <w:t>ntity</w:t>
      </w:r>
      <w:r w:rsidRPr="00882E6F">
        <w:t xml:space="preserve"> for certain purposes</w:t>
      </w:r>
      <w:r w:rsidR="00473252">
        <w:t xml:space="preserve">, including </w:t>
      </w:r>
      <w:r w:rsidRPr="00882E6F">
        <w:t xml:space="preserve">the computation of Top-up Tax of the </w:t>
      </w:r>
      <w:r w:rsidR="0053425A">
        <w:t>JV</w:t>
      </w:r>
      <w:r w:rsidRPr="00882E6F">
        <w:t xml:space="preserve"> </w:t>
      </w:r>
      <w:r>
        <w:t>E</w:t>
      </w:r>
      <w:r w:rsidRPr="00882E6F">
        <w:t xml:space="preserve">ntities and determining whether </w:t>
      </w:r>
      <w:r w:rsidR="00ED6A86">
        <w:t>it</w:t>
      </w:r>
      <w:r w:rsidRPr="00882E6F">
        <w:t xml:space="preserve"> is a </w:t>
      </w:r>
      <w:r w:rsidR="00125D0E">
        <w:t>LTCE</w:t>
      </w:r>
      <w:r w:rsidRPr="00882E6F">
        <w:t xml:space="preserve">. </w:t>
      </w:r>
      <w:r>
        <w:br/>
      </w:r>
      <w:r w:rsidRPr="00506048">
        <w:rPr>
          <w:b/>
          <w:bCs/>
          <w:i/>
          <w:iCs/>
        </w:rPr>
        <w:t>[Chapter 6, subsection 6-</w:t>
      </w:r>
      <w:r w:rsidR="002D4E0A">
        <w:rPr>
          <w:b/>
          <w:bCs/>
          <w:i/>
          <w:iCs/>
        </w:rPr>
        <w:t>75</w:t>
      </w:r>
      <w:r w:rsidRPr="00506048">
        <w:rPr>
          <w:b/>
          <w:bCs/>
          <w:i/>
          <w:iCs/>
        </w:rPr>
        <w:t>(3) of the Rules]</w:t>
      </w:r>
    </w:p>
    <w:p w14:paraId="0B1DAC41" w14:textId="1B52F3B7" w:rsidR="00EF2716" w:rsidRDefault="00E57CA7">
      <w:pPr>
        <w:pStyle w:val="Normalparatextwithnumbers"/>
        <w:numPr>
          <w:ilvl w:val="1"/>
          <w:numId w:val="16"/>
        </w:numPr>
      </w:pPr>
      <w:bookmarkStart w:id="235" w:name="_Ref183778417"/>
      <w:r>
        <w:t xml:space="preserve">The </w:t>
      </w:r>
      <w:r w:rsidR="007508DE">
        <w:t>T</w:t>
      </w:r>
      <w:r>
        <w:t xml:space="preserve">op-up </w:t>
      </w:r>
      <w:r w:rsidR="007508DE">
        <w:t>T</w:t>
      </w:r>
      <w:r>
        <w:t xml:space="preserve">ax of a </w:t>
      </w:r>
      <w:r w:rsidR="0053425A">
        <w:t>JV</w:t>
      </w:r>
      <w:r w:rsidR="00ED6A86">
        <w:t xml:space="preserve"> Entity</w:t>
      </w:r>
      <w:r w:rsidR="00BB6804">
        <w:t xml:space="preserve"> or deemed JV Group</w:t>
      </w:r>
      <w:r>
        <w:t xml:space="preserve"> is computed in accordance with Chapters 3 to 7</w:t>
      </w:r>
      <w:r w:rsidR="00AC28E4">
        <w:t xml:space="preserve"> of the Rules. For a deemed JV Group</w:t>
      </w:r>
      <w:r w:rsidR="00F2138C">
        <w:t>,</w:t>
      </w:r>
      <w:r w:rsidR="00AC28E4">
        <w:t xml:space="preserve"> the separate calculations are done</w:t>
      </w:r>
      <w:r>
        <w:t xml:space="preserve"> as if </w:t>
      </w:r>
      <w:r w:rsidR="00494317">
        <w:t xml:space="preserve">the </w:t>
      </w:r>
      <w:r>
        <w:t xml:space="preserve">JV </w:t>
      </w:r>
      <w:r w:rsidR="00C36943">
        <w:t>S</w:t>
      </w:r>
      <w:r w:rsidR="002A6B60">
        <w:t xml:space="preserve">ubsidiaries </w:t>
      </w:r>
      <w:r>
        <w:t>were Constituent Entities</w:t>
      </w:r>
      <w:r w:rsidR="00F2138C">
        <w:t>,</w:t>
      </w:r>
      <w:r>
        <w:t xml:space="preserve"> and the </w:t>
      </w:r>
      <w:r w:rsidR="0053425A">
        <w:t>JV</w:t>
      </w:r>
      <w:r>
        <w:t xml:space="preserve"> </w:t>
      </w:r>
      <w:r w:rsidR="004B6495">
        <w:t>Entity</w:t>
      </w:r>
      <w:r>
        <w:t xml:space="preserve"> was the UPE of </w:t>
      </w:r>
      <w:r w:rsidR="002A6B60">
        <w:t xml:space="preserve">the deemed JV </w:t>
      </w:r>
      <w:r>
        <w:t xml:space="preserve">Group. </w:t>
      </w:r>
      <w:r w:rsidR="00960FC6">
        <w:t xml:space="preserve">In treating the </w:t>
      </w:r>
      <w:r w:rsidR="00F40B81">
        <w:t>JV Entit</w:t>
      </w:r>
      <w:r w:rsidR="005072AA">
        <w:t>y</w:t>
      </w:r>
      <w:r w:rsidR="00F40B81">
        <w:t xml:space="preserve"> as separate from the MNE Group, </w:t>
      </w:r>
      <w:r w:rsidR="00E641FE">
        <w:t xml:space="preserve">this ensures </w:t>
      </w:r>
      <w:r w:rsidR="00BB6CB2">
        <w:t xml:space="preserve">that </w:t>
      </w:r>
      <w:r w:rsidR="00901180">
        <w:t xml:space="preserve">the GloBE Income or Loss and Covered Taxes of JV Entities are not blended with the Constituent Entities of the actual MNE Group for computing the JV </w:t>
      </w:r>
      <w:r w:rsidR="007B001A">
        <w:t>E</w:t>
      </w:r>
      <w:r w:rsidR="00901180">
        <w:t>ntit</w:t>
      </w:r>
      <w:r w:rsidR="007B001A">
        <w:t>y’s</w:t>
      </w:r>
      <w:r w:rsidR="00901180">
        <w:t xml:space="preserve"> or the MNE Group’s jurisdictional ETR. </w:t>
      </w:r>
      <w:r w:rsidR="00901180" w:rsidRPr="00901180">
        <w:t xml:space="preserve">Specific rules </w:t>
      </w:r>
      <w:r>
        <w:t>relating to eligibility of</w:t>
      </w:r>
      <w:r w:rsidR="003A591C">
        <w:t xml:space="preserve"> </w:t>
      </w:r>
      <w:r>
        <w:t>JV Entit</w:t>
      </w:r>
      <w:r w:rsidR="00D50056">
        <w:t>ies</w:t>
      </w:r>
      <w:r>
        <w:t xml:space="preserve"> for Safe Harbours are </w:t>
      </w:r>
      <w:r w:rsidR="00C11E7A">
        <w:t xml:space="preserve">outlined </w:t>
      </w:r>
      <w:r>
        <w:t>in Chapter 8 of the Rules.</w:t>
      </w:r>
      <w:bookmarkEnd w:id="235"/>
    </w:p>
    <w:p w14:paraId="1A870F1E" w14:textId="29650F57" w:rsidR="00E57CA7" w:rsidRPr="00506048" w:rsidRDefault="00C71893">
      <w:pPr>
        <w:pStyle w:val="Normalparatextwithnumbers"/>
        <w:numPr>
          <w:ilvl w:val="1"/>
          <w:numId w:val="16"/>
        </w:numPr>
      </w:pPr>
      <w:r>
        <w:t xml:space="preserve">The amount and allocation of </w:t>
      </w:r>
      <w:r w:rsidR="004C17E7">
        <w:t>T</w:t>
      </w:r>
      <w:r>
        <w:t>op</w:t>
      </w:r>
      <w:r>
        <w:noBreakHyphen/>
        <w:t xml:space="preserve">up </w:t>
      </w:r>
      <w:r w:rsidR="004C17E7">
        <w:t>T</w:t>
      </w:r>
      <w:r>
        <w:t>ax</w:t>
      </w:r>
      <w:r w:rsidR="00912ACC">
        <w:t xml:space="preserve"> </w:t>
      </w:r>
      <w:r w:rsidR="00FC6F1C">
        <w:t>for a JV</w:t>
      </w:r>
      <w:r w:rsidR="004C17E7">
        <w:t xml:space="preserve"> Entity</w:t>
      </w:r>
      <w:r w:rsidR="00FC6F1C">
        <w:t xml:space="preserve"> or JV group is computed in accordance with the relevant provisions under Chapter 2 of the Rules (as outlined in </w:t>
      </w:r>
      <w:r w:rsidR="00FC6F1C">
        <w:fldChar w:fldCharType="begin"/>
      </w:r>
      <w:r w:rsidR="00FC6F1C">
        <w:instrText xml:space="preserve"> REF _Ref183185659 \r \h </w:instrText>
      </w:r>
      <w:r w:rsidR="00FC6F1C">
        <w:fldChar w:fldCharType="separate"/>
      </w:r>
      <w:r w:rsidR="009D6D0D">
        <w:t>Chapter 2:</w:t>
      </w:r>
      <w:r w:rsidR="00FC6F1C">
        <w:fldChar w:fldCharType="end"/>
      </w:r>
      <w:r w:rsidR="00FC6F1C">
        <w:t xml:space="preserve"> from paragraph </w:t>
      </w:r>
      <w:r w:rsidR="00FC6F1C">
        <w:fldChar w:fldCharType="begin"/>
      </w:r>
      <w:r w:rsidR="00FC6F1C">
        <w:instrText xml:space="preserve"> REF _Ref183185670 \r \h </w:instrText>
      </w:r>
      <w:r w:rsidR="00FC6F1C">
        <w:fldChar w:fldCharType="separate"/>
      </w:r>
      <w:r w:rsidR="009D6D0D">
        <w:t>2.7</w:t>
      </w:r>
      <w:r w:rsidR="00FC6F1C">
        <w:fldChar w:fldCharType="end"/>
      </w:r>
      <w:r w:rsidR="00FC6F1C">
        <w:t xml:space="preserve">).  </w:t>
      </w:r>
      <w:r w:rsidR="00E57CA7">
        <w:t xml:space="preserve"> </w:t>
      </w:r>
    </w:p>
    <w:p w14:paraId="3CB8FB5C" w14:textId="77777777" w:rsidR="00E57CA7" w:rsidRDefault="00E57CA7" w:rsidP="00AF25B2">
      <w:pPr>
        <w:pStyle w:val="Heading3"/>
        <w:rPr>
          <w:rFonts w:hint="eastAsia"/>
        </w:rPr>
      </w:pPr>
      <w:bookmarkStart w:id="236" w:name="_Toc181104530"/>
      <w:bookmarkStart w:id="237" w:name="_Toc181104544"/>
      <w:bookmarkStart w:id="238" w:name="_Toc183786672"/>
      <w:bookmarkStart w:id="239" w:name="_Toc185503016"/>
      <w:r>
        <w:t>Multi-Parented MNE Groups</w:t>
      </w:r>
      <w:bookmarkEnd w:id="232"/>
      <w:bookmarkEnd w:id="233"/>
      <w:bookmarkEnd w:id="234"/>
      <w:bookmarkEnd w:id="236"/>
      <w:bookmarkEnd w:id="237"/>
      <w:bookmarkEnd w:id="238"/>
      <w:bookmarkEnd w:id="239"/>
    </w:p>
    <w:p w14:paraId="0972BB02" w14:textId="24EA1DFC" w:rsidR="00F43D40" w:rsidRDefault="00E86464" w:rsidP="00E57CA7">
      <w:pPr>
        <w:pStyle w:val="Normalparatextwithnumbers"/>
        <w:numPr>
          <w:ilvl w:val="1"/>
          <w:numId w:val="16"/>
        </w:numPr>
      </w:pPr>
      <w:r>
        <w:t xml:space="preserve">Where </w:t>
      </w:r>
      <w:r w:rsidR="003536D5">
        <w:t xml:space="preserve">two or more </w:t>
      </w:r>
      <w:r w:rsidR="007F4E98">
        <w:t>MNE</w:t>
      </w:r>
      <w:r w:rsidR="003536D5">
        <w:t xml:space="preserve"> Groups prepare CFS in which the financial performance of these Groups </w:t>
      </w:r>
      <w:r w:rsidR="006613CB">
        <w:t>is presented as a single economic unit</w:t>
      </w:r>
      <w:r w:rsidR="00BB11A8">
        <w:t>, special rules ensure that GloBE Rules apply to these structures in the same way they would apply</w:t>
      </w:r>
      <w:r w:rsidR="007F4E98">
        <w:t xml:space="preserve"> to a MNE Group with </w:t>
      </w:r>
      <w:r w:rsidR="00C03310">
        <w:t>a single UPE with an appropriate allocation of To</w:t>
      </w:r>
      <w:r w:rsidR="008A474F">
        <w:t>p</w:t>
      </w:r>
      <w:r w:rsidR="00C03310">
        <w:t>-up Tax amongst Constituent Entities</w:t>
      </w:r>
      <w:r w:rsidR="00AC4E69">
        <w:t xml:space="preserve"> of the combined MNE Group</w:t>
      </w:r>
      <w:r w:rsidR="00F43D40">
        <w:t>.</w:t>
      </w:r>
      <w:r w:rsidR="00AC4E69">
        <w:t xml:space="preserve"> </w:t>
      </w:r>
      <w:r w:rsidR="003E09C5">
        <w:t>See paragraph 95 and following on page 189 of the Consolidated Commentary</w:t>
      </w:r>
      <w:r w:rsidR="002507D3">
        <w:t>.</w:t>
      </w:r>
      <w:r w:rsidR="007F4E98">
        <w:t xml:space="preserve">  </w:t>
      </w:r>
    </w:p>
    <w:p w14:paraId="1F8FD3D6" w14:textId="46AA37F1" w:rsidR="00E57CA7" w:rsidRDefault="00E57CA7" w:rsidP="00E57CA7">
      <w:pPr>
        <w:pStyle w:val="Normalparatextwithnumbers"/>
        <w:numPr>
          <w:ilvl w:val="1"/>
          <w:numId w:val="16"/>
        </w:numPr>
      </w:pPr>
      <w:r>
        <w:t xml:space="preserve">In a Multi-Parented MNE Group, each </w:t>
      </w:r>
      <w:r w:rsidR="00910AAC">
        <w:t xml:space="preserve">separate </w:t>
      </w:r>
      <w:r>
        <w:t xml:space="preserve">Group is treated as a single entity, such that </w:t>
      </w:r>
      <w:r w:rsidRPr="00FA1FA0">
        <w:t xml:space="preserve">the Constituent Entities of each separate Group </w:t>
      </w:r>
      <w:r>
        <w:t xml:space="preserve">are treated </w:t>
      </w:r>
      <w:r w:rsidRPr="00FA1FA0">
        <w:t>as Constituent Entities of a single MNE Group</w:t>
      </w:r>
      <w:r>
        <w:t>, which is the Multi</w:t>
      </w:r>
      <w:r>
        <w:noBreakHyphen/>
        <w:t>Parented MNE Group itself</w:t>
      </w:r>
      <w:r w:rsidRPr="00FA1FA0">
        <w:t xml:space="preserve"> (the</w:t>
      </w:r>
      <w:r w:rsidRPr="00FA1FA0">
        <w:rPr>
          <w:b/>
          <w:i/>
        </w:rPr>
        <w:t xml:space="preserve"> combined MNE Group</w:t>
      </w:r>
      <w:r w:rsidRPr="00FA1FA0">
        <w:t>)</w:t>
      </w:r>
      <w:r>
        <w:t>.</w:t>
      </w:r>
      <w:r>
        <w:br/>
      </w:r>
      <w:r w:rsidRPr="00C94CBC">
        <w:rPr>
          <w:rStyle w:val="References"/>
        </w:rPr>
        <w:t xml:space="preserve">[Chapter 6, </w:t>
      </w:r>
      <w:r w:rsidR="00B82976">
        <w:rPr>
          <w:rStyle w:val="References"/>
        </w:rPr>
        <w:t>paragraph</w:t>
      </w:r>
      <w:r w:rsidRPr="00C94CBC">
        <w:rPr>
          <w:rStyle w:val="References"/>
        </w:rPr>
        <w:t xml:space="preserve"> 6</w:t>
      </w:r>
      <w:r w:rsidRPr="00C94CBC">
        <w:rPr>
          <w:rStyle w:val="References"/>
        </w:rPr>
        <w:noBreakHyphen/>
        <w:t>8</w:t>
      </w:r>
      <w:r w:rsidR="000F2B55">
        <w:rPr>
          <w:rStyle w:val="References"/>
        </w:rPr>
        <w:t>0</w:t>
      </w:r>
      <w:r w:rsidRPr="00C94CBC">
        <w:rPr>
          <w:rStyle w:val="References"/>
        </w:rPr>
        <w:t>(</w:t>
      </w:r>
      <w:r>
        <w:rPr>
          <w:rStyle w:val="References"/>
        </w:rPr>
        <w:t>2)</w:t>
      </w:r>
      <w:r w:rsidRPr="00C94CBC">
        <w:rPr>
          <w:rStyle w:val="References"/>
        </w:rPr>
        <w:t>(a</w:t>
      </w:r>
      <w:r>
        <w:rPr>
          <w:rStyle w:val="References"/>
        </w:rPr>
        <w:t>) of the Rules]</w:t>
      </w:r>
    </w:p>
    <w:p w14:paraId="6BBE834B" w14:textId="00C02498" w:rsidR="00E57CA7" w:rsidRDefault="00E57CA7" w:rsidP="00E57CA7">
      <w:pPr>
        <w:pStyle w:val="Normalparatextwithnumbers"/>
        <w:numPr>
          <w:ilvl w:val="1"/>
          <w:numId w:val="16"/>
        </w:numPr>
      </w:pPr>
      <w:r>
        <w:t xml:space="preserve">Entities </w:t>
      </w:r>
      <w:r w:rsidR="00A246AC">
        <w:t>(other than</w:t>
      </w:r>
      <w:r>
        <w:t xml:space="preserve"> Excluded Entities</w:t>
      </w:r>
      <w:r w:rsidR="00A246AC">
        <w:t>)</w:t>
      </w:r>
      <w:r>
        <w:t xml:space="preserve"> are </w:t>
      </w:r>
      <w:r w:rsidR="006232C5">
        <w:t>treated as</w:t>
      </w:r>
      <w:r>
        <w:t xml:space="preserve"> Constituent Entities of the combined MNE Group an Entity </w:t>
      </w:r>
      <w:r w:rsidR="003E5C2C">
        <w:t>if</w:t>
      </w:r>
      <w:r w:rsidR="008F02D9">
        <w:t xml:space="preserve"> it</w:t>
      </w:r>
      <w:r>
        <w:t xml:space="preserve"> is consolidated on a line</w:t>
      </w:r>
      <w:r>
        <w:noBreakHyphen/>
        <w:t>by</w:t>
      </w:r>
      <w:r>
        <w:noBreakHyphen/>
        <w:t xml:space="preserve">line basis or if a Controlling Interest is held. This ensures that the revenue of these entities is included in the revenue threshold for the combined MNE Group for the purposes of section 12 of the Assessment Act. Further, consistent with the </w:t>
      </w:r>
      <w:r>
        <w:lastRenderedPageBreak/>
        <w:t>Assessment Act, references to ‘the UPE’ of the separate Groups are treated as references to UPEs of the combined MNE Group.</w:t>
      </w:r>
      <w:r>
        <w:br/>
      </w:r>
      <w:r w:rsidRPr="00C94CBC">
        <w:rPr>
          <w:rStyle w:val="References"/>
        </w:rPr>
        <w:t xml:space="preserve">[Chapter 6, </w:t>
      </w:r>
      <w:r w:rsidR="00C94390">
        <w:rPr>
          <w:rStyle w:val="References"/>
        </w:rPr>
        <w:t>subsection</w:t>
      </w:r>
      <w:r w:rsidRPr="00C94CBC">
        <w:rPr>
          <w:rStyle w:val="References"/>
        </w:rPr>
        <w:t xml:space="preserve"> 6</w:t>
      </w:r>
      <w:r w:rsidRPr="00C94CBC">
        <w:rPr>
          <w:rStyle w:val="References"/>
        </w:rPr>
        <w:noBreakHyphen/>
        <w:t>8</w:t>
      </w:r>
      <w:r w:rsidR="000F2B55">
        <w:rPr>
          <w:rStyle w:val="References"/>
        </w:rPr>
        <w:t>0</w:t>
      </w:r>
      <w:r w:rsidRPr="00C94CBC">
        <w:rPr>
          <w:rStyle w:val="References"/>
        </w:rPr>
        <w:t>(</w:t>
      </w:r>
      <w:r>
        <w:rPr>
          <w:rStyle w:val="References"/>
        </w:rPr>
        <w:t>2)</w:t>
      </w:r>
      <w:r w:rsidRPr="00C94CBC">
        <w:rPr>
          <w:rStyle w:val="References"/>
        </w:rPr>
        <w:t xml:space="preserve"> </w:t>
      </w:r>
      <w:r>
        <w:rPr>
          <w:rStyle w:val="References"/>
        </w:rPr>
        <w:t>of the Rules</w:t>
      </w:r>
      <w:r w:rsidRPr="00C94CBC">
        <w:rPr>
          <w:rStyle w:val="References"/>
        </w:rPr>
        <w:t>]</w:t>
      </w:r>
      <w:r>
        <w:t xml:space="preserve"> </w:t>
      </w:r>
    </w:p>
    <w:p w14:paraId="06BFCA30" w14:textId="2350DE96" w:rsidR="00E57CA7" w:rsidRPr="00E55D0C" w:rsidRDefault="00E57CA7" w:rsidP="00E57CA7">
      <w:pPr>
        <w:pStyle w:val="Normalparatextwithnumbers"/>
        <w:numPr>
          <w:ilvl w:val="1"/>
          <w:numId w:val="16"/>
        </w:numPr>
      </w:pPr>
      <w:r>
        <w:t>A Multi-Parented MNE Group is formed where two UPE of an MNE Group enter into either a</w:t>
      </w:r>
      <w:r w:rsidRPr="00300099">
        <w:t xml:space="preserve"> </w:t>
      </w:r>
      <w:r w:rsidRPr="007F3FEB">
        <w:rPr>
          <w:b/>
          <w:bCs/>
          <w:i/>
          <w:iCs/>
        </w:rPr>
        <w:t>dual</w:t>
      </w:r>
      <w:r w:rsidRPr="007F3FEB">
        <w:rPr>
          <w:b/>
          <w:bCs/>
          <w:iCs/>
        </w:rPr>
        <w:t>-</w:t>
      </w:r>
      <w:r w:rsidRPr="007F3FEB">
        <w:rPr>
          <w:b/>
          <w:bCs/>
          <w:i/>
          <w:iCs/>
        </w:rPr>
        <w:t>listed arrangement</w:t>
      </w:r>
      <w:r w:rsidRPr="00300099">
        <w:t xml:space="preserve"> or a </w:t>
      </w:r>
      <w:r w:rsidRPr="007F3FEB">
        <w:rPr>
          <w:b/>
          <w:bCs/>
          <w:i/>
          <w:iCs/>
        </w:rPr>
        <w:t xml:space="preserve">stapled structure </w:t>
      </w:r>
      <w:r>
        <w:t>arrangement, and at least one Constituent Entity of any of the Groups must be located in a different jurisdiction, which may include an Excluded Entity. If there is such an Excluded Entity, then for the purposes of determining whether a Multi</w:t>
      </w:r>
      <w:r>
        <w:noBreakHyphen/>
        <w:t>Parent MNE Group is formed, it is treated as not being an Excluded Entity.</w:t>
      </w:r>
      <w:r>
        <w:br/>
      </w:r>
      <w:r w:rsidRPr="007F3FEB">
        <w:rPr>
          <w:b/>
          <w:bCs/>
          <w:i/>
          <w:iCs/>
        </w:rPr>
        <w:t>[Chapter 6, section 6</w:t>
      </w:r>
      <w:r w:rsidR="006B46AB">
        <w:rPr>
          <w:b/>
          <w:bCs/>
          <w:i/>
          <w:iCs/>
        </w:rPr>
        <w:t>-</w:t>
      </w:r>
      <w:r w:rsidR="000F2B55">
        <w:rPr>
          <w:b/>
          <w:bCs/>
          <w:i/>
          <w:iCs/>
        </w:rPr>
        <w:t>85</w:t>
      </w:r>
      <w:r w:rsidR="00C94390">
        <w:rPr>
          <w:b/>
          <w:bCs/>
          <w:i/>
          <w:iCs/>
        </w:rPr>
        <w:t xml:space="preserve"> </w:t>
      </w:r>
      <w:r w:rsidRPr="007F3FEB">
        <w:rPr>
          <w:b/>
          <w:bCs/>
          <w:i/>
          <w:iCs/>
        </w:rPr>
        <w:t>of the Rules]</w:t>
      </w:r>
    </w:p>
    <w:p w14:paraId="06BC4352" w14:textId="68E688CF" w:rsidR="00E57CA7" w:rsidRPr="00AB7729" w:rsidRDefault="00E57CA7" w:rsidP="00E57CA7">
      <w:pPr>
        <w:pStyle w:val="Normalparatextwithnumbers"/>
        <w:numPr>
          <w:ilvl w:val="1"/>
          <w:numId w:val="16"/>
        </w:numPr>
      </w:pPr>
      <w:r w:rsidRPr="007F3FEB">
        <w:t xml:space="preserve">For </w:t>
      </w:r>
      <w:r>
        <w:t>example</w:t>
      </w:r>
      <w:r w:rsidRPr="007F3FEB">
        <w:t>, two separate domestic Groups may each hold 50</w:t>
      </w:r>
      <w:r w:rsidR="00D12DC9">
        <w:t xml:space="preserve"> per cent</w:t>
      </w:r>
      <w:r w:rsidRPr="007F3FEB">
        <w:t xml:space="preserve"> of the Ownership Interests of an Entity located in another jurisdiction (or domestic Entity with a Permanent Establishment in another jurisdiction). </w:t>
      </w:r>
      <w:r>
        <w:t>Ordinarily</w:t>
      </w:r>
      <w:r w:rsidRPr="007F3FEB">
        <w:t xml:space="preserve">, the Entity would be treated as a </w:t>
      </w:r>
      <w:r w:rsidR="0053425A">
        <w:t>JV</w:t>
      </w:r>
      <w:r w:rsidRPr="007F3FEB">
        <w:t xml:space="preserve"> by each Group individually. However, </w:t>
      </w:r>
      <w:r>
        <w:t xml:space="preserve">in the case of a Multi-parented MNE Group </w:t>
      </w:r>
      <w:r w:rsidRPr="007F3FEB">
        <w:t xml:space="preserve">the </w:t>
      </w:r>
      <w:r w:rsidR="0053425A">
        <w:t>JV</w:t>
      </w:r>
      <w:r w:rsidRPr="007F3FEB">
        <w:t xml:space="preserve"> becomes a Constituent Entity of the combined MNE Group and because that Entity is located in another jurisdiction, the combined MNE Group becomes a Multi-Parented MNE Group. </w:t>
      </w:r>
    </w:p>
    <w:p w14:paraId="7F6F56E2" w14:textId="77777777" w:rsidR="00E57CA7" w:rsidRDefault="00E57CA7" w:rsidP="00E57CA7">
      <w:pPr>
        <w:pStyle w:val="Heading6"/>
        <w:rPr>
          <w:rFonts w:hint="eastAsia"/>
        </w:rPr>
      </w:pPr>
      <w:r>
        <w:t xml:space="preserve">Stapled Structure </w:t>
      </w:r>
    </w:p>
    <w:p w14:paraId="6D6521D9" w14:textId="11C6440E" w:rsidR="00E57CA7" w:rsidRDefault="00E57CA7" w:rsidP="00E57CA7">
      <w:pPr>
        <w:pStyle w:val="Normalparatextwithnumbers"/>
        <w:numPr>
          <w:ilvl w:val="1"/>
          <w:numId w:val="16"/>
        </w:numPr>
      </w:pPr>
      <w:r>
        <w:t xml:space="preserve">A stapled structure is where at least </w:t>
      </w:r>
      <w:r w:rsidRPr="00F324D1">
        <w:t>50</w:t>
      </w:r>
      <w:r>
        <w:t xml:space="preserve"> per cent</w:t>
      </w:r>
      <w:r w:rsidRPr="00F324D1">
        <w:t xml:space="preserve"> of the Ownership Interests in the </w:t>
      </w:r>
      <w:r>
        <w:t xml:space="preserve">UPE </w:t>
      </w:r>
      <w:r w:rsidRPr="00F324D1">
        <w:t>of the separate Groups are combined with each other</w:t>
      </w:r>
      <w:r>
        <w:t xml:space="preserve"> </w:t>
      </w:r>
      <w:r w:rsidRPr="00E62E3A">
        <w:t xml:space="preserve">as if they were the Ownership Interests of a single </w:t>
      </w:r>
      <w:r>
        <w:t>e</w:t>
      </w:r>
      <w:r w:rsidRPr="00E62E3A">
        <w:t>ntity</w:t>
      </w:r>
      <w:r>
        <w:t>. Those ownership interests are combined in a way that they cannot be transferred or traded independently. If stapled ownership interests are listed on a securities exchange, the combined ownership interests are quoted at a single price.</w:t>
      </w:r>
      <w:r>
        <w:br/>
      </w:r>
      <w:r w:rsidRPr="000C2D04">
        <w:rPr>
          <w:rStyle w:val="References"/>
        </w:rPr>
        <w:t>[Chapter 6, subsection 6-</w:t>
      </w:r>
      <w:r w:rsidR="000F2B55">
        <w:rPr>
          <w:rStyle w:val="References"/>
        </w:rPr>
        <w:t>85</w:t>
      </w:r>
      <w:r w:rsidRPr="000C2D04">
        <w:rPr>
          <w:rStyle w:val="References"/>
        </w:rPr>
        <w:t xml:space="preserve">(3) </w:t>
      </w:r>
      <w:r>
        <w:rPr>
          <w:rStyle w:val="References"/>
        </w:rPr>
        <w:t>of the Rules</w:t>
      </w:r>
      <w:r w:rsidRPr="000C2D04">
        <w:rPr>
          <w:rStyle w:val="References"/>
        </w:rPr>
        <w:t>]</w:t>
      </w:r>
    </w:p>
    <w:p w14:paraId="5BD06483" w14:textId="77777777" w:rsidR="00E57CA7" w:rsidRDefault="00E57CA7" w:rsidP="00E57CA7">
      <w:pPr>
        <w:pStyle w:val="Heading6"/>
        <w:rPr>
          <w:rFonts w:hint="eastAsia"/>
        </w:rPr>
      </w:pPr>
      <w:r>
        <w:t xml:space="preserve">Dual listed arrangement </w:t>
      </w:r>
    </w:p>
    <w:p w14:paraId="64ACD7F8" w14:textId="13A585EE" w:rsidR="00E57CA7" w:rsidRDefault="00E57CA7" w:rsidP="00E57CA7">
      <w:pPr>
        <w:pStyle w:val="Normalparatextwithnumbers"/>
        <w:numPr>
          <w:ilvl w:val="1"/>
          <w:numId w:val="16"/>
        </w:numPr>
      </w:pPr>
      <w:r>
        <w:t xml:space="preserve">A dual listed arrangement is where at least two UPEs combine their businesses through contract rather than through the ownership and control of a single entity. Under a dual-listed arrangement, each UPE makes distributions to its owners based on a fixed ratio pursuant to a contract, such as an equalisation agreement, and the activities of the combined MNE Groups are managed collectively as if they were carried out by a single entity. Contrasted to stapled structures, the Ownership Interests in the UPEs under a dual-listed arrangement may be quoted, traded or transferred independently in different capital markets. </w:t>
      </w:r>
      <w:r>
        <w:br/>
      </w:r>
      <w:r w:rsidRPr="000C2D04">
        <w:rPr>
          <w:rStyle w:val="References"/>
        </w:rPr>
        <w:t>[Chapter 6, subsection 6-</w:t>
      </w:r>
      <w:r w:rsidR="000F2B55">
        <w:rPr>
          <w:rStyle w:val="References"/>
        </w:rPr>
        <w:t>85</w:t>
      </w:r>
      <w:r w:rsidRPr="000C2D04">
        <w:rPr>
          <w:rStyle w:val="References"/>
        </w:rPr>
        <w:t xml:space="preserve">(4) </w:t>
      </w:r>
      <w:r>
        <w:rPr>
          <w:rStyle w:val="References"/>
        </w:rPr>
        <w:t>of the Rules</w:t>
      </w:r>
      <w:r w:rsidRPr="000C2D04">
        <w:rPr>
          <w:rStyle w:val="References"/>
        </w:rPr>
        <w:t>]</w:t>
      </w:r>
    </w:p>
    <w:p w14:paraId="55E631E3" w14:textId="77777777" w:rsidR="00E57CA7" w:rsidRDefault="00E57CA7" w:rsidP="00E57CA7">
      <w:pPr>
        <w:pStyle w:val="Heading6"/>
        <w:rPr>
          <w:rFonts w:hint="eastAsia"/>
        </w:rPr>
      </w:pPr>
      <w:r>
        <w:t>Multi</w:t>
      </w:r>
      <w:r>
        <w:noBreakHyphen/>
        <w:t xml:space="preserve">parented MNE Group requirements </w:t>
      </w:r>
    </w:p>
    <w:p w14:paraId="43D22A0C" w14:textId="7FF7F79D" w:rsidR="0025163B" w:rsidRDefault="00E57CA7" w:rsidP="00B7652D">
      <w:pPr>
        <w:pStyle w:val="Normalparatextwithnumbers"/>
        <w:numPr>
          <w:ilvl w:val="1"/>
          <w:numId w:val="16"/>
        </w:numPr>
      </w:pPr>
      <w:r>
        <w:t xml:space="preserve">Both Stapled Structures and Dual Listed Arrangements must prepare CFS in which the assets, liabilities, income, expenses and cash flows of all the Entities </w:t>
      </w:r>
      <w:r>
        <w:lastRenderedPageBreak/>
        <w:t xml:space="preserve">of the Groups are presented together those of a single economic unit. The CFS must also be externally audited pursuant to a regulatory regime. The external audit requirement is satisfied where an UPE prepares CFS in accordance with an Acceptable </w:t>
      </w:r>
      <w:r w:rsidR="005A1195">
        <w:t xml:space="preserve">FAS </w:t>
      </w:r>
      <w:r>
        <w:t>that requires that the CFS must present fairly the financial position and performance of the Entities, and the CFS are audited by a professional external auditor in accordance with the auditing standards issued by the auditing standards board in the jurisdiction where the UPE is located.</w:t>
      </w:r>
      <w:r>
        <w:br/>
      </w:r>
      <w:r w:rsidRPr="000C2D04">
        <w:rPr>
          <w:rStyle w:val="References"/>
        </w:rPr>
        <w:t xml:space="preserve">[Chapter 6, </w:t>
      </w:r>
      <w:r w:rsidR="00B82976">
        <w:rPr>
          <w:rStyle w:val="References"/>
        </w:rPr>
        <w:t>paragraphs</w:t>
      </w:r>
      <w:r w:rsidRPr="000C2D04">
        <w:rPr>
          <w:rStyle w:val="References"/>
        </w:rPr>
        <w:t xml:space="preserve"> 6-</w:t>
      </w:r>
      <w:r>
        <w:rPr>
          <w:rStyle w:val="References"/>
        </w:rPr>
        <w:t>8</w:t>
      </w:r>
      <w:r w:rsidR="000F2B55">
        <w:rPr>
          <w:rStyle w:val="References"/>
        </w:rPr>
        <w:t>0</w:t>
      </w:r>
      <w:r>
        <w:rPr>
          <w:rStyle w:val="References"/>
        </w:rPr>
        <w:t xml:space="preserve">(2)(c), </w:t>
      </w:r>
      <w:r w:rsidRPr="000C2D04">
        <w:rPr>
          <w:rStyle w:val="References"/>
        </w:rPr>
        <w:t>6-</w:t>
      </w:r>
      <w:r w:rsidR="000F2B55">
        <w:rPr>
          <w:rStyle w:val="References"/>
        </w:rPr>
        <w:t>85</w:t>
      </w:r>
      <w:r w:rsidRPr="000C2D04">
        <w:rPr>
          <w:rStyle w:val="References"/>
        </w:rPr>
        <w:t xml:space="preserve">(3)(d) and (4)(e) </w:t>
      </w:r>
      <w:r>
        <w:rPr>
          <w:rStyle w:val="References"/>
        </w:rPr>
        <w:t>of the Rules</w:t>
      </w:r>
      <w:r w:rsidRPr="000C2D04">
        <w:rPr>
          <w:rStyle w:val="References"/>
        </w:rPr>
        <w:t>]</w:t>
      </w:r>
    </w:p>
    <w:bookmarkEnd w:id="205"/>
    <w:p w14:paraId="70A3E8DF" w14:textId="77777777" w:rsidR="0025163B" w:rsidRDefault="0025163B" w:rsidP="00873094">
      <w:pPr>
        <w:spacing w:after="0" w:line="360" w:lineRule="auto"/>
        <w:contextualSpacing/>
      </w:pPr>
    </w:p>
    <w:p w14:paraId="2C9441F4" w14:textId="77777777" w:rsidR="00CA6241" w:rsidRDefault="00CA6241" w:rsidP="00873094">
      <w:pPr>
        <w:spacing w:after="0" w:line="360" w:lineRule="auto"/>
        <w:contextualSpacing/>
        <w:sectPr w:rsidR="00CA6241" w:rsidSect="0025163B">
          <w:headerReference w:type="even" r:id="rId82"/>
          <w:headerReference w:type="default" r:id="rId83"/>
          <w:footerReference w:type="even" r:id="rId84"/>
          <w:footerReference w:type="default" r:id="rId85"/>
          <w:headerReference w:type="first" r:id="rId86"/>
          <w:footerReference w:type="first" r:id="rId87"/>
          <w:type w:val="oddPage"/>
          <w:pgSz w:w="9979" w:h="14175" w:code="9"/>
          <w:pgMar w:top="567" w:right="1134" w:bottom="567" w:left="1134" w:header="709" w:footer="709" w:gutter="0"/>
          <w:cols w:space="708"/>
          <w:titlePg/>
          <w:docGrid w:linePitch="360"/>
        </w:sectPr>
      </w:pPr>
    </w:p>
    <w:p w14:paraId="48A78CAB" w14:textId="77777777" w:rsidR="00CA6241" w:rsidRDefault="00CA6241" w:rsidP="00873094">
      <w:pPr>
        <w:spacing w:after="0" w:line="360" w:lineRule="auto"/>
        <w:contextualSpacing/>
      </w:pPr>
    </w:p>
    <w:p w14:paraId="70DE6E50" w14:textId="3431BCA9" w:rsidR="0025163B" w:rsidRPr="0073326A" w:rsidRDefault="000C23B6" w:rsidP="00777A92">
      <w:pPr>
        <w:pStyle w:val="Chapterheading"/>
        <w:rPr>
          <w:rFonts w:hint="eastAsia"/>
        </w:rPr>
      </w:pPr>
      <w:bookmarkStart w:id="240" w:name="_Toc183417104"/>
      <w:bookmarkStart w:id="241" w:name="_Toc183786673"/>
      <w:r>
        <w:t>Investment Entities</w:t>
      </w:r>
      <w:bookmarkEnd w:id="240"/>
      <w:bookmarkEnd w:id="241"/>
      <w:r>
        <w:t xml:space="preserve"> </w:t>
      </w:r>
    </w:p>
    <w:p w14:paraId="0E8F9422" w14:textId="67B07601" w:rsidR="002D5E0B" w:rsidRDefault="002D5E0B" w:rsidP="002D5E0B">
      <w:pPr>
        <w:pStyle w:val="TOCHeading"/>
      </w:pPr>
      <w:bookmarkStart w:id="242" w:name="Chapter7"/>
      <w:r>
        <w:t xml:space="preserve">Table of Contents: </w:t>
      </w:r>
    </w:p>
    <w:p w14:paraId="4658C1CB" w14:textId="1456369F" w:rsidR="0096460F" w:rsidRDefault="002D5E0B">
      <w:pPr>
        <w:pStyle w:val="TOC2"/>
        <w:rPr>
          <w:rFonts w:asciiTheme="minorHAnsi" w:eastAsiaTheme="minorEastAsia" w:hAnsiTheme="minorHAnsi"/>
          <w:kern w:val="2"/>
          <w:sz w:val="22"/>
          <w:lang w:eastAsia="en-AU"/>
          <w14:ligatures w14:val="standardContextual"/>
        </w:rPr>
      </w:pPr>
      <w:r>
        <w:fldChar w:fldCharType="begin"/>
      </w:r>
      <w:r>
        <w:instrText xml:space="preserve"> TOC \o "1-3" \z  \B Chapter7</w:instrText>
      </w:r>
      <w:r>
        <w:fldChar w:fldCharType="separate"/>
      </w:r>
      <w:r w:rsidR="0096460F">
        <w:t>Outline of chapter</w:t>
      </w:r>
      <w:r w:rsidR="0096460F">
        <w:rPr>
          <w:webHidden/>
        </w:rPr>
        <w:tab/>
      </w:r>
      <w:r w:rsidR="0096460F">
        <w:rPr>
          <w:webHidden/>
        </w:rPr>
        <w:fldChar w:fldCharType="begin"/>
      </w:r>
      <w:r w:rsidR="0096460F">
        <w:rPr>
          <w:webHidden/>
        </w:rPr>
        <w:instrText xml:space="preserve"> PAGEREF _Toc185503017 \h </w:instrText>
      </w:r>
      <w:r w:rsidR="0096460F">
        <w:rPr>
          <w:webHidden/>
        </w:rPr>
      </w:r>
      <w:r w:rsidR="0096460F">
        <w:rPr>
          <w:webHidden/>
        </w:rPr>
        <w:fldChar w:fldCharType="separate"/>
      </w:r>
      <w:r w:rsidR="009D6D0D">
        <w:rPr>
          <w:webHidden/>
        </w:rPr>
        <w:t>137</w:t>
      </w:r>
      <w:r w:rsidR="0096460F">
        <w:rPr>
          <w:webHidden/>
        </w:rPr>
        <w:fldChar w:fldCharType="end"/>
      </w:r>
    </w:p>
    <w:p w14:paraId="560F6415" w14:textId="4BB3FE2B" w:rsidR="0096460F" w:rsidRDefault="0096460F">
      <w:pPr>
        <w:pStyle w:val="TOC2"/>
        <w:rPr>
          <w:rFonts w:asciiTheme="minorHAnsi" w:eastAsiaTheme="minorEastAsia" w:hAnsiTheme="minorHAnsi"/>
          <w:kern w:val="2"/>
          <w:sz w:val="22"/>
          <w:lang w:eastAsia="en-AU"/>
          <w14:ligatures w14:val="standardContextual"/>
        </w:rPr>
      </w:pPr>
      <w:r>
        <w:t>Detailed explanation of new law</w:t>
      </w:r>
      <w:r>
        <w:rPr>
          <w:webHidden/>
        </w:rPr>
        <w:tab/>
      </w:r>
      <w:r>
        <w:rPr>
          <w:webHidden/>
        </w:rPr>
        <w:fldChar w:fldCharType="begin"/>
      </w:r>
      <w:r>
        <w:rPr>
          <w:webHidden/>
        </w:rPr>
        <w:instrText xml:space="preserve"> PAGEREF _Toc185503018 \h </w:instrText>
      </w:r>
      <w:r>
        <w:rPr>
          <w:webHidden/>
        </w:rPr>
      </w:r>
      <w:r>
        <w:rPr>
          <w:webHidden/>
        </w:rPr>
        <w:fldChar w:fldCharType="separate"/>
      </w:r>
      <w:r w:rsidR="009D6D0D">
        <w:rPr>
          <w:webHidden/>
        </w:rPr>
        <w:t>138</w:t>
      </w:r>
      <w:r>
        <w:rPr>
          <w:webHidden/>
        </w:rPr>
        <w:fldChar w:fldCharType="end"/>
      </w:r>
    </w:p>
    <w:p w14:paraId="277F6394" w14:textId="21E79B61"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UPE that is a Flow-through Entity</w:t>
      </w:r>
      <w:r>
        <w:rPr>
          <w:noProof/>
          <w:webHidden/>
        </w:rPr>
        <w:tab/>
      </w:r>
      <w:r>
        <w:rPr>
          <w:noProof/>
          <w:webHidden/>
        </w:rPr>
        <w:fldChar w:fldCharType="begin"/>
      </w:r>
      <w:r>
        <w:rPr>
          <w:noProof/>
          <w:webHidden/>
        </w:rPr>
        <w:instrText xml:space="preserve"> PAGEREF _Toc185503019 \h </w:instrText>
      </w:r>
      <w:r>
        <w:rPr>
          <w:noProof/>
          <w:webHidden/>
        </w:rPr>
      </w:r>
      <w:r>
        <w:rPr>
          <w:noProof/>
          <w:webHidden/>
        </w:rPr>
        <w:fldChar w:fldCharType="separate"/>
      </w:r>
      <w:r w:rsidR="009D6D0D">
        <w:rPr>
          <w:noProof/>
          <w:webHidden/>
        </w:rPr>
        <w:t>138</w:t>
      </w:r>
      <w:r>
        <w:rPr>
          <w:noProof/>
          <w:webHidden/>
        </w:rPr>
        <w:fldChar w:fldCharType="end"/>
      </w:r>
    </w:p>
    <w:p w14:paraId="5D1BF876" w14:textId="4302BD35"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UPE subject to Deductible Dividend Regime</w:t>
      </w:r>
      <w:r>
        <w:rPr>
          <w:noProof/>
          <w:webHidden/>
        </w:rPr>
        <w:tab/>
      </w:r>
      <w:r>
        <w:rPr>
          <w:noProof/>
          <w:webHidden/>
        </w:rPr>
        <w:fldChar w:fldCharType="begin"/>
      </w:r>
      <w:r>
        <w:rPr>
          <w:noProof/>
          <w:webHidden/>
        </w:rPr>
        <w:instrText xml:space="preserve"> PAGEREF _Toc185503020 \h </w:instrText>
      </w:r>
      <w:r>
        <w:rPr>
          <w:noProof/>
          <w:webHidden/>
        </w:rPr>
      </w:r>
      <w:r>
        <w:rPr>
          <w:noProof/>
          <w:webHidden/>
        </w:rPr>
        <w:fldChar w:fldCharType="separate"/>
      </w:r>
      <w:r w:rsidR="009D6D0D">
        <w:rPr>
          <w:noProof/>
          <w:webHidden/>
        </w:rPr>
        <w:t>150</w:t>
      </w:r>
      <w:r>
        <w:rPr>
          <w:noProof/>
          <w:webHidden/>
        </w:rPr>
        <w:fldChar w:fldCharType="end"/>
      </w:r>
    </w:p>
    <w:p w14:paraId="15179C97" w14:textId="300D5042"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Eligible Distribution Tax Systems</w:t>
      </w:r>
      <w:r>
        <w:rPr>
          <w:noProof/>
          <w:webHidden/>
        </w:rPr>
        <w:tab/>
      </w:r>
      <w:r>
        <w:rPr>
          <w:noProof/>
          <w:webHidden/>
        </w:rPr>
        <w:fldChar w:fldCharType="begin"/>
      </w:r>
      <w:r>
        <w:rPr>
          <w:noProof/>
          <w:webHidden/>
        </w:rPr>
        <w:instrText xml:space="preserve"> PAGEREF _Toc185503021 \h </w:instrText>
      </w:r>
      <w:r>
        <w:rPr>
          <w:noProof/>
          <w:webHidden/>
        </w:rPr>
      </w:r>
      <w:r>
        <w:rPr>
          <w:noProof/>
          <w:webHidden/>
        </w:rPr>
        <w:fldChar w:fldCharType="separate"/>
      </w:r>
      <w:r w:rsidR="009D6D0D">
        <w:rPr>
          <w:noProof/>
          <w:webHidden/>
        </w:rPr>
        <w:t>151</w:t>
      </w:r>
      <w:r>
        <w:rPr>
          <w:noProof/>
          <w:webHidden/>
        </w:rPr>
        <w:fldChar w:fldCharType="end"/>
      </w:r>
    </w:p>
    <w:p w14:paraId="45DEF88A" w14:textId="10C43F51"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ETR computation for Investment Entities</w:t>
      </w:r>
      <w:r>
        <w:rPr>
          <w:noProof/>
          <w:webHidden/>
        </w:rPr>
        <w:tab/>
      </w:r>
      <w:r>
        <w:rPr>
          <w:noProof/>
          <w:webHidden/>
        </w:rPr>
        <w:fldChar w:fldCharType="begin"/>
      </w:r>
      <w:r>
        <w:rPr>
          <w:noProof/>
          <w:webHidden/>
        </w:rPr>
        <w:instrText xml:space="preserve"> PAGEREF _Toc185503022 \h </w:instrText>
      </w:r>
      <w:r>
        <w:rPr>
          <w:noProof/>
          <w:webHidden/>
        </w:rPr>
      </w:r>
      <w:r>
        <w:rPr>
          <w:noProof/>
          <w:webHidden/>
        </w:rPr>
        <w:fldChar w:fldCharType="separate"/>
      </w:r>
      <w:r w:rsidR="009D6D0D">
        <w:rPr>
          <w:noProof/>
          <w:webHidden/>
        </w:rPr>
        <w:t>153</w:t>
      </w:r>
      <w:r>
        <w:rPr>
          <w:noProof/>
          <w:webHidden/>
        </w:rPr>
        <w:fldChar w:fldCharType="end"/>
      </w:r>
    </w:p>
    <w:p w14:paraId="15F19C01" w14:textId="31F8F46D"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Investment Entity tax transparency election</w:t>
      </w:r>
      <w:r>
        <w:rPr>
          <w:noProof/>
          <w:webHidden/>
        </w:rPr>
        <w:tab/>
      </w:r>
      <w:r>
        <w:rPr>
          <w:noProof/>
          <w:webHidden/>
        </w:rPr>
        <w:fldChar w:fldCharType="begin"/>
      </w:r>
      <w:r>
        <w:rPr>
          <w:noProof/>
          <w:webHidden/>
        </w:rPr>
        <w:instrText xml:space="preserve"> PAGEREF _Toc185503023 \h </w:instrText>
      </w:r>
      <w:r>
        <w:rPr>
          <w:noProof/>
          <w:webHidden/>
        </w:rPr>
      </w:r>
      <w:r>
        <w:rPr>
          <w:noProof/>
          <w:webHidden/>
        </w:rPr>
        <w:fldChar w:fldCharType="separate"/>
      </w:r>
      <w:r w:rsidR="009D6D0D">
        <w:rPr>
          <w:noProof/>
          <w:webHidden/>
        </w:rPr>
        <w:t>157</w:t>
      </w:r>
      <w:r>
        <w:rPr>
          <w:noProof/>
          <w:webHidden/>
        </w:rPr>
        <w:fldChar w:fldCharType="end"/>
      </w:r>
    </w:p>
    <w:p w14:paraId="70FA8BFB" w14:textId="5BC67E75"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Taxable distribution method election</w:t>
      </w:r>
      <w:r>
        <w:rPr>
          <w:noProof/>
          <w:webHidden/>
        </w:rPr>
        <w:tab/>
      </w:r>
      <w:r>
        <w:rPr>
          <w:noProof/>
          <w:webHidden/>
        </w:rPr>
        <w:fldChar w:fldCharType="begin"/>
      </w:r>
      <w:r>
        <w:rPr>
          <w:noProof/>
          <w:webHidden/>
        </w:rPr>
        <w:instrText xml:space="preserve"> PAGEREF _Toc185503024 \h </w:instrText>
      </w:r>
      <w:r>
        <w:rPr>
          <w:noProof/>
          <w:webHidden/>
        </w:rPr>
      </w:r>
      <w:r>
        <w:rPr>
          <w:noProof/>
          <w:webHidden/>
        </w:rPr>
        <w:fldChar w:fldCharType="separate"/>
      </w:r>
      <w:r w:rsidR="009D6D0D">
        <w:rPr>
          <w:noProof/>
          <w:webHidden/>
        </w:rPr>
        <w:t>160</w:t>
      </w:r>
      <w:r>
        <w:rPr>
          <w:noProof/>
          <w:webHidden/>
        </w:rPr>
        <w:fldChar w:fldCharType="end"/>
      </w:r>
    </w:p>
    <w:p w14:paraId="6A31074A" w14:textId="1BEAF5E2" w:rsidR="007136C1" w:rsidRDefault="002D5E0B" w:rsidP="002D5E0B">
      <w:r>
        <w:fldChar w:fldCharType="end"/>
      </w:r>
      <w:bookmarkStart w:id="243" w:name="_Toc183786674"/>
    </w:p>
    <w:p w14:paraId="64FC0861" w14:textId="5DF71016" w:rsidR="0025163B" w:rsidRPr="00020288" w:rsidRDefault="0025163B" w:rsidP="007136C1">
      <w:pPr>
        <w:pStyle w:val="Heading2"/>
        <w:rPr>
          <w:rFonts w:hint="eastAsia"/>
        </w:rPr>
      </w:pPr>
      <w:bookmarkStart w:id="244" w:name="_Toc185503017"/>
      <w:r w:rsidRPr="00020288">
        <w:t xml:space="preserve">Outline </w:t>
      </w:r>
      <w:r w:rsidRPr="005D0844">
        <w:t>of</w:t>
      </w:r>
      <w:r w:rsidRPr="00020288">
        <w:t xml:space="preserve"> chapter</w:t>
      </w:r>
      <w:bookmarkEnd w:id="243"/>
      <w:bookmarkEnd w:id="244"/>
    </w:p>
    <w:p w14:paraId="19440402" w14:textId="77777777" w:rsidR="00410D44" w:rsidRDefault="00410D44" w:rsidP="00410D44">
      <w:pPr>
        <w:pStyle w:val="Normalparatextwithnumbers"/>
        <w:numPr>
          <w:ilvl w:val="1"/>
          <w:numId w:val="16"/>
        </w:numPr>
      </w:pPr>
      <w:r w:rsidRPr="00167665">
        <w:t xml:space="preserve">Chapter </w:t>
      </w:r>
      <w:r>
        <w:t xml:space="preserve">7 of the Rules sets out the </w:t>
      </w:r>
      <w:r w:rsidRPr="00AD20E1">
        <w:t xml:space="preserve">application of the </w:t>
      </w:r>
      <w:r>
        <w:t>GloBE R</w:t>
      </w:r>
      <w:r w:rsidRPr="00AD20E1">
        <w:t>ules to certain</w:t>
      </w:r>
      <w:r>
        <w:t xml:space="preserve"> tax neutrality and distribution tax regimes for:</w:t>
      </w:r>
    </w:p>
    <w:p w14:paraId="615A8AAE" w14:textId="77777777" w:rsidR="00410D44" w:rsidRDefault="00410D44" w:rsidP="00B7652D">
      <w:pPr>
        <w:pStyle w:val="Dotpoint1"/>
      </w:pPr>
      <w:r>
        <w:t>UPEs that are subject to a tax neutrality regime;</w:t>
      </w:r>
    </w:p>
    <w:p w14:paraId="698719C3" w14:textId="77777777" w:rsidR="00410D44" w:rsidRDefault="00410D44" w:rsidP="00B7652D">
      <w:pPr>
        <w:pStyle w:val="Dotpoint1"/>
      </w:pPr>
      <w:r>
        <w:t>tax regimes that subject an Entity to tax on its earnings when those earnings are distributed or deemed to be distributed; and</w:t>
      </w:r>
    </w:p>
    <w:p w14:paraId="7EF444E6" w14:textId="77777777" w:rsidR="00410D44" w:rsidRDefault="00410D44" w:rsidP="00B7652D">
      <w:pPr>
        <w:pStyle w:val="Dotpoint1"/>
      </w:pPr>
      <w:r>
        <w:t xml:space="preserve">Investment Entities and Insurance Investment Entities. </w:t>
      </w:r>
    </w:p>
    <w:p w14:paraId="7C041D71" w14:textId="11168653" w:rsidR="00410D44" w:rsidRDefault="00410D44" w:rsidP="00410D44">
      <w:pPr>
        <w:pStyle w:val="Normalparatextwithnumbers"/>
        <w:numPr>
          <w:ilvl w:val="1"/>
          <w:numId w:val="16"/>
        </w:numPr>
      </w:pPr>
      <w:r>
        <w:t>Special rules are necessary as applying the standard adjustment rules in Chapters 3 and 4 to non-standard corporate tax regimes could result in unintended outcomes under the GloBE Rules.</w:t>
      </w:r>
    </w:p>
    <w:p w14:paraId="29E722A3" w14:textId="77777777" w:rsidR="0025163B" w:rsidRPr="00020288" w:rsidRDefault="0025163B" w:rsidP="0025163B">
      <w:pPr>
        <w:pStyle w:val="Heading2"/>
        <w:numPr>
          <w:ilvl w:val="1"/>
          <w:numId w:val="2"/>
        </w:numPr>
        <w:tabs>
          <w:tab w:val="num" w:pos="567"/>
        </w:tabs>
        <w:ind w:left="567" w:hanging="567"/>
        <w:rPr>
          <w:rFonts w:hint="eastAsia"/>
        </w:rPr>
      </w:pPr>
      <w:bookmarkStart w:id="245" w:name="_Toc183786675"/>
      <w:bookmarkStart w:id="246" w:name="_Toc185503018"/>
      <w:r w:rsidRPr="00020288">
        <w:lastRenderedPageBreak/>
        <w:t>Detailed explanation of new law</w:t>
      </w:r>
      <w:bookmarkEnd w:id="245"/>
      <w:bookmarkEnd w:id="246"/>
    </w:p>
    <w:p w14:paraId="06AF54FF" w14:textId="77777777" w:rsidR="00860455" w:rsidRDefault="00860455" w:rsidP="00860455">
      <w:pPr>
        <w:pStyle w:val="Heading3"/>
        <w:rPr>
          <w:rFonts w:hint="eastAsia"/>
        </w:rPr>
      </w:pPr>
      <w:bookmarkStart w:id="247" w:name="_Toc181104546"/>
      <w:bookmarkStart w:id="248" w:name="_Toc183786676"/>
      <w:bookmarkStart w:id="249" w:name="_Toc185503019"/>
      <w:r>
        <w:t>UPE that is a Flow-through Entity</w:t>
      </w:r>
      <w:bookmarkEnd w:id="247"/>
      <w:bookmarkEnd w:id="248"/>
      <w:bookmarkEnd w:id="249"/>
    </w:p>
    <w:p w14:paraId="0F5C7B74" w14:textId="5B0C44FF" w:rsidR="00860455" w:rsidRDefault="00860455" w:rsidP="00860455">
      <w:pPr>
        <w:pStyle w:val="Normalparatextwithnumbers"/>
        <w:numPr>
          <w:ilvl w:val="1"/>
          <w:numId w:val="16"/>
        </w:numPr>
      </w:pPr>
      <w:r>
        <w:t>A jurisdiction’s tax system may contain rules designed to achieve a single level of taxation on business income. While some jurisdictions may achieve this by adjusting the treatment of income in the hands of the owner, for example, by exempting distributions received by shareholders. Other jurisdictions may provide for a similar result by adjusting the treatment of income in the hands of the business entity, for example, by treating certain entities or arrangements as transparent for tax purposes or permitting that entity or arrangement to deduct distributions to its investors from its taxable income.</w:t>
      </w:r>
      <w:r w:rsidR="00D557D1">
        <w:t xml:space="preserve"> See paragraph 2</w:t>
      </w:r>
      <w:r w:rsidR="00234DD9">
        <w:t xml:space="preserve"> </w:t>
      </w:r>
      <w:r w:rsidR="00D557D1">
        <w:t>on page 195</w:t>
      </w:r>
      <w:r w:rsidR="00234DD9">
        <w:t xml:space="preserve"> of the Consolidated Commentary. </w:t>
      </w:r>
    </w:p>
    <w:p w14:paraId="77399F2A" w14:textId="2C287D6D" w:rsidR="007949A6" w:rsidRDefault="00860455" w:rsidP="00860455">
      <w:pPr>
        <w:pStyle w:val="Normalparatextwithnumbers"/>
        <w:numPr>
          <w:ilvl w:val="1"/>
          <w:numId w:val="16"/>
        </w:numPr>
      </w:pPr>
      <w:r>
        <w:t xml:space="preserve">These approaches to single-level taxation could result in unintended outcomes under the GloBE Rules when they apply to the UPE. This is because the ETR of the UPE itself </w:t>
      </w:r>
      <w:r w:rsidR="005B72FA">
        <w:t>will be nil or very</w:t>
      </w:r>
      <w:r>
        <w:t xml:space="preserve"> low, resulting in a significant </w:t>
      </w:r>
      <w:r w:rsidR="002C5AF4">
        <w:t>T</w:t>
      </w:r>
      <w:r>
        <w:t xml:space="preserve">op-up </w:t>
      </w:r>
      <w:r w:rsidR="002C5AF4">
        <w:t>T</w:t>
      </w:r>
      <w:r>
        <w:t>ax charge even though the burden of taxation has been borne by the Entity’s owners</w:t>
      </w:r>
      <w:r w:rsidR="00972011">
        <w:t>, and not avoided</w:t>
      </w:r>
      <w:r>
        <w:t xml:space="preserve">. </w:t>
      </w:r>
      <w:r w:rsidR="007949A6">
        <w:t xml:space="preserve">This </w:t>
      </w:r>
      <w:r w:rsidR="0059068C">
        <w:t xml:space="preserve">outcome </w:t>
      </w:r>
      <w:r w:rsidR="00D81B55">
        <w:t xml:space="preserve">would result from the application of the relevant rules in </w:t>
      </w:r>
      <w:r w:rsidR="00515ABE">
        <w:t>C</w:t>
      </w:r>
      <w:r w:rsidR="00D81B55">
        <w:t>hapters 3 and 4</w:t>
      </w:r>
      <w:r w:rsidR="002365C7">
        <w:t xml:space="preserve"> of the Rules</w:t>
      </w:r>
      <w:r w:rsidR="00515ABE">
        <w:t>.</w:t>
      </w:r>
    </w:p>
    <w:p w14:paraId="69F8C92F" w14:textId="3EE52141" w:rsidR="00860455" w:rsidRDefault="00860455" w:rsidP="00860455">
      <w:pPr>
        <w:pStyle w:val="Normalparatextwithnumbers"/>
        <w:numPr>
          <w:ilvl w:val="1"/>
          <w:numId w:val="16"/>
        </w:numPr>
      </w:pPr>
      <w:r>
        <w:t xml:space="preserve">Furthermore, the allocation of Covered Taxes paid by one Constituent Entity in connection with income earned by another Constituent Entity under Part 4-3 of the Rules, does not apply in the case of taxes paid by persons that are not Group Entities. Allocating the taxes accrued by the owners that are outside the MNE Group would be both against the policy intention of the GloBE Rules </w:t>
      </w:r>
      <w:r w:rsidRPr="00E97986">
        <w:t>and administratively difficult</w:t>
      </w:r>
      <w:r>
        <w:t>.</w:t>
      </w:r>
    </w:p>
    <w:p w14:paraId="084B0B2F" w14:textId="085AE7ED" w:rsidR="00860455" w:rsidRDefault="00860455" w:rsidP="00860455">
      <w:pPr>
        <w:pStyle w:val="Normalparatextwithnumbers"/>
        <w:numPr>
          <w:ilvl w:val="1"/>
          <w:numId w:val="16"/>
        </w:numPr>
      </w:pPr>
      <w:r>
        <w:t xml:space="preserve">Part 7-1 of the Rules </w:t>
      </w:r>
      <w:r w:rsidR="00950B74">
        <w:t>addresses</w:t>
      </w:r>
      <w:r>
        <w:t xml:space="preserve"> this issue</w:t>
      </w:r>
      <w:r w:rsidR="00265944">
        <w:t xml:space="preserve"> in certain situations</w:t>
      </w:r>
      <w:r w:rsidR="005E25C4">
        <w:t>.</w:t>
      </w:r>
      <w:r w:rsidR="00160C67">
        <w:t xml:space="preserve"> The principle underlying the rules is </w:t>
      </w:r>
      <w:r w:rsidR="00BC6A41">
        <w:t xml:space="preserve">the UPE’s exposure to Top-up Tax </w:t>
      </w:r>
      <w:r w:rsidR="00904E3A">
        <w:t xml:space="preserve">is </w:t>
      </w:r>
      <w:r w:rsidR="00BC6A41">
        <w:t>reduced</w:t>
      </w:r>
      <w:r>
        <w:t xml:space="preserve"> to the extent that the tax neutrality regime imposes tax on the UPE’s owners (e.g. partners, beneficiaries</w:t>
      </w:r>
      <w:r w:rsidR="009F2266">
        <w:t>,</w:t>
      </w:r>
      <w:r>
        <w:t xml:space="preserve"> or shareholders) at or above the Minimum Rate on the UPE’s income contemporaneously or within a short time. This is achieved by reducing the GloBE Income of the UPE that corresponds to the share of its income that is subject to tax at or above the minimum rate in the hands of its owners.</w:t>
      </w:r>
      <w:r>
        <w:br/>
      </w:r>
      <w:r w:rsidRPr="003F536C">
        <w:rPr>
          <w:rStyle w:val="References"/>
        </w:rPr>
        <w:t>[Chapter 7, section 7-5</w:t>
      </w:r>
      <w:r>
        <w:rPr>
          <w:rStyle w:val="References"/>
        </w:rPr>
        <w:t xml:space="preserve"> of the Rules</w:t>
      </w:r>
      <w:r w:rsidRPr="003F536C">
        <w:rPr>
          <w:rStyle w:val="References"/>
        </w:rPr>
        <w:t>]</w:t>
      </w:r>
    </w:p>
    <w:p w14:paraId="41F8CE42" w14:textId="64AB2960" w:rsidR="00860455" w:rsidRPr="00627F8D" w:rsidRDefault="00860455" w:rsidP="00860455">
      <w:pPr>
        <w:pStyle w:val="Normalparatextwithnumbers"/>
        <w:numPr>
          <w:ilvl w:val="1"/>
          <w:numId w:val="16"/>
        </w:numPr>
      </w:pPr>
      <w:r>
        <w:t>More specifically, the GloBE Income of a UPE of an MNE Group is reduced under Part 7-1 of the Rules</w:t>
      </w:r>
      <w:r w:rsidRPr="00167665">
        <w:t xml:space="preserve"> </w:t>
      </w:r>
      <w:r>
        <w:t>(but not below zero) where the UPE is a Flow</w:t>
      </w:r>
      <w:r>
        <w:noBreakHyphen/>
        <w:t>through Entity and an amount (the attributable income) of the UPE’s GloBE Income for a Fiscal Year is attributable to an Ownership Interest in the UPE, in respect of which the holder satisfies certain conditions.</w:t>
      </w:r>
      <w:r w:rsidRPr="009D070A">
        <w:t xml:space="preserve"> </w:t>
      </w:r>
      <w:r w:rsidRPr="00627F8D">
        <w:t>In this instance, the term “attributable to” takes its ordinary meaning and is not referring to an “attribution regime” of a jurisdiction.</w:t>
      </w:r>
      <w:r>
        <w:br/>
      </w:r>
      <w:r w:rsidRPr="003F536C">
        <w:rPr>
          <w:rStyle w:val="References"/>
        </w:rPr>
        <w:t>[</w:t>
      </w:r>
      <w:r>
        <w:rPr>
          <w:rStyle w:val="References"/>
        </w:rPr>
        <w:t>Chapter 7, subsections 7-5(1) and (2) of the Rules</w:t>
      </w:r>
      <w:r w:rsidRPr="003F536C">
        <w:rPr>
          <w:rStyle w:val="References"/>
        </w:rPr>
        <w:t xml:space="preserve">] </w:t>
      </w:r>
    </w:p>
    <w:p w14:paraId="029BB734" w14:textId="6D9FA226" w:rsidR="00860455" w:rsidRDefault="00860455" w:rsidP="00860455">
      <w:pPr>
        <w:pStyle w:val="Normalparatextwithnumbers"/>
        <w:numPr>
          <w:ilvl w:val="1"/>
          <w:numId w:val="16"/>
        </w:numPr>
      </w:pPr>
      <w:r>
        <w:lastRenderedPageBreak/>
        <w:t>Where the holder of an Ownership Interest in such a UPE meets one of 3 criteria, the UPE will reduce its GloBE Income, for the Fiscal Year, by the amount of GloBE Income attributable to each such Ownership Interest. The remainder of the income, if any, will be included in the computation of the UPE’s GloBE Income or Loss and included in the computation of the Net GloBE Income for the jurisdiction determined in accordance with section 5</w:t>
      </w:r>
      <w:r>
        <w:noBreakHyphen/>
        <w:t xml:space="preserve">10 of the Rules. </w:t>
      </w:r>
      <w:r>
        <w:br/>
      </w:r>
      <w:r w:rsidRPr="00B65F7C">
        <w:rPr>
          <w:rStyle w:val="References"/>
        </w:rPr>
        <w:t>[Chapter 7, subsection</w:t>
      </w:r>
      <w:r w:rsidR="00D9307B">
        <w:rPr>
          <w:rStyle w:val="References"/>
        </w:rPr>
        <w:t>s</w:t>
      </w:r>
      <w:r w:rsidRPr="00B65F7C">
        <w:rPr>
          <w:rStyle w:val="References"/>
        </w:rPr>
        <w:t xml:space="preserve"> 7-5(2)</w:t>
      </w:r>
      <w:r w:rsidR="00D9307B">
        <w:rPr>
          <w:rStyle w:val="References"/>
        </w:rPr>
        <w:t xml:space="preserve">, </w:t>
      </w:r>
      <w:r w:rsidR="00145C77">
        <w:rPr>
          <w:rStyle w:val="References"/>
        </w:rPr>
        <w:t>(3) and (4</w:t>
      </w:r>
      <w:r w:rsidRPr="00B65F7C">
        <w:rPr>
          <w:rStyle w:val="References"/>
        </w:rPr>
        <w:t>)</w:t>
      </w:r>
      <w:r>
        <w:rPr>
          <w:rStyle w:val="References"/>
        </w:rPr>
        <w:t xml:space="preserve"> of the Rules</w:t>
      </w:r>
      <w:r w:rsidRPr="00B65F7C">
        <w:rPr>
          <w:rStyle w:val="References"/>
        </w:rPr>
        <w:t xml:space="preserve">] </w:t>
      </w:r>
    </w:p>
    <w:p w14:paraId="2ACFF493" w14:textId="77777777" w:rsidR="00860455" w:rsidRDefault="00860455" w:rsidP="00860455">
      <w:pPr>
        <w:pStyle w:val="Heading4"/>
        <w:numPr>
          <w:ilvl w:val="3"/>
          <w:numId w:val="2"/>
        </w:numPr>
      </w:pPr>
      <w:r>
        <w:t>Conditions for a UPE to reduce its GloBE Income</w:t>
      </w:r>
    </w:p>
    <w:p w14:paraId="06E6709A" w14:textId="5F76FC1D" w:rsidR="00860455" w:rsidRDefault="00860455" w:rsidP="00860455">
      <w:pPr>
        <w:pStyle w:val="Normalparatextwithnumbers"/>
        <w:numPr>
          <w:ilvl w:val="1"/>
          <w:numId w:val="16"/>
        </w:numPr>
      </w:pPr>
      <w:r>
        <w:t xml:space="preserve">The UPE </w:t>
      </w:r>
      <w:r w:rsidR="0087281E">
        <w:t xml:space="preserve">can </w:t>
      </w:r>
      <w:r>
        <w:t>reduce its GloBE Income by the amount of GloBE Income attributable to each such Ownership Interest if</w:t>
      </w:r>
      <w:r w:rsidR="0087281E">
        <w:t xml:space="preserve"> the following </w:t>
      </w:r>
      <w:r w:rsidR="00F57CF9">
        <w:t>3</w:t>
      </w:r>
      <w:r w:rsidR="0087281E">
        <w:t xml:space="preserve"> conditions are met</w:t>
      </w:r>
      <w:r>
        <w:t>:</w:t>
      </w:r>
    </w:p>
    <w:p w14:paraId="7678D0A3" w14:textId="4741CD31" w:rsidR="00CE3400" w:rsidRDefault="001D0A5C" w:rsidP="00B07214">
      <w:pPr>
        <w:pStyle w:val="Dotpoint1"/>
      </w:pPr>
      <w:r>
        <w:t>t</w:t>
      </w:r>
      <w:r w:rsidR="00860455">
        <w:t xml:space="preserve">he holder </w:t>
      </w:r>
      <w:r w:rsidR="0087281E">
        <w:t>of the Direct Ownership Interest</w:t>
      </w:r>
      <w:r w:rsidR="00860455">
        <w:t xml:space="preserve"> is subject to tax in respect of the attributable income for a taxable period ending within 12 months of the end of the MNE Group's Fiscal Year</w:t>
      </w:r>
      <w:r w:rsidR="00CE3400">
        <w:t>,</w:t>
      </w:r>
      <w:r w:rsidR="00860455">
        <w:t xml:space="preserve"> and is either</w:t>
      </w:r>
      <w:r w:rsidR="00CE3400">
        <w:t>:</w:t>
      </w:r>
    </w:p>
    <w:p w14:paraId="16B55215" w14:textId="1389534E" w:rsidR="00CE3400" w:rsidRDefault="00860455" w:rsidP="00B7652D">
      <w:pPr>
        <w:pStyle w:val="dotpoint2"/>
        <w:tabs>
          <w:tab w:val="clear" w:pos="1513"/>
          <w:tab w:val="clear" w:pos="2127"/>
        </w:tabs>
        <w:ind w:left="2127" w:hanging="709"/>
      </w:pPr>
      <w:r>
        <w:t xml:space="preserve">subject to tax on the full amount of such income at a nominal rate of at least 15 per cent, or </w:t>
      </w:r>
    </w:p>
    <w:p w14:paraId="517A69D2" w14:textId="6ABE043C" w:rsidR="00860455" w:rsidRDefault="00860455" w:rsidP="00B7652D">
      <w:pPr>
        <w:pStyle w:val="dotpoint2"/>
        <w:tabs>
          <w:tab w:val="clear" w:pos="1513"/>
          <w:tab w:val="clear" w:pos="2127"/>
        </w:tabs>
        <w:ind w:left="2127" w:hanging="709"/>
      </w:pPr>
      <w:r>
        <w:t xml:space="preserve">it is </w:t>
      </w:r>
      <w:r w:rsidR="00CE3400">
        <w:t>reasonably expected</w:t>
      </w:r>
      <w:r>
        <w:t xml:space="preserve"> that the sum of Covered Taxes paid on the income (paid by the UPE and other Entities that are part of the Tax Transparent Structure) and Taxes of the Ownership Interest holder will equal or exceed the full amount of the attributable income multiplied by the Minimum Rate (</w:t>
      </w:r>
      <w:r w:rsidRPr="003F402C">
        <w:rPr>
          <w:b/>
        </w:rPr>
        <w:t>Condition 1</w:t>
      </w:r>
      <w:r>
        <w:t>);</w:t>
      </w:r>
    </w:p>
    <w:p w14:paraId="603A8361" w14:textId="4FF6A2E8" w:rsidR="00860455" w:rsidRDefault="001D0A5C" w:rsidP="00B07214">
      <w:pPr>
        <w:pStyle w:val="Dotpoint1"/>
      </w:pPr>
      <w:r>
        <w:t>t</w:t>
      </w:r>
      <w:r w:rsidR="00860455">
        <w:t>he holder of the Ownership Interest is an individual who is tax resident in the jurisdiction of the UPE and does not hold Ownership Interests that carry rights to more than a 5 per cent of the profits and assets of the UPE (</w:t>
      </w:r>
      <w:r w:rsidR="00860455" w:rsidRPr="00B7652D">
        <w:t>Condition 2</w:t>
      </w:r>
      <w:r w:rsidR="00860455">
        <w:t>); or</w:t>
      </w:r>
    </w:p>
    <w:p w14:paraId="3FCEF98E" w14:textId="43D4836F" w:rsidR="00860455" w:rsidRDefault="001D0A5C" w:rsidP="00B07214">
      <w:pPr>
        <w:pStyle w:val="Dotpoint1"/>
      </w:pPr>
      <w:r>
        <w:t>t</w:t>
      </w:r>
      <w:r w:rsidR="00860455">
        <w:t>he holder of the Ownership Interest is a Government Entity, International Organisation, Non-Profit Organisation or Pension Fund that [is resident] in the jurisdiction where the UPE is located and does not hold Ownership Interests that carry rights to more than a 5 per cent of the UPE’s profits and assets (</w:t>
      </w:r>
      <w:r w:rsidR="00860455" w:rsidRPr="00B7652D">
        <w:t>Condition 3</w:t>
      </w:r>
      <w:r w:rsidR="00860455">
        <w:t>).</w:t>
      </w:r>
      <w:r w:rsidR="00860455">
        <w:br/>
      </w:r>
      <w:r w:rsidR="00860455" w:rsidRPr="00937FC7">
        <w:rPr>
          <w:rStyle w:val="References"/>
        </w:rPr>
        <w:t>[Chapter 7, subsections 7-5(2) and (3)</w:t>
      </w:r>
      <w:r w:rsidR="00860455">
        <w:rPr>
          <w:rStyle w:val="References"/>
        </w:rPr>
        <w:t xml:space="preserve"> of the Rules</w:t>
      </w:r>
      <w:r w:rsidR="00860455" w:rsidRPr="00937FC7">
        <w:rPr>
          <w:rStyle w:val="References"/>
        </w:rPr>
        <w:t>]</w:t>
      </w:r>
      <w:r w:rsidR="00860455">
        <w:t xml:space="preserve"> </w:t>
      </w:r>
    </w:p>
    <w:p w14:paraId="024883D9" w14:textId="77777777" w:rsidR="00860455" w:rsidRDefault="00860455" w:rsidP="00860455">
      <w:pPr>
        <w:pStyle w:val="Heading5"/>
        <w:numPr>
          <w:ilvl w:val="4"/>
          <w:numId w:val="2"/>
        </w:numPr>
      </w:pPr>
      <w:r>
        <w:t>Condition 1</w:t>
      </w:r>
    </w:p>
    <w:p w14:paraId="32F6C558" w14:textId="5564E0CB" w:rsidR="00860455" w:rsidRPr="002B6071" w:rsidRDefault="00D00615" w:rsidP="00860455">
      <w:pPr>
        <w:pStyle w:val="Normalparatextwithnumbers"/>
        <w:numPr>
          <w:ilvl w:val="1"/>
          <w:numId w:val="16"/>
        </w:numPr>
      </w:pPr>
      <w:r>
        <w:t>Generally</w:t>
      </w:r>
      <w:r w:rsidR="000B36B5">
        <w:t xml:space="preserve"> for the condition 1 reduction to apply</w:t>
      </w:r>
      <w:r w:rsidR="00860455" w:rsidRPr="002B6071">
        <w:t>,</w:t>
      </w:r>
      <w:r w:rsidR="002202FE">
        <w:t xml:space="preserve"> two tests must be met</w:t>
      </w:r>
      <w:r w:rsidR="00735A15">
        <w:t xml:space="preserve"> regarding each Ownership Interest</w:t>
      </w:r>
      <w:r w:rsidR="00E60784">
        <w:t>, being a taxable</w:t>
      </w:r>
      <w:r w:rsidR="00860455" w:rsidRPr="002B6071">
        <w:t xml:space="preserve"> </w:t>
      </w:r>
      <w:r w:rsidR="00B04F20">
        <w:t>period test and a minimum tax test.</w:t>
      </w:r>
      <w:r w:rsidR="00860455" w:rsidRPr="002B6071">
        <w:t xml:space="preserve"> </w:t>
      </w:r>
      <w:r w:rsidR="00B04F20">
        <w:t>T</w:t>
      </w:r>
      <w:r w:rsidR="00860455" w:rsidRPr="002B6071">
        <w:t xml:space="preserve">he holder of the </w:t>
      </w:r>
      <w:r w:rsidR="00860455">
        <w:t>O</w:t>
      </w:r>
      <w:r w:rsidR="00860455" w:rsidRPr="002B6071">
        <w:t xml:space="preserve">wnership </w:t>
      </w:r>
      <w:r w:rsidR="00860455">
        <w:t>I</w:t>
      </w:r>
      <w:r w:rsidR="00860455" w:rsidRPr="002B6071">
        <w:t>nterest is subject to tax within 12 months. It is sufficient for that income to be included in their taxable income in their resident jurisdiction - the tax liability does not need to be paid and either:</w:t>
      </w:r>
    </w:p>
    <w:p w14:paraId="3FFD8C93" w14:textId="77777777" w:rsidR="00860455" w:rsidRPr="002B6071" w:rsidRDefault="00860455" w:rsidP="00B7652D">
      <w:pPr>
        <w:pStyle w:val="Dotpoint1"/>
      </w:pPr>
      <w:r w:rsidRPr="002B6071">
        <w:lastRenderedPageBreak/>
        <w:t xml:space="preserve">the tax rate on the full amount of income is at least 15 per cent; or </w:t>
      </w:r>
    </w:p>
    <w:p w14:paraId="7D06B871" w14:textId="77777777" w:rsidR="00860455" w:rsidRPr="002B6071" w:rsidRDefault="00860455" w:rsidP="00B7652D">
      <w:pPr>
        <w:pStyle w:val="Dotpoint1"/>
      </w:pPr>
      <w:r w:rsidRPr="002B6071">
        <w:t xml:space="preserve">the expected sum of covered taxes (including those paid by the </w:t>
      </w:r>
      <w:r>
        <w:t xml:space="preserve">UPE </w:t>
      </w:r>
      <w:r w:rsidRPr="002B6071">
        <w:t xml:space="preserve">and by entities included in the tax transparent structure plus taxes paid by the holder on their share of income) at least equals the full amount of income multiplied by 15 per cent.  </w:t>
      </w:r>
      <w:r w:rsidRPr="002B6071">
        <w:br/>
      </w:r>
      <w:r w:rsidRPr="002B6071">
        <w:rPr>
          <w:b/>
          <w:bCs/>
          <w:i/>
          <w:iCs/>
        </w:rPr>
        <w:t>[</w:t>
      </w:r>
      <w:r>
        <w:rPr>
          <w:b/>
          <w:i/>
        </w:rPr>
        <w:t>Chapter 7, s</w:t>
      </w:r>
      <w:r w:rsidRPr="00C12FFA">
        <w:rPr>
          <w:b/>
          <w:i/>
        </w:rPr>
        <w:t>ection</w:t>
      </w:r>
      <w:r w:rsidRPr="002B6071">
        <w:rPr>
          <w:b/>
          <w:bCs/>
          <w:i/>
          <w:iCs/>
        </w:rPr>
        <w:t xml:space="preserve"> 7-5 of the Rules]</w:t>
      </w:r>
    </w:p>
    <w:p w14:paraId="05DECD7A" w14:textId="77777777" w:rsidR="00860455" w:rsidRDefault="00860455" w:rsidP="00860455">
      <w:pPr>
        <w:pStyle w:val="Normalparatextwithnumbers"/>
        <w:numPr>
          <w:ilvl w:val="1"/>
          <w:numId w:val="16"/>
        </w:numPr>
      </w:pPr>
      <w:r>
        <w:t xml:space="preserve">A UPE can only reduce its GloBE Income in respect of Ownership Interests that meet both of the following tests: </w:t>
      </w:r>
    </w:p>
    <w:p w14:paraId="4F7D6FB3" w14:textId="277FF54A" w:rsidR="00860455" w:rsidRDefault="00860455" w:rsidP="00B7652D">
      <w:pPr>
        <w:pStyle w:val="Dotpoint1"/>
      </w:pPr>
      <w:r>
        <w:t>a taxable period test</w:t>
      </w:r>
      <w:r w:rsidR="00A70250">
        <w:t>;</w:t>
      </w:r>
      <w:r>
        <w:t xml:space="preserve"> and </w:t>
      </w:r>
    </w:p>
    <w:p w14:paraId="1A331094" w14:textId="77777777" w:rsidR="00860455" w:rsidRDefault="00860455" w:rsidP="00B7652D">
      <w:pPr>
        <w:pStyle w:val="Dotpoint1"/>
      </w:pPr>
      <w:r>
        <w:t xml:space="preserve">a minimum tax test. </w:t>
      </w:r>
      <w:r>
        <w:br/>
      </w:r>
      <w:r w:rsidRPr="00937FC7">
        <w:rPr>
          <w:rStyle w:val="References"/>
        </w:rPr>
        <w:t xml:space="preserve">[Chapter 7, </w:t>
      </w:r>
      <w:r>
        <w:rPr>
          <w:rStyle w:val="References"/>
        </w:rPr>
        <w:t>subsection</w:t>
      </w:r>
      <w:r w:rsidRPr="00937FC7">
        <w:rPr>
          <w:rStyle w:val="References"/>
        </w:rPr>
        <w:t xml:space="preserve"> 7-5(2)(a)</w:t>
      </w:r>
      <w:r>
        <w:rPr>
          <w:rStyle w:val="References"/>
        </w:rPr>
        <w:t xml:space="preserve"> of the Rules</w:t>
      </w:r>
      <w:r w:rsidRPr="00937FC7">
        <w:rPr>
          <w:rStyle w:val="References"/>
        </w:rPr>
        <w:t>]</w:t>
      </w:r>
      <w:r>
        <w:t xml:space="preserve"> </w:t>
      </w:r>
    </w:p>
    <w:p w14:paraId="340FBC7B" w14:textId="77777777" w:rsidR="00860455" w:rsidRDefault="00860455" w:rsidP="00860455">
      <w:pPr>
        <w:pStyle w:val="Heading6"/>
        <w:rPr>
          <w:rFonts w:hint="eastAsia"/>
        </w:rPr>
      </w:pPr>
      <w:r>
        <w:t>Taxable period test</w:t>
      </w:r>
    </w:p>
    <w:p w14:paraId="5ABE95CC" w14:textId="7B55B113" w:rsidR="00860455" w:rsidRDefault="00860455" w:rsidP="00860455">
      <w:pPr>
        <w:pStyle w:val="Normalparatextwithnumbers"/>
        <w:numPr>
          <w:ilvl w:val="1"/>
          <w:numId w:val="16"/>
        </w:numPr>
      </w:pPr>
      <w:r>
        <w:t xml:space="preserve">The taxable period test requires that a holder of the Ownership Interest is subject to tax on its share of the UPE’s GloBE Income if that income is eligible to be included in the holder’s taxable income or includible in taxable income of a </w:t>
      </w:r>
      <w:r w:rsidR="00850BC7">
        <w:t>P</w:t>
      </w:r>
      <w:r>
        <w:t xml:space="preserve">ermanent </w:t>
      </w:r>
      <w:r w:rsidR="00850BC7">
        <w:t>E</w:t>
      </w:r>
      <w:r>
        <w:t>stablishment of the holder</w:t>
      </w:r>
      <w:r w:rsidR="007B60C3">
        <w:t xml:space="preserve"> </w:t>
      </w:r>
      <w:r>
        <w:t xml:space="preserve">under the laws of the jurisdiction in which the holder is tax resident. </w:t>
      </w:r>
    </w:p>
    <w:p w14:paraId="5C858827" w14:textId="77777777" w:rsidR="00860455" w:rsidRDefault="00860455" w:rsidP="00860455">
      <w:pPr>
        <w:pStyle w:val="Normalparatextwithnumbers"/>
        <w:numPr>
          <w:ilvl w:val="1"/>
          <w:numId w:val="16"/>
        </w:numPr>
      </w:pPr>
      <w:r>
        <w:t xml:space="preserve">Specifically, the holder must be subject to tax on its share of the UPE’s GloBE Income for a taxable period that ends within 12 months of the end of the MNE Group’s Fiscal Year. The holder is not required to pay its tax liability within 12 months of the end of the MNE Group’s Fiscal Year to meet this test. It is sufficient that the holder’s share of the UPE’s GloBE Income is included in its taxable income for a taxable year that ends within 12 months of the MNE Group’s Fiscal Year end. </w:t>
      </w:r>
      <w:r>
        <w:br/>
      </w:r>
      <w:r w:rsidRPr="004A7E49">
        <w:rPr>
          <w:rStyle w:val="References"/>
        </w:rPr>
        <w:t xml:space="preserve">[Chapter 7, </w:t>
      </w:r>
      <w:r>
        <w:rPr>
          <w:rStyle w:val="References"/>
        </w:rPr>
        <w:t>subsection</w:t>
      </w:r>
      <w:r w:rsidRPr="004A7E49">
        <w:rPr>
          <w:rStyle w:val="References"/>
        </w:rPr>
        <w:t xml:space="preserve"> 7-5(2)(a)</w:t>
      </w:r>
      <w:r>
        <w:rPr>
          <w:rStyle w:val="References"/>
        </w:rPr>
        <w:t xml:space="preserve"> of the Rules</w:t>
      </w:r>
      <w:r w:rsidRPr="004A7E49">
        <w:rPr>
          <w:rStyle w:val="References"/>
        </w:rPr>
        <w:t xml:space="preserve">] </w:t>
      </w:r>
    </w:p>
    <w:p w14:paraId="2272F7FB" w14:textId="30A3B6D5" w:rsidR="008840FE" w:rsidRDefault="008840FE" w:rsidP="008840FE">
      <w:pPr>
        <w:pStyle w:val="Normalparatextwithnumbers"/>
        <w:numPr>
          <w:ilvl w:val="1"/>
          <w:numId w:val="16"/>
        </w:numPr>
      </w:pPr>
      <w:r>
        <w:t xml:space="preserve">A temporary difference (such as a timing difference) between the time an item of income or expense is included in the computation of GloBE Income or Loss and the UPE’s taxable income will not cause a holder to fail the requirements </w:t>
      </w:r>
      <w:r w:rsidR="007A17A7">
        <w:t>of</w:t>
      </w:r>
      <w:r>
        <w:t xml:space="preserve"> the </w:t>
      </w:r>
      <w:r w:rsidR="007A17A7">
        <w:t>taxable period test</w:t>
      </w:r>
      <w:r>
        <w:t xml:space="preserve">. A holder is considered subject to tax on the full amount of its GloBE Income even if its taxable income includes expenses or losses related to other investments or businesses or profit-seeking activities. </w:t>
      </w:r>
    </w:p>
    <w:p w14:paraId="09C5203B" w14:textId="77777777" w:rsidR="00860455" w:rsidRDefault="00860455" w:rsidP="00860455">
      <w:pPr>
        <w:pStyle w:val="Heading6"/>
        <w:rPr>
          <w:rFonts w:hint="eastAsia"/>
        </w:rPr>
      </w:pPr>
      <w:r>
        <w:t>Minimum tax test</w:t>
      </w:r>
    </w:p>
    <w:p w14:paraId="6A7225A9" w14:textId="0A01F33E" w:rsidR="00860455" w:rsidRDefault="00860455" w:rsidP="00860455">
      <w:pPr>
        <w:pStyle w:val="Normalparatextwithnumbers"/>
        <w:numPr>
          <w:ilvl w:val="1"/>
          <w:numId w:val="16"/>
        </w:numPr>
      </w:pPr>
      <w:r>
        <w:t>The minimum tax test evaluates the Ownership Interest holder’s level of taxation</w:t>
      </w:r>
      <w:r w:rsidR="00377287">
        <w:t xml:space="preserve"> and can be satisfied if one of the two conditions ar</w:t>
      </w:r>
      <w:r w:rsidR="0067240C">
        <w:t>e met</w:t>
      </w:r>
      <w:r>
        <w:t>.</w:t>
      </w:r>
      <w:r w:rsidR="0067240C">
        <w:t xml:space="preserve"> </w:t>
      </w:r>
      <w:r>
        <w:t xml:space="preserve"> </w:t>
      </w:r>
    </w:p>
    <w:p w14:paraId="381BC75F" w14:textId="78A7A37B" w:rsidR="00860455" w:rsidRDefault="007F799B" w:rsidP="00B7652D">
      <w:pPr>
        <w:pStyle w:val="Normalparatextwithnumbers"/>
        <w:keepNext/>
        <w:keepLines/>
        <w:numPr>
          <w:ilvl w:val="1"/>
          <w:numId w:val="16"/>
        </w:numPr>
        <w:ind w:left="706" w:hanging="706"/>
      </w:pPr>
      <w:r>
        <w:lastRenderedPageBreak/>
        <w:t xml:space="preserve">The first condition </w:t>
      </w:r>
      <w:r w:rsidR="00144910">
        <w:t>is met</w:t>
      </w:r>
      <w:r w:rsidR="00860455">
        <w:t xml:space="preserve"> if the holder is subject to tax on the full amount of its share of the GloBE Income</w:t>
      </w:r>
      <w:r w:rsidR="002E51C3">
        <w:t xml:space="preserve"> </w:t>
      </w:r>
      <w:r w:rsidR="00860455">
        <w:t xml:space="preserve">and subject to tax at a nominal rate that equals or exceeds the Minimum Rate. </w:t>
      </w:r>
      <w:r w:rsidR="002E51C3">
        <w:t xml:space="preserve">Alternatively, this condition may be met if it can be reasonably expected that the sum of the Covered Taxes paid by the UPE and other Entities that are part of the Tax Transparent Structure and taxes paid by the holder on the income attributable to the Ownership Interest equals or exceeds the full amount of the attributable income multiplied by the Minimum Rate. </w:t>
      </w:r>
      <w:r w:rsidR="00860455">
        <w:br/>
      </w:r>
      <w:r w:rsidR="00860455" w:rsidRPr="004A7E49">
        <w:rPr>
          <w:rStyle w:val="References"/>
        </w:rPr>
        <w:t>[</w:t>
      </w:r>
      <w:r w:rsidR="00860455">
        <w:rPr>
          <w:rStyle w:val="References"/>
        </w:rPr>
        <w:t xml:space="preserve">Chapter 7, </w:t>
      </w:r>
      <w:r w:rsidR="002E51C3">
        <w:rPr>
          <w:rStyle w:val="References"/>
        </w:rPr>
        <w:t>subsection</w:t>
      </w:r>
      <w:r w:rsidR="00860455">
        <w:rPr>
          <w:rStyle w:val="References"/>
        </w:rPr>
        <w:t xml:space="preserve"> 7-5(3) of the Rules</w:t>
      </w:r>
      <w:r w:rsidR="00860455" w:rsidRPr="004A7E49">
        <w:rPr>
          <w:rStyle w:val="References"/>
        </w:rPr>
        <w:t xml:space="preserve">] </w:t>
      </w:r>
    </w:p>
    <w:p w14:paraId="50723217" w14:textId="77777777" w:rsidR="00860455" w:rsidRDefault="00860455" w:rsidP="00860455">
      <w:pPr>
        <w:pStyle w:val="Normalparatextwithnumbers"/>
        <w:numPr>
          <w:ilvl w:val="1"/>
          <w:numId w:val="16"/>
        </w:numPr>
      </w:pPr>
      <w:r>
        <w:t>The nominal rate is the statutory rate applicable to the holder on its share of the UPE’s income. If the holder is subject to graduated rates, the nominal rate is the highest rate applicable to the holder determined as if its share of the UPE’s GloBE Income were its total taxable income.</w:t>
      </w:r>
    </w:p>
    <w:p w14:paraId="2339DE0F" w14:textId="52723C53" w:rsidR="00860455" w:rsidRDefault="00860455">
      <w:pPr>
        <w:pStyle w:val="Normalparatextwithnumbers"/>
        <w:numPr>
          <w:ilvl w:val="1"/>
          <w:numId w:val="16"/>
        </w:numPr>
      </w:pPr>
      <w:r>
        <w:t xml:space="preserve">This requirement is met with respect to Ownership Interest holders that are not residents of the UPE’s jurisdiction if that jurisdiction subjects them to tax at or above the Minimum Rate either because they are treated as having a Permanent Establishment there or because the income is sourced there and subject to a withholding or similar source-based tax. </w:t>
      </w:r>
      <w:r w:rsidR="00BD4833">
        <w:t>If</w:t>
      </w:r>
      <w:r>
        <w:t xml:space="preserve"> the non-resident holders are not subject to tax in the UPE’s jurisdiction at a nominal rate that equals or exceeds the Minimum Rate, additional information will be required in order for the UPE to demonstrate that those holders are subject to tax on their share of the income within 12 months at a nominal rate that equals or exceeds the Minimum Rate. </w:t>
      </w:r>
    </w:p>
    <w:p w14:paraId="7E08BACA" w14:textId="77777777" w:rsidR="00860455" w:rsidRDefault="00860455" w:rsidP="00860455">
      <w:pPr>
        <w:pStyle w:val="Normalparatextwithnumbers"/>
        <w:numPr>
          <w:ilvl w:val="1"/>
          <w:numId w:val="16"/>
        </w:numPr>
      </w:pPr>
      <w:r>
        <w:t>Whether the taxes paid can be reasonably expected to equal or exceed the tax at the Minimum Rate is determined based on all the facts and circumstances. The MNE Group bears the burden of proving that the expectations are reasonable.</w:t>
      </w:r>
    </w:p>
    <w:p w14:paraId="2FF2D351" w14:textId="77777777" w:rsidR="00860455" w:rsidRDefault="00860455" w:rsidP="00860455">
      <w:pPr>
        <w:pStyle w:val="Normalparatextwithnumbers"/>
        <w:numPr>
          <w:ilvl w:val="1"/>
          <w:numId w:val="16"/>
        </w:numPr>
      </w:pPr>
      <w:r>
        <w:t>This condition does not require an ETR computation. It requires that the taxes paid by the UPE and other Entities that are part of the Tax Transparent Structure are Covered Taxes and that the taxes paid by the holders are taxes on the income of the UPE. For instance, the UPE could be required to pay a local Covered Tax notwithstanding that its income is allocated to its holders under federal law. In this case the condition is met if it is expected that the net amount of tax paid by the UPE itself and the holder equals or exceeds the minimum tax on that income.</w:t>
      </w:r>
    </w:p>
    <w:p w14:paraId="11A18EB0" w14:textId="77777777" w:rsidR="00860455" w:rsidRPr="0035793F" w:rsidRDefault="00860455" w:rsidP="00B7652D">
      <w:pPr>
        <w:pStyle w:val="ExampleHeading"/>
        <w:keepLines/>
        <w:numPr>
          <w:ilvl w:val="3"/>
          <w:numId w:val="16"/>
        </w:numPr>
        <w:tabs>
          <w:tab w:val="num" w:pos="360"/>
        </w:tabs>
        <w:ind w:left="0" w:firstLine="0"/>
      </w:pPr>
      <w:r>
        <w:lastRenderedPageBreak/>
        <w:t>UPE that is a Flow-through Entity – Condition 1</w:t>
      </w:r>
    </w:p>
    <w:p w14:paraId="7DEBBB9E" w14:textId="5F9FA268" w:rsidR="00860455" w:rsidRDefault="00860455" w:rsidP="00B7652D">
      <w:pPr>
        <w:pStyle w:val="Exampletext"/>
        <w:keepLines/>
      </w:pPr>
      <w:r>
        <w:t xml:space="preserve">A Co is a Flow-through Entity that is the UPE of an MNE Group. A Co is located in Country A and </w:t>
      </w:r>
      <w:r w:rsidR="00C8261A">
        <w:t>the</w:t>
      </w:r>
      <w:r>
        <w:t xml:space="preserve"> Fiscal Year ends on 31 January. Person 1 is an individual tax resident in Country A while Person 2 is an individual tax resident in Country B. Person 1 and Person 2 each hold a 50% of the Ownership Interests in A Co. For the Fiscal Year ended 31 January Year 1, A Co reports EUR 140,000 of income both for domestic income tax and GloBE purposes.</w:t>
      </w:r>
    </w:p>
    <w:p w14:paraId="578999C1" w14:textId="7EF57073" w:rsidR="00860455" w:rsidRDefault="00860455" w:rsidP="00860455">
      <w:pPr>
        <w:pStyle w:val="Exampletext"/>
      </w:pPr>
      <w:r>
        <w:t>Under the tax laws of Country A, EUR 70,000 of A Co’s income is included in the taxable income of Person 1 for the income tax year ending 30 June Year 1. The computation of the taxable income of Person 1 also includes a loss of EUR 50,000 from another business conducted in Country A. The taxable income of Person 1 under the tax laws of Country A is EUR 20,000 (70,000 – 50,000) and Person 1 is subject to tax in Country A at a rate of 20% on such taxable income.</w:t>
      </w:r>
    </w:p>
    <w:p w14:paraId="54DC569B" w14:textId="77777777" w:rsidR="00860455" w:rsidRDefault="00860455" w:rsidP="00860455">
      <w:pPr>
        <w:pStyle w:val="Exampletext"/>
      </w:pPr>
      <w:r>
        <w:t>Under the tax laws of Country A, Person 2 is treated as having a Permanent Establishment in Country A and the taxable income of that Permanent Establishment includes EUR 70,000 of A Co’s taxable income. Person 2 is subject to tax in Country A at a rate of 20% on the income of its Permanent Establishment for the income tax year ending 31 December Year 1.</w:t>
      </w:r>
    </w:p>
    <w:p w14:paraId="23F35BD1" w14:textId="42804D5E" w:rsidR="00860455" w:rsidRDefault="00860455" w:rsidP="00860455">
      <w:pPr>
        <w:pStyle w:val="Exampletext"/>
      </w:pPr>
      <w:r>
        <w:t>A Flow-</w:t>
      </w:r>
      <w:r w:rsidR="006B5EA4">
        <w:t>t</w:t>
      </w:r>
      <w:r>
        <w:t xml:space="preserve">hrough Entity that is the UPE reduces its GloBE Income pursuant to </w:t>
      </w:r>
      <w:r w:rsidR="006B5EA4">
        <w:t>s</w:t>
      </w:r>
      <w:r>
        <w:t>ection 7-5 by the amount of GloBE Income attributable to an Ownership Interest if (1) the holder is subject to tax on that income for a taxable period that ends within 12 months of the end of the MNE Group’s Fiscal Year and (2) the holder of the Ownership Interest is subject to tax on the full amount of such income at a nominal rate that equals or exceeds the Minimum Rate.</w:t>
      </w:r>
    </w:p>
    <w:p w14:paraId="4A161CCB" w14:textId="77777777" w:rsidR="00860455" w:rsidRDefault="00860455" w:rsidP="00860455">
      <w:pPr>
        <w:pStyle w:val="Exampletext"/>
      </w:pPr>
      <w:r>
        <w:t xml:space="preserve">Person 1 is subject to tax on their share of A Co’s GloBE Income for a taxable period that ends on 30 June Year 1, which is within 12 months of the end of A Co’s Fiscal Year ended on 31 January Year 1, notwithstanding that payment of Person 1’s tax liability is not due within 12 months of the end of A Co’s Fiscal Year. Further, Person 1 is subject to tax on their share of A Co’s GloBE Income at a nominal rate that equals or exceeds the Minimum Rate. Person 1 is subject to tax on the full amount of such income notwithstanding that they were allowed to offset their share of A Co’s GloBE Income with a loss from another business in computing their Country A taxable income. Accordingly, A Co reduces its GloBE Income for the Fiscal Year ended 31 January Year 1 pursuant to subsection 7-5(2) by EUR 70,000 in respect of the Ownership </w:t>
      </w:r>
      <w:r>
        <w:lastRenderedPageBreak/>
        <w:t>Interests held by Person 1. A Co will reduce its Covered Taxes proportionately under subsection 7-5(4).</w:t>
      </w:r>
    </w:p>
    <w:p w14:paraId="4D5B769B" w14:textId="77777777" w:rsidR="00860455" w:rsidRDefault="00860455" w:rsidP="00860455">
      <w:pPr>
        <w:pStyle w:val="Exampletext"/>
      </w:pPr>
      <w:r>
        <w:t>Person 2 is subject to tax on their share of A Co’s GloBE Income for a taxable period that ends on 31 December Year 1, which is within 12 months of the end of A Co’s Fiscal Year. Person 2 is also subject to tax on the full amount of such income at a nominal rate that equals or exceeds the Minimum Rate. Accordingly, A Co reduces its GloBE Income for the Fiscal Year ended 31 January Year 1 pursuant to subsection 7-5(2) by EUR 70,000 in respect of the Ownership Interests held by Person 2. A table illustrating the results of this example is set out below.</w:t>
      </w:r>
    </w:p>
    <w:tbl>
      <w:tblPr>
        <w:tblStyle w:val="TableGrid"/>
        <w:tblW w:w="0" w:type="auto"/>
        <w:tblInd w:w="709" w:type="dxa"/>
        <w:tblLook w:val="04A0" w:firstRow="1" w:lastRow="0" w:firstColumn="1" w:lastColumn="0" w:noHBand="0" w:noVBand="1"/>
      </w:tblPr>
      <w:tblGrid>
        <w:gridCol w:w="2972"/>
        <w:gridCol w:w="1984"/>
        <w:gridCol w:w="2036"/>
      </w:tblGrid>
      <w:tr w:rsidR="00860455" w14:paraId="5C87C1E1" w14:textId="77777777">
        <w:tc>
          <w:tcPr>
            <w:tcW w:w="2972" w:type="dxa"/>
            <w:tcBorders>
              <w:top w:val="nil"/>
              <w:left w:val="nil"/>
              <w:bottom w:val="single" w:sz="4" w:space="0" w:color="auto"/>
              <w:right w:val="single" w:sz="4" w:space="0" w:color="auto"/>
            </w:tcBorders>
          </w:tcPr>
          <w:p w14:paraId="48E1F080" w14:textId="77777777" w:rsidR="00860455" w:rsidRPr="0035793F" w:rsidRDefault="00860455">
            <w:pPr>
              <w:pStyle w:val="Normalparatextwithnumbers"/>
              <w:numPr>
                <w:ilvl w:val="1"/>
                <w:numId w:val="0"/>
              </w:numPr>
              <w:jc w:val="center"/>
              <w:rPr>
                <w:b/>
                <w:bCs/>
              </w:rPr>
            </w:pPr>
          </w:p>
        </w:tc>
        <w:tc>
          <w:tcPr>
            <w:tcW w:w="1984" w:type="dxa"/>
            <w:tcBorders>
              <w:left w:val="single" w:sz="4" w:space="0" w:color="auto"/>
            </w:tcBorders>
          </w:tcPr>
          <w:p w14:paraId="1ED43053" w14:textId="77777777" w:rsidR="00860455" w:rsidRPr="0035793F" w:rsidRDefault="00860455">
            <w:pPr>
              <w:pStyle w:val="Normalparatextwithnumbers"/>
              <w:numPr>
                <w:ilvl w:val="1"/>
                <w:numId w:val="0"/>
              </w:numPr>
              <w:jc w:val="center"/>
              <w:rPr>
                <w:b/>
                <w:bCs/>
              </w:rPr>
            </w:pPr>
            <w:r w:rsidRPr="0035793F">
              <w:rPr>
                <w:b/>
                <w:bCs/>
              </w:rPr>
              <w:t>Person 1</w:t>
            </w:r>
          </w:p>
        </w:tc>
        <w:tc>
          <w:tcPr>
            <w:tcW w:w="2036" w:type="dxa"/>
          </w:tcPr>
          <w:p w14:paraId="4D4EA11D" w14:textId="77777777" w:rsidR="00860455" w:rsidRPr="0035793F" w:rsidRDefault="00860455">
            <w:pPr>
              <w:pStyle w:val="Normalparatextwithnumbers"/>
              <w:numPr>
                <w:ilvl w:val="1"/>
                <w:numId w:val="0"/>
              </w:numPr>
              <w:jc w:val="center"/>
              <w:rPr>
                <w:b/>
                <w:bCs/>
              </w:rPr>
            </w:pPr>
            <w:r w:rsidRPr="0035793F">
              <w:rPr>
                <w:b/>
                <w:bCs/>
              </w:rPr>
              <w:t>Person 2</w:t>
            </w:r>
          </w:p>
        </w:tc>
      </w:tr>
      <w:tr w:rsidR="00860455" w14:paraId="43D9E837" w14:textId="77777777">
        <w:tc>
          <w:tcPr>
            <w:tcW w:w="2972" w:type="dxa"/>
            <w:tcBorders>
              <w:top w:val="single" w:sz="4" w:space="0" w:color="auto"/>
            </w:tcBorders>
          </w:tcPr>
          <w:p w14:paraId="5F25C79A" w14:textId="77777777" w:rsidR="00860455" w:rsidRPr="00E55D0C" w:rsidRDefault="00860455">
            <w:pPr>
              <w:pStyle w:val="Normalparatextwithnumbers"/>
              <w:numPr>
                <w:ilvl w:val="1"/>
                <w:numId w:val="0"/>
              </w:numPr>
              <w:rPr>
                <w:b/>
                <w:bCs/>
              </w:rPr>
            </w:pPr>
            <w:r w:rsidRPr="00E55D0C">
              <w:rPr>
                <w:b/>
                <w:bCs/>
              </w:rPr>
              <w:t>GloBE Income</w:t>
            </w:r>
          </w:p>
        </w:tc>
        <w:tc>
          <w:tcPr>
            <w:tcW w:w="1984" w:type="dxa"/>
          </w:tcPr>
          <w:p w14:paraId="47674A3E" w14:textId="77777777" w:rsidR="00860455" w:rsidRPr="0035793F" w:rsidRDefault="00860455">
            <w:pPr>
              <w:pStyle w:val="Normalparatextwithnumbers"/>
              <w:numPr>
                <w:ilvl w:val="1"/>
                <w:numId w:val="0"/>
              </w:numPr>
              <w:jc w:val="right"/>
            </w:pPr>
            <w:r>
              <w:t>70,000</w:t>
            </w:r>
          </w:p>
        </w:tc>
        <w:tc>
          <w:tcPr>
            <w:tcW w:w="2036" w:type="dxa"/>
          </w:tcPr>
          <w:p w14:paraId="60980A8F" w14:textId="77777777" w:rsidR="00860455" w:rsidRPr="0035793F" w:rsidRDefault="00860455">
            <w:pPr>
              <w:pStyle w:val="Normalparatextwithnumbers"/>
              <w:numPr>
                <w:ilvl w:val="1"/>
                <w:numId w:val="0"/>
              </w:numPr>
              <w:jc w:val="right"/>
            </w:pPr>
            <w:r>
              <w:t>70,000</w:t>
            </w:r>
          </w:p>
        </w:tc>
      </w:tr>
      <w:tr w:rsidR="00860455" w14:paraId="355AC7DD" w14:textId="77777777">
        <w:tc>
          <w:tcPr>
            <w:tcW w:w="2972" w:type="dxa"/>
          </w:tcPr>
          <w:p w14:paraId="19AE5EC6" w14:textId="77777777" w:rsidR="00860455" w:rsidRPr="00E55D0C" w:rsidRDefault="00860455">
            <w:pPr>
              <w:pStyle w:val="Normalparatextwithnumbers"/>
              <w:numPr>
                <w:ilvl w:val="1"/>
                <w:numId w:val="0"/>
              </w:numPr>
              <w:rPr>
                <w:b/>
                <w:bCs/>
              </w:rPr>
            </w:pPr>
            <w:r w:rsidRPr="00E55D0C">
              <w:rPr>
                <w:b/>
                <w:bCs/>
              </w:rPr>
              <w:t>Tax at Minimum Rate</w:t>
            </w:r>
          </w:p>
        </w:tc>
        <w:tc>
          <w:tcPr>
            <w:tcW w:w="1984" w:type="dxa"/>
          </w:tcPr>
          <w:p w14:paraId="51768EC5" w14:textId="77777777" w:rsidR="00860455" w:rsidRPr="0035793F" w:rsidRDefault="00860455">
            <w:pPr>
              <w:pStyle w:val="Normalparatextwithnumbers"/>
              <w:numPr>
                <w:ilvl w:val="1"/>
                <w:numId w:val="0"/>
              </w:numPr>
              <w:jc w:val="right"/>
            </w:pPr>
            <w:r>
              <w:t>15%</w:t>
            </w:r>
          </w:p>
        </w:tc>
        <w:tc>
          <w:tcPr>
            <w:tcW w:w="2036" w:type="dxa"/>
          </w:tcPr>
          <w:p w14:paraId="4C500849" w14:textId="77777777" w:rsidR="00860455" w:rsidRPr="0035793F" w:rsidRDefault="00860455">
            <w:pPr>
              <w:pStyle w:val="Normalparatextwithnumbers"/>
              <w:numPr>
                <w:ilvl w:val="1"/>
                <w:numId w:val="0"/>
              </w:numPr>
              <w:jc w:val="right"/>
            </w:pPr>
            <w:r>
              <w:t>15%</w:t>
            </w:r>
          </w:p>
        </w:tc>
      </w:tr>
      <w:tr w:rsidR="00860455" w14:paraId="34F462B6" w14:textId="77777777">
        <w:tc>
          <w:tcPr>
            <w:tcW w:w="2972" w:type="dxa"/>
          </w:tcPr>
          <w:p w14:paraId="76B23FF9" w14:textId="77777777" w:rsidR="00860455" w:rsidRPr="00E55D0C" w:rsidRDefault="00860455">
            <w:pPr>
              <w:pStyle w:val="Normalparatextwithnumbers"/>
              <w:numPr>
                <w:ilvl w:val="1"/>
                <w:numId w:val="0"/>
              </w:numPr>
              <w:rPr>
                <w:b/>
                <w:bCs/>
              </w:rPr>
            </w:pPr>
            <w:r w:rsidRPr="00E55D0C">
              <w:rPr>
                <w:b/>
                <w:bCs/>
              </w:rPr>
              <w:t>Nominal Rate</w:t>
            </w:r>
          </w:p>
        </w:tc>
        <w:tc>
          <w:tcPr>
            <w:tcW w:w="1984" w:type="dxa"/>
          </w:tcPr>
          <w:p w14:paraId="2F4D39BB" w14:textId="77777777" w:rsidR="00860455" w:rsidRPr="0035793F" w:rsidRDefault="00860455">
            <w:pPr>
              <w:pStyle w:val="Normalparatextwithnumbers"/>
              <w:numPr>
                <w:ilvl w:val="1"/>
                <w:numId w:val="0"/>
              </w:numPr>
              <w:jc w:val="right"/>
            </w:pPr>
            <w:r>
              <w:t>20%</w:t>
            </w:r>
          </w:p>
        </w:tc>
        <w:tc>
          <w:tcPr>
            <w:tcW w:w="2036" w:type="dxa"/>
          </w:tcPr>
          <w:p w14:paraId="40AC8197" w14:textId="77777777" w:rsidR="00860455" w:rsidRPr="0035793F" w:rsidRDefault="00860455">
            <w:pPr>
              <w:pStyle w:val="Normalparatextwithnumbers"/>
              <w:numPr>
                <w:ilvl w:val="1"/>
                <w:numId w:val="0"/>
              </w:numPr>
              <w:jc w:val="right"/>
            </w:pPr>
            <w:r>
              <w:t>20%</w:t>
            </w:r>
          </w:p>
        </w:tc>
      </w:tr>
      <w:tr w:rsidR="00860455" w14:paraId="78B43042" w14:textId="77777777">
        <w:tc>
          <w:tcPr>
            <w:tcW w:w="2972" w:type="dxa"/>
          </w:tcPr>
          <w:p w14:paraId="1E7BA654" w14:textId="77777777" w:rsidR="00860455" w:rsidRPr="00E55D0C" w:rsidRDefault="00860455">
            <w:pPr>
              <w:pStyle w:val="Normalparatextwithnumbers"/>
              <w:numPr>
                <w:ilvl w:val="1"/>
                <w:numId w:val="0"/>
              </w:numPr>
              <w:rPr>
                <w:b/>
                <w:bCs/>
              </w:rPr>
            </w:pPr>
            <w:r w:rsidRPr="00E55D0C">
              <w:rPr>
                <w:b/>
                <w:bCs/>
              </w:rPr>
              <w:t>GloBE Income reduction subsections 7-5(2)(a) and (3)(a)</w:t>
            </w:r>
          </w:p>
        </w:tc>
        <w:tc>
          <w:tcPr>
            <w:tcW w:w="1984" w:type="dxa"/>
          </w:tcPr>
          <w:p w14:paraId="08A89F90" w14:textId="77777777" w:rsidR="00860455" w:rsidRPr="0035793F" w:rsidRDefault="00860455">
            <w:pPr>
              <w:pStyle w:val="Normalparatextwithnumbers"/>
              <w:numPr>
                <w:ilvl w:val="0"/>
                <w:numId w:val="0"/>
              </w:numPr>
              <w:jc w:val="right"/>
            </w:pPr>
            <w:r w:rsidRPr="0035793F">
              <w:t>Yes</w:t>
            </w:r>
          </w:p>
        </w:tc>
        <w:tc>
          <w:tcPr>
            <w:tcW w:w="2036" w:type="dxa"/>
          </w:tcPr>
          <w:p w14:paraId="47FE0FE2" w14:textId="77777777" w:rsidR="00860455" w:rsidRPr="0035793F" w:rsidRDefault="00860455">
            <w:pPr>
              <w:pStyle w:val="Normalparatextwithnumbers"/>
              <w:numPr>
                <w:ilvl w:val="0"/>
                <w:numId w:val="0"/>
              </w:numPr>
              <w:jc w:val="right"/>
            </w:pPr>
            <w:r w:rsidRPr="0035793F">
              <w:t>Yes</w:t>
            </w:r>
          </w:p>
        </w:tc>
      </w:tr>
    </w:tbl>
    <w:p w14:paraId="33AC480B" w14:textId="77777777" w:rsidR="00860455" w:rsidRPr="002B7DEA" w:rsidRDefault="00860455" w:rsidP="00860455">
      <w:pPr>
        <w:pStyle w:val="Heading5"/>
        <w:numPr>
          <w:ilvl w:val="4"/>
          <w:numId w:val="2"/>
        </w:numPr>
      </w:pPr>
      <w:r w:rsidRPr="002B7DEA">
        <w:t>Condition 2</w:t>
      </w:r>
    </w:p>
    <w:p w14:paraId="05374AA0" w14:textId="164DA052" w:rsidR="00860455" w:rsidRPr="00A24E39" w:rsidRDefault="00860455" w:rsidP="00814355">
      <w:pPr>
        <w:pStyle w:val="Normalparatextwithnumbers"/>
        <w:numPr>
          <w:ilvl w:val="1"/>
          <w:numId w:val="16"/>
        </w:numPr>
      </w:pPr>
      <w:r w:rsidRPr="00A24E39">
        <w:t xml:space="preserve">The second </w:t>
      </w:r>
      <w:r w:rsidR="00C55C14">
        <w:t>condition</w:t>
      </w:r>
      <w:r w:rsidRPr="00A24E39">
        <w:t xml:space="preserve"> applies to different types of </w:t>
      </w:r>
      <w:r>
        <w:t xml:space="preserve">Ownership Interest </w:t>
      </w:r>
      <w:r w:rsidRPr="00A24E39">
        <w:t xml:space="preserve">holders that both require the holder to be residents in the </w:t>
      </w:r>
      <w:r>
        <w:t xml:space="preserve">UPE’s </w:t>
      </w:r>
      <w:r w:rsidRPr="00A24E39">
        <w:t>jurisdiction and holding a small ownership interest of 5</w:t>
      </w:r>
      <w:r w:rsidR="00814355">
        <w:t xml:space="preserve"> per cent</w:t>
      </w:r>
      <w:r w:rsidRPr="00A24E39">
        <w:t xml:space="preserve"> or less to the </w:t>
      </w:r>
      <w:r>
        <w:t>UPE</w:t>
      </w:r>
      <w:r w:rsidRPr="00A24E39">
        <w:t xml:space="preserve">’s profits and assets. The types of entities that may be holders </w:t>
      </w:r>
      <w:r w:rsidR="00814355">
        <w:t>are those outlined in condition</w:t>
      </w:r>
      <w:r w:rsidR="004C3109">
        <w:t> </w:t>
      </w:r>
      <w:r w:rsidR="00814355">
        <w:t xml:space="preserve">1. </w:t>
      </w:r>
      <w:r w:rsidRPr="00A24E39">
        <w:br/>
      </w:r>
      <w:r w:rsidRPr="00A24E39">
        <w:rPr>
          <w:b/>
          <w:bCs/>
          <w:i/>
          <w:iCs/>
        </w:rPr>
        <w:t>[Chapter 7, section 7-5 of the Rules]</w:t>
      </w:r>
    </w:p>
    <w:p w14:paraId="353699CB" w14:textId="13CF700F" w:rsidR="00860455" w:rsidRDefault="00860455" w:rsidP="00860455">
      <w:pPr>
        <w:pStyle w:val="Normalparatextwithnumbers"/>
        <w:numPr>
          <w:ilvl w:val="1"/>
          <w:numId w:val="16"/>
        </w:numPr>
      </w:pPr>
      <w:r>
        <w:t xml:space="preserve">Condition 2 reduces the Flow-through UPE’s GloBE Income for interests held by owners that </w:t>
      </w:r>
      <w:r w:rsidR="008E214A">
        <w:t>is an</w:t>
      </w:r>
      <w:r>
        <w:t xml:space="preserve"> individual</w:t>
      </w:r>
      <w:r w:rsidR="008E214A">
        <w:t xml:space="preserve"> tax</w:t>
      </w:r>
      <w:r>
        <w:t xml:space="preserve"> resident in the UPE’s jurisdiction and that hold small Ownership Interests in the UPE. </w:t>
      </w:r>
      <w:r>
        <w:br/>
      </w:r>
      <w:r w:rsidRPr="00034934">
        <w:rPr>
          <w:rStyle w:val="References"/>
        </w:rPr>
        <w:t>[</w:t>
      </w:r>
      <w:r>
        <w:rPr>
          <w:rStyle w:val="References"/>
        </w:rPr>
        <w:t xml:space="preserve">Chapter 7, </w:t>
      </w:r>
      <w:r w:rsidR="00330D3C">
        <w:rPr>
          <w:rStyle w:val="References"/>
        </w:rPr>
        <w:t xml:space="preserve">paragraph </w:t>
      </w:r>
      <w:r>
        <w:rPr>
          <w:rStyle w:val="References"/>
        </w:rPr>
        <w:t>7-5(2)(b) of the Rules</w:t>
      </w:r>
      <w:r w:rsidRPr="00034934">
        <w:rPr>
          <w:rStyle w:val="References"/>
        </w:rPr>
        <w:t xml:space="preserve">] </w:t>
      </w:r>
    </w:p>
    <w:p w14:paraId="0AB6C708" w14:textId="59603402" w:rsidR="00860455" w:rsidRDefault="00860455" w:rsidP="00860455">
      <w:pPr>
        <w:pStyle w:val="Normalparatextwithnumbers"/>
        <w:numPr>
          <w:ilvl w:val="1"/>
          <w:numId w:val="16"/>
        </w:numPr>
      </w:pPr>
      <w:r>
        <w:t>Determining the tax position of minority owners may be burdensome for the UPE</w:t>
      </w:r>
      <w:r w:rsidR="00AE63AD">
        <w:t xml:space="preserve"> b</w:t>
      </w:r>
      <w:r>
        <w:t>ecause individuals are typically not eligible for preferential tax rates on income derived through a Tax Transparent Entity</w:t>
      </w:r>
      <w:r w:rsidR="00AE63AD">
        <w:t>.</w:t>
      </w:r>
      <w:r>
        <w:t xml:space="preserve"> </w:t>
      </w:r>
      <w:r w:rsidR="00AE63AD">
        <w:t>I</w:t>
      </w:r>
      <w:r>
        <w:t xml:space="preserve">t is reasonable not to require the UPE to determine the tax position of an individual that holds Ownership Interests that in aggregate carry rights to 5 per cent or less of the profits and assets of the UPE. This rule means that a UPE could be required to determine the tax position of no more than 19 natural persons, and such persons would have relatively significant stakes in the UPE. </w:t>
      </w:r>
    </w:p>
    <w:p w14:paraId="20FE3FEC" w14:textId="3CFF4341" w:rsidR="00860455" w:rsidRDefault="00860455" w:rsidP="00860455">
      <w:pPr>
        <w:pStyle w:val="Normalparatextwithnumbers"/>
        <w:numPr>
          <w:ilvl w:val="1"/>
          <w:numId w:val="16"/>
        </w:numPr>
      </w:pPr>
      <w:r>
        <w:t xml:space="preserve">To qualify for such treatment, the individual must be a tax resident of the UPE’s jurisdiction. An individual is a tax resident in a jurisdiction only if the </w:t>
      </w:r>
      <w:r>
        <w:lastRenderedPageBreak/>
        <w:t>person is subject to individual income tax in that jurisdiction. Consequently, an individual cannot be tax resident in a jurisdiction that does not impose an individual income tax. The UPE may use reasonable means of determining whether its owners are tax resident in the jurisdiction. For example, a UPE in a jurisdiction that imposes a withholding tax on the profits or distributions from the UPE with respect to foreign owners of the UPE may rely on an owner’s representation as to whether it is exempt from a withholding tax or eligible for a lower withholding tax rate based on a Tax Treaty.</w:t>
      </w:r>
      <w:r>
        <w:br/>
      </w:r>
      <w:r w:rsidRPr="00034934">
        <w:rPr>
          <w:rStyle w:val="References"/>
        </w:rPr>
        <w:t>[</w:t>
      </w:r>
      <w:r w:rsidRPr="007F6559">
        <w:rPr>
          <w:rStyle w:val="References"/>
        </w:rPr>
        <w:t xml:space="preserve">Chapter 7, </w:t>
      </w:r>
      <w:r>
        <w:rPr>
          <w:rStyle w:val="References"/>
        </w:rPr>
        <w:t>sub</w:t>
      </w:r>
      <w:r w:rsidR="00330D3C">
        <w:rPr>
          <w:rStyle w:val="References"/>
        </w:rPr>
        <w:t>paragraph</w:t>
      </w:r>
      <w:r w:rsidR="00330D3C" w:rsidRPr="007F6559">
        <w:rPr>
          <w:rStyle w:val="References"/>
        </w:rPr>
        <w:t xml:space="preserve"> </w:t>
      </w:r>
      <w:r w:rsidRPr="007F6559">
        <w:rPr>
          <w:rStyle w:val="References"/>
        </w:rPr>
        <w:t>7-5(2)(b)(i)</w:t>
      </w:r>
      <w:r>
        <w:rPr>
          <w:rStyle w:val="References"/>
        </w:rPr>
        <w:t xml:space="preserve"> of the Rules</w:t>
      </w:r>
      <w:r w:rsidRPr="00034934">
        <w:rPr>
          <w:rStyle w:val="References"/>
        </w:rPr>
        <w:t xml:space="preserve">] </w:t>
      </w:r>
    </w:p>
    <w:p w14:paraId="54E6F52F" w14:textId="63C90326" w:rsidR="00860455" w:rsidRDefault="00860455" w:rsidP="00860455">
      <w:pPr>
        <w:pStyle w:val="Normalparatextwithnumbers"/>
        <w:numPr>
          <w:ilvl w:val="1"/>
          <w:numId w:val="16"/>
        </w:numPr>
      </w:pPr>
      <w:r>
        <w:t>This treatment only applies to individuals that each hold Ownership Interests that in aggregate carry rights to 5 per cent or less of the profits and 5 per cent or less of the assets of the UPE. For example, this means that an Ownership Interest giving rights to 51 per cent of profits would fall outside of this rule, despite giving rights to less than 5 per cent of the assets. The extent of each person’s Ownership Interests is determined as of the end of the Fiscal Year. This subsection only applies where the Ownership Interests of the UPE are held directly by individuals.</w:t>
      </w:r>
      <w:r>
        <w:br/>
      </w:r>
      <w:r w:rsidRPr="00034934">
        <w:rPr>
          <w:rStyle w:val="References"/>
        </w:rPr>
        <w:t>[</w:t>
      </w:r>
      <w:r>
        <w:rPr>
          <w:rStyle w:val="References"/>
        </w:rPr>
        <w:t>Chapter 7, sub</w:t>
      </w:r>
      <w:r w:rsidR="00330D3C">
        <w:rPr>
          <w:rStyle w:val="References"/>
        </w:rPr>
        <w:t>paragraph</w:t>
      </w:r>
      <w:r>
        <w:rPr>
          <w:rStyle w:val="References"/>
        </w:rPr>
        <w:t xml:space="preserve"> 7-5(2)(b)(ii) of the Rules</w:t>
      </w:r>
      <w:r w:rsidRPr="00034934">
        <w:rPr>
          <w:rStyle w:val="References"/>
        </w:rPr>
        <w:t xml:space="preserve">] </w:t>
      </w:r>
    </w:p>
    <w:p w14:paraId="3B58EB9C" w14:textId="77777777" w:rsidR="00860455" w:rsidRPr="0035793F" w:rsidRDefault="00860455" w:rsidP="00860455">
      <w:pPr>
        <w:pStyle w:val="ExampleHeading"/>
        <w:numPr>
          <w:ilvl w:val="3"/>
          <w:numId w:val="16"/>
        </w:numPr>
        <w:tabs>
          <w:tab w:val="num" w:pos="360"/>
        </w:tabs>
        <w:ind w:left="0" w:firstLine="0"/>
      </w:pPr>
      <w:r>
        <w:t xml:space="preserve">UPE </w:t>
      </w:r>
      <w:r w:rsidRPr="00135073">
        <w:t xml:space="preserve">that is a Flow-through Entity – </w:t>
      </w:r>
      <w:r>
        <w:t>Condition 2</w:t>
      </w:r>
    </w:p>
    <w:p w14:paraId="5D5389D9" w14:textId="1F0035AD" w:rsidR="00860455" w:rsidRDefault="00860455" w:rsidP="00860455">
      <w:pPr>
        <w:pStyle w:val="Exampletext"/>
      </w:pPr>
      <w:r>
        <w:t xml:space="preserve">C Co is a Flow-through Entity and a Tax Transparent Entity that is the UPE of an MNE Group. C Co is located in Country C where a 5% </w:t>
      </w:r>
      <w:r w:rsidR="00471708">
        <w:t xml:space="preserve">corporate income tax </w:t>
      </w:r>
      <w:r>
        <w:t>rate applies. C Co’s taxable income and GloBE Income for the Fiscal Year ended on 31 December Year 1 is EUR 200,000. The Adjusted Covered Taxes of C Co on its income are EUR 10,000 (= 5%* EUR 200,000) and such taxes meet the definition of Covered Taxes (see Part 4-2).</w:t>
      </w:r>
    </w:p>
    <w:p w14:paraId="68DC434A" w14:textId="517F935B" w:rsidR="00860455" w:rsidRDefault="00860455" w:rsidP="00860455">
      <w:pPr>
        <w:pStyle w:val="Exampletext"/>
      </w:pPr>
      <w:r>
        <w:t xml:space="preserve">Person 3 is an individual tax resident in Country C that holds a 50% Ownership Interest in C Co. Person 3’s share of C Co’s income for Year 1 is EUR 95,000 (= 50% </w:t>
      </w:r>
      <w:r w:rsidR="00D9307B">
        <w:t>x</w:t>
      </w:r>
      <w:r>
        <w:t xml:space="preserve"> [EUR 200,000 – 10,000]). Person 3 is subject to a nominal 11% personal income tax rate on a calendar year basis. Person 3’s share of C Co’s income for the Fiscal Year ended on 31 December Year 1 is included in Person 3’s Country C taxable income for the calendar year that ended 31 December Year 1. Person 3 is not entitled to reduce its Country C tax imposed on its share of C Co’s income as a result of Country C taxes imposed on such income.</w:t>
      </w:r>
    </w:p>
    <w:p w14:paraId="650E5894" w14:textId="73706CC9" w:rsidR="00860455" w:rsidRDefault="00860455" w:rsidP="00860455">
      <w:pPr>
        <w:pStyle w:val="Exampletext"/>
      </w:pPr>
      <w:r>
        <w:t>C Co cannot reduce its GloBE Income pursuant to subsection 7</w:t>
      </w:r>
      <w:r>
        <w:noBreakHyphen/>
        <w:t>5(3)(a) because the personal income tax rate applicable to Person 3 is 11%, which is a nominal rate below the Minimum Rate. However, a Flow-</w:t>
      </w:r>
      <w:r w:rsidR="002330EF">
        <w:t>t</w:t>
      </w:r>
      <w:r>
        <w:t xml:space="preserve">hrough Entity that is the UPE reduces its GloBE Income pursuant to subsection 7-5(3)(b) by the amount of GloBE Income attributable to an Ownership Interest if (1) the holder is subject to tax on that income for a taxable period that ends within </w:t>
      </w:r>
      <w:r>
        <w:lastRenderedPageBreak/>
        <w:t>12 months of the end of the MNE Group’s Fiscal Year and (2) it can reasonably be expected that the aggregate amount of Adjusted Covered Taxes of the UPE and Taxes of the holder of the Ownership Interest on such income equals or exceeds the amount that results from multiplying the full amount of such income by the Minimum Rate (see subsection 7-5(3)(b)).</w:t>
      </w:r>
    </w:p>
    <w:p w14:paraId="726918C7" w14:textId="7300F1C6" w:rsidR="00860455" w:rsidRDefault="00860455" w:rsidP="00860455">
      <w:pPr>
        <w:pStyle w:val="Exampletext"/>
      </w:pPr>
      <w:r>
        <w:t xml:space="preserve">Person 3 is reasonably expected to pay EUR 10,450 of Taxes (= 11% </w:t>
      </w:r>
      <w:r w:rsidR="006944A1">
        <w:t>x</w:t>
      </w:r>
      <w:r>
        <w:t xml:space="preserve"> EUR 95,000 after-tax income of C Co) in Country C. The sum of the Taxes paid by Person 3 and C Co on the EUR 100,000 of GloBE Income attributable to Person 3 is EUR 15,450 (= EUR 10,450 paid by Person 3 + EUR 5,000 paid by C Co), which exceeds the amount (EUR 15,000) that results from multiplying the full amount of such income by the Minimum Rate (EUR 100,000 * 15%). C Co will therefore reduce its EUR 200,000 GloBE Income in Year 1 by the EUR 100,000 GloBE Income attributable to Person 3’s Ownership Interest. C Co will reduce its Covered Taxes proportionally under subsection 7-5(4). A table illustrating the numerical results of this example is set out below.</w:t>
      </w:r>
    </w:p>
    <w:tbl>
      <w:tblPr>
        <w:tblStyle w:val="TableGrid"/>
        <w:tblW w:w="0" w:type="auto"/>
        <w:tblInd w:w="709" w:type="dxa"/>
        <w:tblLook w:val="04A0" w:firstRow="1" w:lastRow="0" w:firstColumn="1" w:lastColumn="0" w:noHBand="0" w:noVBand="1"/>
      </w:tblPr>
      <w:tblGrid>
        <w:gridCol w:w="4956"/>
        <w:gridCol w:w="2036"/>
      </w:tblGrid>
      <w:tr w:rsidR="00860455" w14:paraId="5EDB557F" w14:textId="77777777">
        <w:tc>
          <w:tcPr>
            <w:tcW w:w="4956" w:type="dxa"/>
            <w:tcBorders>
              <w:top w:val="nil"/>
              <w:left w:val="nil"/>
              <w:bottom w:val="single" w:sz="4" w:space="0" w:color="auto"/>
              <w:right w:val="single" w:sz="4" w:space="0" w:color="auto"/>
            </w:tcBorders>
          </w:tcPr>
          <w:p w14:paraId="44E88387" w14:textId="77777777" w:rsidR="00860455" w:rsidRDefault="00860455">
            <w:pPr>
              <w:pStyle w:val="Tabletext"/>
            </w:pPr>
          </w:p>
        </w:tc>
        <w:tc>
          <w:tcPr>
            <w:tcW w:w="2036" w:type="dxa"/>
            <w:tcBorders>
              <w:left w:val="single" w:sz="4" w:space="0" w:color="auto"/>
            </w:tcBorders>
          </w:tcPr>
          <w:p w14:paraId="270AA7FD" w14:textId="77777777" w:rsidR="00860455" w:rsidRPr="0035793F" w:rsidRDefault="00860455">
            <w:pPr>
              <w:pStyle w:val="Tabletext"/>
              <w:rPr>
                <w:b/>
                <w:bCs/>
              </w:rPr>
            </w:pPr>
            <w:r w:rsidRPr="0035793F">
              <w:rPr>
                <w:b/>
                <w:bCs/>
              </w:rPr>
              <w:t>EUR</w:t>
            </w:r>
          </w:p>
        </w:tc>
      </w:tr>
      <w:tr w:rsidR="00860455" w14:paraId="0FC6D105" w14:textId="77777777">
        <w:tc>
          <w:tcPr>
            <w:tcW w:w="4956" w:type="dxa"/>
            <w:tcBorders>
              <w:top w:val="single" w:sz="4" w:space="0" w:color="auto"/>
            </w:tcBorders>
          </w:tcPr>
          <w:p w14:paraId="1F6BD902" w14:textId="77777777" w:rsidR="00860455" w:rsidRDefault="00860455">
            <w:pPr>
              <w:pStyle w:val="Tabletext"/>
            </w:pPr>
            <w:r>
              <w:t>GloBE Income</w:t>
            </w:r>
          </w:p>
        </w:tc>
        <w:tc>
          <w:tcPr>
            <w:tcW w:w="2036" w:type="dxa"/>
          </w:tcPr>
          <w:p w14:paraId="0770DC79" w14:textId="77777777" w:rsidR="00860455" w:rsidRDefault="00860455">
            <w:pPr>
              <w:pStyle w:val="Tabletext"/>
            </w:pPr>
            <w:r>
              <w:t>100,000</w:t>
            </w:r>
          </w:p>
        </w:tc>
      </w:tr>
      <w:tr w:rsidR="00860455" w14:paraId="3CABE4F2" w14:textId="77777777">
        <w:tc>
          <w:tcPr>
            <w:tcW w:w="4956" w:type="dxa"/>
          </w:tcPr>
          <w:p w14:paraId="594D7618" w14:textId="77777777" w:rsidR="00860455" w:rsidRDefault="00860455">
            <w:pPr>
              <w:pStyle w:val="Tabletext"/>
            </w:pPr>
            <w:r>
              <w:t>Tax at Minimum Rate</w:t>
            </w:r>
          </w:p>
        </w:tc>
        <w:tc>
          <w:tcPr>
            <w:tcW w:w="2036" w:type="dxa"/>
          </w:tcPr>
          <w:p w14:paraId="0BB8694A" w14:textId="77777777" w:rsidR="00860455" w:rsidRDefault="00860455">
            <w:pPr>
              <w:pStyle w:val="Tabletext"/>
            </w:pPr>
            <w:r>
              <w:t>15,000</w:t>
            </w:r>
          </w:p>
        </w:tc>
      </w:tr>
      <w:tr w:rsidR="00860455" w14:paraId="26ED3C37" w14:textId="77777777">
        <w:tc>
          <w:tcPr>
            <w:tcW w:w="4956" w:type="dxa"/>
          </w:tcPr>
          <w:p w14:paraId="297AE012" w14:textId="77777777" w:rsidR="00860455" w:rsidRDefault="00860455">
            <w:pPr>
              <w:pStyle w:val="Tabletext"/>
            </w:pPr>
            <w:r>
              <w:t>Taxes (C Co)</w:t>
            </w:r>
          </w:p>
        </w:tc>
        <w:tc>
          <w:tcPr>
            <w:tcW w:w="2036" w:type="dxa"/>
          </w:tcPr>
          <w:p w14:paraId="69F2E94E" w14:textId="77777777" w:rsidR="00860455" w:rsidRDefault="00860455">
            <w:pPr>
              <w:pStyle w:val="Tabletext"/>
            </w:pPr>
            <w:r>
              <w:t>5,000</w:t>
            </w:r>
          </w:p>
        </w:tc>
      </w:tr>
      <w:tr w:rsidR="00860455" w14:paraId="219FD2D6" w14:textId="77777777">
        <w:tc>
          <w:tcPr>
            <w:tcW w:w="4956" w:type="dxa"/>
          </w:tcPr>
          <w:p w14:paraId="762BCC84" w14:textId="77777777" w:rsidR="00860455" w:rsidRDefault="00860455">
            <w:pPr>
              <w:pStyle w:val="Tabletext"/>
            </w:pPr>
            <w:r>
              <w:t>Taxes (Person 3)</w:t>
            </w:r>
          </w:p>
        </w:tc>
        <w:tc>
          <w:tcPr>
            <w:tcW w:w="2036" w:type="dxa"/>
          </w:tcPr>
          <w:p w14:paraId="0951C92F" w14:textId="77777777" w:rsidR="00860455" w:rsidRDefault="00860455">
            <w:pPr>
              <w:pStyle w:val="Tabletext"/>
            </w:pPr>
            <w:r>
              <w:t>10,450</w:t>
            </w:r>
          </w:p>
        </w:tc>
      </w:tr>
      <w:tr w:rsidR="00860455" w14:paraId="39191EB8" w14:textId="77777777">
        <w:tc>
          <w:tcPr>
            <w:tcW w:w="4956" w:type="dxa"/>
          </w:tcPr>
          <w:p w14:paraId="0B682F84" w14:textId="77777777" w:rsidR="00860455" w:rsidRDefault="00860455">
            <w:pPr>
              <w:pStyle w:val="Tabletext"/>
            </w:pPr>
            <w:r>
              <w:t>Aggregate Taxes</w:t>
            </w:r>
          </w:p>
        </w:tc>
        <w:tc>
          <w:tcPr>
            <w:tcW w:w="2036" w:type="dxa"/>
          </w:tcPr>
          <w:p w14:paraId="36F39147" w14:textId="77777777" w:rsidR="00860455" w:rsidRDefault="00860455">
            <w:pPr>
              <w:pStyle w:val="Tabletext"/>
            </w:pPr>
            <w:r>
              <w:t>15,450</w:t>
            </w:r>
          </w:p>
        </w:tc>
      </w:tr>
      <w:tr w:rsidR="00860455" w14:paraId="4C19D086" w14:textId="77777777">
        <w:tc>
          <w:tcPr>
            <w:tcW w:w="4956" w:type="dxa"/>
          </w:tcPr>
          <w:p w14:paraId="13BC4F17" w14:textId="77777777" w:rsidR="00860455" w:rsidRDefault="00860455">
            <w:pPr>
              <w:pStyle w:val="Tabletext"/>
            </w:pPr>
            <w:r>
              <w:t>GloBE Income reduction subsection 7-5(3)(b)</w:t>
            </w:r>
          </w:p>
        </w:tc>
        <w:tc>
          <w:tcPr>
            <w:tcW w:w="2036" w:type="dxa"/>
          </w:tcPr>
          <w:p w14:paraId="3A32DB74" w14:textId="77777777" w:rsidR="00860455" w:rsidRDefault="00860455">
            <w:pPr>
              <w:pStyle w:val="Tabletext"/>
            </w:pPr>
            <w:r>
              <w:t>Yes</w:t>
            </w:r>
          </w:p>
        </w:tc>
      </w:tr>
    </w:tbl>
    <w:p w14:paraId="1561874A" w14:textId="77777777" w:rsidR="00860455" w:rsidRDefault="00860455" w:rsidP="00B7652D">
      <w:pPr>
        <w:pStyle w:val="Exampletext"/>
        <w:keepNext/>
        <w:keepLines/>
      </w:pPr>
      <w:r>
        <w:lastRenderedPageBreak/>
        <w:t>C Co would not have been entitled to reduce its GloBE Income if Person 3 was granted a tax credit in Country C equal to the amount of Taxes paid by C Co. In that case, it would not be reasonable to expect the aggregate amount of Taxes (EUR 11,000) paid by Person 3 (EUR 6,000) and C Co (EUR 5,000) to equal or exceed the amount that results from multiplying the full amount of GloBE Income by the Minimum Rate. A table illustrating the numerical results of this subsection is set out below.</w:t>
      </w:r>
    </w:p>
    <w:tbl>
      <w:tblPr>
        <w:tblStyle w:val="TableGrid"/>
        <w:tblW w:w="0" w:type="auto"/>
        <w:tblInd w:w="709" w:type="dxa"/>
        <w:tblLook w:val="04A0" w:firstRow="1" w:lastRow="0" w:firstColumn="1" w:lastColumn="0" w:noHBand="0" w:noVBand="1"/>
      </w:tblPr>
      <w:tblGrid>
        <w:gridCol w:w="4956"/>
        <w:gridCol w:w="2036"/>
      </w:tblGrid>
      <w:tr w:rsidR="00860455" w14:paraId="716C43EB" w14:textId="77777777">
        <w:trPr>
          <w:trHeight w:val="427"/>
        </w:trPr>
        <w:tc>
          <w:tcPr>
            <w:tcW w:w="4956" w:type="dxa"/>
            <w:tcBorders>
              <w:top w:val="nil"/>
              <w:left w:val="nil"/>
              <w:bottom w:val="single" w:sz="4" w:space="0" w:color="auto"/>
              <w:right w:val="single" w:sz="4" w:space="0" w:color="auto"/>
            </w:tcBorders>
          </w:tcPr>
          <w:p w14:paraId="598FD6DB" w14:textId="77777777" w:rsidR="00860455" w:rsidRDefault="00860455" w:rsidP="00B7652D">
            <w:pPr>
              <w:pStyle w:val="Tabletext"/>
              <w:keepNext/>
              <w:keepLines/>
            </w:pPr>
          </w:p>
        </w:tc>
        <w:tc>
          <w:tcPr>
            <w:tcW w:w="2036" w:type="dxa"/>
            <w:tcBorders>
              <w:left w:val="single" w:sz="4" w:space="0" w:color="auto"/>
            </w:tcBorders>
          </w:tcPr>
          <w:p w14:paraId="7E327981" w14:textId="77777777" w:rsidR="00860455" w:rsidRPr="0035793F" w:rsidRDefault="00860455" w:rsidP="00B7652D">
            <w:pPr>
              <w:pStyle w:val="Tabletext"/>
              <w:keepNext/>
              <w:keepLines/>
              <w:rPr>
                <w:b/>
                <w:bCs/>
              </w:rPr>
            </w:pPr>
            <w:r w:rsidRPr="0035793F">
              <w:rPr>
                <w:b/>
                <w:bCs/>
              </w:rPr>
              <w:t>EUR</w:t>
            </w:r>
          </w:p>
        </w:tc>
      </w:tr>
      <w:tr w:rsidR="00860455" w14:paraId="5F028F11" w14:textId="77777777">
        <w:tc>
          <w:tcPr>
            <w:tcW w:w="4956" w:type="dxa"/>
            <w:tcBorders>
              <w:top w:val="single" w:sz="4" w:space="0" w:color="auto"/>
            </w:tcBorders>
          </w:tcPr>
          <w:p w14:paraId="61768A87" w14:textId="77777777" w:rsidR="00860455" w:rsidRDefault="00860455" w:rsidP="00B7652D">
            <w:pPr>
              <w:pStyle w:val="Tabletext"/>
              <w:keepNext/>
              <w:keepLines/>
            </w:pPr>
            <w:r>
              <w:t>GloBE Income</w:t>
            </w:r>
          </w:p>
        </w:tc>
        <w:tc>
          <w:tcPr>
            <w:tcW w:w="2036" w:type="dxa"/>
          </w:tcPr>
          <w:p w14:paraId="1BAD3623" w14:textId="77777777" w:rsidR="00860455" w:rsidRPr="0035793F" w:rsidRDefault="00860455" w:rsidP="00B7652D">
            <w:pPr>
              <w:pStyle w:val="Tabletext"/>
              <w:keepNext/>
              <w:keepLines/>
            </w:pPr>
            <w:r>
              <w:t>100,000</w:t>
            </w:r>
          </w:p>
        </w:tc>
      </w:tr>
      <w:tr w:rsidR="00860455" w14:paraId="24CAA185" w14:textId="77777777">
        <w:tc>
          <w:tcPr>
            <w:tcW w:w="4956" w:type="dxa"/>
          </w:tcPr>
          <w:p w14:paraId="00375B6B" w14:textId="77777777" w:rsidR="00860455" w:rsidRDefault="00860455" w:rsidP="00B7652D">
            <w:pPr>
              <w:pStyle w:val="Tabletext"/>
              <w:keepNext/>
              <w:keepLines/>
            </w:pPr>
            <w:r>
              <w:t>Tax at Minimum Rate</w:t>
            </w:r>
          </w:p>
        </w:tc>
        <w:tc>
          <w:tcPr>
            <w:tcW w:w="2036" w:type="dxa"/>
          </w:tcPr>
          <w:p w14:paraId="66BABBFC" w14:textId="77777777" w:rsidR="00860455" w:rsidRPr="00DD731B" w:rsidRDefault="00860455" w:rsidP="00B7652D">
            <w:pPr>
              <w:pStyle w:val="Tabletext"/>
              <w:keepNext/>
              <w:keepLines/>
            </w:pPr>
            <w:r>
              <w:t>15,000</w:t>
            </w:r>
          </w:p>
        </w:tc>
      </w:tr>
      <w:tr w:rsidR="00860455" w14:paraId="7C4815B8" w14:textId="77777777">
        <w:tc>
          <w:tcPr>
            <w:tcW w:w="4956" w:type="dxa"/>
          </w:tcPr>
          <w:p w14:paraId="0CA32D8E" w14:textId="77777777" w:rsidR="00860455" w:rsidRDefault="00860455" w:rsidP="00B7652D">
            <w:pPr>
              <w:pStyle w:val="Tabletext"/>
              <w:keepNext/>
              <w:keepLines/>
            </w:pPr>
            <w:r>
              <w:t>Taxes (C Co)</w:t>
            </w:r>
          </w:p>
        </w:tc>
        <w:tc>
          <w:tcPr>
            <w:tcW w:w="2036" w:type="dxa"/>
          </w:tcPr>
          <w:p w14:paraId="6B1769F0" w14:textId="77777777" w:rsidR="00860455" w:rsidRDefault="00860455" w:rsidP="00B7652D">
            <w:pPr>
              <w:pStyle w:val="Tabletext"/>
              <w:keepNext/>
              <w:keepLines/>
            </w:pPr>
            <w:r>
              <w:t>5,000</w:t>
            </w:r>
          </w:p>
        </w:tc>
      </w:tr>
      <w:tr w:rsidR="00860455" w14:paraId="6737BB3B" w14:textId="77777777">
        <w:tc>
          <w:tcPr>
            <w:tcW w:w="4956" w:type="dxa"/>
          </w:tcPr>
          <w:p w14:paraId="747625A8" w14:textId="77777777" w:rsidR="00860455" w:rsidRDefault="00860455" w:rsidP="00B7652D">
            <w:pPr>
              <w:pStyle w:val="Tabletext"/>
              <w:keepNext/>
              <w:keepLines/>
            </w:pPr>
            <w:r>
              <w:t>Taxes (Person 3)</w:t>
            </w:r>
          </w:p>
        </w:tc>
        <w:tc>
          <w:tcPr>
            <w:tcW w:w="2036" w:type="dxa"/>
          </w:tcPr>
          <w:p w14:paraId="738F9AEF" w14:textId="77777777" w:rsidR="00860455" w:rsidRDefault="00860455" w:rsidP="00B7652D">
            <w:pPr>
              <w:pStyle w:val="Tabletext"/>
              <w:keepNext/>
              <w:keepLines/>
            </w:pPr>
            <w:r>
              <w:t>6,000</w:t>
            </w:r>
          </w:p>
        </w:tc>
      </w:tr>
      <w:tr w:rsidR="00860455" w14:paraId="14AC578B" w14:textId="77777777">
        <w:tc>
          <w:tcPr>
            <w:tcW w:w="4956" w:type="dxa"/>
          </w:tcPr>
          <w:p w14:paraId="6016C2BD" w14:textId="77777777" w:rsidR="00860455" w:rsidRDefault="00860455" w:rsidP="00B7652D">
            <w:pPr>
              <w:pStyle w:val="Tabletext"/>
              <w:keepNext/>
              <w:keepLines/>
            </w:pPr>
            <w:r>
              <w:t xml:space="preserve">Aggregate Taxes </w:t>
            </w:r>
          </w:p>
        </w:tc>
        <w:tc>
          <w:tcPr>
            <w:tcW w:w="2036" w:type="dxa"/>
          </w:tcPr>
          <w:p w14:paraId="6439B39C" w14:textId="77777777" w:rsidR="00860455" w:rsidRDefault="00860455" w:rsidP="00B7652D">
            <w:pPr>
              <w:pStyle w:val="Tabletext"/>
              <w:keepNext/>
              <w:keepLines/>
            </w:pPr>
            <w:r>
              <w:t>11,000</w:t>
            </w:r>
          </w:p>
        </w:tc>
      </w:tr>
      <w:tr w:rsidR="00860455" w14:paraId="3D55F6C6" w14:textId="77777777">
        <w:tc>
          <w:tcPr>
            <w:tcW w:w="4956" w:type="dxa"/>
          </w:tcPr>
          <w:p w14:paraId="32A72A3E" w14:textId="77777777" w:rsidR="00860455" w:rsidRDefault="00860455" w:rsidP="00B7652D">
            <w:pPr>
              <w:pStyle w:val="Tabletext"/>
              <w:keepNext/>
              <w:keepLines/>
            </w:pPr>
            <w:r>
              <w:t>GloBE Income reduction subsection 7-5(3)(b)</w:t>
            </w:r>
          </w:p>
        </w:tc>
        <w:tc>
          <w:tcPr>
            <w:tcW w:w="2036" w:type="dxa"/>
          </w:tcPr>
          <w:p w14:paraId="520C4F95" w14:textId="77777777" w:rsidR="00860455" w:rsidRDefault="00860455" w:rsidP="00B7652D">
            <w:pPr>
              <w:pStyle w:val="Tabletext"/>
              <w:keepNext/>
              <w:keepLines/>
            </w:pPr>
            <w:r>
              <w:t>No</w:t>
            </w:r>
          </w:p>
        </w:tc>
      </w:tr>
    </w:tbl>
    <w:p w14:paraId="25E8D622" w14:textId="77777777" w:rsidR="00860455" w:rsidRDefault="00860455" w:rsidP="00860455">
      <w:pPr>
        <w:pStyle w:val="Heading5"/>
        <w:numPr>
          <w:ilvl w:val="4"/>
          <w:numId w:val="2"/>
        </w:numPr>
      </w:pPr>
      <w:r>
        <w:t>Condition 3</w:t>
      </w:r>
    </w:p>
    <w:p w14:paraId="706BA5C6" w14:textId="4D984620" w:rsidR="00860455" w:rsidRDefault="00860455" w:rsidP="00860455">
      <w:pPr>
        <w:pStyle w:val="Normalparatextwithnumbers"/>
        <w:numPr>
          <w:ilvl w:val="1"/>
          <w:numId w:val="16"/>
        </w:numPr>
      </w:pPr>
      <w:r>
        <w:t xml:space="preserve">Condition 3 covers the case where the holder of the Ownership Interest in the UPE is a Governmental Entity, International Organisation, a Non-profit Organisation, or a Pension Fund. </w:t>
      </w:r>
      <w:r>
        <w:br/>
      </w:r>
      <w:r w:rsidRPr="003A5ECD">
        <w:rPr>
          <w:rStyle w:val="References"/>
        </w:rPr>
        <w:t>[</w:t>
      </w:r>
      <w:r>
        <w:rPr>
          <w:rStyle w:val="References"/>
        </w:rPr>
        <w:t xml:space="preserve">Chapter 7, </w:t>
      </w:r>
      <w:r w:rsidR="00330D3C">
        <w:rPr>
          <w:rStyle w:val="References"/>
        </w:rPr>
        <w:t xml:space="preserve">paragraph </w:t>
      </w:r>
      <w:r>
        <w:rPr>
          <w:rStyle w:val="References"/>
        </w:rPr>
        <w:t>7-5(2)(c) of the Rules</w:t>
      </w:r>
      <w:r w:rsidRPr="003A5ECD">
        <w:rPr>
          <w:rStyle w:val="References"/>
        </w:rPr>
        <w:t xml:space="preserve">] </w:t>
      </w:r>
    </w:p>
    <w:p w14:paraId="6CC38B72" w14:textId="77777777" w:rsidR="00860455" w:rsidRDefault="00860455" w:rsidP="00860455">
      <w:pPr>
        <w:pStyle w:val="Normalparatextwithnumbers"/>
        <w:numPr>
          <w:ilvl w:val="1"/>
          <w:numId w:val="16"/>
        </w:numPr>
      </w:pPr>
      <w:r>
        <w:t xml:space="preserve">The Governmental Entity, International Organisation, Non-profit Organisation or Pension Fund must be resident in the UPE’s jurisdiction. </w:t>
      </w:r>
      <w:r w:rsidRPr="00766632">
        <w:t>A Governmental Entity is resident only in the jurisdiction of the government (including any political subdivision or local authority thereof) of which it is a part or that wholly owns it.</w:t>
      </w:r>
    </w:p>
    <w:p w14:paraId="24C9919F" w14:textId="47F94298" w:rsidR="00860455" w:rsidRDefault="00860455" w:rsidP="00860455">
      <w:pPr>
        <w:pStyle w:val="Normalparatextwithnumbers"/>
        <w:numPr>
          <w:ilvl w:val="1"/>
          <w:numId w:val="16"/>
        </w:numPr>
      </w:pPr>
      <w:r>
        <w:t xml:space="preserve">The term “resident” </w:t>
      </w:r>
      <w:r w:rsidR="00B64B6B">
        <w:t>mean</w:t>
      </w:r>
      <w:r>
        <w:t xml:space="preserve">s </w:t>
      </w:r>
      <w:r w:rsidR="004A089D">
        <w:t xml:space="preserve">the jurisdiction where the UPE is located </w:t>
      </w:r>
      <w:r w:rsidR="00B64B6B">
        <w:t>and is distinct from</w:t>
      </w:r>
      <w:r>
        <w:t xml:space="preserve"> “tax residence” as used in Tax Treaties, Part</w:t>
      </w:r>
      <w:r w:rsidR="00CF3570">
        <w:t>s</w:t>
      </w:r>
      <w:r>
        <w:t> 10</w:t>
      </w:r>
      <w:r w:rsidR="00CF3570">
        <w:noBreakHyphen/>
      </w:r>
      <w:r>
        <w:t xml:space="preserve">2 or 10-3 of the Rules. </w:t>
      </w:r>
    </w:p>
    <w:p w14:paraId="63E44851" w14:textId="0D48A0A8" w:rsidR="00860455" w:rsidRDefault="00860455" w:rsidP="00860455">
      <w:pPr>
        <w:pStyle w:val="Normalparatextwithnumbers"/>
        <w:numPr>
          <w:ilvl w:val="1"/>
          <w:numId w:val="16"/>
        </w:numPr>
      </w:pPr>
      <w:r>
        <w:t>Additionally, the holder’s Ownership Interests must in aggregate carry rights to 5 per cent or less of the profits and assets of the UPE. This ownership limitation is designed to ensure that Part 7-1 of the Rules cannot be used to circumvent the prohibition from carrying on a trade or business by carrying on a trade or business through a Tax Transparent Entity.</w:t>
      </w:r>
      <w:r>
        <w:br/>
      </w:r>
      <w:r w:rsidRPr="00101C98">
        <w:rPr>
          <w:rStyle w:val="References"/>
        </w:rPr>
        <w:t>[</w:t>
      </w:r>
      <w:r>
        <w:rPr>
          <w:rStyle w:val="References"/>
        </w:rPr>
        <w:t>Chapter 7, sub</w:t>
      </w:r>
      <w:r w:rsidR="00330D3C" w:rsidRPr="00330D3C">
        <w:rPr>
          <w:rStyle w:val="References"/>
        </w:rPr>
        <w:t>paragraph</w:t>
      </w:r>
      <w:r w:rsidDel="00330D3C">
        <w:rPr>
          <w:rStyle w:val="References"/>
        </w:rPr>
        <w:t xml:space="preserve"> </w:t>
      </w:r>
      <w:r>
        <w:rPr>
          <w:rStyle w:val="References"/>
        </w:rPr>
        <w:t>7-5(2)(c)(ii</w:t>
      </w:r>
      <w:r w:rsidR="00BF691F">
        <w:rPr>
          <w:rStyle w:val="References"/>
        </w:rPr>
        <w:t>i</w:t>
      </w:r>
      <w:r>
        <w:rPr>
          <w:rStyle w:val="References"/>
        </w:rPr>
        <w:t>) of the Rules</w:t>
      </w:r>
      <w:r w:rsidRPr="00101C98">
        <w:rPr>
          <w:rStyle w:val="References"/>
        </w:rPr>
        <w:t xml:space="preserve">] </w:t>
      </w:r>
    </w:p>
    <w:p w14:paraId="47B7372C" w14:textId="77777777" w:rsidR="00860455" w:rsidRDefault="00860455" w:rsidP="00B7652D">
      <w:pPr>
        <w:pStyle w:val="Normalparatextwithnumbers"/>
        <w:keepNext/>
        <w:keepLines/>
        <w:numPr>
          <w:ilvl w:val="1"/>
          <w:numId w:val="16"/>
        </w:numPr>
        <w:ind w:left="706" w:hanging="706"/>
      </w:pPr>
      <w:r>
        <w:lastRenderedPageBreak/>
        <w:t>Ownership Interests in the Tax Transparent Entity held by Investment Entities are not included in Condition 3 because Investment Entities are tax neutral whereas the Entities described in Condition 3 are generally not subject to tax under the laws of the UPE’s jurisdiction. An Investment Entity itself may be subject to tax at a rate below the Minimum Rate of 15 per cent and the UPE would have no knowledge of the taxability or residency of the Investment Entity’s owners.</w:t>
      </w:r>
    </w:p>
    <w:p w14:paraId="5ACC7477" w14:textId="77777777" w:rsidR="00860455" w:rsidRDefault="00860455" w:rsidP="00656D6A">
      <w:pPr>
        <w:pStyle w:val="Heading4"/>
      </w:pPr>
      <w:r>
        <w:t xml:space="preserve">Proportional </w:t>
      </w:r>
      <w:r w:rsidRPr="0035793F">
        <w:t>Reduc</w:t>
      </w:r>
      <w:r>
        <w:t>tion in</w:t>
      </w:r>
      <w:r w:rsidRPr="0035793F">
        <w:t xml:space="preserve"> Covered Taxes</w:t>
      </w:r>
    </w:p>
    <w:p w14:paraId="709CDF21" w14:textId="77777777" w:rsidR="00860455" w:rsidRDefault="00860455" w:rsidP="00860455">
      <w:pPr>
        <w:pStyle w:val="Normalparatextwithnumbers"/>
        <w:numPr>
          <w:ilvl w:val="1"/>
          <w:numId w:val="16"/>
        </w:numPr>
      </w:pPr>
      <w:r>
        <w:t>Where a UPE reduces its GloBE Income under the above rules it is required to reduce its Covered Taxes, if any, in proportion to the income reduction.</w:t>
      </w:r>
      <w:r w:rsidRPr="0051094D">
        <w:t xml:space="preserve"> </w:t>
      </w:r>
      <w:r>
        <w:t>To avoid doubt, if the amount of the UPE’s Covered Taxes associated with the GloBE Income is a negative amount, instead of reducing the amount of Covered Taxes by the proportion of reduced GloBE Income, the UPE’s Covered Taxes will be increased by the proportion of reduced GloBE Income.</w:t>
      </w:r>
      <w:r>
        <w:br/>
      </w:r>
      <w:r w:rsidRPr="00C31229">
        <w:rPr>
          <w:rStyle w:val="References"/>
        </w:rPr>
        <w:t>[</w:t>
      </w:r>
      <w:r>
        <w:rPr>
          <w:rStyle w:val="References"/>
        </w:rPr>
        <w:t>Chapter 7, subsection 7-5(4) of the Rules</w:t>
      </w:r>
      <w:r w:rsidRPr="00C31229">
        <w:rPr>
          <w:rStyle w:val="References"/>
        </w:rPr>
        <w:t xml:space="preserve">] </w:t>
      </w:r>
    </w:p>
    <w:p w14:paraId="4D28F664" w14:textId="238B4A3D" w:rsidR="00860455" w:rsidRDefault="00860455" w:rsidP="00860455">
      <w:pPr>
        <w:pStyle w:val="Normalparatextwithnumbers"/>
        <w:numPr>
          <w:ilvl w:val="1"/>
          <w:numId w:val="16"/>
        </w:numPr>
      </w:pPr>
      <w:r>
        <w:t xml:space="preserve">For example, if the UPE reduces its GloBE Income by 80 per cent, the UPE must also reduce its Covered Taxes by 80 per cent. It is noted that Covered Taxes excluded by subsection 7-5(4) </w:t>
      </w:r>
      <w:r w:rsidR="00656D6A">
        <w:t xml:space="preserve">of the Rules </w:t>
      </w:r>
      <w:r>
        <w:t xml:space="preserve">whilst not taken into account in the ETR computation for the UPE Jurisdiction, are taken into account under </w:t>
      </w:r>
      <w:r w:rsidR="00656D6A">
        <w:t xml:space="preserve">paragraph </w:t>
      </w:r>
      <w:r>
        <w:t xml:space="preserve">7-5(2)(a) </w:t>
      </w:r>
      <w:r w:rsidR="00814355">
        <w:t xml:space="preserve">of the Rules </w:t>
      </w:r>
      <w:r>
        <w:t>in determining whether the taxes on the holder’s share of the UPE’s GloBE Income equal or exceed the tax at the Minimum Rate on that income.</w:t>
      </w:r>
    </w:p>
    <w:p w14:paraId="3781287B" w14:textId="2E3071D0" w:rsidR="00860455" w:rsidRPr="00B01C2D" w:rsidRDefault="00860455" w:rsidP="00860455">
      <w:pPr>
        <w:pStyle w:val="Normalparatextwithnumbers"/>
        <w:numPr>
          <w:ilvl w:val="1"/>
          <w:numId w:val="16"/>
        </w:numPr>
      </w:pPr>
      <w:r>
        <w:t xml:space="preserve">Section 7-5 </w:t>
      </w:r>
      <w:r w:rsidR="00656D6A">
        <w:t xml:space="preserve">of the Rules </w:t>
      </w:r>
      <w:r>
        <w:t>reduces the Flow-through Entity’s GloBE Income by all of the GloBE Income (determined after adding back Covered Taxes) allocable to an Ownership Interest. Accordingly, no further adjustment is required to reduce the Entity’s GloBE Income by the related Covered Taxes as required under subsection 7-20(4) of the Rules.</w:t>
      </w:r>
    </w:p>
    <w:p w14:paraId="70FABB77" w14:textId="77777777" w:rsidR="00860455" w:rsidRDefault="00860455" w:rsidP="00860455">
      <w:pPr>
        <w:pStyle w:val="Heading4"/>
        <w:numPr>
          <w:ilvl w:val="3"/>
          <w:numId w:val="2"/>
        </w:numPr>
      </w:pPr>
      <w:r>
        <w:t>Flow-through Entity that is a UPE – reduce GloBE Loss</w:t>
      </w:r>
    </w:p>
    <w:p w14:paraId="5DF6BAB1" w14:textId="03E185F5" w:rsidR="00860455" w:rsidRDefault="00860455" w:rsidP="00860455">
      <w:pPr>
        <w:pStyle w:val="Normalparatextwithnumbers"/>
        <w:numPr>
          <w:ilvl w:val="1"/>
          <w:numId w:val="16"/>
        </w:numPr>
      </w:pPr>
      <w:r>
        <w:t>If the UPE is a Flow-</w:t>
      </w:r>
      <w:r w:rsidR="00C40971">
        <w:t>t</w:t>
      </w:r>
      <w:r>
        <w:t xml:space="preserve">hrough Entity and has a GloBE Loss for a Fiscal Year, the GloBE Loss is reduced by the amount attributable to each Ownership Interest in the UPE (but not below zero), except to the extent that the holders of Ownership Interests are not allowed to use the loss in computing their separate taxable income. </w:t>
      </w:r>
      <w:r>
        <w:br/>
      </w:r>
      <w:r w:rsidRPr="00FA2CEB">
        <w:rPr>
          <w:rStyle w:val="References"/>
        </w:rPr>
        <w:t>[</w:t>
      </w:r>
      <w:r>
        <w:rPr>
          <w:rStyle w:val="References"/>
        </w:rPr>
        <w:t>Chapter 7, section 7-10 of the Rules</w:t>
      </w:r>
      <w:r w:rsidRPr="00FA2CEB">
        <w:rPr>
          <w:rStyle w:val="References"/>
        </w:rPr>
        <w:t xml:space="preserve">] </w:t>
      </w:r>
    </w:p>
    <w:p w14:paraId="5D64F8E2" w14:textId="77777777" w:rsidR="00860455" w:rsidRDefault="00860455" w:rsidP="00860455">
      <w:pPr>
        <w:pStyle w:val="Normalparatextwithnumbers"/>
        <w:numPr>
          <w:ilvl w:val="1"/>
          <w:numId w:val="16"/>
        </w:numPr>
      </w:pPr>
      <w:r>
        <w:t xml:space="preserve">This means that the GloBE Loss is not reduced to zero only if the loss does not flow through, in its entirety, to the holders of Ownership Interests under the tax laws applicable to the Entity and to the holders so as to allow the holders to use their share of such loss in computing their separate taxable income. To the extent that the GloBE Loss is not reduced to zero, the remaining GloBE Loss stays with the Flow-through UPE. Without this rule, losses that are passed </w:t>
      </w:r>
      <w:r>
        <w:lastRenderedPageBreak/>
        <w:t>through to the holders of Ownership Interests would also be available for use in the jurisdictional ETR calculation to shield GloBE Income of other Constituent Entities located in the UPE’s Jurisdiction.</w:t>
      </w:r>
    </w:p>
    <w:p w14:paraId="05ACD51D" w14:textId="4B5B63AD" w:rsidR="00860455" w:rsidRDefault="00860455" w:rsidP="00860455">
      <w:pPr>
        <w:pStyle w:val="Normalparatextwithnumbers"/>
        <w:numPr>
          <w:ilvl w:val="1"/>
          <w:numId w:val="16"/>
        </w:numPr>
      </w:pPr>
      <w:bookmarkStart w:id="250" w:name="_Ref183785019"/>
      <w:r>
        <w:t xml:space="preserve">To the extent that a GloBE loss of a Flow-through UPE is not reduced to zero and stays with the Flow-through UPE, a Filing Constituent Entity may make a GloBE Loss Election that is limited to the UPE </w:t>
      </w:r>
      <w:r w:rsidR="00E54A29">
        <w:t xml:space="preserve">as described </w:t>
      </w:r>
      <w:r w:rsidR="0075055D">
        <w:t xml:space="preserve">from </w:t>
      </w:r>
      <w:r w:rsidR="00E54A29">
        <w:t xml:space="preserve">paragraph </w:t>
      </w:r>
      <w:r w:rsidR="0075055D">
        <w:fldChar w:fldCharType="begin"/>
      </w:r>
      <w:r w:rsidR="0075055D">
        <w:instrText xml:space="preserve"> REF _Ref183784803 \r \h </w:instrText>
      </w:r>
      <w:r w:rsidR="0075055D">
        <w:fldChar w:fldCharType="separate"/>
      </w:r>
      <w:r w:rsidR="009D6D0D">
        <w:t>4.213</w:t>
      </w:r>
      <w:r w:rsidR="0075055D">
        <w:fldChar w:fldCharType="end"/>
      </w:r>
      <w:r>
        <w:t xml:space="preserve">. </w:t>
      </w:r>
      <w:r w:rsidR="00092049">
        <w:t xml:space="preserve">As described from paragraph </w:t>
      </w:r>
      <w:r w:rsidR="00F53872">
        <w:fldChar w:fldCharType="begin"/>
      </w:r>
      <w:r w:rsidR="00F53872">
        <w:instrText xml:space="preserve"> REF _Ref183784939 \r \h </w:instrText>
      </w:r>
      <w:r w:rsidR="00F53872">
        <w:fldChar w:fldCharType="separate"/>
      </w:r>
      <w:r w:rsidR="009D6D0D">
        <w:t>4.222</w:t>
      </w:r>
      <w:r w:rsidR="00F53872">
        <w:fldChar w:fldCharType="end"/>
      </w:r>
      <w:r w:rsidR="00F53872">
        <w:t xml:space="preserve"> t</w:t>
      </w:r>
      <w:r>
        <w:t xml:space="preserve">he </w:t>
      </w:r>
      <w:r w:rsidR="00F53872">
        <w:t xml:space="preserve">amount of </w:t>
      </w:r>
      <w:r>
        <w:t>GloBE Loss Deferred Tax Asset is based on the amount of the GloBE Loss remaining after applying subsection 7</w:t>
      </w:r>
      <w:r>
        <w:noBreakHyphen/>
        <w:t>10(2) and may be included in the UPE’s Adjusted Covered Taxes in a subsequent year for purposes of paragraph 7-5(3)(b</w:t>
      </w:r>
      <w:r w:rsidRPr="00167665">
        <w:t>)</w:t>
      </w:r>
      <w:r>
        <w:t xml:space="preserve"> of the Rules</w:t>
      </w:r>
      <w:r w:rsidRPr="00167665">
        <w:t>.</w:t>
      </w:r>
      <w:bookmarkEnd w:id="250"/>
    </w:p>
    <w:p w14:paraId="5278794C" w14:textId="2C4103CA" w:rsidR="00860455" w:rsidRPr="007F6559" w:rsidRDefault="00860455" w:rsidP="00860455">
      <w:pPr>
        <w:pStyle w:val="Normalparatextwithnumbers"/>
        <w:numPr>
          <w:ilvl w:val="1"/>
          <w:numId w:val="16"/>
        </w:numPr>
      </w:pPr>
      <w:r>
        <w:t>The reduction in GloBE Loss applies with respect to each Ownership Interest. Therefore, the MNE Group is required to demonstrate that each of its Ownership Interest holders is not able to deduct losses attributed to their Ownership Interest in the computation of their separate taxable income to include their share of the loss in the GloBE Loss Deferred Tax Asset computed under section 4-115 of the Rules.</w:t>
      </w:r>
      <w:r>
        <w:br/>
      </w:r>
      <w:r>
        <w:rPr>
          <w:rStyle w:val="References"/>
        </w:rPr>
        <w:t>[Chapter 7, section 7-10 of the Rules]</w:t>
      </w:r>
    </w:p>
    <w:p w14:paraId="72D2488D" w14:textId="77777777" w:rsidR="00860455" w:rsidRDefault="00860455" w:rsidP="00860455">
      <w:pPr>
        <w:pStyle w:val="Heading4"/>
        <w:numPr>
          <w:ilvl w:val="3"/>
          <w:numId w:val="2"/>
        </w:numPr>
      </w:pPr>
      <w:r>
        <w:t>Application to Permanent Establishments</w:t>
      </w:r>
    </w:p>
    <w:p w14:paraId="0836314D" w14:textId="77777777" w:rsidR="00860455" w:rsidRDefault="00860455" w:rsidP="00860455">
      <w:pPr>
        <w:pStyle w:val="Normalparatextwithnumbers"/>
        <w:numPr>
          <w:ilvl w:val="1"/>
          <w:numId w:val="16"/>
        </w:numPr>
      </w:pPr>
      <w:r>
        <w:t>Sections 7-5 and 7-10 of the Rules apply to certain Permanent Establishments through which the UPE and certain other Flow-through Entities of the MNE Group conduct their business. The types of Permanent Establishments these rules apply to are:</w:t>
      </w:r>
    </w:p>
    <w:p w14:paraId="220E15FD" w14:textId="77777777" w:rsidR="00860455" w:rsidRDefault="00860455" w:rsidP="00B7652D">
      <w:pPr>
        <w:pStyle w:val="Dotpoint1"/>
      </w:pPr>
      <w:r>
        <w:t xml:space="preserve">where the business of the Flow-through UPE is wholly or partly carried out through a Permanent Establishment; </w:t>
      </w:r>
    </w:p>
    <w:p w14:paraId="116E5B89" w14:textId="3E166656" w:rsidR="00860455" w:rsidRDefault="00860455" w:rsidP="00B7652D">
      <w:pPr>
        <w:pStyle w:val="Dotpoint1"/>
      </w:pPr>
      <w:r>
        <w:t xml:space="preserve">where the </w:t>
      </w:r>
      <w:r w:rsidR="00154628">
        <w:t>F</w:t>
      </w:r>
      <w:r>
        <w:t xml:space="preserve">low-through UPE directly holds the Ownership Interests of another Tax Transparent Entity whose business is wholly or partly carried out through a Permanent Establishment; or </w:t>
      </w:r>
    </w:p>
    <w:p w14:paraId="51BA5B54" w14:textId="53BEB676" w:rsidR="00860455" w:rsidRDefault="00860455" w:rsidP="00B7652D">
      <w:pPr>
        <w:pStyle w:val="Dotpoint1"/>
      </w:pPr>
      <w:r>
        <w:t xml:space="preserve">where the </w:t>
      </w:r>
      <w:r w:rsidR="00154628">
        <w:t>F</w:t>
      </w:r>
      <w:r>
        <w:t>low-through UPE holds the Ownership Interest of the Tax Transparent Entity and the Permanent Establishment through an ownership chain of Tax Transparent Entities.</w:t>
      </w:r>
      <w:r>
        <w:br/>
      </w:r>
      <w:r w:rsidRPr="00DA0CB6">
        <w:rPr>
          <w:rStyle w:val="References"/>
        </w:rPr>
        <w:t>[Chapter 7, subsection 7-15(1)</w:t>
      </w:r>
      <w:r>
        <w:rPr>
          <w:rStyle w:val="References"/>
        </w:rPr>
        <w:t xml:space="preserve"> of the Rules</w:t>
      </w:r>
      <w:r w:rsidRPr="00DA0CB6">
        <w:rPr>
          <w:rStyle w:val="References"/>
        </w:rPr>
        <w:t>]</w:t>
      </w:r>
      <w:r>
        <w:t xml:space="preserve"> </w:t>
      </w:r>
    </w:p>
    <w:p w14:paraId="754E8712" w14:textId="77777777" w:rsidR="00860455" w:rsidRPr="00EE1142" w:rsidRDefault="00860455" w:rsidP="00860455">
      <w:pPr>
        <w:pStyle w:val="Normalparatextwithnumbers"/>
        <w:numPr>
          <w:ilvl w:val="1"/>
          <w:numId w:val="16"/>
        </w:numPr>
      </w:pPr>
      <w:r>
        <w:t>A F</w:t>
      </w:r>
      <w:r w:rsidRPr="00EE1142">
        <w:t xml:space="preserve">low-through UPE </w:t>
      </w:r>
      <w:r>
        <w:t xml:space="preserve">that holds a direct </w:t>
      </w:r>
      <w:r w:rsidRPr="00EE1142">
        <w:t xml:space="preserve">Ownership Interests of another Tax Transparent Entity </w:t>
      </w:r>
      <w:r>
        <w:t xml:space="preserve">that conducts business through a </w:t>
      </w:r>
      <w:r w:rsidRPr="00EE1142">
        <w:t>Permanent Establishment</w:t>
      </w:r>
      <w:r>
        <w:t xml:space="preserve"> </w:t>
      </w:r>
      <w:r w:rsidRPr="00EE1142">
        <w:t xml:space="preserve">is </w:t>
      </w:r>
      <w:r>
        <w:t xml:space="preserve">evident </w:t>
      </w:r>
      <w:r w:rsidRPr="00EE1142">
        <w:t xml:space="preserve">where the FANIL attributable to the Permanent Establishment is included in the financial statements of the </w:t>
      </w:r>
      <w:r>
        <w:t xml:space="preserve">Tax Transparent </w:t>
      </w:r>
      <w:r w:rsidRPr="00EE1142">
        <w:t xml:space="preserve">Entity held by the Flow-through UPE. </w:t>
      </w:r>
    </w:p>
    <w:p w14:paraId="60A0AA69" w14:textId="0301F803" w:rsidR="00860455" w:rsidRDefault="00860455" w:rsidP="00860455">
      <w:pPr>
        <w:pStyle w:val="Normalparatextwithnumbers"/>
        <w:numPr>
          <w:ilvl w:val="1"/>
          <w:numId w:val="16"/>
        </w:numPr>
      </w:pPr>
      <w:r>
        <w:t xml:space="preserve">In all of these cases, the FANIL attributable to the Permanent Establishment is included in the financial statements of the UPE, but liability for the tax on that income may be borne by the UPE or by the holders of the UPE. Where the tax on the income of the Permanent Establishment is borne by the holders, the </w:t>
      </w:r>
      <w:r>
        <w:lastRenderedPageBreak/>
        <w:t xml:space="preserve">Permanent Establishment’s GloBE Income is reduced to the extent the conditions of </w:t>
      </w:r>
      <w:r w:rsidR="00330D3C">
        <w:t xml:space="preserve">paragraphs </w:t>
      </w:r>
      <w:r>
        <w:t>7-5(2)(a) or 7-5(2)(b) of the Rules are met. In such cases,</w:t>
      </w:r>
      <w:r w:rsidDel="00330D3C">
        <w:t xml:space="preserve"> </w:t>
      </w:r>
      <w:r w:rsidR="00330D3C">
        <w:t xml:space="preserve">paragraph </w:t>
      </w:r>
      <w:r>
        <w:t>7-5(2)(b) of the Rules</w:t>
      </w:r>
      <w:r w:rsidRPr="00167665">
        <w:t xml:space="preserve"> </w:t>
      </w:r>
      <w:r>
        <w:t>takes into account any tax paid or payable in the jurisdiction where the Permanent Establishment is located regardless of whether that tax is paid or payable by a Constituent Entity or by the holders of the UPE.</w:t>
      </w:r>
      <w:r>
        <w:br/>
      </w:r>
      <w:r w:rsidRPr="00177F96">
        <w:rPr>
          <w:rStyle w:val="References"/>
        </w:rPr>
        <w:t>[</w:t>
      </w:r>
      <w:r>
        <w:rPr>
          <w:rStyle w:val="References"/>
        </w:rPr>
        <w:t>Chapter 7, section 7-15 of the Rules</w:t>
      </w:r>
      <w:r w:rsidRPr="00177F96">
        <w:rPr>
          <w:rStyle w:val="References"/>
        </w:rPr>
        <w:t xml:space="preserve">] </w:t>
      </w:r>
    </w:p>
    <w:p w14:paraId="0EB65524" w14:textId="2B5A9824" w:rsidR="00860455" w:rsidRPr="009514AE" w:rsidRDefault="00860455" w:rsidP="00860455">
      <w:pPr>
        <w:pStyle w:val="Normalparatextwithnumbers"/>
        <w:numPr>
          <w:ilvl w:val="1"/>
          <w:numId w:val="16"/>
        </w:numPr>
        <w:rPr>
          <w:rStyle w:val="References"/>
          <w:b w:val="0"/>
          <w:i w:val="0"/>
        </w:rPr>
      </w:pPr>
      <w:r>
        <w:t>Furthermore, the test in section 7-5 of the Rules</w:t>
      </w:r>
      <w:r w:rsidRPr="00167665">
        <w:t xml:space="preserve"> </w:t>
      </w:r>
      <w:r>
        <w:t>applicable to the GloBE Income of the Permanent Establishment is separate from the test applicable to the GloBE Income that has been allocated to the UPE. This means that the GloBE Income or Loss of the Permanent Establishment is not included in the GloBE Income of the UPE for purposes of applying section 7-5 of the Rules to the UPE. The Permanent Establishment is treated separately from the UPE because it is a separate Constituent Entity</w:t>
      </w:r>
      <w:r w:rsidR="005A7FA7">
        <w:t>,</w:t>
      </w:r>
      <w:r>
        <w:t xml:space="preserve"> and its income does not flow</w:t>
      </w:r>
      <w:r>
        <w:noBreakHyphen/>
        <w:t>through to the UPE under Chapter 3 of the Rules as does the income of a Tax Transparent Entity. However, the Permanent Establishment’s GloBE Income is reduced to the extent that the conditions of subsection 7</w:t>
      </w:r>
      <w:r>
        <w:noBreakHyphen/>
      </w:r>
      <w:r w:rsidRPr="00167665">
        <w:t>5(2)</w:t>
      </w:r>
      <w:r>
        <w:t xml:space="preserve"> of the Rules are met by a holder of an Ownership Interest in the UPE with respect to the income of the Permanent Establishment.</w:t>
      </w:r>
      <w:r>
        <w:br/>
      </w:r>
      <w:r w:rsidRPr="00CB1AD8">
        <w:rPr>
          <w:rStyle w:val="References"/>
        </w:rPr>
        <w:t>[</w:t>
      </w:r>
      <w:r>
        <w:rPr>
          <w:rStyle w:val="References"/>
        </w:rPr>
        <w:t>Chapter 7, section 7-15 of the Rules</w:t>
      </w:r>
      <w:r w:rsidRPr="00CB1AD8">
        <w:rPr>
          <w:rStyle w:val="References"/>
        </w:rPr>
        <w:t xml:space="preserve">] </w:t>
      </w:r>
    </w:p>
    <w:p w14:paraId="03ECF523" w14:textId="77777777" w:rsidR="00860455" w:rsidRDefault="00860455" w:rsidP="00860455">
      <w:pPr>
        <w:pStyle w:val="ExampleHeading"/>
        <w:numPr>
          <w:ilvl w:val="3"/>
          <w:numId w:val="16"/>
        </w:numPr>
        <w:tabs>
          <w:tab w:val="num" w:pos="360"/>
        </w:tabs>
        <w:ind w:left="0" w:firstLine="0"/>
      </w:pPr>
      <w:r>
        <w:t xml:space="preserve">UPE </w:t>
      </w:r>
      <w:r w:rsidRPr="00135073">
        <w:t xml:space="preserve">that is a Flow-through Entity </w:t>
      </w:r>
      <w:r>
        <w:t>with a</w:t>
      </w:r>
      <w:r w:rsidRPr="00135073">
        <w:t xml:space="preserve"> </w:t>
      </w:r>
      <w:r>
        <w:t>Permanent Establishment</w:t>
      </w:r>
    </w:p>
    <w:p w14:paraId="3484F5E4" w14:textId="77777777" w:rsidR="00860455" w:rsidRDefault="00860455" w:rsidP="00860455">
      <w:pPr>
        <w:pStyle w:val="Exampletext"/>
      </w:pPr>
      <w:r>
        <w:t>A Co is a Flow</w:t>
      </w:r>
      <w:r>
        <w:noBreakHyphen/>
        <w:t>through UPE of ABC Group which conducts business operations in Countries A and B. A Co carries out business operations in Country B and therefore has a Permanent Establishment in Country B.</w:t>
      </w:r>
    </w:p>
    <w:p w14:paraId="6BD9EBD1" w14:textId="77777777" w:rsidR="00860455" w:rsidRDefault="00860455" w:rsidP="00860455">
      <w:pPr>
        <w:pStyle w:val="Exampletext"/>
      </w:pPr>
      <w:r>
        <w:t xml:space="preserve">A Tax Transparent Entity is created in Country A with two owners, each of whom holds 50% of its Ownership Interests. </w:t>
      </w:r>
    </w:p>
    <w:p w14:paraId="22388F6A" w14:textId="77777777" w:rsidR="00860455" w:rsidRDefault="00860455" w:rsidP="00860455">
      <w:pPr>
        <w:pStyle w:val="Exampletext"/>
      </w:pPr>
      <w:r>
        <w:t>Under the rules of Parts 3-4 and 3-5, EUR 100 of A Co’s income is allocated to a Permanent Establishment located in Country B (</w:t>
      </w:r>
      <w:r w:rsidRPr="00D847CA">
        <w:t xml:space="preserve">see </w:t>
      </w:r>
      <w:r>
        <w:t>s</w:t>
      </w:r>
      <w:r w:rsidRPr="00D847CA">
        <w:t>ection 3-165</w:t>
      </w:r>
      <w:r>
        <w:t>). Country B imposes 15% tax on the owners of A Co in respect of the EUR 100 income allocated to Permanent Establishment, resulting in each owner paying EUR 7.5 (100 x15% x 50%) of tax to Country B (total EUR 15).</w:t>
      </w:r>
    </w:p>
    <w:p w14:paraId="6EE28AEE" w14:textId="77777777" w:rsidR="00860455" w:rsidRDefault="00860455" w:rsidP="00860455">
      <w:pPr>
        <w:pStyle w:val="Exampletext"/>
      </w:pPr>
      <w:r>
        <w:t>In Country B, the holders of A Co’s Ownership Interests are subject to a 15% tax and it is reasonable to expect that the EUR 7.5 tax paid by each holder equals the amount of each holders’ share of the Permanent Establishment’s income multiplied by the Minimum Rate, or EUR 7.5 (= 50 income x 15% Minimum Rate). Accordingly, Permanent Establishment’s GloBE Income is reduced by EUR 100 in Country B pursuant to section 7-15.</w:t>
      </w:r>
    </w:p>
    <w:p w14:paraId="03F8B9DC" w14:textId="77777777" w:rsidR="00860455" w:rsidRDefault="00860455" w:rsidP="00AF25B2">
      <w:pPr>
        <w:pStyle w:val="Heading3"/>
        <w:rPr>
          <w:rFonts w:hint="eastAsia"/>
        </w:rPr>
      </w:pPr>
      <w:bookmarkStart w:id="251" w:name="_Toc181104547"/>
      <w:bookmarkStart w:id="252" w:name="_Toc183786677"/>
      <w:bookmarkStart w:id="253" w:name="_Toc185503020"/>
      <w:r>
        <w:lastRenderedPageBreak/>
        <w:t>UPE subject to Deductible Dividend Regime</w:t>
      </w:r>
      <w:bookmarkEnd w:id="251"/>
      <w:bookmarkEnd w:id="252"/>
      <w:bookmarkEnd w:id="253"/>
    </w:p>
    <w:p w14:paraId="2D86B9AB" w14:textId="77777777" w:rsidR="00F51ADD" w:rsidRPr="0097186E" w:rsidRDefault="00F51ADD" w:rsidP="00F51ADD">
      <w:pPr>
        <w:pStyle w:val="Normalparatextwithnumbers"/>
        <w:numPr>
          <w:ilvl w:val="1"/>
          <w:numId w:val="16"/>
        </w:numPr>
      </w:pPr>
      <w:r w:rsidRPr="0097186E">
        <w:t>Part 7-2 of the Rules collects the tax on the Entity’s income at the level of the owner, either by taxing that owner directly on its Allocable Share of the entity’s income in the case of a Tax Transparent Entity or by taxing the owners on a Deductible Dividend paid by the entity in the case of a Deductible Dividend Regime.</w:t>
      </w:r>
    </w:p>
    <w:p w14:paraId="77FEE7E3" w14:textId="77777777" w:rsidR="00860455" w:rsidRDefault="00860455" w:rsidP="00860455">
      <w:pPr>
        <w:pStyle w:val="Normalparatextwithnumbers"/>
        <w:numPr>
          <w:ilvl w:val="1"/>
          <w:numId w:val="16"/>
        </w:numPr>
      </w:pPr>
      <w:r>
        <w:t xml:space="preserve">GloBE Income and Covered Taxes are reduced where a UPE is subject to a Deductible Dividend Regime. </w:t>
      </w:r>
    </w:p>
    <w:p w14:paraId="0912EDCC" w14:textId="4FBE30A4" w:rsidR="00860455" w:rsidRPr="00E46F69" w:rsidRDefault="00860455" w:rsidP="00860455">
      <w:pPr>
        <w:pStyle w:val="Normalparatextwithnumbers"/>
        <w:numPr>
          <w:ilvl w:val="1"/>
          <w:numId w:val="16"/>
        </w:numPr>
        <w:rPr>
          <w:rStyle w:val="References"/>
          <w:b w:val="0"/>
          <w:bCs w:val="0"/>
          <w:i w:val="0"/>
          <w:iCs w:val="0"/>
        </w:rPr>
      </w:pPr>
      <w:r w:rsidRPr="00DD6CEE">
        <w:rPr>
          <w:b/>
          <w:i/>
        </w:rPr>
        <w:t>Deductible Dividend Regime</w:t>
      </w:r>
      <w:r>
        <w:t xml:space="preserve"> and </w:t>
      </w:r>
      <w:r w:rsidRPr="005B10E5">
        <w:rPr>
          <w:b/>
          <w:bCs/>
          <w:i/>
          <w:iCs/>
        </w:rPr>
        <w:t>Deductible Dividend</w:t>
      </w:r>
      <w:r>
        <w:t xml:space="preserve"> are defined for the purposes of these rules to capture non-standard tax regimes designed to yield a single level of taxation by allowing an Entity a deduction for distributions of profits to the owners.</w:t>
      </w:r>
      <w:r>
        <w:br/>
      </w:r>
      <w:r w:rsidRPr="005B10E5">
        <w:rPr>
          <w:rStyle w:val="References"/>
        </w:rPr>
        <w:t>[</w:t>
      </w:r>
      <w:r>
        <w:rPr>
          <w:rStyle w:val="References"/>
        </w:rPr>
        <w:t>Chapter 7, sections 7</w:t>
      </w:r>
      <w:r>
        <w:rPr>
          <w:rStyle w:val="References"/>
        </w:rPr>
        <w:noBreakHyphen/>
        <w:t>30 and 7-35 of the Rules]</w:t>
      </w:r>
    </w:p>
    <w:p w14:paraId="3639682D" w14:textId="77777777" w:rsidR="00860455" w:rsidRDefault="00860455" w:rsidP="00860455">
      <w:pPr>
        <w:pStyle w:val="Normalparatextwithnumbers"/>
        <w:numPr>
          <w:ilvl w:val="1"/>
          <w:numId w:val="16"/>
        </w:numPr>
        <w:rPr>
          <w:rStyle w:val="References"/>
          <w:b w:val="0"/>
          <w:bCs w:val="0"/>
          <w:i w:val="0"/>
          <w:iCs w:val="0"/>
        </w:rPr>
      </w:pPr>
      <w:r>
        <w:rPr>
          <w:rStyle w:val="References"/>
          <w:b w:val="0"/>
          <w:bCs w:val="0"/>
          <w:i w:val="0"/>
          <w:iCs w:val="0"/>
        </w:rPr>
        <w:t xml:space="preserve">If a UPE </w:t>
      </w:r>
      <w:r w:rsidRPr="002538A0">
        <w:rPr>
          <w:rStyle w:val="References"/>
          <w:b w:val="0"/>
          <w:bCs w:val="0"/>
          <w:i w:val="0"/>
          <w:iCs w:val="0"/>
        </w:rPr>
        <w:t>is subject to a Deductible Dividend Regime</w:t>
      </w:r>
      <w:r>
        <w:rPr>
          <w:rStyle w:val="References"/>
          <w:b w:val="0"/>
          <w:bCs w:val="0"/>
          <w:i w:val="0"/>
          <w:iCs w:val="0"/>
        </w:rPr>
        <w:t xml:space="preserve"> and distributes an amount as a Deductible Dividend within 12 months after the end of a Fiscal Year, the UPE’s GloBE Income for the Fiscal Year is reduced by that amount (but not to below zero). This rule applies where:</w:t>
      </w:r>
    </w:p>
    <w:p w14:paraId="535E619C" w14:textId="77777777" w:rsidR="00860455" w:rsidRDefault="00860455" w:rsidP="00B7652D">
      <w:pPr>
        <w:pStyle w:val="Dotpoint1"/>
      </w:pPr>
      <w:r>
        <w:t>the dividend recipient is a natural person that is tax resident in the UPE’s jurisdiction and that holds Ownership Interests that in aggregate carry rights to 5 per cent or less of the profits and assets of the UPE; or</w:t>
      </w:r>
    </w:p>
    <w:p w14:paraId="66D380A6" w14:textId="77777777" w:rsidR="00860455" w:rsidRDefault="00860455" w:rsidP="00B7652D">
      <w:pPr>
        <w:pStyle w:val="Dotpoint1"/>
      </w:pPr>
      <w:r>
        <w:t>the dividend recipient is resident in the UPE’s jurisdiction and is a Governmental Entity, an International Organisation, a Non-profit Organisation or a Pension Fund that is not a Pension Services Entity.</w:t>
      </w:r>
      <w:r>
        <w:br/>
      </w:r>
      <w:r w:rsidRPr="00847015">
        <w:rPr>
          <w:rStyle w:val="References"/>
        </w:rPr>
        <w:t>[Chapter 7, subsections 7-20(1) and (2)</w:t>
      </w:r>
      <w:r>
        <w:rPr>
          <w:rStyle w:val="References"/>
        </w:rPr>
        <w:t xml:space="preserve"> of the Rules</w:t>
      </w:r>
      <w:r w:rsidRPr="00847015">
        <w:rPr>
          <w:rStyle w:val="References"/>
        </w:rPr>
        <w:t>]</w:t>
      </w:r>
      <w:r>
        <w:t xml:space="preserve"> </w:t>
      </w:r>
    </w:p>
    <w:p w14:paraId="5AFB5E7C" w14:textId="77777777" w:rsidR="00860455" w:rsidRDefault="00860455" w:rsidP="00860455">
      <w:pPr>
        <w:pStyle w:val="Normalparatextwithnumbers"/>
        <w:numPr>
          <w:ilvl w:val="1"/>
          <w:numId w:val="16"/>
        </w:numPr>
      </w:pPr>
      <w:r>
        <w:t xml:space="preserve">The rule also applies where </w:t>
      </w:r>
      <w:r w:rsidRPr="00CB67F2">
        <w:t>the dividend is subject to tax in the hands of the recipient within 12 months after the end of the Fiscal Year</w:t>
      </w:r>
      <w:r>
        <w:t>, and:</w:t>
      </w:r>
    </w:p>
    <w:p w14:paraId="78649063" w14:textId="77777777" w:rsidR="00860455" w:rsidRDefault="00860455" w:rsidP="00B7652D">
      <w:pPr>
        <w:pStyle w:val="Dotpoint1"/>
      </w:pPr>
      <w:r>
        <w:t>the dividend recipient’s nominal tax rate on the dividend amount is at least 15 per cent;</w:t>
      </w:r>
    </w:p>
    <w:p w14:paraId="450421E5" w14:textId="77777777" w:rsidR="00860455" w:rsidRDefault="00860455" w:rsidP="00B7652D">
      <w:pPr>
        <w:pStyle w:val="Dotpoint1"/>
      </w:pPr>
      <w:r>
        <w:t>it can be reasonably expected that the aggregate amount of Covered Taxes paid by the UPE and taxes paid by the owner on the income attributable to its Ownership Interest equals or exceeds the amount that results from multiplying the full amount of such income by the 15 per cent; or</w:t>
      </w:r>
    </w:p>
    <w:p w14:paraId="4A9538D0" w14:textId="77777777" w:rsidR="00860455" w:rsidRPr="00CB67F2" w:rsidRDefault="00860455" w:rsidP="00B7652D">
      <w:pPr>
        <w:pStyle w:val="Dotpoint1"/>
      </w:pPr>
      <w:r>
        <w:t>the dividend is a patronage dividend from a supply Cooperative paid to an individual.</w:t>
      </w:r>
      <w:r>
        <w:br/>
      </w:r>
      <w:r w:rsidRPr="00847015">
        <w:rPr>
          <w:rStyle w:val="References"/>
        </w:rPr>
        <w:t xml:space="preserve">[Chapter 7, </w:t>
      </w:r>
      <w:r>
        <w:rPr>
          <w:rStyle w:val="References"/>
        </w:rPr>
        <w:t>subsections</w:t>
      </w:r>
      <w:r w:rsidRPr="00847015">
        <w:rPr>
          <w:rStyle w:val="References"/>
        </w:rPr>
        <w:t xml:space="preserve"> 7-20(2)</w:t>
      </w:r>
      <w:r>
        <w:rPr>
          <w:rStyle w:val="References"/>
        </w:rPr>
        <w:t xml:space="preserve"> and </w:t>
      </w:r>
      <w:r w:rsidRPr="00847015">
        <w:rPr>
          <w:rStyle w:val="References"/>
        </w:rPr>
        <w:t>(3)</w:t>
      </w:r>
      <w:r>
        <w:rPr>
          <w:rStyle w:val="References"/>
        </w:rPr>
        <w:t xml:space="preserve"> of the Rules</w:t>
      </w:r>
      <w:r w:rsidRPr="00847015">
        <w:rPr>
          <w:rStyle w:val="References"/>
        </w:rPr>
        <w:t>]</w:t>
      </w:r>
      <w:r>
        <w:t xml:space="preserve"> </w:t>
      </w:r>
    </w:p>
    <w:p w14:paraId="59B16F9C" w14:textId="77777777" w:rsidR="00860455" w:rsidRDefault="00860455" w:rsidP="00860455">
      <w:pPr>
        <w:pStyle w:val="Normalparatextwithnumbers"/>
        <w:numPr>
          <w:ilvl w:val="1"/>
          <w:numId w:val="16"/>
        </w:numPr>
      </w:pPr>
      <w:r>
        <w:t>T</w:t>
      </w:r>
      <w:r w:rsidRPr="0016619A">
        <w:t xml:space="preserve">he reduction of the </w:t>
      </w:r>
      <w:r>
        <w:t>UPE</w:t>
      </w:r>
      <w:r w:rsidRPr="0016619A">
        <w:t xml:space="preserve">’s Covered Taxes in proportion to the income distributed as a Deductible Dividend does not apply to any taxes paid on </w:t>
      </w:r>
      <w:r w:rsidRPr="0016619A">
        <w:lastRenderedPageBreak/>
        <w:t>undistributed GloBE Income pursuant to the Deductible Dividend Regime itself.</w:t>
      </w:r>
    </w:p>
    <w:p w14:paraId="07138AAB" w14:textId="77777777" w:rsidR="00860455" w:rsidRDefault="00860455" w:rsidP="00860455">
      <w:pPr>
        <w:pStyle w:val="Normalparatextwithnumbers"/>
        <w:numPr>
          <w:ilvl w:val="1"/>
          <w:numId w:val="16"/>
        </w:numPr>
      </w:pPr>
      <w:r>
        <w:t xml:space="preserve">The rules applicable to the UPE also apply to other Constituent Entities located in the UPE’s jurisdiction and that are subject to the Deductible Dividend Regime. The Constituent Entities must be directly or indirectly held through an ownership chain of other Constituent Entities that the UPE holds an interest in. However, any income of the Constituent Entities that are not the UPE is only reduced to the extent it is distributed to the UPE and then the UPE distributes the income to recipients that meet the requirements of section 7-20 of the Rules. </w:t>
      </w:r>
      <w:r>
        <w:br/>
      </w:r>
      <w:r w:rsidRPr="00A379B2">
        <w:rPr>
          <w:rStyle w:val="References"/>
        </w:rPr>
        <w:t>[</w:t>
      </w:r>
      <w:r>
        <w:rPr>
          <w:rStyle w:val="References"/>
        </w:rPr>
        <w:t xml:space="preserve">Chapter 7, section 7-25 </w:t>
      </w:r>
      <w:r w:rsidRPr="00C83FAB">
        <w:rPr>
          <w:rStyle w:val="References"/>
        </w:rPr>
        <w:t>of the Rules</w:t>
      </w:r>
      <w:r w:rsidRPr="00A379B2">
        <w:rPr>
          <w:rStyle w:val="References"/>
        </w:rPr>
        <w:t xml:space="preserve">] </w:t>
      </w:r>
    </w:p>
    <w:p w14:paraId="13BB712E" w14:textId="77777777" w:rsidR="00860455" w:rsidRPr="00CF01CF" w:rsidRDefault="00860455" w:rsidP="00860455">
      <w:pPr>
        <w:pStyle w:val="Normalparatextwithnumbers"/>
        <w:numPr>
          <w:ilvl w:val="1"/>
          <w:numId w:val="16"/>
        </w:numPr>
      </w:pPr>
      <w:r>
        <w:t>The UPE must maintain records sufficient to demonstrate that such distributions occurred within 12 months of the end of the Fiscal Year of the subsidiary Entity subject to the Deductible Dividend Regime. The UPE may use any reasonable method of determining the source of any intra-group distributions from other Entities, including determining the income of Entities that are subject to a Deductible Dividend Regime and Entities that are subject to an ordinary income tax, that have not been distributed to the UPE’s owners.</w:t>
      </w:r>
    </w:p>
    <w:p w14:paraId="18F1A7E3" w14:textId="77777777" w:rsidR="00860455" w:rsidRDefault="00860455" w:rsidP="00AF25B2">
      <w:pPr>
        <w:pStyle w:val="Heading3"/>
        <w:rPr>
          <w:rFonts w:hint="eastAsia"/>
        </w:rPr>
      </w:pPr>
      <w:bookmarkStart w:id="254" w:name="_Toc181104548"/>
      <w:bookmarkStart w:id="255" w:name="_Toc183786678"/>
      <w:bookmarkStart w:id="256" w:name="_Toc185503021"/>
      <w:r>
        <w:t>Eligible Distribution Tax Systems</w:t>
      </w:r>
      <w:bookmarkEnd w:id="254"/>
      <w:bookmarkEnd w:id="255"/>
      <w:bookmarkEnd w:id="256"/>
    </w:p>
    <w:p w14:paraId="09C26F75" w14:textId="604BD11D" w:rsidR="00860455" w:rsidRDefault="00860455" w:rsidP="00860455">
      <w:pPr>
        <w:pStyle w:val="Normalparatextwithnumbers"/>
        <w:numPr>
          <w:ilvl w:val="1"/>
          <w:numId w:val="16"/>
        </w:numPr>
      </w:pPr>
      <w:r>
        <w:t xml:space="preserve">The rule in Part 7-3 </w:t>
      </w:r>
      <w:r w:rsidRPr="00C83FAB">
        <w:t xml:space="preserve">of the Rules </w:t>
      </w:r>
      <w:r>
        <w:t>addresses unintended consequences that arise because of the</w:t>
      </w:r>
      <w:r w:rsidRPr="00BC12E6">
        <w:t xml:space="preserve"> </w:t>
      </w:r>
      <w:r>
        <w:t xml:space="preserve">differences between the time the income accrues in the financial accounts and the time it is subject to distribution tax to the extent that distributions are made within a four-year period. </w:t>
      </w:r>
    </w:p>
    <w:p w14:paraId="033A93A1" w14:textId="77777777" w:rsidR="00860455" w:rsidRDefault="00860455" w:rsidP="00860455">
      <w:pPr>
        <w:pStyle w:val="Normalparatextwithnumbers"/>
        <w:numPr>
          <w:ilvl w:val="1"/>
          <w:numId w:val="16"/>
        </w:numPr>
      </w:pPr>
      <w:r>
        <w:t>A Constituent Entity that is subject to certain eligible tax regimes that subject an Entity to tax on its earnings when those earnings are distributed or deemed distributed may add the amount of that tax to the Adjusted Covered Taxes for the Fiscal Year.</w:t>
      </w:r>
    </w:p>
    <w:p w14:paraId="793E3CD6" w14:textId="4F42D87A" w:rsidR="00860455" w:rsidRPr="005B10E5" w:rsidRDefault="00860455" w:rsidP="00860455">
      <w:pPr>
        <w:pStyle w:val="Normalparatextwithnumbers"/>
        <w:numPr>
          <w:ilvl w:val="1"/>
          <w:numId w:val="16"/>
        </w:numPr>
        <w:rPr>
          <w:rStyle w:val="References"/>
          <w:b w:val="0"/>
          <w:bCs w:val="0"/>
          <w:i w:val="0"/>
          <w:iCs w:val="0"/>
        </w:rPr>
      </w:pPr>
      <w:r>
        <w:t xml:space="preserve">To apply this rule, a Filing Constituent Entity for an MNE Group must make an </w:t>
      </w:r>
      <w:r w:rsidR="002330EF">
        <w:t>Annual Election</w:t>
      </w:r>
      <w:r>
        <w:t xml:space="preserve"> in respect of the specified jurisdiction that has an Eligible Distribution Tax System and each Constituent Entity of the MNE Group that is located in the jurisdiction.</w:t>
      </w:r>
      <w:r w:rsidRPr="000C37D7">
        <w:t xml:space="preserve"> </w:t>
      </w:r>
      <w:r>
        <w:t xml:space="preserve">The effect of the Annual Election is that the </w:t>
      </w:r>
      <w:r w:rsidRPr="008B0FA7">
        <w:t xml:space="preserve">amount of Deemed Distribution Tax </w:t>
      </w:r>
      <w:r>
        <w:t xml:space="preserve">is </w:t>
      </w:r>
      <w:r w:rsidRPr="008B0FA7">
        <w:t xml:space="preserve">added to </w:t>
      </w:r>
      <w:r>
        <w:t>Adjusted Covered Taxes.</w:t>
      </w:r>
      <w:r>
        <w:br/>
      </w:r>
      <w:r w:rsidRPr="005B10E5">
        <w:rPr>
          <w:rStyle w:val="References"/>
        </w:rPr>
        <w:t>[</w:t>
      </w:r>
      <w:r>
        <w:rPr>
          <w:rStyle w:val="References"/>
        </w:rPr>
        <w:t xml:space="preserve">Chapter 7, section 7-40 </w:t>
      </w:r>
      <w:r w:rsidRPr="00C83FAB">
        <w:rPr>
          <w:rStyle w:val="References"/>
        </w:rPr>
        <w:t>of the Rules</w:t>
      </w:r>
      <w:r>
        <w:rPr>
          <w:rStyle w:val="References"/>
        </w:rPr>
        <w:t>]</w:t>
      </w:r>
      <w:r w:rsidRPr="005B10E5">
        <w:rPr>
          <w:rStyle w:val="References"/>
        </w:rPr>
        <w:t xml:space="preserve"> </w:t>
      </w:r>
    </w:p>
    <w:p w14:paraId="63B0C42B" w14:textId="77777777" w:rsidR="00860455" w:rsidRDefault="00860455" w:rsidP="00860455">
      <w:pPr>
        <w:pStyle w:val="Normalparatextwithnumbers"/>
        <w:numPr>
          <w:ilvl w:val="1"/>
          <w:numId w:val="16"/>
        </w:numPr>
      </w:pPr>
      <w:r w:rsidRPr="005B10E5">
        <w:rPr>
          <w:b/>
          <w:bCs/>
          <w:i/>
          <w:iCs/>
        </w:rPr>
        <w:t>Eligible Distribution Tax System</w:t>
      </w:r>
      <w:r>
        <w:t xml:space="preserve"> is defined to capture tax regimes that were in force on or before 1 July 2021 and subject an Entity to at least a 15 per cent tax on its earnings when those earnings are distributed or deemed distributed to shareholders. </w:t>
      </w:r>
      <w:r>
        <w:br/>
      </w:r>
      <w:r w:rsidRPr="00EB5994">
        <w:rPr>
          <w:rStyle w:val="References"/>
        </w:rPr>
        <w:t>[</w:t>
      </w:r>
      <w:r>
        <w:rPr>
          <w:rStyle w:val="References"/>
        </w:rPr>
        <w:t xml:space="preserve">Chapter 7, section 7-45 </w:t>
      </w:r>
      <w:r w:rsidRPr="00C83FAB">
        <w:rPr>
          <w:rStyle w:val="References"/>
        </w:rPr>
        <w:t>of the Rules</w:t>
      </w:r>
      <w:r w:rsidRPr="00EB5994">
        <w:rPr>
          <w:rStyle w:val="References"/>
        </w:rPr>
        <w:t xml:space="preserve">] </w:t>
      </w:r>
    </w:p>
    <w:p w14:paraId="0F62A215" w14:textId="77777777" w:rsidR="00860455" w:rsidRDefault="00860455" w:rsidP="00860455">
      <w:pPr>
        <w:pStyle w:val="Normalparatextwithnumbers"/>
        <w:numPr>
          <w:ilvl w:val="1"/>
          <w:numId w:val="16"/>
        </w:numPr>
      </w:pPr>
      <w:r>
        <w:t>An Eligible Distribution Tax System</w:t>
      </w:r>
      <w:r w:rsidRPr="00FA1FA0">
        <w:t xml:space="preserve"> does not include taxes imposed on the shareholders in respect of distributions, </w:t>
      </w:r>
      <w:r>
        <w:t>despite</w:t>
      </w:r>
      <w:r w:rsidRPr="00FA1FA0">
        <w:t xml:space="preserve"> these taxes may be withheld and remitted by the distributing corporation</w:t>
      </w:r>
      <w:r>
        <w:t>.</w:t>
      </w:r>
    </w:p>
    <w:p w14:paraId="55F0A7CA" w14:textId="77777777" w:rsidR="00860455" w:rsidRDefault="00860455" w:rsidP="00860455">
      <w:pPr>
        <w:pStyle w:val="Normalparatextwithnumbers"/>
        <w:numPr>
          <w:ilvl w:val="1"/>
          <w:numId w:val="16"/>
        </w:numPr>
      </w:pPr>
      <w:r w:rsidRPr="00FA1FA0">
        <w:lastRenderedPageBreak/>
        <w:t>Where a distribution tax jurisdiction applies tax at a nominal rate but requires that before applying the rate, the distributed amount must be grossed up to reflect the gross tax basis before distribution tax, the statutory rate is the rate after the application of such gross up.</w:t>
      </w:r>
    </w:p>
    <w:p w14:paraId="0C61D803" w14:textId="3DF0ECFD" w:rsidR="00860455" w:rsidRPr="005B10E5" w:rsidRDefault="00860455" w:rsidP="00860455">
      <w:pPr>
        <w:pStyle w:val="Normalparatextwithnumbers"/>
        <w:numPr>
          <w:ilvl w:val="1"/>
          <w:numId w:val="16"/>
        </w:numPr>
        <w:rPr>
          <w:rStyle w:val="References"/>
          <w:b w:val="0"/>
          <w:bCs w:val="0"/>
          <w:i w:val="0"/>
          <w:iCs w:val="0"/>
        </w:rPr>
      </w:pPr>
      <w:r>
        <w:t>Deemed Distribution Tax is not defined under the law, but it is a concept under the GloBE Model Rules that is captured by subsection 7</w:t>
      </w:r>
      <w:r>
        <w:noBreakHyphen/>
        <w:t xml:space="preserve">50(3) </w:t>
      </w:r>
      <w:r w:rsidRPr="00C83FAB">
        <w:t>of the Rules</w:t>
      </w:r>
      <w:r>
        <w:t xml:space="preserve">. It is the lesser of the amount necessary to raise the ETR computed under </w:t>
      </w:r>
      <w:r w:rsidR="00483628">
        <w:t>paragraph</w:t>
      </w:r>
      <w:r>
        <w:t xml:space="preserve"> 5-5(a) of the Rules for the jurisdiction for the Fiscal Year to the Minimum Rate, or the amount of distribution tax that would have been paid if the Constituent Entities in the jurisdiction had distributed all of their income that was subject to the Eligible Distribution Tax Regime during such Fiscal Year. The amount is computed at the jurisdictional level.</w:t>
      </w:r>
      <w:r>
        <w:br/>
      </w:r>
      <w:r w:rsidRPr="005B10E5">
        <w:rPr>
          <w:rStyle w:val="References"/>
        </w:rPr>
        <w:t>[</w:t>
      </w:r>
      <w:r>
        <w:rPr>
          <w:rStyle w:val="References"/>
        </w:rPr>
        <w:t xml:space="preserve">Chapter 7, section 7-50 </w:t>
      </w:r>
      <w:r w:rsidRPr="00C83FAB">
        <w:rPr>
          <w:rStyle w:val="References"/>
        </w:rPr>
        <w:t>of the Rules</w:t>
      </w:r>
      <w:r w:rsidRPr="005B10E5">
        <w:rPr>
          <w:rStyle w:val="References"/>
        </w:rPr>
        <w:t xml:space="preserve">] </w:t>
      </w:r>
    </w:p>
    <w:p w14:paraId="20A8A696" w14:textId="72037FB8" w:rsidR="00860455" w:rsidRDefault="00860455" w:rsidP="00860455">
      <w:pPr>
        <w:pStyle w:val="Normalparatextwithnumbers"/>
        <w:numPr>
          <w:ilvl w:val="1"/>
          <w:numId w:val="16"/>
        </w:numPr>
      </w:pPr>
      <w:r>
        <w:t>For the purposes of tracking the extent to which Deemed Distribution Tax is paid within the four-year period, at the end of the Fiscal Year a Deemed Distribution Tax Recapture Account is established for each Fiscal Year. This amount is equal to the Deemed Distribution Tax calculated in subsection 7</w:t>
      </w:r>
      <w:r>
        <w:noBreakHyphen/>
        <w:t xml:space="preserve">50(3) </w:t>
      </w:r>
      <w:r w:rsidRPr="00C83FAB">
        <w:t>of the Rules</w:t>
      </w:r>
      <w:r>
        <w:t>.</w:t>
      </w:r>
      <w:r>
        <w:br/>
      </w:r>
      <w:r w:rsidRPr="005B10E5">
        <w:rPr>
          <w:rStyle w:val="References"/>
        </w:rPr>
        <w:t>[</w:t>
      </w:r>
      <w:r>
        <w:rPr>
          <w:rStyle w:val="References"/>
        </w:rPr>
        <w:t xml:space="preserve">Chapter 7, </w:t>
      </w:r>
      <w:r w:rsidR="00330D3C">
        <w:rPr>
          <w:rStyle w:val="References"/>
        </w:rPr>
        <w:t>sub</w:t>
      </w:r>
      <w:r>
        <w:rPr>
          <w:rStyle w:val="References"/>
        </w:rPr>
        <w:t>section 7-50(</w:t>
      </w:r>
      <w:r w:rsidR="004C7CA2">
        <w:rPr>
          <w:rStyle w:val="References"/>
        </w:rPr>
        <w:t>3</w:t>
      </w:r>
      <w:r>
        <w:rPr>
          <w:rStyle w:val="References"/>
        </w:rPr>
        <w:t xml:space="preserve">) </w:t>
      </w:r>
      <w:r w:rsidRPr="00C83FAB">
        <w:rPr>
          <w:rStyle w:val="References"/>
        </w:rPr>
        <w:t>of the Rules</w:t>
      </w:r>
      <w:r w:rsidRPr="005B10E5">
        <w:rPr>
          <w:rStyle w:val="References"/>
        </w:rPr>
        <w:t xml:space="preserve">] </w:t>
      </w:r>
      <w:r>
        <w:t xml:space="preserve"> </w:t>
      </w:r>
    </w:p>
    <w:p w14:paraId="010B8484" w14:textId="77777777" w:rsidR="00860455" w:rsidRDefault="00860455" w:rsidP="00860455">
      <w:pPr>
        <w:pStyle w:val="Normalparatextwithnumbers"/>
        <w:numPr>
          <w:ilvl w:val="1"/>
          <w:numId w:val="16"/>
        </w:numPr>
      </w:pPr>
      <w:r>
        <w:t>Deemed Distribution Tax Recapture Accounts are first reduced by distribution taxes actually paid by the Constituent Entities resulting from distributions or deemed distributions.</w:t>
      </w:r>
      <w:r w:rsidRPr="004120B0">
        <w:t xml:space="preserve"> </w:t>
      </w:r>
      <w:r>
        <w:t xml:space="preserve">The amount of Taxes applied as a reduction here is a jurisdictional amount. For the purposes of section 7-70 of the Rules, it is not necessary to apportion this amount between Constituent Entities located in the jurisdiction. </w:t>
      </w:r>
    </w:p>
    <w:p w14:paraId="31E75C06" w14:textId="77777777" w:rsidR="00860455" w:rsidRDefault="00860455" w:rsidP="00860455">
      <w:pPr>
        <w:pStyle w:val="Normalparatextwithnumbers"/>
        <w:numPr>
          <w:ilvl w:val="1"/>
          <w:numId w:val="16"/>
        </w:numPr>
      </w:pPr>
      <w:r>
        <w:t>Second, the accounts are reduced when the jurisdiction has an overall GloBE Loss, meaning the aggregate GloBE Loss of Constituent Entities exceeds the aggregate GloBE Income of Constituent Entities located in the jurisdiction. Finally, the Deemed Distribution Tax Recapture Accounts are reduced by the amount of a Recapture Account Loss Carry-forward.</w:t>
      </w:r>
      <w:r>
        <w:br/>
      </w:r>
      <w:r w:rsidRPr="005434C7">
        <w:rPr>
          <w:rStyle w:val="References"/>
        </w:rPr>
        <w:t>[</w:t>
      </w:r>
      <w:r>
        <w:rPr>
          <w:rStyle w:val="References"/>
        </w:rPr>
        <w:t>Chapter 7, section 7-55</w:t>
      </w:r>
      <w:r w:rsidRPr="00C83FAB">
        <w:t xml:space="preserve"> </w:t>
      </w:r>
      <w:r w:rsidRPr="00C83FAB">
        <w:rPr>
          <w:rStyle w:val="References"/>
        </w:rPr>
        <w:t>of the Rules</w:t>
      </w:r>
      <w:r w:rsidRPr="005434C7">
        <w:rPr>
          <w:rStyle w:val="References"/>
        </w:rPr>
        <w:t xml:space="preserve">] </w:t>
      </w:r>
    </w:p>
    <w:p w14:paraId="13C22222" w14:textId="77777777" w:rsidR="00860455" w:rsidRPr="0005449D" w:rsidRDefault="00860455" w:rsidP="00860455">
      <w:pPr>
        <w:pStyle w:val="Normalparatextwithnumbers"/>
        <w:numPr>
          <w:ilvl w:val="1"/>
          <w:numId w:val="16"/>
        </w:numPr>
        <w:rPr>
          <w:rStyle w:val="References"/>
          <w:b w:val="0"/>
          <w:bCs w:val="0"/>
          <w:i w:val="0"/>
          <w:iCs w:val="0"/>
        </w:rPr>
      </w:pPr>
      <w:r>
        <w:t>When there is a Net GloBE Loss for the jurisdiction that exceeds the amount in all of the Deemed Distribution Tax Recapture Accounts, a Recapture Account Loss Carry-forward is created. This account is reduced in subsequent years as the loss carry-forward is applied to reduce the GloBE Income that would otherwise be subject to the Deemed Distribution Tax. The account ensures that the MNE Group is not taxed under the GloBE Rules in excess of its economic income earned through Entities subject to a Distribution Tax Regime.</w:t>
      </w:r>
      <w:r>
        <w:br/>
      </w:r>
      <w:r w:rsidRPr="00ED5E89">
        <w:rPr>
          <w:rStyle w:val="References"/>
        </w:rPr>
        <w:t>[</w:t>
      </w:r>
      <w:r>
        <w:rPr>
          <w:rStyle w:val="References"/>
        </w:rPr>
        <w:t xml:space="preserve">Chapter 7, section 7-60 </w:t>
      </w:r>
      <w:r w:rsidRPr="00C83FAB">
        <w:rPr>
          <w:rStyle w:val="References"/>
        </w:rPr>
        <w:t>of the Rules</w:t>
      </w:r>
      <w:r w:rsidRPr="00ED5E89">
        <w:rPr>
          <w:rStyle w:val="References"/>
        </w:rPr>
        <w:t xml:space="preserve">] </w:t>
      </w:r>
    </w:p>
    <w:p w14:paraId="19A42A10" w14:textId="77777777" w:rsidR="00860455" w:rsidRDefault="00860455" w:rsidP="00860455">
      <w:pPr>
        <w:pStyle w:val="Normalparatextwithnumbers"/>
        <w:numPr>
          <w:ilvl w:val="1"/>
          <w:numId w:val="16"/>
        </w:numPr>
      </w:pPr>
      <w:r>
        <w:t xml:space="preserve">The </w:t>
      </w:r>
      <w:r w:rsidRPr="00ED1284">
        <w:t>balance</w:t>
      </w:r>
      <w:r>
        <w:t xml:space="preserve"> of the Deemed Distribution Tax Recapture Account</w:t>
      </w:r>
      <w:r w:rsidRPr="00ED1284">
        <w:t xml:space="preserve"> should be reduced to nil for each Fiscal Year after </w:t>
      </w:r>
      <w:r>
        <w:t xml:space="preserve">the </w:t>
      </w:r>
      <w:r w:rsidRPr="00ED1284">
        <w:t>original Fiscal Year for which such account was established</w:t>
      </w:r>
      <w:r>
        <w:t>.</w:t>
      </w:r>
      <w:r>
        <w:br/>
      </w:r>
      <w:r w:rsidRPr="007A1CB5">
        <w:rPr>
          <w:rStyle w:val="References"/>
        </w:rPr>
        <w:t>[Chapter 7, section 7-65 of the Rules]</w:t>
      </w:r>
    </w:p>
    <w:p w14:paraId="49EE7061" w14:textId="77777777" w:rsidR="00860455" w:rsidRDefault="00860455" w:rsidP="00860455">
      <w:pPr>
        <w:pStyle w:val="Normalparatextwithnumbers"/>
        <w:numPr>
          <w:ilvl w:val="1"/>
          <w:numId w:val="16"/>
        </w:numPr>
      </w:pPr>
      <w:r>
        <w:lastRenderedPageBreak/>
        <w:t>T</w:t>
      </w:r>
      <w:r w:rsidRPr="005620A2">
        <w:t xml:space="preserve">he Deemed Distribution Tax Recapture Account, the Net GloBE Income of the jurisdiction, the </w:t>
      </w:r>
      <w:r>
        <w:t>Adjusted Covered Taxes</w:t>
      </w:r>
      <w:r w:rsidRPr="005620A2">
        <w:t xml:space="preserve"> for the jurisdiction, and the Substance-based Income Exclusion for each Fiscal Year for which there was a Deemed Distribution Tax Recapture Account must be reduced in proportion to the Disposition Recapture Ratio.</w:t>
      </w:r>
      <w:r>
        <w:br/>
      </w:r>
      <w:r w:rsidRPr="006F4168">
        <w:rPr>
          <w:rStyle w:val="References"/>
        </w:rPr>
        <w:t>[Chapter 7, section 7-</w:t>
      </w:r>
      <w:r>
        <w:rPr>
          <w:rStyle w:val="References"/>
        </w:rPr>
        <w:t>7</w:t>
      </w:r>
      <w:r w:rsidRPr="006F4168">
        <w:rPr>
          <w:rStyle w:val="References"/>
        </w:rPr>
        <w:t>5</w:t>
      </w:r>
      <w:r>
        <w:rPr>
          <w:rStyle w:val="References"/>
        </w:rPr>
        <w:t xml:space="preserve"> </w:t>
      </w:r>
      <w:r w:rsidRPr="00C83FAB">
        <w:rPr>
          <w:rStyle w:val="References"/>
        </w:rPr>
        <w:t>of the Rules</w:t>
      </w:r>
      <w:r w:rsidRPr="006F4168">
        <w:rPr>
          <w:rStyle w:val="References"/>
        </w:rPr>
        <w:t>]</w:t>
      </w:r>
    </w:p>
    <w:p w14:paraId="5B5A2326" w14:textId="77777777" w:rsidR="00860455" w:rsidRDefault="00860455" w:rsidP="00860455">
      <w:pPr>
        <w:pStyle w:val="Normalparatextwithnumbers"/>
        <w:numPr>
          <w:ilvl w:val="1"/>
          <w:numId w:val="16"/>
        </w:numPr>
        <w:rPr>
          <w:rStyle w:val="References"/>
          <w:b w:val="0"/>
          <w:i w:val="0"/>
        </w:rPr>
      </w:pPr>
      <w:r w:rsidRPr="00FB0FE3">
        <w:rPr>
          <w:rStyle w:val="References"/>
          <w:b w:val="0"/>
          <w:i w:val="0"/>
        </w:rPr>
        <w:t xml:space="preserve">If the </w:t>
      </w:r>
      <w:r>
        <w:rPr>
          <w:rStyle w:val="References"/>
          <w:b w:val="0"/>
          <w:i w:val="0"/>
        </w:rPr>
        <w:t>d</w:t>
      </w:r>
      <w:r w:rsidRPr="00FB0FE3">
        <w:rPr>
          <w:rStyle w:val="References"/>
          <w:b w:val="0"/>
          <w:i w:val="0"/>
        </w:rPr>
        <w:t xml:space="preserve">eparting Constituent Entity had a GloBE Loss for a Fiscal Year, the Disposition Recapture Ratio for that year will be zero </w:t>
      </w:r>
      <w:r w:rsidRPr="00EB2D6C">
        <w:rPr>
          <w:rStyle w:val="References"/>
          <w:b w:val="0"/>
          <w:i w:val="0"/>
        </w:rPr>
        <w:t>and there will be no recapture amount for that Fiscal Year</w:t>
      </w:r>
      <w:r>
        <w:rPr>
          <w:rStyle w:val="References"/>
          <w:b w:val="0"/>
          <w:i w:val="0"/>
        </w:rPr>
        <w:t>.</w:t>
      </w:r>
    </w:p>
    <w:p w14:paraId="2C034C29" w14:textId="77777777" w:rsidR="00860455" w:rsidRPr="00E4506E" w:rsidRDefault="00860455" w:rsidP="00860455">
      <w:pPr>
        <w:pStyle w:val="Normalparatextwithnumbers"/>
        <w:numPr>
          <w:ilvl w:val="1"/>
          <w:numId w:val="16"/>
        </w:numPr>
        <w:rPr>
          <w:rStyle w:val="References"/>
          <w:b w:val="0"/>
          <w:i w:val="0"/>
        </w:rPr>
      </w:pPr>
      <w:r w:rsidRPr="005B48A2">
        <w:rPr>
          <w:rStyle w:val="References"/>
          <w:b w:val="0"/>
          <w:i w:val="0"/>
        </w:rPr>
        <w:t xml:space="preserve">If the </w:t>
      </w:r>
      <w:r>
        <w:rPr>
          <w:rStyle w:val="References"/>
          <w:b w:val="0"/>
          <w:i w:val="0"/>
        </w:rPr>
        <w:t>d</w:t>
      </w:r>
      <w:r w:rsidRPr="005B48A2">
        <w:rPr>
          <w:rStyle w:val="References"/>
          <w:b w:val="0"/>
          <w:i w:val="0"/>
        </w:rPr>
        <w:t xml:space="preserve">eparting Constituent Entity had a GloBE Loss in a Fiscal Year for which a Deemed Distribution Tax Recapture Account was established, that GloBE Loss and the account for that Fiscal Year is ignored in the computation of the Disposition Recapture Ratio because the account for that Fiscal Year was not attributable to </w:t>
      </w:r>
      <w:r>
        <w:rPr>
          <w:rStyle w:val="References"/>
          <w:b w:val="0"/>
          <w:i w:val="0"/>
        </w:rPr>
        <w:t>GloBE I</w:t>
      </w:r>
      <w:r w:rsidRPr="005B48A2">
        <w:rPr>
          <w:rStyle w:val="References"/>
          <w:b w:val="0"/>
          <w:i w:val="0"/>
        </w:rPr>
        <w:t xml:space="preserve">ncome of the </w:t>
      </w:r>
      <w:r>
        <w:rPr>
          <w:rStyle w:val="References"/>
          <w:b w:val="0"/>
          <w:i w:val="0"/>
        </w:rPr>
        <w:t>d</w:t>
      </w:r>
      <w:r w:rsidRPr="005B48A2">
        <w:rPr>
          <w:rStyle w:val="References"/>
          <w:b w:val="0"/>
          <w:i w:val="0"/>
        </w:rPr>
        <w:t>eparting Constituent Entity</w:t>
      </w:r>
      <w:r>
        <w:rPr>
          <w:rStyle w:val="References"/>
          <w:b w:val="0"/>
          <w:i w:val="0"/>
        </w:rPr>
        <w:t>.</w:t>
      </w:r>
    </w:p>
    <w:p w14:paraId="158D9531" w14:textId="77777777" w:rsidR="00860455" w:rsidRDefault="00860455" w:rsidP="00860455">
      <w:pPr>
        <w:pStyle w:val="Heading3"/>
        <w:rPr>
          <w:rFonts w:hint="eastAsia"/>
        </w:rPr>
      </w:pPr>
      <w:bookmarkStart w:id="257" w:name="_Toc181104549"/>
      <w:bookmarkStart w:id="258" w:name="_Toc183786679"/>
      <w:bookmarkStart w:id="259" w:name="_Toc185503022"/>
      <w:r>
        <w:rPr>
          <w:rFonts w:hint="eastAsia"/>
        </w:rPr>
        <w:t xml:space="preserve">ETR </w:t>
      </w:r>
      <w:r>
        <w:t>computation for Investment Entities</w:t>
      </w:r>
      <w:bookmarkEnd w:id="257"/>
      <w:bookmarkEnd w:id="258"/>
      <w:bookmarkEnd w:id="259"/>
    </w:p>
    <w:p w14:paraId="73A13989" w14:textId="1C0A5564" w:rsidR="00860455" w:rsidRDefault="00860455" w:rsidP="00860455">
      <w:pPr>
        <w:pStyle w:val="Normalparatextwithnumbers"/>
        <w:numPr>
          <w:ilvl w:val="1"/>
          <w:numId w:val="16"/>
        </w:numPr>
      </w:pPr>
      <w:bookmarkStart w:id="260" w:name="_Ref183778657"/>
      <w:r>
        <w:t>Part 7-4 of the Rules provide a mechanism for calculating the ETR of a controlled Investment Entity or Insurance Investment Entity that is not subject to an Investment Entity tax transparent election or a taxable distribution method election under Parts 7-5 and 7-6 of the Rules. The income of Investment Entities and Insurance Investment Entities is often subject to little or no tax at the entity level. Part 7-4 calculates the ETR and Top-up Tax of these Entities on a standalone basis to prevent an MNE Group from blending this low-taxed income with income of other Constituent Entities. Part 7-4 also seeks to ensure that minority investors are not subject to Top-up Tax on their interest in a low-taxed Investment Entity controlled by an MNE Group. It does so by calculating the ETR and Top-up Tax of a controlled Investment Entity only to the extent that the income is attributable to the MNE Group.</w:t>
      </w:r>
      <w:bookmarkEnd w:id="260"/>
    </w:p>
    <w:p w14:paraId="0B293A94" w14:textId="342ED7FC" w:rsidR="00860455" w:rsidRDefault="00860455" w:rsidP="00860455">
      <w:pPr>
        <w:pStyle w:val="Normalparatextwithnumbers"/>
        <w:numPr>
          <w:ilvl w:val="1"/>
          <w:numId w:val="16"/>
        </w:numPr>
      </w:pPr>
      <w:r w:rsidRPr="004539C6">
        <w:t xml:space="preserve">Investment entities and </w:t>
      </w:r>
      <w:r>
        <w:t>Insurance Investment E</w:t>
      </w:r>
      <w:r w:rsidRPr="004539C6">
        <w:t xml:space="preserve">ntities compute their </w:t>
      </w:r>
      <w:r>
        <w:t xml:space="preserve">ETR </w:t>
      </w:r>
      <w:r w:rsidRPr="004539C6">
        <w:t xml:space="preserve">separately from the MNE </w:t>
      </w:r>
      <w:r>
        <w:t>G</w:t>
      </w:r>
      <w:r w:rsidRPr="004539C6">
        <w:t xml:space="preserve">roup. Where there are multiple </w:t>
      </w:r>
      <w:r>
        <w:t>I</w:t>
      </w:r>
      <w:r w:rsidRPr="004539C6">
        <w:t xml:space="preserve">nvestment </w:t>
      </w:r>
      <w:r>
        <w:t>E</w:t>
      </w:r>
      <w:r w:rsidRPr="004539C6">
        <w:t xml:space="preserve">ntities within the MNE </w:t>
      </w:r>
      <w:r>
        <w:t>G</w:t>
      </w:r>
      <w:r w:rsidRPr="004539C6">
        <w:t xml:space="preserve">roup in the same jurisdiction, those </w:t>
      </w:r>
      <w:r>
        <w:t>I</w:t>
      </w:r>
      <w:r w:rsidRPr="004539C6">
        <w:t xml:space="preserve">nvestment </w:t>
      </w:r>
      <w:r>
        <w:t>E</w:t>
      </w:r>
      <w:r w:rsidRPr="004539C6">
        <w:t xml:space="preserve">ntities can combine the </w:t>
      </w:r>
      <w:r>
        <w:t>Adjusted Covered Taxes</w:t>
      </w:r>
      <w:r w:rsidRPr="004539C6">
        <w:t xml:space="preserve"> and GloBE </w:t>
      </w:r>
      <w:r>
        <w:t>I</w:t>
      </w:r>
      <w:r w:rsidRPr="004539C6">
        <w:t>ncome</w:t>
      </w:r>
      <w:r>
        <w:t xml:space="preserve"> or Loss</w:t>
      </w:r>
      <w:r w:rsidRPr="004539C6">
        <w:t xml:space="preserve"> to produce their </w:t>
      </w:r>
      <w:r>
        <w:t>ETR</w:t>
      </w:r>
      <w:r w:rsidRPr="004539C6">
        <w:t>.</w:t>
      </w:r>
      <w:r w:rsidR="00FF1B9D">
        <w:br/>
      </w:r>
      <w:r w:rsidR="00FF1B9D" w:rsidRPr="00FF1B9D">
        <w:rPr>
          <w:rStyle w:val="References"/>
        </w:rPr>
        <w:t>[Chapter 7, section 7</w:t>
      </w:r>
      <w:r w:rsidR="00FF1B9D" w:rsidRPr="00FF1B9D">
        <w:rPr>
          <w:rStyle w:val="References"/>
        </w:rPr>
        <w:noBreakHyphen/>
      </w:r>
      <w:r w:rsidR="00752697" w:rsidRPr="00FF1B9D">
        <w:rPr>
          <w:rStyle w:val="References"/>
        </w:rPr>
        <w:t>1</w:t>
      </w:r>
      <w:r w:rsidR="00752697">
        <w:rPr>
          <w:rStyle w:val="References"/>
        </w:rPr>
        <w:t>0</w:t>
      </w:r>
      <w:r w:rsidR="00752697" w:rsidRPr="00FF1B9D">
        <w:rPr>
          <w:rStyle w:val="References"/>
        </w:rPr>
        <w:t>5</w:t>
      </w:r>
      <w:r w:rsidR="00FF1B9D" w:rsidRPr="00FF1B9D">
        <w:rPr>
          <w:rStyle w:val="References"/>
        </w:rPr>
        <w:t xml:space="preserve"> of the Rules]</w:t>
      </w:r>
    </w:p>
    <w:p w14:paraId="47B8F258" w14:textId="77777777" w:rsidR="00860455" w:rsidRDefault="00860455" w:rsidP="00B7652D">
      <w:pPr>
        <w:pStyle w:val="Heading4"/>
        <w:keepNext w:val="0"/>
        <w:keepLines w:val="0"/>
        <w:numPr>
          <w:ilvl w:val="3"/>
          <w:numId w:val="2"/>
        </w:numPr>
      </w:pPr>
      <w:r>
        <w:t>Application</w:t>
      </w:r>
    </w:p>
    <w:p w14:paraId="1D35E4C0" w14:textId="5DAF6F91" w:rsidR="00860455" w:rsidRDefault="00860455" w:rsidP="00B7652D">
      <w:pPr>
        <w:pStyle w:val="Normalparatextwithnumbers"/>
        <w:numPr>
          <w:ilvl w:val="1"/>
          <w:numId w:val="16"/>
        </w:numPr>
        <w:ind w:left="706" w:hanging="706"/>
      </w:pPr>
      <w:r>
        <w:t xml:space="preserve">Investment Entities that are the UPE are excluded from the operation of the GloBE Model Rules because they are not ordinarily Constituent Entities of any MNE Group. However, the income of a controlled Investment Entity is consolidated with the MNE Group and brought within the GloBE Model Rules. Therefore, special rules are needed for controlled Investment Entities and </w:t>
      </w:r>
      <w:r>
        <w:lastRenderedPageBreak/>
        <w:t>Insurance Investment Entities</w:t>
      </w:r>
      <w:r w:rsidR="00687657">
        <w:t>, s</w:t>
      </w:r>
      <w:r w:rsidR="00295A41">
        <w:t>ee paragraph 73 on page 207</w:t>
      </w:r>
      <w:r w:rsidR="00210935">
        <w:t xml:space="preserve"> of the Consolidated Commentary.</w:t>
      </w:r>
    </w:p>
    <w:p w14:paraId="379557DE" w14:textId="63EF67D4" w:rsidR="00860455" w:rsidRPr="005032A3" w:rsidRDefault="00860455" w:rsidP="00860455">
      <w:pPr>
        <w:pStyle w:val="Normalparatextwithnumbers"/>
        <w:numPr>
          <w:ilvl w:val="1"/>
          <w:numId w:val="16"/>
        </w:numPr>
      </w:pPr>
      <w:r w:rsidRPr="005032A3">
        <w:t>Part 7-4 of the Rules applies in relation to an Insurance Investment Entity in the same way that it applies in relation to an Investment Entity.</w:t>
      </w:r>
      <w:r w:rsidRPr="005032A3">
        <w:br/>
      </w:r>
      <w:r w:rsidRPr="005032A3">
        <w:rPr>
          <w:rStyle w:val="References"/>
        </w:rPr>
        <w:t>[Chapter 7, subsection 7-8</w:t>
      </w:r>
      <w:r w:rsidR="007466AE">
        <w:rPr>
          <w:rStyle w:val="References"/>
        </w:rPr>
        <w:t>5</w:t>
      </w:r>
      <w:r w:rsidRPr="005032A3">
        <w:rPr>
          <w:rStyle w:val="References"/>
        </w:rPr>
        <w:t xml:space="preserve"> of the Rules]</w:t>
      </w:r>
      <w:r w:rsidRPr="005032A3">
        <w:rPr>
          <w:rStyle w:val="References"/>
          <w:b w:val="0"/>
          <w:bCs w:val="0"/>
          <w:i w:val="0"/>
          <w:iCs w:val="0"/>
        </w:rPr>
        <w:t xml:space="preserve"> </w:t>
      </w:r>
    </w:p>
    <w:p w14:paraId="7758A960" w14:textId="6685B8C0" w:rsidR="00860455" w:rsidRPr="005032A3" w:rsidRDefault="00860455" w:rsidP="00860455">
      <w:pPr>
        <w:pStyle w:val="Normalparatextwithnumbers"/>
        <w:numPr>
          <w:ilvl w:val="1"/>
          <w:numId w:val="16"/>
        </w:numPr>
      </w:pPr>
      <w:r w:rsidRPr="005032A3">
        <w:t xml:space="preserve">The rules contained in Part 3-5 of the Rules continue to apply to the income of Investment Entities </w:t>
      </w:r>
      <w:r>
        <w:t>t</w:t>
      </w:r>
      <w:r w:rsidRPr="005032A3">
        <w:t>hat are Tax Transparent Entities. In addition, Part 7-4 of the Rules does not apply to the portion of an Investment Entity’s income that is subject to an election under Part 7-5 or Part 7-6 of the Rules.</w:t>
      </w:r>
      <w:r w:rsidRPr="005032A3">
        <w:br/>
      </w:r>
      <w:r w:rsidRPr="005032A3">
        <w:rPr>
          <w:rStyle w:val="References"/>
        </w:rPr>
        <w:t>[Chapter 7, subsections 7-80(1) and (2) of the Rules]</w:t>
      </w:r>
      <w:r w:rsidRPr="005032A3">
        <w:rPr>
          <w:rStyle w:val="References"/>
          <w:b w:val="0"/>
          <w:bCs w:val="0"/>
          <w:i w:val="0"/>
          <w:iCs w:val="0"/>
        </w:rPr>
        <w:t xml:space="preserve"> </w:t>
      </w:r>
    </w:p>
    <w:p w14:paraId="1F66BDE4" w14:textId="3495CA64" w:rsidR="00860455" w:rsidRPr="005032A3" w:rsidRDefault="00070FFF" w:rsidP="00860455">
      <w:pPr>
        <w:pStyle w:val="Normalparatextwithnumbers"/>
        <w:numPr>
          <w:ilvl w:val="1"/>
          <w:numId w:val="16"/>
        </w:numPr>
      </w:pPr>
      <w:r w:rsidRPr="005032A3">
        <w:t xml:space="preserve">Part 7-4 </w:t>
      </w:r>
      <w:r>
        <w:t xml:space="preserve">of the Rules </w:t>
      </w:r>
      <w:r w:rsidRPr="005032A3">
        <w:t xml:space="preserve">only applies to a Constituent Entity of a MNE Group that is an Investment Entity </w:t>
      </w:r>
      <w:r>
        <w:t xml:space="preserve">that is </w:t>
      </w:r>
      <w:r w:rsidRPr="005032A3">
        <w:t xml:space="preserve">not a Tax Transparent Entity. </w:t>
      </w:r>
      <w:r w:rsidR="00860455" w:rsidRPr="005032A3">
        <w:t xml:space="preserve">Where an Investment Entity is a part Tax Transparent Entity </w:t>
      </w:r>
      <w:r>
        <w:t xml:space="preserve">or </w:t>
      </w:r>
      <w:r w:rsidR="00860455" w:rsidRPr="005032A3">
        <w:t>part Reverse Hybrid Entity, Part 7-4 of the Rules applies with respect to its income, expenditure, profit or loss to the extent that it is not fiscally transparent in the jurisdiction in which the owner is located. For example, if an Investment Entity is organised as a trust and taxable on its income that is not distributed to beneficiaries, Part 7-4 of the Rules applies to the extent the Investment Entity’s income is not distributed.</w:t>
      </w:r>
      <w:r w:rsidR="00860455" w:rsidRPr="005032A3">
        <w:br/>
      </w:r>
      <w:r w:rsidR="00860455" w:rsidRPr="005032A3">
        <w:rPr>
          <w:rStyle w:val="References"/>
        </w:rPr>
        <w:t xml:space="preserve">[Chapter </w:t>
      </w:r>
      <w:r w:rsidR="00860455">
        <w:rPr>
          <w:rStyle w:val="References"/>
        </w:rPr>
        <w:t>10</w:t>
      </w:r>
      <w:r w:rsidR="00860455" w:rsidRPr="005032A3">
        <w:rPr>
          <w:rStyle w:val="References"/>
        </w:rPr>
        <w:t xml:space="preserve">, section </w:t>
      </w:r>
      <w:r w:rsidR="00860455">
        <w:rPr>
          <w:rStyle w:val="References"/>
        </w:rPr>
        <w:t>10-</w:t>
      </w:r>
      <w:r w:rsidR="00A73229">
        <w:rPr>
          <w:rStyle w:val="References"/>
        </w:rPr>
        <w:t>4</w:t>
      </w:r>
      <w:r w:rsidR="00860455">
        <w:rPr>
          <w:rStyle w:val="References"/>
        </w:rPr>
        <w:t xml:space="preserve">0 </w:t>
      </w:r>
      <w:r w:rsidR="00860455" w:rsidRPr="005032A3">
        <w:rPr>
          <w:rStyle w:val="References"/>
        </w:rPr>
        <w:t>of the Rules]</w:t>
      </w:r>
      <w:r w:rsidR="00860455" w:rsidRPr="005032A3">
        <w:rPr>
          <w:rStyle w:val="References"/>
          <w:b w:val="0"/>
          <w:bCs w:val="0"/>
          <w:i w:val="0"/>
          <w:iCs w:val="0"/>
        </w:rPr>
        <w:t xml:space="preserve"> </w:t>
      </w:r>
    </w:p>
    <w:p w14:paraId="438F8A9A" w14:textId="77777777" w:rsidR="00860455" w:rsidRDefault="00860455" w:rsidP="00860455">
      <w:pPr>
        <w:pStyle w:val="Heading4"/>
        <w:numPr>
          <w:ilvl w:val="3"/>
          <w:numId w:val="2"/>
        </w:numPr>
      </w:pPr>
      <w:r>
        <w:t>Allocable Share of GloBE Income</w:t>
      </w:r>
    </w:p>
    <w:p w14:paraId="74C50751" w14:textId="6BDECBD0" w:rsidR="00860455" w:rsidRDefault="00860455" w:rsidP="00860455">
      <w:pPr>
        <w:pStyle w:val="Normalparatextwithnumbers"/>
        <w:numPr>
          <w:ilvl w:val="1"/>
          <w:numId w:val="16"/>
        </w:numPr>
      </w:pPr>
      <w:r>
        <w:t xml:space="preserve">To determine the MNE Group’s Allocable share of the Investment Entity’s GloBE Income or Loss for </w:t>
      </w:r>
      <w:r w:rsidR="00FA19ED">
        <w:t>a Fiscal Year is the</w:t>
      </w:r>
      <w:r>
        <w:t>:</w:t>
      </w:r>
    </w:p>
    <w:p w14:paraId="6DD7626C" w14:textId="2AE5B8A4" w:rsidR="00E71E21" w:rsidRDefault="00860455" w:rsidP="00B7652D">
      <w:pPr>
        <w:pStyle w:val="Dotpoint1"/>
      </w:pPr>
      <w:r>
        <w:t>Investment Entity’s GloBE Income or Loss</w:t>
      </w:r>
      <w:r w:rsidR="00E71E21">
        <w:t>;</w:t>
      </w:r>
      <w:r>
        <w:t xml:space="preserve"> </w:t>
      </w:r>
      <w:r w:rsidR="005661D9">
        <w:t>multiplied by the</w:t>
      </w:r>
    </w:p>
    <w:p w14:paraId="08179920" w14:textId="0FEB236B" w:rsidR="00860455" w:rsidRDefault="00E82147" w:rsidP="00B7652D">
      <w:pPr>
        <w:pStyle w:val="Dotpoint1"/>
      </w:pPr>
      <w:r w:rsidRPr="00E82147">
        <w:t>Inclu</w:t>
      </w:r>
      <w:r w:rsidR="00752CE3">
        <w:t>s</w:t>
      </w:r>
      <w:r w:rsidRPr="00E82147">
        <w:t>ion ratio of the UPE for the Investment Entity</w:t>
      </w:r>
      <w:r w:rsidR="005661D9">
        <w:t xml:space="preserve">. </w:t>
      </w:r>
      <w:r w:rsidR="00860455">
        <w:br/>
      </w:r>
      <w:r w:rsidR="00860455" w:rsidRPr="0095334B">
        <w:rPr>
          <w:rStyle w:val="References"/>
        </w:rPr>
        <w:t>[Chapter 7, subsection 7-1</w:t>
      </w:r>
      <w:r w:rsidR="00A73229">
        <w:rPr>
          <w:rStyle w:val="References"/>
        </w:rPr>
        <w:t>1</w:t>
      </w:r>
      <w:r w:rsidR="00860455" w:rsidDel="00A73229">
        <w:rPr>
          <w:rStyle w:val="References"/>
        </w:rPr>
        <w:t>0</w:t>
      </w:r>
      <w:r w:rsidR="00860455" w:rsidRPr="0095334B">
        <w:rPr>
          <w:rStyle w:val="References"/>
        </w:rPr>
        <w:t>(1)</w:t>
      </w:r>
      <w:r w:rsidR="00860455">
        <w:rPr>
          <w:rStyle w:val="References"/>
        </w:rPr>
        <w:t xml:space="preserve"> of the Rules</w:t>
      </w:r>
      <w:r w:rsidR="00860455" w:rsidRPr="0095334B">
        <w:rPr>
          <w:rStyle w:val="References"/>
        </w:rPr>
        <w:t>]</w:t>
      </w:r>
      <w:r w:rsidR="00860455">
        <w:t xml:space="preserve"> </w:t>
      </w:r>
    </w:p>
    <w:p w14:paraId="0C5A0B7D" w14:textId="19625C63" w:rsidR="00860455" w:rsidRDefault="00860455" w:rsidP="00860455">
      <w:pPr>
        <w:pStyle w:val="Normalparatextwithnumbers"/>
        <w:numPr>
          <w:ilvl w:val="1"/>
          <w:numId w:val="16"/>
        </w:numPr>
      </w:pPr>
      <w:r>
        <w:t xml:space="preserve">The MNE Group’s Allocable Share of the Investment Entity’s or Insurance Investment Entity’s GloBE Income or Loss must be calculated in a similar way as would have been determined by the UPE in accordance with section 2-15 of the Rules. </w:t>
      </w:r>
      <w:r w:rsidR="0007300C" w:rsidRPr="0007300C">
        <w:t>Given that the MNE Group’s Allocable GloBE Income or Loss extends to negative amounts, it is the absolute value that is reduced by any amounts held outside of the MNE Group.</w:t>
      </w:r>
    </w:p>
    <w:p w14:paraId="757769FD" w14:textId="480B9D74" w:rsidR="00860455" w:rsidRDefault="00860455" w:rsidP="00860455">
      <w:pPr>
        <w:pStyle w:val="Exampletext"/>
      </w:pPr>
      <w:r>
        <w:t xml:space="preserve">For example, assume </w:t>
      </w:r>
      <w:r w:rsidR="005F2823">
        <w:t xml:space="preserve">that </w:t>
      </w:r>
      <w:r>
        <w:t xml:space="preserve">IE1 has GloBE Loss of </w:t>
      </w:r>
      <w:r>
        <w:noBreakHyphen/>
        <w:t>100</w:t>
      </w:r>
      <w:r w:rsidR="005F2823">
        <w:t>, the UPE has an 80% interest in IE1 and a third party holds the remaining 20%</w:t>
      </w:r>
      <w:r>
        <w:t xml:space="preserve">. </w:t>
      </w:r>
      <w:r w:rsidR="005F2823">
        <w:t>T</w:t>
      </w:r>
      <w:r>
        <w:t>o determine the numerator for the inclusion ratio of the UPE of the MNE Group for IE1 th</w:t>
      </w:r>
      <w:r w:rsidR="00AE5178">
        <w:t xml:space="preserve">e GloBE Loss </w:t>
      </w:r>
      <w:r>
        <w:t xml:space="preserve"> is reduced by the amount of GloBE Loss attributed to the other owners. The numerator would be calculated as follows:</w:t>
      </w:r>
    </w:p>
    <w:p w14:paraId="0129F5DE" w14:textId="77777777" w:rsidR="00860455" w:rsidRDefault="00860455" w:rsidP="00860455">
      <w:pPr>
        <w:pStyle w:val="Exampletext"/>
      </w:pPr>
      <w:r>
        <w:lastRenderedPageBreak/>
        <w:t xml:space="preserve">Globe Loss of IE1 (-100) – GloBE Loss attributable to other owners of IE1 (-20) = -80  </w:t>
      </w:r>
    </w:p>
    <w:p w14:paraId="41C9E8F1" w14:textId="4FF51228" w:rsidR="00860455" w:rsidRPr="00E26CFB" w:rsidRDefault="00860455" w:rsidP="00860455">
      <w:pPr>
        <w:pStyle w:val="Normalparatextwithnumbers"/>
        <w:numPr>
          <w:ilvl w:val="1"/>
          <w:numId w:val="16"/>
        </w:numPr>
        <w:rPr>
          <w:rStyle w:val="References"/>
          <w:b w:val="0"/>
          <w:i w:val="0"/>
        </w:rPr>
      </w:pPr>
      <w:r>
        <w:t>The calculations of the MNE Group’s Allocable Share of the Investment Entity’s GloBE Income and Parent Entity’s Allocable Share of the Investment Entity’s GloBE Income take into account GloBE Income or Loss only to the extent it is attributable to Ownership Interests in the Investment Entity that are not subject to an election under Part 7-5 or Part 7-6 of the Rules</w:t>
      </w:r>
      <w:r w:rsidRPr="00167665">
        <w:t>.</w:t>
      </w:r>
      <w:r>
        <w:t xml:space="preserve"> By excluding GloBE Income or Loss attributable to Ownership Interests subject to an election under Parts 7-5 and 7-6 of the Rules, the ETR computation for the Investment Entity does not double count taxes that will be taken into account under those elections.</w:t>
      </w:r>
      <w:r>
        <w:br/>
      </w:r>
      <w:r w:rsidRPr="000C2963">
        <w:rPr>
          <w:rStyle w:val="References"/>
        </w:rPr>
        <w:t>[</w:t>
      </w:r>
      <w:r>
        <w:rPr>
          <w:rStyle w:val="References"/>
        </w:rPr>
        <w:t xml:space="preserve">Chapter 7, </w:t>
      </w:r>
      <w:r w:rsidR="008743C8">
        <w:rPr>
          <w:rStyle w:val="References"/>
        </w:rPr>
        <w:t>section 7</w:t>
      </w:r>
      <w:r w:rsidR="008743C8">
        <w:rPr>
          <w:rStyle w:val="References"/>
        </w:rPr>
        <w:noBreakHyphen/>
      </w:r>
      <w:r w:rsidR="00826A1C">
        <w:rPr>
          <w:rStyle w:val="References"/>
        </w:rPr>
        <w:t>90</w:t>
      </w:r>
      <w:r w:rsidR="008743C8">
        <w:rPr>
          <w:rStyle w:val="References"/>
        </w:rPr>
        <w:t xml:space="preserve"> and </w:t>
      </w:r>
      <w:r>
        <w:rPr>
          <w:rStyle w:val="References"/>
        </w:rPr>
        <w:t>subsection 7-1</w:t>
      </w:r>
      <w:r w:rsidR="00A73229">
        <w:rPr>
          <w:rStyle w:val="References"/>
        </w:rPr>
        <w:t>1</w:t>
      </w:r>
      <w:r w:rsidDel="00A73229">
        <w:rPr>
          <w:rStyle w:val="References"/>
        </w:rPr>
        <w:t>0</w:t>
      </w:r>
      <w:r>
        <w:rPr>
          <w:rStyle w:val="References"/>
        </w:rPr>
        <w:t>(3) of the Rules</w:t>
      </w:r>
      <w:r w:rsidRPr="000C2963">
        <w:rPr>
          <w:rStyle w:val="References"/>
        </w:rPr>
        <w:t xml:space="preserve">] </w:t>
      </w:r>
    </w:p>
    <w:p w14:paraId="0DCC7A15" w14:textId="77777777" w:rsidR="00860455" w:rsidRDefault="00860455" w:rsidP="00860455">
      <w:pPr>
        <w:pStyle w:val="Heading4"/>
        <w:numPr>
          <w:ilvl w:val="3"/>
          <w:numId w:val="2"/>
        </w:numPr>
      </w:pPr>
      <w:r>
        <w:t>Allocable Share of Top-up Tax of an Investment Entity</w:t>
      </w:r>
    </w:p>
    <w:p w14:paraId="787439CA" w14:textId="5C4EA701" w:rsidR="00860455" w:rsidRDefault="00860455" w:rsidP="00860455">
      <w:pPr>
        <w:pStyle w:val="Normalparatextwithnumbers"/>
        <w:numPr>
          <w:ilvl w:val="1"/>
          <w:numId w:val="16"/>
        </w:numPr>
      </w:pPr>
      <w:r>
        <w:t xml:space="preserve">When calculating the Allocable Share of Top-up Tax of an Investment Entity, a formula is used </w:t>
      </w:r>
      <w:r w:rsidRPr="00993DC6">
        <w:t xml:space="preserve">instead of what would otherwise be the Parent Entity’s Inclusion Ratio </w:t>
      </w:r>
      <w:r>
        <w:t xml:space="preserve">under Chapter 2. This is due to </w:t>
      </w:r>
      <w:r w:rsidRPr="00993DC6">
        <w:t>the adjustment for non-group ownership</w:t>
      </w:r>
      <w:r w:rsidRPr="000C734D">
        <w:t xml:space="preserve"> interests </w:t>
      </w:r>
      <w:r>
        <w:t xml:space="preserve">that </w:t>
      </w:r>
      <w:r w:rsidRPr="000C734D">
        <w:t>has already been made in the calculation of Top-up Tax under s</w:t>
      </w:r>
      <w:r>
        <w:t xml:space="preserve">ubsections </w:t>
      </w:r>
      <w:r w:rsidRPr="000C734D">
        <w:t>7-</w:t>
      </w:r>
      <w:r w:rsidR="0087241E">
        <w:t>10</w:t>
      </w:r>
      <w:r w:rsidRPr="000C734D">
        <w:t>5 and 7-1</w:t>
      </w:r>
      <w:r w:rsidR="0087241E">
        <w:t>1</w:t>
      </w:r>
      <w:r w:rsidRPr="000C734D" w:rsidDel="0087241E">
        <w:t>0</w:t>
      </w:r>
      <w:r w:rsidR="002750AE">
        <w:t xml:space="preserve"> of the Rules</w:t>
      </w:r>
      <w:r w:rsidRPr="000C734D">
        <w:t>.</w:t>
      </w:r>
      <w:r w:rsidRPr="00C65ACA">
        <w:t xml:space="preserve"> Therefore, there is no need </w:t>
      </w:r>
      <w:r>
        <w:t xml:space="preserve">make an additional </w:t>
      </w:r>
      <w:r w:rsidRPr="00C65ACA">
        <w:t xml:space="preserve">adjust for that </w:t>
      </w:r>
      <w:r>
        <w:t>non</w:t>
      </w:r>
      <w:r>
        <w:noBreakHyphen/>
      </w:r>
      <w:r w:rsidRPr="00C65ACA">
        <w:t>group ownership</w:t>
      </w:r>
      <w:r>
        <w:t xml:space="preserve"> as it would lead to double counting.</w:t>
      </w:r>
    </w:p>
    <w:p w14:paraId="1DD9E323" w14:textId="6517B4B3" w:rsidR="00860455" w:rsidRPr="005032A3" w:rsidRDefault="00860455" w:rsidP="00860455">
      <w:pPr>
        <w:pStyle w:val="Normalparatextwithnumbers"/>
        <w:numPr>
          <w:ilvl w:val="1"/>
          <w:numId w:val="16"/>
        </w:numPr>
      </w:pPr>
      <w:r w:rsidRPr="005032A3">
        <w:t>Where a</w:t>
      </w:r>
      <w:r>
        <w:t xml:space="preserve"> LTCE </w:t>
      </w:r>
      <w:r w:rsidRPr="005032A3">
        <w:t xml:space="preserve">is an Investment Entity, the </w:t>
      </w:r>
      <w:r>
        <w:t xml:space="preserve">Inclusion Ratio must be adjusted when </w:t>
      </w:r>
      <w:r w:rsidRPr="005032A3">
        <w:t xml:space="preserve">computing a Parent Entity’s Allocable Share of top-up tax for that </w:t>
      </w:r>
      <w:r>
        <w:t>LTCE</w:t>
      </w:r>
      <w:r w:rsidRPr="005032A3">
        <w:t xml:space="preserve">. </w:t>
      </w:r>
      <w:r>
        <w:t xml:space="preserve">This adjustment </w:t>
      </w:r>
      <w:r w:rsidRPr="005032A3">
        <w:t>account</w:t>
      </w:r>
      <w:r>
        <w:t>s</w:t>
      </w:r>
      <w:r w:rsidRPr="005032A3">
        <w:t xml:space="preserve"> for the fact that the top-up tax computed for the </w:t>
      </w:r>
      <w:r>
        <w:t xml:space="preserve">LTCE </w:t>
      </w:r>
      <w:r w:rsidRPr="005032A3">
        <w:t>in accordance with section 7-</w:t>
      </w:r>
      <w:r w:rsidR="00586541">
        <w:t>100</w:t>
      </w:r>
      <w:r w:rsidRPr="005032A3">
        <w:t xml:space="preserve"> of the Rules has, in effect, already been reduced by the amount that would have been attributable to other owners that are not Group Entities.</w:t>
      </w:r>
      <w:r w:rsidRPr="005032A3">
        <w:br/>
      </w:r>
      <w:r w:rsidRPr="00CD3F05">
        <w:rPr>
          <w:rStyle w:val="References"/>
        </w:rPr>
        <w:t>[Chapter 7, section 7-</w:t>
      </w:r>
      <w:r w:rsidR="00826A1C">
        <w:rPr>
          <w:rStyle w:val="References"/>
        </w:rPr>
        <w:t>9</w:t>
      </w:r>
      <w:r>
        <w:rPr>
          <w:rStyle w:val="References"/>
        </w:rPr>
        <w:t xml:space="preserve">5 </w:t>
      </w:r>
      <w:r w:rsidRPr="00CD3F05">
        <w:rPr>
          <w:rStyle w:val="References"/>
        </w:rPr>
        <w:t>of the Rules]</w:t>
      </w:r>
      <w:r w:rsidRPr="005032A3">
        <w:rPr>
          <w:rStyle w:val="References"/>
          <w:b w:val="0"/>
          <w:bCs w:val="0"/>
          <w:i w:val="0"/>
          <w:iCs w:val="0"/>
        </w:rPr>
        <w:t xml:space="preserve">  </w:t>
      </w:r>
      <w:r w:rsidRPr="005032A3">
        <w:t xml:space="preserve"> </w:t>
      </w:r>
    </w:p>
    <w:p w14:paraId="4AEB66CB" w14:textId="7CDE1B07" w:rsidR="00860455" w:rsidRDefault="00860455" w:rsidP="00860455">
      <w:pPr>
        <w:pStyle w:val="Normalparatextwithnumbers"/>
        <w:numPr>
          <w:ilvl w:val="1"/>
          <w:numId w:val="16"/>
        </w:numPr>
      </w:pPr>
      <w:r>
        <w:t xml:space="preserve">The allocable share </w:t>
      </w:r>
      <w:r w:rsidR="00193AFC">
        <w:t xml:space="preserve">for a Parent Entity </w:t>
      </w:r>
      <w:r>
        <w:t xml:space="preserve">is computed in accordance with the following formula: </w:t>
      </w:r>
    </w:p>
    <w:p w14:paraId="7098CD5F" w14:textId="18DB4B41" w:rsidR="007B3198" w:rsidRDefault="007B3198" w:rsidP="00FB7B96">
      <w:pPr>
        <w:pStyle w:val="Normalparatextwithnumbers"/>
        <w:numPr>
          <w:ilvl w:val="0"/>
          <w:numId w:val="0"/>
        </w:numPr>
      </w:pPr>
      <w:r w:rsidRPr="007B3198">
        <w:rPr>
          <w:noProof/>
        </w:rPr>
        <w:drawing>
          <wp:inline distT="0" distB="0" distL="0" distR="0" wp14:anchorId="6A8F29D2" wp14:editId="3B62C924">
            <wp:extent cx="4895850" cy="666750"/>
            <wp:effectExtent l="0" t="0" r="0" b="0"/>
            <wp:docPr id="1709154358" name="Picture 32" descr="Formula for the allocable share for a Parent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54358" name="Picture 32" descr="Formula for the allocable share for a Parent Entity"/>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895850" cy="666750"/>
                    </a:xfrm>
                    <a:prstGeom prst="rect">
                      <a:avLst/>
                    </a:prstGeom>
                    <a:noFill/>
                    <a:ln>
                      <a:noFill/>
                    </a:ln>
                  </pic:spPr>
                </pic:pic>
              </a:graphicData>
            </a:graphic>
          </wp:inline>
        </w:drawing>
      </w:r>
    </w:p>
    <w:p w14:paraId="48B3266C" w14:textId="1AA966D6" w:rsidR="0061744A" w:rsidRPr="0061744A" w:rsidRDefault="0061744A" w:rsidP="0061744A">
      <w:pPr>
        <w:pStyle w:val="Normalparatextwithnumbers"/>
        <w:numPr>
          <w:ilvl w:val="0"/>
          <w:numId w:val="0"/>
        </w:numPr>
        <w:ind w:left="709"/>
        <w:rPr>
          <w:rStyle w:val="References"/>
        </w:rPr>
      </w:pPr>
      <w:r w:rsidRPr="0061744A">
        <w:rPr>
          <w:rStyle w:val="References"/>
        </w:rPr>
        <w:t>[Chapter 7, section 7-</w:t>
      </w:r>
      <w:r w:rsidR="00BF67ED">
        <w:rPr>
          <w:rStyle w:val="References"/>
        </w:rPr>
        <w:t>95</w:t>
      </w:r>
      <w:r w:rsidRPr="0061744A">
        <w:rPr>
          <w:rStyle w:val="References"/>
        </w:rPr>
        <w:t xml:space="preserve"> of the Rules]</w:t>
      </w:r>
    </w:p>
    <w:p w14:paraId="1D1514D9" w14:textId="20647397" w:rsidR="00860455" w:rsidRDefault="00860455" w:rsidP="00860455">
      <w:pPr>
        <w:pStyle w:val="Normalparatextwithnumbers"/>
        <w:numPr>
          <w:ilvl w:val="1"/>
          <w:numId w:val="16"/>
        </w:numPr>
      </w:pPr>
      <w:r>
        <w:t xml:space="preserve">The numerator refers to the limited inclusion ratio, which refers to only the direct Ownership Interest the Parent Entity has in the Investment Entity. The allocable share is computed for each individual Investment Entity or Insurance Investment Entity and are not aggregated as it is for the ETR computation. </w:t>
      </w:r>
    </w:p>
    <w:p w14:paraId="4CCD8B11" w14:textId="3AC6E9C9" w:rsidR="00860455" w:rsidRDefault="00860455" w:rsidP="003D5E49">
      <w:pPr>
        <w:pStyle w:val="Exampletext"/>
      </w:pPr>
      <w:r w:rsidRPr="005032A3">
        <w:t xml:space="preserve">For example, assume a </w:t>
      </w:r>
      <w:r w:rsidR="003D5E49">
        <w:t xml:space="preserve">Parent Entity </w:t>
      </w:r>
      <w:r w:rsidRPr="005032A3">
        <w:t>owns 90</w:t>
      </w:r>
      <w:r w:rsidR="003D5E49">
        <w:t xml:space="preserve">% </w:t>
      </w:r>
      <w:r w:rsidRPr="005032A3">
        <w:t xml:space="preserve">of the Ownership Interests of an Investment Entity and the remaining </w:t>
      </w:r>
      <w:r w:rsidR="003D5E49">
        <w:t xml:space="preserve">10% </w:t>
      </w:r>
      <w:r w:rsidRPr="005032A3">
        <w:lastRenderedPageBreak/>
        <w:t xml:space="preserve">Ownership Interests are held by </w:t>
      </w:r>
      <w:r w:rsidR="003D5E49">
        <w:t>non</w:t>
      </w:r>
      <w:r w:rsidR="003D5E49">
        <w:noBreakHyphen/>
      </w:r>
      <w:r w:rsidRPr="005032A3">
        <w:t xml:space="preserve">Group Entities. The Investment Entity earns 100 of GloBE </w:t>
      </w:r>
      <w:r>
        <w:t>I</w:t>
      </w:r>
      <w:r w:rsidRPr="005032A3">
        <w:t xml:space="preserve">ncome for the Fiscal Year and has no Covered Taxes. </w:t>
      </w:r>
      <w:r w:rsidR="003D5E49">
        <w:t>The total amount of top</w:t>
      </w:r>
      <w:r w:rsidR="003D5E49">
        <w:noBreakHyphen/>
        <w:t xml:space="preserve">up tax is </w:t>
      </w:r>
      <w:r w:rsidRPr="005032A3">
        <w:t>13.5</w:t>
      </w:r>
      <w:r w:rsidR="003D5E49">
        <w:t xml:space="preserve"> (1</w:t>
      </w:r>
      <w:r w:rsidR="000E2128">
        <w:t>5% x 90).</w:t>
      </w:r>
      <w:r w:rsidRPr="005032A3">
        <w:t xml:space="preserve"> The Parent Entity’s Inclusion Ratio is 1.0 and thus the Parent Entity is allocated all 13.5 of the Investment Entity’s top-up tax.</w:t>
      </w:r>
    </w:p>
    <w:p w14:paraId="045CFAE6" w14:textId="77777777" w:rsidR="00860455" w:rsidRDefault="00860455" w:rsidP="00860455">
      <w:pPr>
        <w:pStyle w:val="Heading5"/>
        <w:numPr>
          <w:ilvl w:val="4"/>
          <w:numId w:val="2"/>
        </w:numPr>
      </w:pPr>
      <w:r w:rsidRPr="0035793F">
        <w:t xml:space="preserve">Top-up </w:t>
      </w:r>
      <w:r>
        <w:t>t</w:t>
      </w:r>
      <w:r w:rsidRPr="0035793F">
        <w:t>ax of Investment Entities</w:t>
      </w:r>
      <w:r>
        <w:t xml:space="preserve"> </w:t>
      </w:r>
    </w:p>
    <w:p w14:paraId="7E11F65C" w14:textId="096FBA6C" w:rsidR="00860455" w:rsidRPr="005032A3" w:rsidRDefault="00860455" w:rsidP="00860455">
      <w:pPr>
        <w:pStyle w:val="Normalparatextwithnumbers"/>
        <w:numPr>
          <w:ilvl w:val="1"/>
          <w:numId w:val="16"/>
        </w:numPr>
      </w:pPr>
      <w:r w:rsidRPr="005032A3">
        <w:t>Special rules apply for computing the top-up tax for Investment Entit</w:t>
      </w:r>
      <w:r w:rsidR="007F2F5B">
        <w:t>ies and Insurance Investment Entities</w:t>
      </w:r>
      <w:r w:rsidRPr="005032A3">
        <w:t>. These rules are designed to ensure that top</w:t>
      </w:r>
      <w:r w:rsidR="007F2F5B">
        <w:noBreakHyphen/>
      </w:r>
      <w:r w:rsidRPr="005032A3">
        <w:t>up tax arises only with respect to the MNE Group’s</w:t>
      </w:r>
      <w:r w:rsidR="007F2F5B">
        <w:t xml:space="preserve"> ownership</w:t>
      </w:r>
      <w:r w:rsidRPr="005032A3">
        <w:t xml:space="preserve"> interest in the Investment Entity</w:t>
      </w:r>
      <w:r w:rsidR="007F2F5B">
        <w:t xml:space="preserve">. </w:t>
      </w:r>
    </w:p>
    <w:p w14:paraId="46566BD4" w14:textId="0FAA1FAD" w:rsidR="007F2F5B" w:rsidRPr="00B9302C" w:rsidRDefault="007F2F5B" w:rsidP="007F2F5B">
      <w:pPr>
        <w:pStyle w:val="Normalparatextwithnumbers"/>
        <w:numPr>
          <w:ilvl w:val="1"/>
          <w:numId w:val="16"/>
        </w:numPr>
      </w:pPr>
      <w:r>
        <w:t>Investment Entities must compute a separate ETR to</w:t>
      </w:r>
      <w:r w:rsidRPr="00B9302C">
        <w:t xml:space="preserve"> any other Constituent Entities in the same jurisdiction</w:t>
      </w:r>
      <w:r>
        <w:t xml:space="preserve">. This is achieved by treating the Investment Entities as the only </w:t>
      </w:r>
      <w:r w:rsidRPr="005C770C">
        <w:rPr>
          <w:rStyle w:val="References"/>
          <w:b w:val="0"/>
          <w:bCs w:val="0"/>
          <w:i w:val="0"/>
          <w:iCs w:val="0"/>
        </w:rPr>
        <w:t>Constituent Entities of the MNE Group</w:t>
      </w:r>
      <w:r>
        <w:rPr>
          <w:rStyle w:val="References"/>
          <w:b w:val="0"/>
          <w:bCs w:val="0"/>
          <w:i w:val="0"/>
          <w:iCs w:val="0"/>
        </w:rPr>
        <w:t xml:space="preserve">. </w:t>
      </w:r>
      <w:r>
        <w:t>This approach avoids blending</w:t>
      </w:r>
      <w:r w:rsidRPr="00B9302C">
        <w:t xml:space="preserve"> the GloBE Income or Loss and Covered Taxes </w:t>
      </w:r>
      <w:r>
        <w:t xml:space="preserve">of Investment Entities </w:t>
      </w:r>
      <w:r w:rsidRPr="00B9302C">
        <w:t xml:space="preserve">with other Constituent Entities in the jurisdiction. However, if the MNE Group owns interests in multiple Investment Entities located in the same jurisdiction, a single </w:t>
      </w:r>
      <w:r>
        <w:t xml:space="preserve">ETR </w:t>
      </w:r>
      <w:r w:rsidRPr="00B9302C">
        <w:t xml:space="preserve">is computed for all </w:t>
      </w:r>
      <w:r>
        <w:t xml:space="preserve">Investment </w:t>
      </w:r>
      <w:r w:rsidRPr="00B9302C">
        <w:t xml:space="preserve">Entities </w:t>
      </w:r>
      <w:r>
        <w:t xml:space="preserve">or Insurance Investment Entities </w:t>
      </w:r>
      <w:r w:rsidRPr="00B9302C">
        <w:t>in the jurisdiction.</w:t>
      </w:r>
      <w:r w:rsidRPr="007F2F5B">
        <w:rPr>
          <w:rStyle w:val="References"/>
          <w:b w:val="0"/>
          <w:bCs w:val="0"/>
          <w:i w:val="0"/>
          <w:iCs w:val="0"/>
        </w:rPr>
        <w:t xml:space="preserve"> </w:t>
      </w:r>
      <w:r>
        <w:rPr>
          <w:rStyle w:val="References"/>
          <w:b w:val="0"/>
          <w:bCs w:val="0"/>
          <w:i w:val="0"/>
          <w:iCs w:val="0"/>
        </w:rPr>
        <w:br/>
      </w:r>
      <w:r w:rsidRPr="00B9302C">
        <w:rPr>
          <w:rStyle w:val="References"/>
        </w:rPr>
        <w:t>[Chapter 7, section 7-</w:t>
      </w:r>
      <w:r w:rsidR="00826A1C">
        <w:rPr>
          <w:rStyle w:val="References"/>
        </w:rPr>
        <w:t>10</w:t>
      </w:r>
      <w:r w:rsidRPr="00B9302C">
        <w:rPr>
          <w:rStyle w:val="References"/>
        </w:rPr>
        <w:t>0 of the Rules]</w:t>
      </w:r>
    </w:p>
    <w:p w14:paraId="7C73705D" w14:textId="3E88F12E" w:rsidR="007F2F5B" w:rsidRPr="00FB4920" w:rsidRDefault="007F2F5B" w:rsidP="007F2F5B">
      <w:pPr>
        <w:pStyle w:val="Normalparatextwithnumbers"/>
        <w:numPr>
          <w:ilvl w:val="1"/>
          <w:numId w:val="16"/>
        </w:numPr>
        <w:rPr>
          <w:rStyle w:val="References"/>
          <w:b w:val="0"/>
          <w:bCs w:val="0"/>
          <w:i w:val="0"/>
          <w:iCs w:val="0"/>
        </w:rPr>
      </w:pPr>
      <w:r>
        <w:t>T</w:t>
      </w:r>
      <w:r w:rsidRPr="00B9302C">
        <w:t xml:space="preserve">he </w:t>
      </w:r>
      <w:r>
        <w:t>ETR</w:t>
      </w:r>
      <w:r w:rsidRPr="00B9302C">
        <w:t xml:space="preserve"> </w:t>
      </w:r>
      <w:r>
        <w:t xml:space="preserve">calculation for Investment Entities </w:t>
      </w:r>
      <w:r w:rsidRPr="00B9302C">
        <w:t xml:space="preserve">of the MNE Group for the jurisdiction </w:t>
      </w:r>
      <w:r>
        <w:t>operates similarly to the ordinary ETR calculation, by taking the Adjusted Covered Taxes</w:t>
      </w:r>
      <w:r w:rsidRPr="00B9302C">
        <w:t xml:space="preserve"> of each Investment Entity located in the jurisdiction divided by the sum of the MNE Group’s Allocable Share of the Investment Entity’s GloBE Income for each </w:t>
      </w:r>
      <w:r>
        <w:t>Investment</w:t>
      </w:r>
      <w:r w:rsidRPr="00B9302C">
        <w:t xml:space="preserve"> Entity located in the jurisdiction.</w:t>
      </w:r>
      <w:r w:rsidRPr="00B9302C">
        <w:br/>
      </w:r>
      <w:r w:rsidRPr="00B9302C">
        <w:rPr>
          <w:rStyle w:val="References"/>
        </w:rPr>
        <w:t>[Chapter 7, subsection 7-</w:t>
      </w:r>
      <w:r w:rsidR="00826A1C">
        <w:rPr>
          <w:rStyle w:val="References"/>
        </w:rPr>
        <w:t>10</w:t>
      </w:r>
      <w:r w:rsidRPr="00B9302C">
        <w:rPr>
          <w:rStyle w:val="References"/>
        </w:rPr>
        <w:t>5(2) of the Rules]</w:t>
      </w:r>
    </w:p>
    <w:p w14:paraId="3D9DD724" w14:textId="1257688B" w:rsidR="008743C8" w:rsidRPr="00B9302C" w:rsidRDefault="008743C8" w:rsidP="008743C8">
      <w:pPr>
        <w:pStyle w:val="Normalparatextwithnumbers"/>
        <w:numPr>
          <w:ilvl w:val="1"/>
          <w:numId w:val="16"/>
        </w:numPr>
      </w:pPr>
      <w:r w:rsidRPr="00B9302C">
        <w:t xml:space="preserve">An Investment Entity’s </w:t>
      </w:r>
      <w:r>
        <w:t>Adjusted Covered Taxes</w:t>
      </w:r>
      <w:r w:rsidRPr="00B9302C">
        <w:t xml:space="preserve"> is calculated as the sum of Covered Taxes accrued by the Investment Entity pursuant to Part 4-1 of the Rules and the Covered Taxes accrued by its Constituent Entity-owners allocable to the Investment Entity pursuant to Part 4-3 of the Rules. The Covered Taxes paid by the Investment Entity are only those that correspond to the MNE Group’s Allocable Share of the Investment Entity’s GloBE Income. The Covered Taxes accrued by Constituent Entity-owners taken into account are only those that arise with respect to their share of the Investment Entity’s income.</w:t>
      </w:r>
      <w:r w:rsidRPr="00B9302C">
        <w:br/>
      </w:r>
      <w:r w:rsidRPr="00003556">
        <w:rPr>
          <w:rStyle w:val="References"/>
        </w:rPr>
        <w:t>[Chapter 7, subsections 7-</w:t>
      </w:r>
      <w:r w:rsidR="00826A1C">
        <w:rPr>
          <w:rStyle w:val="References"/>
        </w:rPr>
        <w:t>10</w:t>
      </w:r>
      <w:r w:rsidRPr="00003556">
        <w:rPr>
          <w:rStyle w:val="References"/>
        </w:rPr>
        <w:t>5(3) and (4) of the Rules]</w:t>
      </w:r>
      <w:r w:rsidRPr="00B9302C">
        <w:rPr>
          <w:rStyle w:val="References"/>
          <w:b w:val="0"/>
          <w:bCs w:val="0"/>
          <w:i w:val="0"/>
          <w:iCs w:val="0"/>
        </w:rPr>
        <w:t xml:space="preserve"> </w:t>
      </w:r>
    </w:p>
    <w:p w14:paraId="4F389F69" w14:textId="4CEF3275" w:rsidR="008743C8" w:rsidRDefault="008743C8" w:rsidP="008743C8">
      <w:pPr>
        <w:pStyle w:val="Normalparatextwithnumbers"/>
        <w:numPr>
          <w:ilvl w:val="1"/>
          <w:numId w:val="16"/>
        </w:numPr>
      </w:pPr>
      <w:r>
        <w:t>In computing th</w:t>
      </w:r>
      <w:r w:rsidR="00860455" w:rsidRPr="005032A3">
        <w:t xml:space="preserve">e top-up tax of </w:t>
      </w:r>
      <w:r w:rsidR="007F2F5B">
        <w:t xml:space="preserve">Investment Entities and Insurance Investment Entities </w:t>
      </w:r>
      <w:r w:rsidR="00860455" w:rsidRPr="005032A3">
        <w:t>for the Fiscal Year</w:t>
      </w:r>
      <w:r>
        <w:t xml:space="preserve">, the </w:t>
      </w:r>
      <w:r w:rsidR="00860455" w:rsidRPr="005032A3">
        <w:t>calculat</w:t>
      </w:r>
      <w:r>
        <w:t>ions under</w:t>
      </w:r>
      <w:r w:rsidR="00860455" w:rsidRPr="005032A3">
        <w:t xml:space="preserve"> </w:t>
      </w:r>
      <w:r w:rsidR="007F2F5B">
        <w:t xml:space="preserve">Chapter 5 </w:t>
      </w:r>
      <w:r w:rsidR="00860455" w:rsidRPr="005032A3">
        <w:t>of the Rules</w:t>
      </w:r>
      <w:r>
        <w:t xml:space="preserve"> continue to apply by: </w:t>
      </w:r>
    </w:p>
    <w:p w14:paraId="064465DF" w14:textId="08543E2C" w:rsidR="008743C8" w:rsidRDefault="008743C8" w:rsidP="00B07214">
      <w:pPr>
        <w:pStyle w:val="Dotpoint1"/>
      </w:pPr>
      <w:r>
        <w:t xml:space="preserve">firstly, computing </w:t>
      </w:r>
      <w:r w:rsidRPr="008743C8">
        <w:t xml:space="preserve">the top-up tax percentage for the Investment Entity </w:t>
      </w:r>
      <w:r>
        <w:t xml:space="preserve">in accordance with </w:t>
      </w:r>
      <w:r w:rsidRPr="008743C8">
        <w:t>section 5-20 of the Rules</w:t>
      </w:r>
      <w:r>
        <w:t xml:space="preserve">; </w:t>
      </w:r>
    </w:p>
    <w:p w14:paraId="4A569265" w14:textId="77777777" w:rsidR="008743C8" w:rsidRDefault="008743C8" w:rsidP="00B07214">
      <w:pPr>
        <w:pStyle w:val="Dotpoint1"/>
      </w:pPr>
      <w:r>
        <w:lastRenderedPageBreak/>
        <w:t xml:space="preserve">then, </w:t>
      </w:r>
      <w:r w:rsidRPr="005032A3">
        <w:t>the Investment Entity’s Substance-based Income Exclusion is deducted from the MNE Group’s Allocable Share of the Investment Entity’s GloBE Income</w:t>
      </w:r>
      <w:r>
        <w:t xml:space="preserve">;  </w:t>
      </w:r>
    </w:p>
    <w:p w14:paraId="526A6E20" w14:textId="19BEEC22" w:rsidR="008743C8" w:rsidRDefault="008743C8" w:rsidP="00B07214">
      <w:pPr>
        <w:pStyle w:val="Dotpoint1"/>
        <w:rPr>
          <w:rStyle w:val="References"/>
          <w:b w:val="0"/>
          <w:bCs w:val="0"/>
          <w:i w:val="0"/>
          <w:iCs w:val="0"/>
        </w:rPr>
      </w:pPr>
      <w:r>
        <w:t>finally, the top</w:t>
      </w:r>
      <w:r>
        <w:noBreakHyphen/>
        <w:t>up tax is computed by multiplying the top</w:t>
      </w:r>
      <w:r>
        <w:noBreakHyphen/>
        <w:t>up tax percentage by t</w:t>
      </w:r>
      <w:r w:rsidRPr="005032A3">
        <w:t xml:space="preserve">he excess of the MNE Group’s Allocable Share of the Investment Entity’s </w:t>
      </w:r>
      <w:r>
        <w:t>GloBE I</w:t>
      </w:r>
      <w:r w:rsidRPr="005032A3">
        <w:t xml:space="preserve">ncome over </w:t>
      </w:r>
      <w:r>
        <w:t xml:space="preserve">the </w:t>
      </w:r>
      <w:r w:rsidRPr="005032A3">
        <w:t xml:space="preserve">Substance-based Income Exclusion. </w:t>
      </w:r>
      <w:r w:rsidRPr="005032A3">
        <w:br/>
      </w:r>
      <w:r w:rsidRPr="00E26CFB">
        <w:rPr>
          <w:rStyle w:val="References"/>
        </w:rPr>
        <w:t>[Chapter 7, section 7-</w:t>
      </w:r>
      <w:r w:rsidR="00495D94">
        <w:rPr>
          <w:rStyle w:val="References"/>
        </w:rPr>
        <w:t>10</w:t>
      </w:r>
      <w:r w:rsidRPr="00E26CFB">
        <w:rPr>
          <w:rStyle w:val="References"/>
        </w:rPr>
        <w:t>0, and subsection 7-</w:t>
      </w:r>
      <w:r w:rsidR="00495D94">
        <w:rPr>
          <w:rStyle w:val="References"/>
        </w:rPr>
        <w:t>10</w:t>
      </w:r>
      <w:r w:rsidRPr="00E26CFB">
        <w:rPr>
          <w:rStyle w:val="References"/>
        </w:rPr>
        <w:t>5(1) of the Rules]</w:t>
      </w:r>
      <w:r w:rsidRPr="005032A3">
        <w:rPr>
          <w:rStyle w:val="References"/>
          <w:b w:val="0"/>
          <w:bCs w:val="0"/>
          <w:i w:val="0"/>
          <w:iCs w:val="0"/>
        </w:rPr>
        <w:t xml:space="preserve"> </w:t>
      </w:r>
    </w:p>
    <w:p w14:paraId="4F2DA447" w14:textId="1D9C9E5D" w:rsidR="00860455" w:rsidRPr="005032A3" w:rsidRDefault="008743C8" w:rsidP="00860455">
      <w:pPr>
        <w:pStyle w:val="Normalparatextwithnumbers"/>
        <w:numPr>
          <w:ilvl w:val="1"/>
          <w:numId w:val="16"/>
        </w:numPr>
      </w:pPr>
      <w:r>
        <w:rPr>
          <w:rStyle w:val="References"/>
          <w:b w:val="0"/>
          <w:bCs w:val="0"/>
          <w:i w:val="0"/>
          <w:iCs w:val="0"/>
        </w:rPr>
        <w:t>T</w:t>
      </w:r>
      <w:r w:rsidR="00860455" w:rsidRPr="005C770C">
        <w:rPr>
          <w:rStyle w:val="References"/>
          <w:b w:val="0"/>
          <w:bCs w:val="0"/>
          <w:i w:val="0"/>
          <w:iCs w:val="0"/>
        </w:rPr>
        <w:t xml:space="preserve">he deeming rule in </w:t>
      </w:r>
      <w:r w:rsidR="001E1CB7">
        <w:rPr>
          <w:rStyle w:val="References"/>
          <w:b w:val="0"/>
          <w:bCs w:val="0"/>
          <w:i w:val="0"/>
          <w:iCs w:val="0"/>
        </w:rPr>
        <w:t>paragraph</w:t>
      </w:r>
      <w:r w:rsidR="001E1CB7" w:rsidRPr="005C770C">
        <w:rPr>
          <w:rStyle w:val="References"/>
          <w:b w:val="0"/>
          <w:bCs w:val="0"/>
          <w:i w:val="0"/>
          <w:iCs w:val="0"/>
        </w:rPr>
        <w:t xml:space="preserve"> </w:t>
      </w:r>
      <w:r w:rsidR="00860455" w:rsidRPr="005C770C">
        <w:rPr>
          <w:rStyle w:val="References"/>
          <w:b w:val="0"/>
          <w:bCs w:val="0"/>
          <w:i w:val="0"/>
          <w:iCs w:val="0"/>
        </w:rPr>
        <w:t>7-</w:t>
      </w:r>
      <w:r w:rsidR="003007D8">
        <w:rPr>
          <w:rStyle w:val="References"/>
          <w:b w:val="0"/>
          <w:bCs w:val="0"/>
          <w:i w:val="0"/>
          <w:iCs w:val="0"/>
        </w:rPr>
        <w:t>10</w:t>
      </w:r>
      <w:r w:rsidR="003007D8" w:rsidRPr="005C770C">
        <w:rPr>
          <w:rStyle w:val="References"/>
          <w:b w:val="0"/>
          <w:bCs w:val="0"/>
          <w:i w:val="0"/>
          <w:iCs w:val="0"/>
        </w:rPr>
        <w:t>0</w:t>
      </w:r>
      <w:r w:rsidR="00860455" w:rsidRPr="005C770C">
        <w:rPr>
          <w:rStyle w:val="References"/>
          <w:b w:val="0"/>
          <w:bCs w:val="0"/>
          <w:i w:val="0"/>
          <w:iCs w:val="0"/>
        </w:rPr>
        <w:t xml:space="preserve">(1)(a) does not affect the operation of Chapters 2, 3, 6, 8 and 9 </w:t>
      </w:r>
      <w:r w:rsidR="00A23862">
        <w:rPr>
          <w:rStyle w:val="References"/>
          <w:b w:val="0"/>
          <w:bCs w:val="0"/>
          <w:i w:val="0"/>
          <w:iCs w:val="0"/>
        </w:rPr>
        <w:t xml:space="preserve">of the Rules </w:t>
      </w:r>
      <w:r w:rsidR="00860455" w:rsidRPr="005C770C">
        <w:rPr>
          <w:rStyle w:val="References"/>
          <w:b w:val="0"/>
          <w:bCs w:val="0"/>
          <w:i w:val="0"/>
          <w:iCs w:val="0"/>
        </w:rPr>
        <w:t>to the extent that they affect the application of Chapter 5 of the Rules for the purposes of computing the Top</w:t>
      </w:r>
      <w:r w:rsidR="00F77841">
        <w:rPr>
          <w:rStyle w:val="References"/>
          <w:b w:val="0"/>
          <w:bCs w:val="0"/>
          <w:i w:val="0"/>
          <w:iCs w:val="0"/>
        </w:rPr>
        <w:noBreakHyphen/>
      </w:r>
      <w:r w:rsidR="00860455" w:rsidRPr="005C770C">
        <w:rPr>
          <w:rStyle w:val="References"/>
          <w:b w:val="0"/>
          <w:bCs w:val="0"/>
          <w:i w:val="0"/>
          <w:iCs w:val="0"/>
        </w:rPr>
        <w:t>up Tax of each of the Investment Entities.</w:t>
      </w:r>
      <w:r w:rsidR="00860455">
        <w:rPr>
          <w:rStyle w:val="References"/>
          <w:b w:val="0"/>
          <w:bCs w:val="0"/>
          <w:i w:val="0"/>
          <w:iCs w:val="0"/>
        </w:rPr>
        <w:br/>
      </w:r>
      <w:r w:rsidR="00860455" w:rsidRPr="00B9302C">
        <w:rPr>
          <w:rStyle w:val="References"/>
        </w:rPr>
        <w:t xml:space="preserve">[Chapter 7, </w:t>
      </w:r>
      <w:r w:rsidR="00860455">
        <w:rPr>
          <w:rStyle w:val="References"/>
        </w:rPr>
        <w:t>sub</w:t>
      </w:r>
      <w:r w:rsidR="00860455" w:rsidRPr="00B9302C">
        <w:rPr>
          <w:rStyle w:val="References"/>
        </w:rPr>
        <w:t>section 7-</w:t>
      </w:r>
      <w:r w:rsidR="00495D94">
        <w:rPr>
          <w:rStyle w:val="References"/>
        </w:rPr>
        <w:t>10</w:t>
      </w:r>
      <w:r w:rsidR="00860455" w:rsidRPr="00B9302C">
        <w:rPr>
          <w:rStyle w:val="References"/>
        </w:rPr>
        <w:t>0</w:t>
      </w:r>
      <w:r w:rsidR="00860455">
        <w:rPr>
          <w:rStyle w:val="References"/>
        </w:rPr>
        <w:t>(2)</w:t>
      </w:r>
      <w:r w:rsidR="00860455" w:rsidRPr="00B9302C">
        <w:rPr>
          <w:rStyle w:val="References"/>
        </w:rPr>
        <w:t xml:space="preserve"> of the Rules]</w:t>
      </w:r>
    </w:p>
    <w:p w14:paraId="22DBA6EF" w14:textId="77777777" w:rsidR="00860455" w:rsidRDefault="00860455" w:rsidP="00860455">
      <w:pPr>
        <w:pStyle w:val="Heading6"/>
        <w:rPr>
          <w:rFonts w:hint="eastAsia"/>
        </w:rPr>
      </w:pPr>
      <w:r w:rsidRPr="0035793F" w:rsidDel="006A0F3D">
        <w:t xml:space="preserve">Substance-based Income Exclusion </w:t>
      </w:r>
      <w:r w:rsidRPr="0035793F">
        <w:t>amounts</w:t>
      </w:r>
    </w:p>
    <w:p w14:paraId="5F9FE69B" w14:textId="55AA3B68" w:rsidR="00860455" w:rsidRPr="00B9302C" w:rsidRDefault="00AD71C8" w:rsidP="00860455">
      <w:pPr>
        <w:pStyle w:val="Normalparatextwithnumbers"/>
        <w:numPr>
          <w:ilvl w:val="1"/>
          <w:numId w:val="16"/>
        </w:numPr>
      </w:pPr>
      <w:r>
        <w:t>T</w:t>
      </w:r>
      <w:r w:rsidR="00860455" w:rsidRPr="00B9302C">
        <w:t xml:space="preserve">he Substance-based Income Exclusion must be reduced proportionally to correspond to the MNE Group’s Allocable Share of the Investment Entity’s GloBE Income or Loss. </w:t>
      </w:r>
      <w:r>
        <w:t xml:space="preserve">Consistent with computing the ETR, where </w:t>
      </w:r>
      <w:r w:rsidR="00860455" w:rsidRPr="00B9302C">
        <w:t>there are multiple Investment Entities located in the same jurisdiction, the Substance</w:t>
      </w:r>
      <w:r>
        <w:noBreakHyphen/>
      </w:r>
      <w:r w:rsidR="00860455" w:rsidRPr="00B9302C">
        <w:t>based Income Exclusion</w:t>
      </w:r>
      <w:r>
        <w:t xml:space="preserve"> for all Investment Entitie</w:t>
      </w:r>
      <w:r w:rsidR="00860455" w:rsidRPr="00B9302C">
        <w:t>s are combined and offset against the Net GloBE Income of those Entities to determine the</w:t>
      </w:r>
      <w:r>
        <w:t xml:space="preserve"> </w:t>
      </w:r>
      <w:r w:rsidR="00860455" w:rsidRPr="00B9302C">
        <w:t>aggregate Excess Profit.</w:t>
      </w:r>
      <w:r w:rsidR="00860455" w:rsidRPr="00B9302C">
        <w:br/>
      </w:r>
      <w:r w:rsidR="00860455" w:rsidRPr="00B9302C">
        <w:rPr>
          <w:rStyle w:val="References"/>
        </w:rPr>
        <w:t xml:space="preserve">[Chapter 7, </w:t>
      </w:r>
      <w:r w:rsidR="00D811C0">
        <w:rPr>
          <w:rStyle w:val="References"/>
        </w:rPr>
        <w:t>sub</w:t>
      </w:r>
      <w:r w:rsidR="00860455" w:rsidRPr="00B9302C">
        <w:rPr>
          <w:rStyle w:val="References"/>
        </w:rPr>
        <w:t>section 7-105</w:t>
      </w:r>
      <w:r w:rsidR="00D811C0">
        <w:rPr>
          <w:rStyle w:val="References"/>
        </w:rPr>
        <w:t>(3)</w:t>
      </w:r>
      <w:r w:rsidR="00860455" w:rsidRPr="00B9302C">
        <w:rPr>
          <w:rStyle w:val="References"/>
        </w:rPr>
        <w:t xml:space="preserve"> of the Rules]</w:t>
      </w:r>
      <w:r w:rsidR="00860455" w:rsidRPr="00B9302C">
        <w:rPr>
          <w:rStyle w:val="References"/>
          <w:b w:val="0"/>
          <w:bCs w:val="0"/>
          <w:i w:val="0"/>
          <w:iCs w:val="0"/>
        </w:rPr>
        <w:t xml:space="preserve"> </w:t>
      </w:r>
    </w:p>
    <w:p w14:paraId="145EA29A" w14:textId="30520F61" w:rsidR="00860455" w:rsidRPr="00B9302C" w:rsidRDefault="00AD71C8" w:rsidP="00860455">
      <w:pPr>
        <w:pStyle w:val="Normalparatextwithnumbers"/>
        <w:numPr>
          <w:ilvl w:val="1"/>
          <w:numId w:val="16"/>
        </w:numPr>
      </w:pPr>
      <w:r w:rsidRPr="00B9302C">
        <w:t>The rule in section 5</w:t>
      </w:r>
      <w:r w:rsidRPr="00B9302C">
        <w:noBreakHyphen/>
        <w:t xml:space="preserve">50 of the Rules </w:t>
      </w:r>
      <w:r>
        <w:t xml:space="preserve">operates </w:t>
      </w:r>
      <w:r w:rsidRPr="00B9302C">
        <w:t>to prevent</w:t>
      </w:r>
      <w:r w:rsidR="007F2F5B">
        <w:t xml:space="preserve"> double counting of</w:t>
      </w:r>
      <w:r w:rsidRPr="00B9302C">
        <w:t xml:space="preserve"> assets and payroll expenses of Investment Entit</w:t>
      </w:r>
      <w:r>
        <w:t>ies</w:t>
      </w:r>
      <w:r w:rsidRPr="00B9302C">
        <w:t xml:space="preserve"> from being included in the computation for both the </w:t>
      </w:r>
      <w:r>
        <w:t xml:space="preserve">MNE Group in the </w:t>
      </w:r>
      <w:r w:rsidRPr="00B9302C">
        <w:t xml:space="preserve">jurisdiction </w:t>
      </w:r>
      <w:r>
        <w:t xml:space="preserve">as well as </w:t>
      </w:r>
      <w:r w:rsidRPr="00B9302C">
        <w:t>the Investment Entity</w:t>
      </w:r>
      <w:r>
        <w:t xml:space="preserve">. </w:t>
      </w:r>
      <w:r w:rsidR="00860455" w:rsidRPr="00B9302C">
        <w:rPr>
          <w:rStyle w:val="References"/>
          <w:b w:val="0"/>
          <w:bCs w:val="0"/>
          <w:i w:val="0"/>
          <w:iCs w:val="0"/>
        </w:rPr>
        <w:t xml:space="preserve"> </w:t>
      </w:r>
    </w:p>
    <w:p w14:paraId="0D909CB4" w14:textId="2A51868C" w:rsidR="00860455" w:rsidRDefault="00860455" w:rsidP="00070FFF">
      <w:pPr>
        <w:pStyle w:val="Heading3"/>
        <w:rPr>
          <w:rFonts w:hint="eastAsia"/>
        </w:rPr>
      </w:pPr>
      <w:bookmarkStart w:id="261" w:name="_Toc181104550"/>
      <w:bookmarkStart w:id="262" w:name="_Toc183786680"/>
      <w:bookmarkStart w:id="263" w:name="_Toc185503023"/>
      <w:r>
        <w:t xml:space="preserve">Investment Entity </w:t>
      </w:r>
      <w:bookmarkEnd w:id="261"/>
      <w:bookmarkEnd w:id="262"/>
      <w:r w:rsidR="000D20FF">
        <w:t>t</w:t>
      </w:r>
      <w:r>
        <w:t xml:space="preserve">ax </w:t>
      </w:r>
      <w:r w:rsidR="000D20FF">
        <w:t>t</w:t>
      </w:r>
      <w:r>
        <w:t xml:space="preserve">ransparency </w:t>
      </w:r>
      <w:r w:rsidR="000D20FF">
        <w:t>e</w:t>
      </w:r>
      <w:r>
        <w:t>lection</w:t>
      </w:r>
      <w:bookmarkEnd w:id="263"/>
    </w:p>
    <w:p w14:paraId="7FD8660D" w14:textId="74D939C3" w:rsidR="00860455" w:rsidRDefault="00860455" w:rsidP="00860455">
      <w:pPr>
        <w:pStyle w:val="Normalparatextwithnumbers"/>
        <w:numPr>
          <w:ilvl w:val="1"/>
          <w:numId w:val="16"/>
        </w:numPr>
      </w:pPr>
      <w:r>
        <w:t>Part 7-5</w:t>
      </w:r>
      <w:r w:rsidRPr="00167665">
        <w:t xml:space="preserve"> </w:t>
      </w:r>
      <w:r>
        <w:t>of the Rules allows a filing Constituent Entity to make a</w:t>
      </w:r>
      <w:r w:rsidR="00A04562">
        <w:t xml:space="preserve"> Five</w:t>
      </w:r>
      <w:r w:rsidR="00A04562">
        <w:noBreakHyphen/>
        <w:t>Year</w:t>
      </w:r>
      <w:r>
        <w:t xml:space="preserve"> election to treat an Investment Entity </w:t>
      </w:r>
      <w:r w:rsidR="001A193A">
        <w:t xml:space="preserve">or Insurance Investment Entity </w:t>
      </w:r>
      <w:r>
        <w:t xml:space="preserve">as a Tax Transparent Entity. </w:t>
      </w:r>
      <w:r>
        <w:br/>
      </w:r>
      <w:r>
        <w:rPr>
          <w:rStyle w:val="References"/>
        </w:rPr>
        <w:t>[Chapter 7, section 7-1</w:t>
      </w:r>
      <w:r w:rsidR="001A193A">
        <w:rPr>
          <w:rStyle w:val="References"/>
        </w:rPr>
        <w:t>2</w:t>
      </w:r>
      <w:r>
        <w:rPr>
          <w:rStyle w:val="References"/>
        </w:rPr>
        <w:t>0 of the Rules]</w:t>
      </w:r>
    </w:p>
    <w:p w14:paraId="3C9337A6" w14:textId="5E172A05" w:rsidR="006E3DC5" w:rsidRDefault="006E3DC5" w:rsidP="006E3DC5">
      <w:pPr>
        <w:pStyle w:val="Normalparatextwithnumbers"/>
        <w:numPr>
          <w:ilvl w:val="1"/>
          <w:numId w:val="16"/>
        </w:numPr>
      </w:pPr>
      <w:r w:rsidRPr="00915071">
        <w:t xml:space="preserve">Investment Entities are defined as Entities that meet the definition of an Investment Fund or Real Estate Investment Vehicle. </w:t>
      </w:r>
      <w:r>
        <w:t>A</w:t>
      </w:r>
      <w:r w:rsidRPr="00167665">
        <w:t>n</w:t>
      </w:r>
      <w:r w:rsidRPr="00915071">
        <w:t xml:space="preserve"> Insurance Investment Entity</w:t>
      </w:r>
      <w:r w:rsidRPr="00167665">
        <w:t xml:space="preserve"> </w:t>
      </w:r>
      <w:r>
        <w:t>is defined</w:t>
      </w:r>
      <w:r w:rsidRPr="00915071">
        <w:t xml:space="preserve"> as an Entity that would qualify as an Investment Fund or Real Estate Investment Vehicle but for the fact that it is wholly-owned by an insurance company and established in relation to liabilities under one or more insurance or annuity contracts. An Insurance Investment Entity may be wholly</w:t>
      </w:r>
      <w:r w:rsidR="00416F7F">
        <w:noBreakHyphen/>
      </w:r>
      <w:r w:rsidRPr="00915071">
        <w:t xml:space="preserve">owned by a single Entity, or by </w:t>
      </w:r>
      <w:r w:rsidR="003B0ADF">
        <w:t>multiple</w:t>
      </w:r>
      <w:r w:rsidRPr="00915071">
        <w:t xml:space="preserve"> Entities which are all part of the same MNE Group. </w:t>
      </w:r>
      <w:r w:rsidR="00416F7F">
        <w:t>Additionally, t</w:t>
      </w:r>
      <w:r w:rsidRPr="00915071">
        <w:t xml:space="preserve">he definition requires that the owner, or owners, are subject to regulation as insurance companies. This requirement </w:t>
      </w:r>
      <w:r w:rsidRPr="00915071">
        <w:lastRenderedPageBreak/>
        <w:t>may also be met if the Insurance Investment Entity is owned by a Flow</w:t>
      </w:r>
      <w:r w:rsidR="00416F7F">
        <w:noBreakHyphen/>
        <w:t>t</w:t>
      </w:r>
      <w:r w:rsidRPr="00915071">
        <w:t>hrough Entity which is subject to regulations in the same manner as an insurance company</w:t>
      </w:r>
      <w:r>
        <w:t xml:space="preserve">. </w:t>
      </w:r>
      <w:r>
        <w:br/>
      </w:r>
      <w:r w:rsidRPr="00CC600C">
        <w:rPr>
          <w:rStyle w:val="References"/>
        </w:rPr>
        <w:t>[Chapter 10, section 10-5 of the Rules</w:t>
      </w:r>
      <w:r>
        <w:rPr>
          <w:rStyle w:val="References"/>
        </w:rPr>
        <w:t>]</w:t>
      </w:r>
    </w:p>
    <w:p w14:paraId="2BCFF78F" w14:textId="77777777" w:rsidR="00860455" w:rsidRPr="0035793F" w:rsidRDefault="00860455" w:rsidP="00860455">
      <w:pPr>
        <w:pStyle w:val="Heading5"/>
        <w:numPr>
          <w:ilvl w:val="4"/>
          <w:numId w:val="2"/>
        </w:numPr>
      </w:pPr>
      <w:r>
        <w:t>Election</w:t>
      </w:r>
    </w:p>
    <w:p w14:paraId="64590615" w14:textId="4FDE1D95" w:rsidR="00860455" w:rsidRDefault="00860455" w:rsidP="00860455">
      <w:pPr>
        <w:pStyle w:val="Normalparatextwithnumbers"/>
        <w:numPr>
          <w:ilvl w:val="1"/>
          <w:numId w:val="16"/>
        </w:numPr>
      </w:pPr>
      <w:r>
        <w:t xml:space="preserve">A Filing Constituent Entity may make a Five-Year election to treat an Investment Entity or Insurance Investment Entity as a Tax Transparent Entity for a Fiscal Year in respect of a particular Constituent Entity owner. </w:t>
      </w:r>
      <w:r w:rsidR="00AD71C8">
        <w:t>It is not required for a</w:t>
      </w:r>
      <w:r>
        <w:t>ll Constituent Entity owners of the Investment Entity to make an election</w:t>
      </w:r>
      <w:r w:rsidR="00AD71C8">
        <w:t xml:space="preserve">. However, where at least one election has been made for the relevant entity, </w:t>
      </w:r>
      <w:r>
        <w:t xml:space="preserve">the election </w:t>
      </w:r>
      <w:r w:rsidR="00AD71C8">
        <w:t xml:space="preserve">then </w:t>
      </w:r>
      <w:r>
        <w:t xml:space="preserve">applies to all Constituent Entity owner’s interests in the Investment Entity, </w:t>
      </w:r>
      <w:r w:rsidR="00DA29D2">
        <w:t xml:space="preserve">that meet the following </w:t>
      </w:r>
      <w:r>
        <w:t>conditions.</w:t>
      </w:r>
    </w:p>
    <w:p w14:paraId="464B4B5D" w14:textId="77777777" w:rsidR="00860455" w:rsidRDefault="00860455" w:rsidP="00860455">
      <w:pPr>
        <w:pStyle w:val="Normalparatextwithnumbers"/>
        <w:numPr>
          <w:ilvl w:val="1"/>
          <w:numId w:val="16"/>
        </w:numPr>
      </w:pPr>
      <w:r>
        <w:t xml:space="preserve">The election can be made in respect of Constituent Entity-owners that satisfy two conditions: </w:t>
      </w:r>
    </w:p>
    <w:p w14:paraId="519712AA" w14:textId="77777777" w:rsidR="00860455" w:rsidRDefault="00860455" w:rsidP="00B7652D">
      <w:pPr>
        <w:pStyle w:val="Dotpoint1"/>
      </w:pPr>
      <w:r>
        <w:t>the Constituent Entity-owner of the specified Investment Entity is subject to tax in its location under a mark-to-market or similar regime based on the annual changes in the fair value of its Ownership Interest in the Investment Entity; and</w:t>
      </w:r>
    </w:p>
    <w:p w14:paraId="2BB3E278" w14:textId="45B1D018" w:rsidR="00860455" w:rsidRDefault="00860455" w:rsidP="00B7652D">
      <w:pPr>
        <w:pStyle w:val="Dotpoint1"/>
      </w:pPr>
      <w:r>
        <w:t xml:space="preserve">the tax rate applicable to the Constituent Entity-owner with respect to such income is at least 15 per cent.  </w:t>
      </w:r>
      <w:r>
        <w:br/>
      </w:r>
      <w:r w:rsidRPr="005606C3">
        <w:rPr>
          <w:rStyle w:val="References"/>
        </w:rPr>
        <w:t>[</w:t>
      </w:r>
      <w:r>
        <w:rPr>
          <w:rStyle w:val="References"/>
        </w:rPr>
        <w:t>Chapter</w:t>
      </w:r>
      <w:r w:rsidRPr="005606C3">
        <w:rPr>
          <w:rStyle w:val="References"/>
        </w:rPr>
        <w:t xml:space="preserve"> 7, section</w:t>
      </w:r>
      <w:r>
        <w:rPr>
          <w:rStyle w:val="References"/>
        </w:rPr>
        <w:t xml:space="preserve">s </w:t>
      </w:r>
      <w:r w:rsidRPr="005606C3">
        <w:rPr>
          <w:rStyle w:val="References"/>
        </w:rPr>
        <w:t>7-</w:t>
      </w:r>
      <w:r w:rsidDel="001A193A">
        <w:rPr>
          <w:rStyle w:val="References"/>
        </w:rPr>
        <w:t>1</w:t>
      </w:r>
      <w:r w:rsidR="001A193A">
        <w:rPr>
          <w:rStyle w:val="References"/>
        </w:rPr>
        <w:t>2</w:t>
      </w:r>
      <w:r>
        <w:rPr>
          <w:rStyle w:val="References"/>
        </w:rPr>
        <w:t>5</w:t>
      </w:r>
      <w:r w:rsidRPr="005606C3">
        <w:rPr>
          <w:rStyle w:val="References"/>
        </w:rPr>
        <w:t xml:space="preserve"> </w:t>
      </w:r>
      <w:r>
        <w:rPr>
          <w:rStyle w:val="References"/>
        </w:rPr>
        <w:t xml:space="preserve">and </w:t>
      </w:r>
      <w:r w:rsidRPr="005606C3">
        <w:rPr>
          <w:rStyle w:val="References"/>
        </w:rPr>
        <w:t>7-1</w:t>
      </w:r>
      <w:r w:rsidR="001A193A">
        <w:rPr>
          <w:rStyle w:val="References"/>
        </w:rPr>
        <w:t>3</w:t>
      </w:r>
      <w:r>
        <w:rPr>
          <w:rStyle w:val="References"/>
        </w:rPr>
        <w:t xml:space="preserve">0 </w:t>
      </w:r>
      <w:r w:rsidRPr="00C83FAB">
        <w:rPr>
          <w:rStyle w:val="References"/>
        </w:rPr>
        <w:t>of the Rules</w:t>
      </w:r>
      <w:r w:rsidRPr="005606C3">
        <w:rPr>
          <w:rStyle w:val="References"/>
        </w:rPr>
        <w:t>]</w:t>
      </w:r>
    </w:p>
    <w:p w14:paraId="2F03DFD9" w14:textId="7F93A3A1" w:rsidR="00860455" w:rsidRDefault="00860455" w:rsidP="00860455">
      <w:pPr>
        <w:pStyle w:val="Normalparatextwithnumbers"/>
        <w:numPr>
          <w:ilvl w:val="1"/>
          <w:numId w:val="16"/>
        </w:numPr>
      </w:pPr>
      <w:r w:rsidRPr="00D45ABA">
        <w:t xml:space="preserve">The election is available for </w:t>
      </w:r>
      <w:r w:rsidR="00DA29D2">
        <w:t>Constituent Entity</w:t>
      </w:r>
      <w:r w:rsidR="00DA29D2">
        <w:noBreakHyphen/>
        <w:t xml:space="preserve">owners that have a direct ownership interest in the </w:t>
      </w:r>
      <w:r w:rsidRPr="00D45ABA">
        <w:t xml:space="preserve">Investment Entities as well as </w:t>
      </w:r>
      <w:r w:rsidR="00DA29D2">
        <w:t xml:space="preserve">for </w:t>
      </w:r>
      <w:r w:rsidRPr="00D45ABA">
        <w:t xml:space="preserve">Entities that are indirectly owned through </w:t>
      </w:r>
      <w:r w:rsidR="00DA29D2">
        <w:t xml:space="preserve">a chain of </w:t>
      </w:r>
      <w:r w:rsidRPr="00D45ABA">
        <w:t>Investment Entities</w:t>
      </w:r>
      <w:r w:rsidR="00772946">
        <w:t xml:space="preserve"> or Insurance</w:t>
      </w:r>
      <w:r w:rsidR="00DA29D2">
        <w:t xml:space="preserve"> Investment Entities</w:t>
      </w:r>
      <w:r w:rsidR="00C3204A">
        <w:t xml:space="preserve">, </w:t>
      </w:r>
      <w:r w:rsidR="00C3204A" w:rsidRPr="00C3204A">
        <w:t>consistent with paragraph 9</w:t>
      </w:r>
      <w:r w:rsidR="00C3204A">
        <w:t>3</w:t>
      </w:r>
      <w:r w:rsidR="00C3204A" w:rsidRPr="00C3204A">
        <w:t xml:space="preserve"> on page 210 of the Consolidated Commentary</w:t>
      </w:r>
      <w:r w:rsidR="00DA29D2" w:rsidRPr="00D45ABA">
        <w:t>.</w:t>
      </w:r>
    </w:p>
    <w:p w14:paraId="42AF61E5" w14:textId="40100B89" w:rsidR="00860455" w:rsidRPr="007674A7" w:rsidRDefault="00C40B4E" w:rsidP="00860455">
      <w:pPr>
        <w:pStyle w:val="Normalparatextwithnumbers"/>
        <w:numPr>
          <w:ilvl w:val="1"/>
          <w:numId w:val="16"/>
        </w:numPr>
        <w:rPr>
          <w:rStyle w:val="References"/>
          <w:b w:val="0"/>
          <w:i w:val="0"/>
        </w:rPr>
      </w:pPr>
      <w:r>
        <w:t>The general rules to compute a separate ETR for Investment Entities under Part 7</w:t>
      </w:r>
      <w:r>
        <w:noBreakHyphen/>
        <w:t xml:space="preserve">4 of the Rules does not apply when </w:t>
      </w:r>
      <w:r w:rsidR="00860455" w:rsidRPr="00AF4FF8">
        <w:t xml:space="preserve">an election to treat an </w:t>
      </w:r>
      <w:r w:rsidR="00860455">
        <w:t>Investment En</w:t>
      </w:r>
      <w:r w:rsidR="00860455" w:rsidRPr="00AF4FF8">
        <w:t xml:space="preserve">tity as a </w:t>
      </w:r>
      <w:r w:rsidR="00860455">
        <w:t>Tax Transparent Enti</w:t>
      </w:r>
      <w:r w:rsidR="00860455" w:rsidRPr="00AF4FF8">
        <w:t xml:space="preserve">ty </w:t>
      </w:r>
      <w:r w:rsidR="00860455">
        <w:t xml:space="preserve">applies </w:t>
      </w:r>
      <w:r w:rsidR="00860455" w:rsidRPr="00AF4FF8">
        <w:t>to an Investment Entity.</w:t>
      </w:r>
      <w:r w:rsidR="00860455">
        <w:br/>
      </w:r>
      <w:r w:rsidR="00860455" w:rsidRPr="00936A93">
        <w:rPr>
          <w:rStyle w:val="References"/>
        </w:rPr>
        <w:t>[Chapter 7, section 7-1</w:t>
      </w:r>
      <w:r w:rsidR="001A193A">
        <w:rPr>
          <w:rStyle w:val="References"/>
        </w:rPr>
        <w:t>2</w:t>
      </w:r>
      <w:r w:rsidR="00860455">
        <w:rPr>
          <w:rStyle w:val="References"/>
        </w:rPr>
        <w:t>5</w:t>
      </w:r>
      <w:r w:rsidR="00860455" w:rsidRPr="00936A93">
        <w:rPr>
          <w:rStyle w:val="References"/>
        </w:rPr>
        <w:t xml:space="preserve"> </w:t>
      </w:r>
      <w:r w:rsidR="00860455">
        <w:rPr>
          <w:rStyle w:val="References"/>
        </w:rPr>
        <w:t>of the Rules</w:t>
      </w:r>
      <w:r w:rsidR="00860455" w:rsidRPr="00936A93">
        <w:rPr>
          <w:rStyle w:val="References"/>
        </w:rPr>
        <w:t>]</w:t>
      </w:r>
    </w:p>
    <w:p w14:paraId="1A597C56" w14:textId="6906492A" w:rsidR="006E3DC5" w:rsidRPr="00987C47" w:rsidRDefault="006E3DC5" w:rsidP="006E3DC5">
      <w:pPr>
        <w:pStyle w:val="Normalparatextwithnumbers"/>
        <w:numPr>
          <w:ilvl w:val="1"/>
          <w:numId w:val="16"/>
        </w:numPr>
      </w:pPr>
      <w:r w:rsidRPr="00A248F8">
        <w:t>For the purposes of Part</w:t>
      </w:r>
      <w:r>
        <w:t xml:space="preserve"> 7-5 of the Rules</w:t>
      </w:r>
      <w:r w:rsidRPr="00A248F8">
        <w:t>, a</w:t>
      </w:r>
      <w:r>
        <w:t xml:space="preserve"> Constituent Entity that is a policyholder-owned, regulated insurance Entity, (defined as a regulated mutual insurance company) </w:t>
      </w:r>
      <w:r w:rsidR="00416F7F">
        <w:t xml:space="preserve">and </w:t>
      </w:r>
      <w:r>
        <w:t>that owns an Ownership Interest in an Investment Entity, is considered to meet the condition</w:t>
      </w:r>
      <w:r w:rsidR="00416F7F">
        <w:t>s</w:t>
      </w:r>
      <w:r>
        <w:t xml:space="preserve"> of being subject to tax under a mark</w:t>
      </w:r>
      <w:r w:rsidR="00416F7F">
        <w:noBreakHyphen/>
      </w:r>
      <w:r>
        <w:t>to-market or similar regime based on the annual changes in the fair value of its Ownership Interest in the Investment Entity at a rate that exceeds 15 per cent</w:t>
      </w:r>
      <w:r w:rsidR="00416F7F">
        <w:t>, consistent with paragraph 91 on page</w:t>
      </w:r>
      <w:r w:rsidR="00E83F92">
        <w:t>s</w:t>
      </w:r>
      <w:r w:rsidR="00416F7F">
        <w:t xml:space="preserve"> 209</w:t>
      </w:r>
      <w:r w:rsidR="00E83F92">
        <w:t xml:space="preserve"> and </w:t>
      </w:r>
      <w:r w:rsidR="00416F7F">
        <w:t>210 of the Consolidated Commentary.</w:t>
      </w:r>
      <w:r>
        <w:br/>
      </w:r>
      <w:r w:rsidRPr="00987C47">
        <w:rPr>
          <w:b/>
          <w:bCs/>
        </w:rPr>
        <w:t>[</w:t>
      </w:r>
      <w:r>
        <w:rPr>
          <w:b/>
          <w:bCs/>
          <w:i/>
          <w:iCs/>
        </w:rPr>
        <w:t>Chapter 7</w:t>
      </w:r>
      <w:r w:rsidRPr="00987C47">
        <w:rPr>
          <w:b/>
          <w:bCs/>
          <w:i/>
          <w:iCs/>
        </w:rPr>
        <w:t>, section 7-</w:t>
      </w:r>
      <w:r>
        <w:rPr>
          <w:b/>
          <w:bCs/>
          <w:i/>
          <w:iCs/>
        </w:rPr>
        <w:t>1</w:t>
      </w:r>
      <w:r w:rsidR="001A193A">
        <w:rPr>
          <w:b/>
          <w:bCs/>
          <w:i/>
          <w:iCs/>
        </w:rPr>
        <w:t>3</w:t>
      </w:r>
      <w:r>
        <w:rPr>
          <w:b/>
          <w:bCs/>
          <w:i/>
          <w:iCs/>
        </w:rPr>
        <w:t>0 of the Rules</w:t>
      </w:r>
      <w:r w:rsidRPr="00987C47">
        <w:rPr>
          <w:b/>
          <w:bCs/>
        </w:rPr>
        <w:t>]</w:t>
      </w:r>
    </w:p>
    <w:p w14:paraId="3C75F95D" w14:textId="77777777" w:rsidR="00860455" w:rsidRDefault="00860455" w:rsidP="00860455">
      <w:pPr>
        <w:pStyle w:val="Heading5"/>
        <w:numPr>
          <w:ilvl w:val="4"/>
          <w:numId w:val="2"/>
        </w:numPr>
      </w:pPr>
      <w:r>
        <w:lastRenderedPageBreak/>
        <w:t>Effect of election</w:t>
      </w:r>
    </w:p>
    <w:p w14:paraId="14EC4BD1" w14:textId="7A960184" w:rsidR="00860455" w:rsidRDefault="00860455" w:rsidP="00860455">
      <w:pPr>
        <w:pStyle w:val="Normalparatextwithnumbers"/>
        <w:numPr>
          <w:ilvl w:val="1"/>
          <w:numId w:val="16"/>
        </w:numPr>
      </w:pPr>
      <w:r>
        <w:t xml:space="preserve">By treating the Investment Entity as tax transparent, the election allows the MNE Group to </w:t>
      </w:r>
      <w:r w:rsidR="00416F7F">
        <w:t>recognise</w:t>
      </w:r>
      <w:r>
        <w:t xml:space="preserve"> the Constituent Entity</w:t>
      </w:r>
      <w:r w:rsidR="00416F7F">
        <w:noBreakHyphen/>
      </w:r>
      <w:r>
        <w:t xml:space="preserve">owner’s share of the Investment Entity’s </w:t>
      </w:r>
      <w:r w:rsidR="00416F7F">
        <w:t>amounts</w:t>
      </w:r>
      <w:r>
        <w:t xml:space="preserve"> as income of the Constituent Entity</w:t>
      </w:r>
      <w:r w:rsidR="00416F7F">
        <w:noBreakHyphen/>
      </w:r>
      <w:r>
        <w:t>owner for GloBE purposes. This election matches the timing and location of income earned through an Investment Entity under the GloBE Rules and the local tax rules where the Constituent Entity-owner is subject to a mark</w:t>
      </w:r>
      <w:r>
        <w:noBreakHyphen/>
        <w:t>to</w:t>
      </w:r>
      <w:r>
        <w:noBreakHyphen/>
        <w:t>market or similar regime.</w:t>
      </w:r>
    </w:p>
    <w:p w14:paraId="5C58E86C" w14:textId="2E9CC982" w:rsidR="008B7534" w:rsidRDefault="007D1B72" w:rsidP="008B7534">
      <w:pPr>
        <w:pStyle w:val="Normalparatextwithnumbers"/>
        <w:numPr>
          <w:ilvl w:val="1"/>
          <w:numId w:val="16"/>
        </w:numPr>
      </w:pPr>
      <w:r>
        <w:t>The</w:t>
      </w:r>
      <w:r w:rsidR="008B7534">
        <w:t xml:space="preserve"> Constituent Entity-owner</w:t>
      </w:r>
      <w:r w:rsidR="00A528FA">
        <w:t xml:space="preserve">’s FANIL is determined </w:t>
      </w:r>
      <w:r w:rsidR="00306BA3">
        <w:t>pursuant to</w:t>
      </w:r>
      <w:r w:rsidR="00A528FA">
        <w:t xml:space="preserve"> Chapter 3</w:t>
      </w:r>
      <w:r w:rsidR="008B7534">
        <w:t xml:space="preserve"> </w:t>
      </w:r>
      <w:r w:rsidR="00187B0D">
        <w:t>of the Rules</w:t>
      </w:r>
      <w:r w:rsidR="00E45E82">
        <w:t>, including using the accounting standard</w:t>
      </w:r>
      <w:r w:rsidR="008B7534">
        <w:t xml:space="preserve"> </w:t>
      </w:r>
      <w:r w:rsidR="004F3ADE">
        <w:t xml:space="preserve">that was used to determine the Constituent Entity’s income in preparing the CFS. </w:t>
      </w:r>
      <w:r w:rsidR="008E311E">
        <w:t>Whilst the Income of Investment entity or Insurance Investment Entity is likely to be determined using fair value</w:t>
      </w:r>
      <w:r w:rsidR="00D02F24">
        <w:t xml:space="preserve"> accounting</w:t>
      </w:r>
      <w:r w:rsidR="008E311E">
        <w:t>,</w:t>
      </w:r>
      <w:r w:rsidR="00D02F24">
        <w:t xml:space="preserve"> the Constituent Entity</w:t>
      </w:r>
      <w:r w:rsidR="00D02F24">
        <w:noBreakHyphen/>
        <w:t>Owner should account</w:t>
      </w:r>
      <w:r w:rsidR="008B7534">
        <w:t xml:space="preserve"> for its interest in the Investment Entity or Insurance Investment Entity using a fair value method</w:t>
      </w:r>
      <w:r w:rsidR="000C4B2D">
        <w:t xml:space="preserve">. Any </w:t>
      </w:r>
      <w:r w:rsidR="007C3EA9">
        <w:t xml:space="preserve">share of </w:t>
      </w:r>
      <w:r w:rsidR="000C4B2D">
        <w:t>income or loss that the Constituent Entity</w:t>
      </w:r>
      <w:r w:rsidR="000C4B2D">
        <w:noBreakHyphen/>
        <w:t xml:space="preserve">owner </w:t>
      </w:r>
      <w:r w:rsidR="007C3EA9">
        <w:t xml:space="preserve">accounts for using the fair value method must </w:t>
      </w:r>
      <w:r w:rsidR="008B7534">
        <w:t>be excluded from the GloBE Income or Loss</w:t>
      </w:r>
      <w:r w:rsidR="007C3EA9">
        <w:t xml:space="preserve"> computation, consistent with paragraph 95 on page 210 of the Consolidated Commentary</w:t>
      </w:r>
      <w:r w:rsidR="008B7534">
        <w:t>.</w:t>
      </w:r>
    </w:p>
    <w:p w14:paraId="5B53BDD9" w14:textId="77777777" w:rsidR="00B069B1" w:rsidRDefault="00416F7F" w:rsidP="00860455">
      <w:pPr>
        <w:pStyle w:val="Normalparatextwithnumbers"/>
        <w:numPr>
          <w:ilvl w:val="1"/>
          <w:numId w:val="16"/>
        </w:numPr>
      </w:pPr>
      <w:r>
        <w:t xml:space="preserve">Under the </w:t>
      </w:r>
      <w:r w:rsidR="00860455" w:rsidRPr="00E0344D">
        <w:t>election</w:t>
      </w:r>
      <w:r>
        <w:t>,</w:t>
      </w:r>
      <w:r w:rsidR="00860455">
        <w:t xml:space="preserve"> </w:t>
      </w:r>
      <w:r w:rsidR="00860455" w:rsidRPr="00E0344D">
        <w:t xml:space="preserve">the </w:t>
      </w:r>
      <w:r w:rsidR="00860455">
        <w:t>Constituent Entity</w:t>
      </w:r>
      <w:r w:rsidR="00860455" w:rsidRPr="00E0344D">
        <w:t xml:space="preserve">-owner </w:t>
      </w:r>
      <w:r>
        <w:t>may</w:t>
      </w:r>
      <w:r w:rsidR="00860455" w:rsidRPr="00E0344D">
        <w:t xml:space="preserve"> apply the Substance</w:t>
      </w:r>
      <w:r>
        <w:noBreakHyphen/>
      </w:r>
      <w:r w:rsidR="00860455" w:rsidRPr="00E0344D">
        <w:t xml:space="preserve">based Income Exclusion with respect to its share of the income of the Investment Entity. </w:t>
      </w:r>
    </w:p>
    <w:p w14:paraId="64BAB2D4" w14:textId="77777777" w:rsidR="00FA3699" w:rsidRDefault="00FA3699" w:rsidP="00FA3699">
      <w:pPr>
        <w:pStyle w:val="ExampleHeading"/>
        <w:numPr>
          <w:ilvl w:val="3"/>
          <w:numId w:val="16"/>
        </w:numPr>
        <w:tabs>
          <w:tab w:val="num" w:pos="360"/>
        </w:tabs>
        <w:ind w:left="0" w:firstLine="0"/>
      </w:pPr>
      <w:r>
        <w:t>Effect of Investment Entity Tax Transparency Election</w:t>
      </w:r>
    </w:p>
    <w:p w14:paraId="6E296BD6" w14:textId="77777777" w:rsidR="00C20B2A" w:rsidRDefault="00C20B2A" w:rsidP="00860455">
      <w:pPr>
        <w:pStyle w:val="Exampletext"/>
      </w:pPr>
    </w:p>
    <w:p w14:paraId="1F1B4B22" w14:textId="22C4ACE4" w:rsidR="0052644E" w:rsidRDefault="0052644E" w:rsidP="00860455">
      <w:pPr>
        <w:pStyle w:val="Exampletext"/>
      </w:pPr>
      <w:r w:rsidRPr="0052644E">
        <w:rPr>
          <w:noProof/>
        </w:rPr>
        <w:drawing>
          <wp:inline distT="0" distB="0" distL="0" distR="0" wp14:anchorId="04506DB4" wp14:editId="046E9C74">
            <wp:extent cx="2790825" cy="2570480"/>
            <wp:effectExtent l="0" t="0" r="9525" b="1270"/>
            <wp:docPr id="361913238" name="Picture 13" descr="There are four boxes. Box containing text 'UPE' with one arrow labelled '100%' going down to one box containing text 'CE1', and another arrow labelled '100%' going down to another box containing text 'CE2'. An arrow labelled '90%' goes down from the 'CE1' box to a fourth box containing text ' Investment Entity'. An arrow labelled '10%' goes down from the 'CE2' box to this same fourt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13238" name="Picture 13" descr="There are four boxes. Box containing text 'UPE' with one arrow labelled '100%' going down to one box containing text 'CE1', and another arrow labelled '100%' going down to another box containing text 'CE2'. An arrow labelled '90%' goes down from the 'CE1' box to a fourth box containing text ' Investment Entity'. An arrow labelled '10%' goes down from the 'CE2' box to this same fourth box."/>
                    <pic:cNvPicPr>
                      <a:picLocks noChangeAspect="1" noChangeArrowheads="1"/>
                    </pic:cNvPicPr>
                  </pic:nvPicPr>
                  <pic:blipFill rotWithShape="1">
                    <a:blip r:embed="rId89" cstate="print">
                      <a:extLst>
                        <a:ext uri="{28A0092B-C50C-407E-A947-70E740481C1C}">
                          <a14:useLocalDpi xmlns:a14="http://schemas.microsoft.com/office/drawing/2010/main" val="0"/>
                        </a:ext>
                      </a:extLst>
                    </a:blip>
                    <a:srcRect l="-7393" t="-1482" r="50396" b="1482"/>
                    <a:stretch/>
                  </pic:blipFill>
                  <pic:spPr bwMode="auto">
                    <a:xfrm>
                      <a:off x="0" y="0"/>
                      <a:ext cx="2790825" cy="2570480"/>
                    </a:xfrm>
                    <a:prstGeom prst="rect">
                      <a:avLst/>
                    </a:prstGeom>
                    <a:noFill/>
                    <a:ln>
                      <a:noFill/>
                    </a:ln>
                    <a:extLst>
                      <a:ext uri="{53640926-AAD7-44D8-BBD7-CCE9431645EC}">
                        <a14:shadowObscured xmlns:a14="http://schemas.microsoft.com/office/drawing/2010/main"/>
                      </a:ext>
                    </a:extLst>
                  </pic:spPr>
                </pic:pic>
              </a:graphicData>
            </a:graphic>
          </wp:inline>
        </w:drawing>
      </w:r>
    </w:p>
    <w:p w14:paraId="51AE1019" w14:textId="77777777" w:rsidR="0052644E" w:rsidRDefault="0052644E" w:rsidP="00860455">
      <w:pPr>
        <w:pStyle w:val="Exampletext"/>
      </w:pPr>
    </w:p>
    <w:p w14:paraId="6E212997" w14:textId="39AD8AAE" w:rsidR="00485518" w:rsidRDefault="00485518" w:rsidP="00860455">
      <w:pPr>
        <w:pStyle w:val="Exampletext"/>
      </w:pPr>
      <w:r>
        <w:lastRenderedPageBreak/>
        <w:t>Consider the diagram above</w:t>
      </w:r>
      <w:r w:rsidR="000B4256">
        <w:t xml:space="preserve"> for this example, where a UPE</w:t>
      </w:r>
      <w:r w:rsidR="00F20BCF">
        <w:t xml:space="preserve"> owns 100% of </w:t>
      </w:r>
      <w:r w:rsidR="00485405">
        <w:t xml:space="preserve">CE1 and 100% of CE2. CE1 in turn owns 90% </w:t>
      </w:r>
      <w:r w:rsidR="000F35B3">
        <w:t>of</w:t>
      </w:r>
      <w:r w:rsidR="0004368C">
        <w:t xml:space="preserve"> an Investment Entity, while CE2 owns </w:t>
      </w:r>
      <w:r w:rsidR="00D130AE">
        <w:t>10% of that same Investment Entity.</w:t>
      </w:r>
    </w:p>
    <w:p w14:paraId="311D6EAA" w14:textId="6561A5C3" w:rsidR="00860455" w:rsidRDefault="00860455" w:rsidP="00860455">
      <w:pPr>
        <w:pStyle w:val="Exampletext"/>
      </w:pPr>
      <w:r>
        <w:t xml:space="preserve">The insurance entity earns $100 of net income in Year 1, pays no tax. and makes no distributions. </w:t>
      </w:r>
    </w:p>
    <w:p w14:paraId="512B4134" w14:textId="77777777" w:rsidR="00860455" w:rsidRDefault="00860455" w:rsidP="00860455">
      <w:pPr>
        <w:pStyle w:val="Exampletext"/>
      </w:pPr>
      <w:r>
        <w:t xml:space="preserve">An election under Part 7-5 is made on behalf of CE1 and CE2. </w:t>
      </w:r>
    </w:p>
    <w:p w14:paraId="037152BE" w14:textId="77777777" w:rsidR="00860455" w:rsidRDefault="00860455" w:rsidP="00860455">
      <w:pPr>
        <w:pStyle w:val="Exampletext"/>
      </w:pPr>
      <w:r>
        <w:t xml:space="preserve">Accordingly, CE1 and CE2 include their share of Investment Entity’s income, $90 and $10, respectively, in the computation of their GloBE Income or Loss. </w:t>
      </w:r>
    </w:p>
    <w:p w14:paraId="2D7FF740" w14:textId="77777777" w:rsidR="00860455" w:rsidRDefault="00860455" w:rsidP="00860455">
      <w:pPr>
        <w:pStyle w:val="Exampletext"/>
      </w:pPr>
      <w:r>
        <w:t xml:space="preserve">On a standalone basis, CE1 controls the Investment Entity and would consolidate its accounts even if CE2 were an unrelated company. </w:t>
      </w:r>
    </w:p>
    <w:p w14:paraId="213D1CE1" w14:textId="729B9A0E" w:rsidR="00860455" w:rsidRDefault="00860455" w:rsidP="00860455">
      <w:pPr>
        <w:pStyle w:val="Exampletext"/>
      </w:pPr>
      <w:r>
        <w:t xml:space="preserve">CE2 only owns 10% of the Investment Entity and on a standalone basis might be required to apply fair value accounting to its interest in Fund under the Acceptable </w:t>
      </w:r>
      <w:r w:rsidR="00416F7F">
        <w:t>FAS</w:t>
      </w:r>
      <w:r>
        <w:t xml:space="preserve"> used in the CFS. </w:t>
      </w:r>
    </w:p>
    <w:p w14:paraId="4089BA48" w14:textId="77777777" w:rsidR="00860455" w:rsidRDefault="00860455" w:rsidP="00860455">
      <w:pPr>
        <w:pStyle w:val="Exampletext"/>
      </w:pPr>
      <w:r>
        <w:t xml:space="preserve">For purposes of the GloBE Rules, however, CE2 does not include any fair value gains or distributions from Constituent Entities. Otherwise CE2 would recognise $10 of fair value gain in addition to the $10 of income included under the Part 7-5 election. </w:t>
      </w:r>
    </w:p>
    <w:p w14:paraId="7EBC2E20" w14:textId="77777777" w:rsidR="00860455" w:rsidRDefault="00860455" w:rsidP="00860455">
      <w:pPr>
        <w:pStyle w:val="Heading5"/>
        <w:numPr>
          <w:ilvl w:val="4"/>
          <w:numId w:val="2"/>
        </w:numPr>
      </w:pPr>
      <w:r>
        <w:t>Revoking the election</w:t>
      </w:r>
    </w:p>
    <w:p w14:paraId="144276E4" w14:textId="44FD68F5" w:rsidR="00860455" w:rsidRPr="00105CBD" w:rsidRDefault="00860455" w:rsidP="00860455">
      <w:pPr>
        <w:pStyle w:val="Normalparatextwithnumbers"/>
        <w:numPr>
          <w:ilvl w:val="1"/>
          <w:numId w:val="16"/>
        </w:numPr>
      </w:pPr>
      <w:r w:rsidRPr="00745789">
        <w:t>If the</w:t>
      </w:r>
      <w:r>
        <w:t xml:space="preserve"> election is revoked, gains or losses from the disposition of an asset or liability held by the Investment Entity shall be determined based on the fair value of the assets or liabilities on the first day of the revocation year. The fair value at the beginning of the revocation year is the starting point. </w:t>
      </w:r>
      <w:r w:rsidR="00820C60">
        <w:br/>
      </w:r>
      <w:r w:rsidR="00820C60" w:rsidRPr="00105CBD">
        <w:rPr>
          <w:rStyle w:val="References"/>
        </w:rPr>
        <w:t>[Chapter 7, section 7-1</w:t>
      </w:r>
      <w:r w:rsidR="003218E0">
        <w:rPr>
          <w:rStyle w:val="References"/>
        </w:rPr>
        <w:t>3</w:t>
      </w:r>
      <w:r w:rsidR="00820C60">
        <w:rPr>
          <w:rStyle w:val="References"/>
        </w:rPr>
        <w:t>5</w:t>
      </w:r>
      <w:r w:rsidR="00820C60" w:rsidDel="003218E0">
        <w:rPr>
          <w:rStyle w:val="References"/>
        </w:rPr>
        <w:t xml:space="preserve"> </w:t>
      </w:r>
      <w:r w:rsidR="00820C60" w:rsidRPr="00C83FAB">
        <w:rPr>
          <w:rStyle w:val="References"/>
        </w:rPr>
        <w:t>of the Rules</w:t>
      </w:r>
      <w:r w:rsidR="00820C60" w:rsidRPr="00105CBD">
        <w:rPr>
          <w:rStyle w:val="References"/>
        </w:rPr>
        <w:t>]</w:t>
      </w:r>
    </w:p>
    <w:p w14:paraId="54D7C6A5" w14:textId="52C99D2F" w:rsidR="00860455" w:rsidRPr="008D56D5" w:rsidRDefault="00860455" w:rsidP="00860455">
      <w:pPr>
        <w:pStyle w:val="Normalparatextwithnumbers"/>
        <w:numPr>
          <w:ilvl w:val="1"/>
          <w:numId w:val="16"/>
        </w:numPr>
      </w:pPr>
      <w:r>
        <w:t>If the Investment Entity’s income is determined using a realisation method</w:t>
      </w:r>
      <w:r w:rsidR="003875BC">
        <w:t xml:space="preserve"> for</w:t>
      </w:r>
      <w:r>
        <w:t xml:space="preserve">, that value will continue to be the value of the asset for purposes of determining gains or losses under the GloBE Rules until it is disposed. If the Investment Entity’s income is determined using a fair value method for the assets, then that method will re-value the assets at regular intervals and include the gains or losses in FANIL. </w:t>
      </w:r>
    </w:p>
    <w:p w14:paraId="74EC7C28" w14:textId="555FF293" w:rsidR="00860455" w:rsidRDefault="00860455" w:rsidP="00070FFF">
      <w:pPr>
        <w:pStyle w:val="Heading3"/>
        <w:rPr>
          <w:rFonts w:hint="eastAsia"/>
        </w:rPr>
      </w:pPr>
      <w:bookmarkStart w:id="264" w:name="_Toc181104551"/>
      <w:bookmarkStart w:id="265" w:name="_Toc183786681"/>
      <w:bookmarkStart w:id="266" w:name="_Toc185503024"/>
      <w:r>
        <w:t xml:space="preserve">Taxable </w:t>
      </w:r>
      <w:r w:rsidR="00CE4F1C">
        <w:t>d</w:t>
      </w:r>
      <w:r>
        <w:t xml:space="preserve">istribution </w:t>
      </w:r>
      <w:r w:rsidR="00CE4F1C">
        <w:t>m</w:t>
      </w:r>
      <w:r>
        <w:t xml:space="preserve">ethod </w:t>
      </w:r>
      <w:r w:rsidR="00CE4F1C">
        <w:t>e</w:t>
      </w:r>
      <w:r>
        <w:t>lection</w:t>
      </w:r>
      <w:bookmarkEnd w:id="264"/>
      <w:bookmarkEnd w:id="265"/>
      <w:bookmarkEnd w:id="266"/>
      <w:r>
        <w:t xml:space="preserve"> </w:t>
      </w:r>
    </w:p>
    <w:p w14:paraId="2F641107" w14:textId="3896DE4B" w:rsidR="00860455" w:rsidRPr="00CB3D84" w:rsidRDefault="00860455" w:rsidP="00860455">
      <w:pPr>
        <w:pStyle w:val="Normalparatextwithnumbers"/>
        <w:numPr>
          <w:ilvl w:val="1"/>
          <w:numId w:val="16"/>
        </w:numPr>
      </w:pPr>
      <w:r w:rsidRPr="00CB3D84">
        <w:t>Part 7</w:t>
      </w:r>
      <w:r>
        <w:noBreakHyphen/>
      </w:r>
      <w:r w:rsidRPr="00CB3D84">
        <w:t xml:space="preserve">6 </w:t>
      </w:r>
      <w:r w:rsidR="003B765C">
        <w:t>of the Rules</w:t>
      </w:r>
      <w:r w:rsidRPr="00CB3D84">
        <w:t xml:space="preserve"> </w:t>
      </w:r>
      <w:r>
        <w:t>applies to both Investment Entities and Insurance Investment Entities</w:t>
      </w:r>
      <w:r w:rsidR="003B00F5">
        <w:t xml:space="preserve"> and </w:t>
      </w:r>
      <w:r w:rsidRPr="00CB3D84">
        <w:t>provides an</w:t>
      </w:r>
      <w:r>
        <w:t xml:space="preserve"> </w:t>
      </w:r>
      <w:r w:rsidRPr="00CB3D84">
        <w:t xml:space="preserve">alternative treatment </w:t>
      </w:r>
      <w:r w:rsidR="003B00F5">
        <w:t>to</w:t>
      </w:r>
      <w:r w:rsidRPr="00CB3D84">
        <w:t xml:space="preserve"> Part 7</w:t>
      </w:r>
      <w:r>
        <w:t>-</w:t>
      </w:r>
      <w:r w:rsidRPr="00CB3D84">
        <w:t>4 and Part 7</w:t>
      </w:r>
      <w:r>
        <w:t>-</w:t>
      </w:r>
      <w:r w:rsidRPr="00CB3D84">
        <w:t>5</w:t>
      </w:r>
      <w:r>
        <w:t xml:space="preserve"> of the Rules</w:t>
      </w:r>
      <w:r w:rsidRPr="00167665">
        <w:t>.</w:t>
      </w:r>
      <w:r w:rsidRPr="00CB3D84">
        <w:t xml:space="preserve"> </w:t>
      </w:r>
      <w:r>
        <w:t>T</w:t>
      </w:r>
      <w:r w:rsidRPr="00CB3D84">
        <w:t xml:space="preserve">he </w:t>
      </w:r>
      <w:r>
        <w:t xml:space="preserve">taxable distribution method </w:t>
      </w:r>
      <w:r w:rsidRPr="00CB3D84">
        <w:t xml:space="preserve">reduces the exposure to </w:t>
      </w:r>
      <w:r>
        <w:t>top</w:t>
      </w:r>
      <w:r w:rsidRPr="00CB3D84">
        <w:t xml:space="preserve">-up </w:t>
      </w:r>
      <w:r>
        <w:t>tax</w:t>
      </w:r>
      <w:r w:rsidRPr="00CB3D84">
        <w:t xml:space="preserve"> of income earned through an Investment Entity to the extent that the </w:t>
      </w:r>
      <w:r w:rsidRPr="00CB3D84">
        <w:lastRenderedPageBreak/>
        <w:t xml:space="preserve">Investment Entity makes distributions of its income within a four-year period that are taxable in the hands of the recipients at or above the </w:t>
      </w:r>
      <w:r w:rsidR="00603D14">
        <w:t xml:space="preserve">15 per cent </w:t>
      </w:r>
      <w:r w:rsidRPr="00CB3D84">
        <w:t xml:space="preserve">Minimum Rate. </w:t>
      </w:r>
      <w:r>
        <w:br/>
      </w:r>
      <w:r w:rsidRPr="00C01E1C">
        <w:rPr>
          <w:rStyle w:val="References"/>
        </w:rPr>
        <w:t>[Chapter 7, section</w:t>
      </w:r>
      <w:r>
        <w:rPr>
          <w:rStyle w:val="References"/>
        </w:rPr>
        <w:t>s</w:t>
      </w:r>
      <w:r w:rsidRPr="00C01E1C">
        <w:rPr>
          <w:rStyle w:val="References"/>
        </w:rPr>
        <w:t xml:space="preserve"> 7-1</w:t>
      </w:r>
      <w:r w:rsidR="003009D7">
        <w:rPr>
          <w:rStyle w:val="References"/>
        </w:rPr>
        <w:t>4</w:t>
      </w:r>
      <w:r>
        <w:rPr>
          <w:rStyle w:val="References"/>
        </w:rPr>
        <w:t>0 and 7-1</w:t>
      </w:r>
      <w:r w:rsidR="003009D7">
        <w:rPr>
          <w:rStyle w:val="References"/>
        </w:rPr>
        <w:t>4</w:t>
      </w:r>
      <w:r>
        <w:rPr>
          <w:rStyle w:val="References"/>
        </w:rPr>
        <w:t>5</w:t>
      </w:r>
      <w:r w:rsidRPr="00C01E1C">
        <w:rPr>
          <w:rStyle w:val="References"/>
        </w:rPr>
        <w:t xml:space="preserve"> </w:t>
      </w:r>
      <w:r>
        <w:rPr>
          <w:rStyle w:val="References"/>
        </w:rPr>
        <w:t>of the Rules</w:t>
      </w:r>
      <w:r w:rsidRPr="00C01E1C">
        <w:rPr>
          <w:rStyle w:val="References"/>
        </w:rPr>
        <w:t>]</w:t>
      </w:r>
    </w:p>
    <w:p w14:paraId="2CEE152F" w14:textId="3EA5A66F" w:rsidR="00860455" w:rsidRPr="00645402" w:rsidRDefault="00860455" w:rsidP="00860455">
      <w:pPr>
        <w:pStyle w:val="Normalparatextwithnumbers"/>
        <w:numPr>
          <w:ilvl w:val="1"/>
          <w:numId w:val="16"/>
        </w:numPr>
        <w:rPr>
          <w:rStyle w:val="References"/>
        </w:rPr>
      </w:pPr>
      <w:r>
        <w:t xml:space="preserve">The taxable distribution method is available to any filing Constituent Entity that elects to apply this method. The </w:t>
      </w:r>
      <w:r w:rsidR="00603D14">
        <w:t>Five</w:t>
      </w:r>
      <w:r w:rsidR="00603D14">
        <w:noBreakHyphen/>
        <w:t>Y</w:t>
      </w:r>
      <w:r>
        <w:t xml:space="preserve">ear </w:t>
      </w:r>
      <w:r w:rsidRPr="004733C2">
        <w:t xml:space="preserve">election </w:t>
      </w:r>
      <w:r>
        <w:t xml:space="preserve">is </w:t>
      </w:r>
      <w:r w:rsidRPr="004733C2">
        <w:t xml:space="preserve">made </w:t>
      </w:r>
      <w:r>
        <w:t>be any Constituent Entity</w:t>
      </w:r>
      <w:r w:rsidRPr="004733C2">
        <w:t xml:space="preserve">-owner of </w:t>
      </w:r>
      <w:r>
        <w:t>an</w:t>
      </w:r>
      <w:r w:rsidRPr="004733C2">
        <w:t xml:space="preserve"> </w:t>
      </w:r>
      <w:r>
        <w:t xml:space="preserve">Investment Entity or an Insurance Investment Entity </w:t>
      </w:r>
      <w:r w:rsidRPr="004733C2">
        <w:t xml:space="preserve">that are not </w:t>
      </w:r>
      <w:r>
        <w:t xml:space="preserve">in themselves </w:t>
      </w:r>
      <w:r w:rsidRPr="004733C2">
        <w:t>Investment Entities.</w:t>
      </w:r>
      <w:r>
        <w:t xml:space="preserve"> </w:t>
      </w:r>
      <w:r w:rsidRPr="00645402">
        <w:t xml:space="preserve">The election applies to all </w:t>
      </w:r>
      <w:r>
        <w:t>Constituent Entity</w:t>
      </w:r>
      <w:r w:rsidRPr="00645402">
        <w:t>-owner’s Ownership Interests in the Investment Entity</w:t>
      </w:r>
      <w:r>
        <w:t xml:space="preserve">, regardless of whether each Constituent Entity </w:t>
      </w:r>
      <w:r w:rsidRPr="00645402">
        <w:t>owner</w:t>
      </w:r>
      <w:r>
        <w:t xml:space="preserve"> have made the taxable distribution method election</w:t>
      </w:r>
      <w:r w:rsidRPr="00645402">
        <w:t xml:space="preserve">. </w:t>
      </w:r>
      <w:r>
        <w:br/>
      </w:r>
      <w:r w:rsidRPr="00331F60">
        <w:rPr>
          <w:rStyle w:val="References"/>
        </w:rPr>
        <w:t>[Chapter 7, section 7-1</w:t>
      </w:r>
      <w:r w:rsidR="003009D7">
        <w:rPr>
          <w:rStyle w:val="References"/>
        </w:rPr>
        <w:t>4</w:t>
      </w:r>
      <w:r>
        <w:rPr>
          <w:rStyle w:val="References"/>
        </w:rPr>
        <w:t>5</w:t>
      </w:r>
      <w:r w:rsidRPr="00331F60">
        <w:rPr>
          <w:rStyle w:val="References"/>
        </w:rPr>
        <w:t xml:space="preserve"> </w:t>
      </w:r>
      <w:r>
        <w:rPr>
          <w:rStyle w:val="References"/>
        </w:rPr>
        <w:t>of the Rules</w:t>
      </w:r>
      <w:r w:rsidRPr="00331F60">
        <w:rPr>
          <w:rStyle w:val="References"/>
        </w:rPr>
        <w:t>]</w:t>
      </w:r>
    </w:p>
    <w:p w14:paraId="44AF652B" w14:textId="77777777" w:rsidR="00860455" w:rsidRDefault="00860455" w:rsidP="00860455">
      <w:pPr>
        <w:pStyle w:val="Normalparatextwithnumbers"/>
        <w:numPr>
          <w:ilvl w:val="1"/>
          <w:numId w:val="16"/>
        </w:numPr>
      </w:pPr>
      <w:r w:rsidRPr="004733C2">
        <w:t xml:space="preserve">The election is only available </w:t>
      </w:r>
      <w:r>
        <w:t xml:space="preserve">where </w:t>
      </w:r>
      <w:r w:rsidRPr="004733C2">
        <w:t xml:space="preserve">the </w:t>
      </w:r>
      <w:r>
        <w:t>Constituent Entity</w:t>
      </w:r>
      <w:r w:rsidRPr="004733C2">
        <w:t>-owners</w:t>
      </w:r>
      <w:r>
        <w:t xml:space="preserve">: </w:t>
      </w:r>
    </w:p>
    <w:p w14:paraId="17C90C33" w14:textId="77777777" w:rsidR="00860455" w:rsidRDefault="00860455" w:rsidP="00B7652D">
      <w:pPr>
        <w:pStyle w:val="Dotpoint1"/>
      </w:pPr>
      <w:r w:rsidRPr="004733C2">
        <w:t>are subject to tax in their location on distributions from the Investment Entity</w:t>
      </w:r>
      <w:r>
        <w:t>;</w:t>
      </w:r>
      <w:r w:rsidRPr="004733C2">
        <w:t xml:space="preserve"> and </w:t>
      </w:r>
    </w:p>
    <w:p w14:paraId="16E5B162" w14:textId="77777777" w:rsidR="00860455" w:rsidRDefault="00860455" w:rsidP="00B7652D">
      <w:pPr>
        <w:pStyle w:val="Dotpoint1"/>
      </w:pPr>
      <w:r w:rsidRPr="004733C2">
        <w:t xml:space="preserve">can reasonably </w:t>
      </w:r>
      <w:r>
        <w:t xml:space="preserve">be </w:t>
      </w:r>
      <w:r w:rsidRPr="004733C2">
        <w:t xml:space="preserve">expected to be subject to tax on such distributions at a rate </w:t>
      </w:r>
      <w:r>
        <w:t>of at least 15 per cent</w:t>
      </w:r>
      <w:r w:rsidRPr="004733C2">
        <w:t xml:space="preserve">. </w:t>
      </w:r>
    </w:p>
    <w:p w14:paraId="04D2C091" w14:textId="68D5AFAD" w:rsidR="00860455" w:rsidRPr="00841D99" w:rsidRDefault="00860455" w:rsidP="00860455">
      <w:pPr>
        <w:pStyle w:val="Normalparatextwithnumbers"/>
        <w:numPr>
          <w:ilvl w:val="1"/>
          <w:numId w:val="16"/>
        </w:numPr>
      </w:pPr>
      <w:r>
        <w:t>In determining whether a Constituent Entity</w:t>
      </w:r>
      <w:r w:rsidR="00C16524">
        <w:t>-</w:t>
      </w:r>
      <w:r>
        <w:t>owner is subject to at least 15 per cent on distributions, any t</w:t>
      </w:r>
      <w:r w:rsidRPr="004733C2">
        <w:t xml:space="preserve">axes arising on distributions, </w:t>
      </w:r>
      <w:r>
        <w:t>or</w:t>
      </w:r>
      <w:r w:rsidRPr="004733C2">
        <w:t xml:space="preserve"> taxes incurred by the Investment Entity in respect of income distributed to a </w:t>
      </w:r>
      <w:r>
        <w:t>Constituent Entity</w:t>
      </w:r>
      <w:r w:rsidR="003E541B">
        <w:noBreakHyphen/>
      </w:r>
      <w:r w:rsidRPr="004733C2">
        <w:t>owner</w:t>
      </w:r>
      <w:r>
        <w:t xml:space="preserve"> are taken into account. </w:t>
      </w:r>
    </w:p>
    <w:p w14:paraId="2432247D" w14:textId="77777777" w:rsidR="00860455" w:rsidRDefault="00860455" w:rsidP="00860455">
      <w:pPr>
        <w:pStyle w:val="Heading5"/>
        <w:numPr>
          <w:ilvl w:val="4"/>
          <w:numId w:val="2"/>
        </w:numPr>
      </w:pPr>
      <w:r>
        <w:t>Effect of election</w:t>
      </w:r>
    </w:p>
    <w:p w14:paraId="3E5EA7F7" w14:textId="5ECF6DF3" w:rsidR="004617CE" w:rsidRDefault="00860455" w:rsidP="00860455">
      <w:pPr>
        <w:pStyle w:val="Normalparatextwithnumbers"/>
        <w:numPr>
          <w:ilvl w:val="1"/>
          <w:numId w:val="16"/>
        </w:numPr>
      </w:pPr>
      <w:r>
        <w:t>Once the election has been made, the Constituent Entity</w:t>
      </w:r>
      <w:r w:rsidR="00784E01">
        <w:noBreakHyphen/>
      </w:r>
      <w:r>
        <w:t xml:space="preserve">owner must include all actual and deemed distributions </w:t>
      </w:r>
      <w:r w:rsidR="00784E01">
        <w:t xml:space="preserve">it is subject to tax on </w:t>
      </w:r>
      <w:r>
        <w:t xml:space="preserve">in the computing GloBE Income for the Fiscal </w:t>
      </w:r>
      <w:r w:rsidR="00784E01">
        <w:t>Year</w:t>
      </w:r>
      <w:r>
        <w:t>. A</w:t>
      </w:r>
      <w:r w:rsidRPr="005359AD">
        <w:t xml:space="preserve"> deemed distribution includes the income of an Investment Entity for a Fiscal Year to the extent that it is not distributed</w:t>
      </w:r>
      <w:r w:rsidR="00C16524" w:rsidRPr="005359AD">
        <w:t>,</w:t>
      </w:r>
      <w:r w:rsidRPr="005359AD">
        <w:t xml:space="preserve"> </w:t>
      </w:r>
      <w:r>
        <w:t>and</w:t>
      </w:r>
      <w:r w:rsidRPr="005359AD">
        <w:t xml:space="preserve"> the </w:t>
      </w:r>
      <w:r>
        <w:t>Constituent Entity</w:t>
      </w:r>
      <w:r w:rsidRPr="005359AD">
        <w:t xml:space="preserve">-owner </w:t>
      </w:r>
      <w:r>
        <w:t>is</w:t>
      </w:r>
      <w:r w:rsidRPr="005359AD">
        <w:t xml:space="preserve"> subject to taxation in the same Fiscal Year</w:t>
      </w:r>
      <w:r w:rsidR="00001F2B" w:rsidRPr="00001F2B">
        <w:t xml:space="preserve"> </w:t>
      </w:r>
      <w:r w:rsidR="00001F2B" w:rsidRPr="005359AD">
        <w:t>under domestic tax law</w:t>
      </w:r>
      <w:r w:rsidR="004617CE" w:rsidRPr="005359AD">
        <w:t>.</w:t>
      </w:r>
      <w:r>
        <w:t xml:space="preserve"> </w:t>
      </w:r>
      <w:r w:rsidR="00ED5678">
        <w:t xml:space="preserve">Whilst distributions are generally excluded from GloBE income, the deemed distributions under the Taxable Distribution Method are determined by reference to the law </w:t>
      </w:r>
      <w:r w:rsidR="00ED5678" w:rsidRPr="00ED5678">
        <w:t>applicable to the Constituent Entity</w:t>
      </w:r>
      <w:r w:rsidR="00ED5678">
        <w:noBreakHyphen/>
      </w:r>
      <w:r w:rsidR="00ED5678" w:rsidRPr="00ED5678">
        <w:t xml:space="preserve">owner. </w:t>
      </w:r>
      <w:r w:rsidR="00ED5678">
        <w:t xml:space="preserve">Deemed distributions may include </w:t>
      </w:r>
      <w:r w:rsidR="00ED5678" w:rsidRPr="0057420F">
        <w:t>certain transfers of an Ownership Interest</w:t>
      </w:r>
      <w:r w:rsidR="00ED5678">
        <w:t xml:space="preserve">. </w:t>
      </w:r>
      <w:r>
        <w:br/>
      </w:r>
      <w:r w:rsidRPr="009475E9">
        <w:rPr>
          <w:rStyle w:val="References"/>
        </w:rPr>
        <w:t>[Chapter 7, subsection 7-1</w:t>
      </w:r>
      <w:r w:rsidR="003009D7">
        <w:rPr>
          <w:rStyle w:val="References"/>
        </w:rPr>
        <w:t>5</w:t>
      </w:r>
      <w:r>
        <w:rPr>
          <w:rStyle w:val="References"/>
        </w:rPr>
        <w:t>0</w:t>
      </w:r>
      <w:r w:rsidRPr="009475E9">
        <w:rPr>
          <w:rStyle w:val="References"/>
        </w:rPr>
        <w:t>(2) and section 7</w:t>
      </w:r>
      <w:r w:rsidRPr="009475E9">
        <w:rPr>
          <w:rStyle w:val="References"/>
        </w:rPr>
        <w:noBreakHyphen/>
      </w:r>
      <w:r>
        <w:rPr>
          <w:rStyle w:val="References"/>
        </w:rPr>
        <w:t>1</w:t>
      </w:r>
      <w:r w:rsidR="003009D7">
        <w:rPr>
          <w:rStyle w:val="References"/>
        </w:rPr>
        <w:t>6</w:t>
      </w:r>
      <w:r w:rsidDel="003009D7">
        <w:rPr>
          <w:rStyle w:val="References"/>
        </w:rPr>
        <w:t>5</w:t>
      </w:r>
      <w:r>
        <w:rPr>
          <w:rStyle w:val="References"/>
        </w:rPr>
        <w:t xml:space="preserve"> of the Rules</w:t>
      </w:r>
      <w:r w:rsidRPr="009475E9">
        <w:rPr>
          <w:rStyle w:val="References"/>
        </w:rPr>
        <w:t>]</w:t>
      </w:r>
    </w:p>
    <w:p w14:paraId="1ABE0D8E" w14:textId="77777777" w:rsidR="00550B1A" w:rsidRPr="00ED5678" w:rsidRDefault="00550B1A" w:rsidP="00550B1A">
      <w:pPr>
        <w:pStyle w:val="Normalparatextwithnumbers"/>
        <w:numPr>
          <w:ilvl w:val="1"/>
          <w:numId w:val="16"/>
        </w:numPr>
        <w:rPr>
          <w:rStyle w:val="References"/>
          <w:b w:val="0"/>
          <w:i w:val="0"/>
        </w:rPr>
      </w:pPr>
      <w:r w:rsidRPr="00ED5678">
        <w:rPr>
          <w:rStyle w:val="References"/>
          <w:b w:val="0"/>
          <w:i w:val="0"/>
        </w:rPr>
        <w:t>An intermediate Investment Entity, which is a Constituent Entity</w:t>
      </w:r>
      <w:r w:rsidRPr="00ED5678">
        <w:rPr>
          <w:rStyle w:val="References"/>
          <w:b w:val="0"/>
          <w:i w:val="0"/>
        </w:rPr>
        <w:noBreakHyphen/>
        <w:t>owner that is an Investment Entity, will not include distributions in the GloBE Income or Loss computation. Instead, distributions are only included in Undistributed Net GloBE Income when the Constituent Entity</w:t>
      </w:r>
      <w:r w:rsidRPr="00ED5678">
        <w:rPr>
          <w:rStyle w:val="References"/>
          <w:b w:val="0"/>
          <w:i w:val="0"/>
        </w:rPr>
        <w:noBreakHyphen/>
        <w:t>owner is not an Investment Entity see paragraph 103 on page 212 of the Consolidated Commentary.</w:t>
      </w:r>
    </w:p>
    <w:p w14:paraId="6DEB3899" w14:textId="7116132F" w:rsidR="00860455" w:rsidRDefault="00860455" w:rsidP="00860455">
      <w:pPr>
        <w:pStyle w:val="Normalparatextwithnumbers"/>
        <w:numPr>
          <w:ilvl w:val="1"/>
          <w:numId w:val="16"/>
        </w:numPr>
      </w:pPr>
      <w:r>
        <w:t>The Constituent Entity</w:t>
      </w:r>
      <w:r w:rsidRPr="006F52F2">
        <w:t xml:space="preserve">-owner </w:t>
      </w:r>
      <w:r w:rsidR="00ED5678">
        <w:t xml:space="preserve">must </w:t>
      </w:r>
      <w:r w:rsidRPr="006F52F2">
        <w:t>include</w:t>
      </w:r>
      <w:r w:rsidR="00ED5678">
        <w:t xml:space="preserve"> </w:t>
      </w:r>
      <w:r w:rsidRPr="006F52F2">
        <w:t xml:space="preserve">the </w:t>
      </w:r>
      <w:r>
        <w:t>local creditable tax gross</w:t>
      </w:r>
      <w:r w:rsidR="00ED5678">
        <w:noBreakHyphen/>
      </w:r>
      <w:r>
        <w:t>up</w:t>
      </w:r>
      <w:r w:rsidRPr="006F52F2">
        <w:t xml:space="preserve"> in its GloBE Income and </w:t>
      </w:r>
      <w:r>
        <w:t>Adjusted Covered Taxes</w:t>
      </w:r>
      <w:r w:rsidRPr="006F52F2">
        <w:t xml:space="preserve">. </w:t>
      </w:r>
      <w:r w:rsidR="00ED5678">
        <w:t>The local creditable tax gross</w:t>
      </w:r>
      <w:r w:rsidR="00ED5678">
        <w:noBreakHyphen/>
        <w:t>up amount</w:t>
      </w:r>
      <w:r>
        <w:t xml:space="preserve"> is </w:t>
      </w:r>
      <w:r w:rsidRPr="006F52F2">
        <w:t xml:space="preserve">generally the amount of Covered Taxes paid by the </w:t>
      </w:r>
      <w:r w:rsidRPr="006F52F2">
        <w:lastRenderedPageBreak/>
        <w:t xml:space="preserve">Investment Entity that is allowed as a credit in the computation of the </w:t>
      </w:r>
      <w:r>
        <w:t>Constituent Entity</w:t>
      </w:r>
      <w:r w:rsidRPr="006F52F2">
        <w:t xml:space="preserve">-owner’s tax liability in respect of a distribution from the Investment Entity. </w:t>
      </w:r>
      <w:r>
        <w:t xml:space="preserve">The local creditable tax gross up is treated as </w:t>
      </w:r>
      <w:r w:rsidRPr="006F52F2">
        <w:t>additional GloBE Income so that the tax credit does not have the same effect as allowing both a deduction and a credit</w:t>
      </w:r>
      <w:r>
        <w:t>.</w:t>
      </w:r>
      <w:r w:rsidRPr="006F52F2">
        <w:t xml:space="preserve"> </w:t>
      </w:r>
    </w:p>
    <w:p w14:paraId="7150AFE3" w14:textId="77777777" w:rsidR="00860455" w:rsidRPr="00E14AFF" w:rsidRDefault="00860455" w:rsidP="00C7284C">
      <w:pPr>
        <w:pStyle w:val="ExampleHeading"/>
        <w:rPr>
          <w:rStyle w:val="References"/>
          <w:b/>
          <w:i/>
        </w:rPr>
      </w:pPr>
      <w:r>
        <w:t>Proportionate share of Undistributed Net GloBE Income Account</w:t>
      </w:r>
    </w:p>
    <w:p w14:paraId="3F78969E" w14:textId="77777777" w:rsidR="00860455" w:rsidRPr="00EE7DE2" w:rsidRDefault="00860455" w:rsidP="00860455">
      <w:pPr>
        <w:pStyle w:val="Exampletext"/>
        <w:rPr>
          <w:rStyle w:val="References"/>
          <w:b w:val="0"/>
          <w:bCs w:val="0"/>
          <w:i w:val="0"/>
          <w:iCs/>
          <w:sz w:val="21"/>
        </w:rPr>
      </w:pPr>
      <w:r>
        <w:rPr>
          <w:rStyle w:val="References"/>
          <w:b w:val="0"/>
          <w:i w:val="0"/>
          <w:sz w:val="21"/>
          <w:szCs w:val="21"/>
        </w:rPr>
        <w:t xml:space="preserve">Assume that a </w:t>
      </w:r>
      <w:r w:rsidRPr="00EE7DE2">
        <w:rPr>
          <w:rStyle w:val="References"/>
          <w:b w:val="0"/>
          <w:bCs w:val="0"/>
          <w:i w:val="0"/>
          <w:iCs/>
          <w:sz w:val="21"/>
        </w:rPr>
        <w:t>Taxable Distribution Method Election was made</w:t>
      </w:r>
      <w:r>
        <w:rPr>
          <w:rStyle w:val="References"/>
          <w:b w:val="0"/>
          <w:bCs w:val="0"/>
          <w:i w:val="0"/>
          <w:iCs/>
          <w:sz w:val="21"/>
        </w:rPr>
        <w:t xml:space="preserve"> for a</w:t>
      </w:r>
      <w:r w:rsidRPr="00EE7DE2">
        <w:rPr>
          <w:rStyle w:val="References"/>
          <w:b w:val="0"/>
          <w:bCs w:val="0"/>
          <w:i w:val="0"/>
          <w:iCs/>
          <w:sz w:val="21"/>
        </w:rPr>
        <w:t>n Investment Entity</w:t>
      </w:r>
      <w:r>
        <w:rPr>
          <w:rStyle w:val="References"/>
          <w:b w:val="0"/>
          <w:bCs w:val="0"/>
          <w:i w:val="0"/>
          <w:iCs/>
          <w:sz w:val="21"/>
        </w:rPr>
        <w:t xml:space="preserve"> that had a </w:t>
      </w:r>
      <w:r w:rsidRPr="00EE7DE2">
        <w:rPr>
          <w:rStyle w:val="References"/>
          <w:b w:val="0"/>
          <w:bCs w:val="0"/>
          <w:i w:val="0"/>
          <w:iCs/>
          <w:sz w:val="21"/>
        </w:rPr>
        <w:t xml:space="preserve">GloBE Income for the Tested Year </w:t>
      </w:r>
      <w:r>
        <w:rPr>
          <w:rStyle w:val="References"/>
          <w:b w:val="0"/>
          <w:bCs w:val="0"/>
          <w:i w:val="0"/>
          <w:iCs/>
          <w:sz w:val="21"/>
        </w:rPr>
        <w:t xml:space="preserve">of </w:t>
      </w:r>
      <w:r w:rsidRPr="00EE7DE2">
        <w:rPr>
          <w:rStyle w:val="References"/>
          <w:b w:val="0"/>
          <w:bCs w:val="0"/>
          <w:i w:val="0"/>
          <w:iCs/>
          <w:sz w:val="21"/>
        </w:rPr>
        <w:t>$100.</w:t>
      </w:r>
    </w:p>
    <w:p w14:paraId="10370EAF" w14:textId="77777777" w:rsidR="00860455" w:rsidRPr="00EE7DE2" w:rsidRDefault="00860455" w:rsidP="00860455">
      <w:pPr>
        <w:pStyle w:val="Exampletext"/>
        <w:rPr>
          <w:rStyle w:val="References"/>
          <w:b w:val="0"/>
          <w:bCs w:val="0"/>
          <w:i w:val="0"/>
          <w:iCs/>
          <w:sz w:val="21"/>
        </w:rPr>
      </w:pPr>
      <w:r>
        <w:rPr>
          <w:rStyle w:val="References"/>
          <w:b w:val="0"/>
          <w:bCs w:val="0"/>
          <w:i w:val="0"/>
          <w:iCs/>
          <w:sz w:val="21"/>
        </w:rPr>
        <w:t xml:space="preserve">The Investment Entity is owned by </w:t>
      </w:r>
      <w:r w:rsidRPr="00EE7DE2">
        <w:rPr>
          <w:rStyle w:val="References"/>
          <w:b w:val="0"/>
          <w:bCs w:val="0"/>
          <w:i w:val="0"/>
          <w:iCs/>
          <w:sz w:val="21"/>
        </w:rPr>
        <w:t xml:space="preserve">two </w:t>
      </w:r>
      <w:r>
        <w:rPr>
          <w:rStyle w:val="References"/>
          <w:b w:val="0"/>
          <w:bCs w:val="0"/>
          <w:i w:val="0"/>
          <w:iCs/>
          <w:sz w:val="21"/>
        </w:rPr>
        <w:t xml:space="preserve">Constituent Entities, </w:t>
      </w:r>
      <w:r w:rsidRPr="00EE7DE2">
        <w:rPr>
          <w:rStyle w:val="References"/>
          <w:b w:val="0"/>
          <w:bCs w:val="0"/>
          <w:i w:val="0"/>
          <w:iCs/>
          <w:sz w:val="21"/>
        </w:rPr>
        <w:t>CE</w:t>
      </w:r>
      <w:r>
        <w:rPr>
          <w:rStyle w:val="References"/>
          <w:b w:val="0"/>
          <w:bCs w:val="0"/>
          <w:i w:val="0"/>
          <w:iCs/>
          <w:sz w:val="21"/>
        </w:rPr>
        <w:noBreakHyphen/>
      </w:r>
      <w:r w:rsidRPr="00EE7DE2">
        <w:rPr>
          <w:rStyle w:val="References"/>
          <w:b w:val="0"/>
          <w:bCs w:val="0"/>
          <w:i w:val="0"/>
          <w:iCs/>
          <w:sz w:val="21"/>
        </w:rPr>
        <w:t>Owner A and CE-Owner B, holding 80% and 20% Ownership Interests in the Investment Entity</w:t>
      </w:r>
      <w:r>
        <w:rPr>
          <w:rStyle w:val="References"/>
          <w:b w:val="0"/>
          <w:bCs w:val="0"/>
          <w:i w:val="0"/>
          <w:iCs/>
          <w:sz w:val="21"/>
        </w:rPr>
        <w:t>, respectively</w:t>
      </w:r>
      <w:r w:rsidRPr="00EE7DE2">
        <w:rPr>
          <w:rStyle w:val="References"/>
          <w:b w:val="0"/>
          <w:bCs w:val="0"/>
          <w:i w:val="0"/>
          <w:iCs/>
          <w:sz w:val="21"/>
        </w:rPr>
        <w:t>. CE-Owner A is part of MNE Group A</w:t>
      </w:r>
      <w:r>
        <w:rPr>
          <w:rStyle w:val="References"/>
          <w:b w:val="0"/>
          <w:bCs w:val="0"/>
          <w:i w:val="0"/>
          <w:iCs/>
          <w:sz w:val="21"/>
        </w:rPr>
        <w:t xml:space="preserve">, whereas </w:t>
      </w:r>
      <w:r w:rsidRPr="00EE7DE2">
        <w:rPr>
          <w:rStyle w:val="References"/>
          <w:b w:val="0"/>
          <w:bCs w:val="0"/>
          <w:i w:val="0"/>
          <w:iCs/>
          <w:sz w:val="21"/>
        </w:rPr>
        <w:t>CE-Owner B is not.</w:t>
      </w:r>
    </w:p>
    <w:p w14:paraId="2B3AF68A" w14:textId="77777777" w:rsidR="00860455" w:rsidRPr="00EE7DE2" w:rsidRDefault="00860455" w:rsidP="00860455">
      <w:pPr>
        <w:pStyle w:val="Exampletext"/>
        <w:rPr>
          <w:rStyle w:val="References"/>
          <w:b w:val="0"/>
          <w:bCs w:val="0"/>
          <w:i w:val="0"/>
          <w:iCs/>
          <w:sz w:val="21"/>
        </w:rPr>
      </w:pPr>
      <w:r>
        <w:rPr>
          <w:rStyle w:val="References"/>
          <w:b w:val="0"/>
          <w:bCs w:val="0"/>
          <w:i w:val="0"/>
          <w:iCs/>
          <w:sz w:val="20"/>
        </w:rPr>
        <w:t xml:space="preserve">Given that </w:t>
      </w:r>
      <w:r w:rsidRPr="00EE7DE2">
        <w:rPr>
          <w:rStyle w:val="References"/>
          <w:b w:val="0"/>
          <w:bCs w:val="0"/>
          <w:i w:val="0"/>
          <w:iCs/>
          <w:sz w:val="21"/>
        </w:rPr>
        <w:t>none of the items mentioned in subsections 7</w:t>
      </w:r>
      <w:r>
        <w:rPr>
          <w:rStyle w:val="References"/>
          <w:b w:val="0"/>
          <w:bCs w:val="0"/>
          <w:i w:val="0"/>
          <w:iCs/>
          <w:sz w:val="20"/>
        </w:rPr>
        <w:noBreakHyphen/>
      </w:r>
      <w:r w:rsidRPr="00EE7DE2">
        <w:rPr>
          <w:rStyle w:val="References"/>
          <w:b w:val="0"/>
          <w:bCs w:val="0"/>
          <w:i w:val="0"/>
          <w:iCs/>
          <w:sz w:val="21"/>
        </w:rPr>
        <w:t>150(3)-(6) are applicable in the Testing Period</w:t>
      </w:r>
      <w:r>
        <w:rPr>
          <w:rStyle w:val="References"/>
          <w:b w:val="0"/>
          <w:bCs w:val="0"/>
          <w:i w:val="0"/>
          <w:iCs/>
          <w:sz w:val="21"/>
        </w:rPr>
        <w:t>,</w:t>
      </w:r>
      <w:r w:rsidRPr="00EE7DE2">
        <w:rPr>
          <w:rStyle w:val="References"/>
          <w:b w:val="0"/>
          <w:bCs w:val="0"/>
          <w:i w:val="0"/>
          <w:iCs/>
          <w:sz w:val="21"/>
        </w:rPr>
        <w:t xml:space="preserve"> </w:t>
      </w:r>
      <w:r w:rsidRPr="001F5885">
        <w:rPr>
          <w:rStyle w:val="References"/>
          <w:b w:val="0"/>
          <w:i w:val="0"/>
          <w:color w:val="auto"/>
          <w:sz w:val="21"/>
          <w:szCs w:val="21"/>
        </w:rPr>
        <w:t>the Undistributed Net GloBE Income for the Tested Year is $100.</w:t>
      </w:r>
    </w:p>
    <w:p w14:paraId="1010D0FF" w14:textId="52AF1B64" w:rsidR="00860455" w:rsidRPr="001F5885" w:rsidRDefault="00860455" w:rsidP="00B7652D">
      <w:pPr>
        <w:pStyle w:val="Exampletext"/>
        <w:keepNext/>
        <w:keepLines/>
        <w:ind w:left="1138"/>
        <w:rPr>
          <w:rStyle w:val="References"/>
          <w:b w:val="0"/>
          <w:i w:val="0"/>
          <w:color w:val="auto"/>
          <w:sz w:val="21"/>
          <w:szCs w:val="21"/>
        </w:rPr>
      </w:pPr>
      <w:r w:rsidRPr="001F5885">
        <w:rPr>
          <w:rStyle w:val="References"/>
          <w:b w:val="0"/>
          <w:i w:val="0"/>
          <w:color w:val="auto"/>
          <w:sz w:val="21"/>
          <w:szCs w:val="21"/>
        </w:rPr>
        <w:t xml:space="preserve">CE-Owner A’s proportionate share of </w:t>
      </w:r>
      <w:r>
        <w:rPr>
          <w:rStyle w:val="References"/>
          <w:b w:val="0"/>
          <w:i w:val="0"/>
          <w:color w:val="auto"/>
          <w:sz w:val="21"/>
          <w:szCs w:val="21"/>
        </w:rPr>
        <w:t>the Investment Entity’s income is $80 (</w:t>
      </w:r>
      <w:r w:rsidRPr="001F5885">
        <w:rPr>
          <w:rStyle w:val="References"/>
          <w:b w:val="0"/>
          <w:i w:val="0"/>
          <w:color w:val="auto"/>
          <w:sz w:val="21"/>
          <w:szCs w:val="21"/>
        </w:rPr>
        <w:t>80% x $100</w:t>
      </w:r>
      <w:r>
        <w:rPr>
          <w:rStyle w:val="References"/>
          <w:b w:val="0"/>
          <w:i w:val="0"/>
          <w:color w:val="auto"/>
          <w:sz w:val="21"/>
          <w:szCs w:val="21"/>
        </w:rPr>
        <w:t xml:space="preserve">) which </w:t>
      </w:r>
      <w:r w:rsidRPr="001F5885">
        <w:rPr>
          <w:rStyle w:val="References"/>
          <w:b w:val="0"/>
          <w:i w:val="0"/>
          <w:color w:val="auto"/>
          <w:sz w:val="21"/>
          <w:szCs w:val="21"/>
        </w:rPr>
        <w:t xml:space="preserve">is treated as the </w:t>
      </w:r>
      <w:r>
        <w:rPr>
          <w:rStyle w:val="References"/>
          <w:b w:val="0"/>
          <w:i w:val="0"/>
          <w:color w:val="auto"/>
          <w:sz w:val="21"/>
          <w:szCs w:val="21"/>
        </w:rPr>
        <w:t>Investment Entity</w:t>
      </w:r>
      <w:r w:rsidRPr="001F5885">
        <w:rPr>
          <w:rStyle w:val="References"/>
          <w:b w:val="0"/>
          <w:i w:val="0"/>
          <w:color w:val="auto"/>
          <w:sz w:val="21"/>
          <w:szCs w:val="21"/>
        </w:rPr>
        <w:t xml:space="preserve">’s GloBE Income for the Reporting Year. </w:t>
      </w:r>
      <w:r>
        <w:rPr>
          <w:rStyle w:val="References"/>
          <w:b w:val="0"/>
          <w:i w:val="0"/>
          <w:color w:val="auto"/>
          <w:sz w:val="21"/>
          <w:szCs w:val="21"/>
        </w:rPr>
        <w:t xml:space="preserve">This figure also represents the </w:t>
      </w:r>
      <w:r w:rsidRPr="00A157E8">
        <w:rPr>
          <w:rStyle w:val="References"/>
          <w:b w:val="0"/>
          <w:i w:val="0"/>
          <w:sz w:val="21"/>
          <w:szCs w:val="21"/>
        </w:rPr>
        <w:t>“proportionate share of the Undistributed Net GloBE Income Account” in section 7-</w:t>
      </w:r>
      <w:r w:rsidR="000C0C0E" w:rsidRPr="00A157E8">
        <w:rPr>
          <w:rStyle w:val="References"/>
          <w:b w:val="0"/>
          <w:i w:val="0"/>
          <w:sz w:val="21"/>
          <w:szCs w:val="21"/>
        </w:rPr>
        <w:t>1</w:t>
      </w:r>
      <w:r w:rsidR="000C0C0E">
        <w:rPr>
          <w:rStyle w:val="References"/>
          <w:b w:val="0"/>
          <w:i w:val="0"/>
          <w:sz w:val="21"/>
          <w:szCs w:val="21"/>
        </w:rPr>
        <w:t>5</w:t>
      </w:r>
      <w:r w:rsidR="000C0C0E" w:rsidRPr="00A157E8">
        <w:rPr>
          <w:rStyle w:val="References"/>
          <w:b w:val="0"/>
          <w:i w:val="0"/>
          <w:sz w:val="21"/>
          <w:szCs w:val="21"/>
        </w:rPr>
        <w:t>5</w:t>
      </w:r>
      <w:r w:rsidRPr="00A157E8">
        <w:rPr>
          <w:rStyle w:val="References"/>
          <w:b w:val="0"/>
          <w:i w:val="0"/>
          <w:sz w:val="21"/>
          <w:szCs w:val="21"/>
        </w:rPr>
        <w:t>(2) of the Rules</w:t>
      </w:r>
      <w:r w:rsidR="00406C4D">
        <w:rPr>
          <w:rStyle w:val="References"/>
          <w:b w:val="0"/>
          <w:i w:val="0"/>
          <w:sz w:val="21"/>
          <w:szCs w:val="21"/>
        </w:rPr>
        <w:t xml:space="preserve">. </w:t>
      </w:r>
    </w:p>
    <w:p w14:paraId="702E7756" w14:textId="5660E3ED" w:rsidR="00860455" w:rsidRDefault="00860455" w:rsidP="00860455">
      <w:pPr>
        <w:pStyle w:val="Heading5"/>
        <w:numPr>
          <w:ilvl w:val="4"/>
          <w:numId w:val="2"/>
        </w:numPr>
      </w:pPr>
      <w:r>
        <w:t xml:space="preserve">Undistributed </w:t>
      </w:r>
      <w:r w:rsidR="007C010B">
        <w:t>N</w:t>
      </w:r>
      <w:r>
        <w:t>et GloBE Income</w:t>
      </w:r>
    </w:p>
    <w:p w14:paraId="41A520FE" w14:textId="6851DFEC" w:rsidR="00860455" w:rsidRPr="00E55D0C" w:rsidRDefault="00860455" w:rsidP="00860455">
      <w:pPr>
        <w:pStyle w:val="Normalparatextwithnumbers"/>
        <w:numPr>
          <w:ilvl w:val="1"/>
          <w:numId w:val="16"/>
        </w:numPr>
      </w:pPr>
      <w:r>
        <w:t xml:space="preserve">Where a taxable distribution method election has been made, the MNE Group must establish an </w:t>
      </w:r>
      <w:r w:rsidRPr="00633503">
        <w:t>Undistributed Net GloBE Income Account</w:t>
      </w:r>
      <w:r>
        <w:t xml:space="preserve"> for the Investment Entity for each Fiscal Year. </w:t>
      </w:r>
      <w:r w:rsidR="00550B1A">
        <w:t>The Undistributed Net GloBE Income is maintained over a four</w:t>
      </w:r>
      <w:r w:rsidR="00550B1A">
        <w:noBreakHyphen/>
        <w:t xml:space="preserve">year period to determine whether GloBE Income was distributed or offset by losses, consistent with paragraphs 107 to 113 on page 213 of the Consolidated Commentary. </w:t>
      </w:r>
      <w:r>
        <w:br/>
      </w:r>
      <w:r w:rsidRPr="00E55D0C">
        <w:rPr>
          <w:b/>
          <w:bCs/>
          <w:i/>
          <w:iCs/>
        </w:rPr>
        <w:t>[Chapter 7, subsection 7-1</w:t>
      </w:r>
      <w:r w:rsidR="003009D7">
        <w:rPr>
          <w:b/>
          <w:bCs/>
          <w:i/>
          <w:iCs/>
        </w:rPr>
        <w:t>6</w:t>
      </w:r>
      <w:r w:rsidRPr="00E55D0C">
        <w:rPr>
          <w:b/>
          <w:bCs/>
          <w:i/>
          <w:iCs/>
        </w:rPr>
        <w:t>0(2) of the Rules]</w:t>
      </w:r>
    </w:p>
    <w:p w14:paraId="76EF88C3" w14:textId="30409E41" w:rsidR="00860455" w:rsidRDefault="00860455" w:rsidP="00860455">
      <w:pPr>
        <w:pStyle w:val="Normalparatextwithnumbers"/>
        <w:numPr>
          <w:ilvl w:val="1"/>
          <w:numId w:val="16"/>
        </w:numPr>
      </w:pPr>
      <w:r>
        <w:t>T</w:t>
      </w:r>
      <w:r w:rsidRPr="002F670A">
        <w:t xml:space="preserve">he balance of the Undistributed Net GloBE Income Account starts with the GloBE Income </w:t>
      </w:r>
      <w:r w:rsidR="005643EF">
        <w:t>in</w:t>
      </w:r>
      <w:r w:rsidRPr="002F670A">
        <w:t xml:space="preserve"> the </w:t>
      </w:r>
      <w:r w:rsidR="005643EF">
        <w:t>Fiscal Year the taxable distribution method election is made</w:t>
      </w:r>
      <w:r w:rsidR="0052359D">
        <w:t xml:space="preserve"> </w:t>
      </w:r>
      <w:r w:rsidR="005643EF">
        <w:t>(</w:t>
      </w:r>
      <w:r w:rsidRPr="002F670A">
        <w:t xml:space="preserve">the </w:t>
      </w:r>
      <w:r w:rsidRPr="005643EF">
        <w:rPr>
          <w:b/>
          <w:i/>
        </w:rPr>
        <w:t>tested year</w:t>
      </w:r>
      <w:r w:rsidR="005643EF">
        <w:t>)</w:t>
      </w:r>
      <w:r w:rsidRPr="002F670A">
        <w:t>. If there is zero GloBE Income or a GloBE Loss for a Fiscal Year, the Undistributed Net GloBE Income Account for such year is zero.</w:t>
      </w:r>
      <w:r>
        <w:t xml:space="preserve"> In the tested year, the account balance is reduced by:</w:t>
      </w:r>
    </w:p>
    <w:p w14:paraId="5E5E8E89" w14:textId="77777777" w:rsidR="00860455" w:rsidRDefault="00860455" w:rsidP="00B7652D">
      <w:pPr>
        <w:pStyle w:val="Dotpoint1"/>
      </w:pPr>
      <w:r>
        <w:t>any amount of Covered Taxes paid by the Investment Entity; and</w:t>
      </w:r>
    </w:p>
    <w:p w14:paraId="6C8EF49C" w14:textId="5D4B39F9" w:rsidR="00860455" w:rsidRPr="00E55D0C" w:rsidRDefault="00860455" w:rsidP="00B7652D">
      <w:pPr>
        <w:pStyle w:val="Dotpoint1"/>
      </w:pPr>
      <w:r>
        <w:t>distributions and deemed distributions to all other shareholders that are not Constituent Entities that are Investment Entities.</w:t>
      </w:r>
      <w:r>
        <w:br/>
      </w:r>
      <w:r w:rsidRPr="00E55D0C">
        <w:rPr>
          <w:b/>
          <w:bCs/>
          <w:i/>
          <w:iCs/>
        </w:rPr>
        <w:t>[Chapter 7, subsection 7-1</w:t>
      </w:r>
      <w:r w:rsidR="003009D7">
        <w:rPr>
          <w:b/>
          <w:bCs/>
          <w:i/>
          <w:iCs/>
        </w:rPr>
        <w:t>6</w:t>
      </w:r>
      <w:r w:rsidRPr="00E55D0C">
        <w:rPr>
          <w:b/>
          <w:bCs/>
          <w:i/>
          <w:iCs/>
        </w:rPr>
        <w:t>0(3) of the Rules]</w:t>
      </w:r>
    </w:p>
    <w:p w14:paraId="434AF284" w14:textId="77777777" w:rsidR="00860455" w:rsidRDefault="00860455" w:rsidP="00860455">
      <w:pPr>
        <w:pStyle w:val="Normalparatextwithnumbers"/>
        <w:numPr>
          <w:ilvl w:val="1"/>
          <w:numId w:val="16"/>
        </w:numPr>
      </w:pPr>
      <w:r>
        <w:lastRenderedPageBreak/>
        <w:t xml:space="preserve">For the Fiscal Year is the first, second or third Fiscal Year after the tested year, the balance of the Investment Entity’s Undistributed Net GloBE Income Account for the tested year is subsequently reduced </w:t>
      </w:r>
      <w:r w:rsidRPr="00FA1FA0">
        <w:t xml:space="preserve">(but not below zero) </w:t>
      </w:r>
      <w:r>
        <w:t xml:space="preserve">by: </w:t>
      </w:r>
    </w:p>
    <w:p w14:paraId="2D4696E2" w14:textId="77777777" w:rsidR="00860455" w:rsidRDefault="00860455" w:rsidP="00B7652D">
      <w:pPr>
        <w:pStyle w:val="Dotpoint1"/>
      </w:pPr>
      <w:r w:rsidRPr="009B304C">
        <w:t>any amount of Covered Taxes paid by the Investment Entity</w:t>
      </w:r>
      <w:r>
        <w:t xml:space="preserve"> for the tested year; </w:t>
      </w:r>
    </w:p>
    <w:p w14:paraId="08172948" w14:textId="77777777" w:rsidR="00860455" w:rsidRDefault="00860455" w:rsidP="00B7652D">
      <w:pPr>
        <w:pStyle w:val="Dotpoint1"/>
      </w:pPr>
      <w:r w:rsidRPr="00176BA2">
        <w:t xml:space="preserve">distributions and deemed distributions to </w:t>
      </w:r>
      <w:r>
        <w:t xml:space="preserve">all other </w:t>
      </w:r>
      <w:r w:rsidRPr="00176BA2">
        <w:t xml:space="preserve">shareholders </w:t>
      </w:r>
      <w:r>
        <w:t>that are not Constituent Entities</w:t>
      </w:r>
      <w:r w:rsidRPr="00176BA2">
        <w:t xml:space="preserve"> that are Investment Entities</w:t>
      </w:r>
      <w:r>
        <w:t xml:space="preserve">, in the tested year and three subsequent Fiscal Years; </w:t>
      </w:r>
    </w:p>
    <w:p w14:paraId="7B976613" w14:textId="2A7F5E0A" w:rsidR="00860455" w:rsidRDefault="00860455" w:rsidP="00B7652D">
      <w:pPr>
        <w:pStyle w:val="Dotpoint1"/>
      </w:pPr>
      <w:r>
        <w:t>G</w:t>
      </w:r>
      <w:r w:rsidR="003B765C">
        <w:t>l</w:t>
      </w:r>
      <w:r>
        <w:t xml:space="preserve">oBE Losses that arise in the three Fiscal Years after the tested year; and </w:t>
      </w:r>
    </w:p>
    <w:p w14:paraId="7A33EC92" w14:textId="50B2A11D" w:rsidR="00860455" w:rsidRPr="00E55D0C" w:rsidRDefault="00860455" w:rsidP="00B7652D">
      <w:pPr>
        <w:pStyle w:val="Dotpoint1"/>
      </w:pPr>
      <w:r>
        <w:t xml:space="preserve">amounts of the </w:t>
      </w:r>
      <w:r w:rsidRPr="00B54BBC">
        <w:t xml:space="preserve">Investment Entity’s </w:t>
      </w:r>
      <w:r>
        <w:t xml:space="preserve">GloBE Losses carried forward from Fiscal Years before the tested year. </w:t>
      </w:r>
      <w:r>
        <w:br/>
      </w:r>
      <w:r w:rsidRPr="00E55D0C">
        <w:rPr>
          <w:b/>
          <w:bCs/>
          <w:i/>
          <w:iCs/>
        </w:rPr>
        <w:t>[Chapter 7, subsection 7-1</w:t>
      </w:r>
      <w:r w:rsidR="003009D7">
        <w:rPr>
          <w:b/>
          <w:bCs/>
          <w:i/>
          <w:iCs/>
        </w:rPr>
        <w:t>6</w:t>
      </w:r>
      <w:r w:rsidRPr="00E55D0C">
        <w:rPr>
          <w:b/>
          <w:bCs/>
          <w:i/>
          <w:iCs/>
        </w:rPr>
        <w:t>0(5) of the Rules]</w:t>
      </w:r>
    </w:p>
    <w:p w14:paraId="35079F0A" w14:textId="703FEBDC" w:rsidR="00860455" w:rsidRDefault="00860455" w:rsidP="00860455">
      <w:pPr>
        <w:pStyle w:val="Normalparatextwithnumbers"/>
        <w:numPr>
          <w:ilvl w:val="1"/>
          <w:numId w:val="16"/>
        </w:numPr>
      </w:pPr>
      <w:r>
        <w:t xml:space="preserve">The Undistributed Net GloBE Income Account balance is reduced by any amount of Covered Taxes paid by the Investment Entity. </w:t>
      </w:r>
      <w:r w:rsidR="003B765C">
        <w:t>The Investment Entity’s Covered Taxes that are included in the Local Creditable Tax Gross</w:t>
      </w:r>
      <w:r w:rsidR="003B765C">
        <w:noBreakHyphen/>
        <w:t xml:space="preserve">up associated with a distribution or deemed distribution are subsequently included in the Adjusted Covered Taxes of the Constituent Entity-owner. </w:t>
      </w:r>
      <w:r w:rsidR="00550B1A">
        <w:t>However</w:t>
      </w:r>
      <w:r>
        <w:t xml:space="preserve">, to ensure the Investment Entity’s </w:t>
      </w:r>
      <w:r w:rsidR="00550B1A">
        <w:t>income</w:t>
      </w:r>
      <w:r>
        <w:t xml:space="preserve"> is distributable and the distributable earnings </w:t>
      </w:r>
      <w:r w:rsidR="00550B1A">
        <w:t>are</w:t>
      </w:r>
      <w:r>
        <w:t xml:space="preserve"> not reduced by Covered Taxes</w:t>
      </w:r>
      <w:r w:rsidR="00550B1A">
        <w:t xml:space="preserve">, </w:t>
      </w:r>
      <w:r>
        <w:t>the amount of Covered Taxes are added to the FANIL in the computation of GloBE Income</w:t>
      </w:r>
      <w:r w:rsidRPr="00127360">
        <w:t xml:space="preserve"> </w:t>
      </w:r>
      <w:r>
        <w:t xml:space="preserve">or Loss. </w:t>
      </w:r>
    </w:p>
    <w:p w14:paraId="006D222C" w14:textId="706754E2" w:rsidR="00860455" w:rsidRDefault="00860455" w:rsidP="00860455">
      <w:pPr>
        <w:pStyle w:val="Normalparatextwithnumbers"/>
        <w:numPr>
          <w:ilvl w:val="1"/>
          <w:numId w:val="16"/>
        </w:numPr>
      </w:pPr>
      <w:r>
        <w:t>The balance is further reduced by distributions and deemed distributions to all other shareholders, including indirect ownership, other than Constituent Entities that are Investment Entities. MNE Groups may use any reasonable method of determining whether distributions through a chain of Investment Entities are distributed to a non-Investment Entity.</w:t>
      </w:r>
    </w:p>
    <w:p w14:paraId="75C495CC" w14:textId="77777777" w:rsidR="00860455" w:rsidRDefault="00860455" w:rsidP="00860455">
      <w:pPr>
        <w:pStyle w:val="Normalparatextwithnumbers"/>
        <w:numPr>
          <w:ilvl w:val="1"/>
          <w:numId w:val="16"/>
        </w:numPr>
      </w:pPr>
      <w:r>
        <w:t xml:space="preserve">The Undistributed Net GloBE Income Account balance is also reduced for GloBE Losses because losses reduce the amount that can be distributed as a dividend. However, if the losses exceed the Undistributed Net GloBE Income Accounts, an Investment Loss carry-forward must be created to reduce the undistributed net GloBE Income arising in subsequent Fiscal Years. These carried forward losses may be applied to the Undistributed Net GloBE Income Account balance in subsequent Fiscal Years, to the extent they have not previously been applied. </w:t>
      </w:r>
      <w:r w:rsidRPr="00BF6152">
        <w:t xml:space="preserve">A GloBE Loss made before a Fiscal Year in which an Undistributed Net GloBE Income Account is created may not be carried forward.   </w:t>
      </w:r>
    </w:p>
    <w:p w14:paraId="11B3AC93" w14:textId="467A3FAE" w:rsidR="00860455" w:rsidRDefault="00860455" w:rsidP="00860455">
      <w:pPr>
        <w:pStyle w:val="Heading6"/>
        <w:rPr>
          <w:rFonts w:hint="eastAsia"/>
        </w:rPr>
      </w:pPr>
      <w:r>
        <w:t>Top</w:t>
      </w:r>
      <w:r w:rsidR="007C010B">
        <w:noBreakHyphen/>
      </w:r>
      <w:r>
        <w:t xml:space="preserve">up </w:t>
      </w:r>
      <w:r w:rsidR="007C010B">
        <w:t>T</w:t>
      </w:r>
      <w:r>
        <w:t>ax</w:t>
      </w:r>
    </w:p>
    <w:p w14:paraId="56EF515A" w14:textId="70FE18E4" w:rsidR="007C010B" w:rsidRPr="00915074" w:rsidRDefault="007C010B" w:rsidP="007C010B">
      <w:pPr>
        <w:pStyle w:val="Normalparatextwithnumbers"/>
        <w:numPr>
          <w:ilvl w:val="1"/>
          <w:numId w:val="16"/>
        </w:numPr>
        <w:rPr>
          <w:rStyle w:val="References"/>
          <w:b w:val="0"/>
          <w:i w:val="0"/>
        </w:rPr>
      </w:pPr>
      <w:r>
        <w:t xml:space="preserve">The intention of Part 7-6 is to ensure that Income and taxes of the </w:t>
      </w:r>
      <w:r w:rsidRPr="007C010B">
        <w:t xml:space="preserve">Investment Entity </w:t>
      </w:r>
      <w:r>
        <w:t xml:space="preserve">are appropriately allocated </w:t>
      </w:r>
      <w:r w:rsidRPr="007C010B">
        <w:t>to the Constituent Entity-owners rather than the Investment Entity</w:t>
      </w:r>
      <w:r>
        <w:t xml:space="preserve">. By determining the Undistributed Net GloBE Income the Constituent Entity’s owner proportionate share Undistributed Net GloBE </w:t>
      </w:r>
      <w:r>
        <w:lastRenderedPageBreak/>
        <w:t>Income is included in the GloBE Income of the Constituent Entity</w:t>
      </w:r>
      <w:r>
        <w:noBreakHyphen/>
        <w:t>owner. Any income or Adjusted Covered Taxes of the Investment Entity that are included by the Constituent Entity</w:t>
      </w:r>
      <w:r>
        <w:noBreakHyphen/>
        <w:t>owner remain in the Constituent Entity</w:t>
      </w:r>
      <w:r>
        <w:noBreakHyphen/>
        <w:t xml:space="preserve">owner’s accounts. All other income and Adjusted Covered Taxes of </w:t>
      </w:r>
      <w:r w:rsidRPr="00CD4725">
        <w:t xml:space="preserve">the Investment Entity’s </w:t>
      </w:r>
      <w:r>
        <w:t xml:space="preserve">that are reported at the Investment Entity level </w:t>
      </w:r>
      <w:r w:rsidRPr="00CD4725">
        <w:t xml:space="preserve">are excluded from all </w:t>
      </w:r>
      <w:r>
        <w:t xml:space="preserve">ETR </w:t>
      </w:r>
      <w:r w:rsidRPr="00CD4725">
        <w:t xml:space="preserve">computations under </w:t>
      </w:r>
      <w:r>
        <w:t xml:space="preserve">Chapter </w:t>
      </w:r>
      <w:r w:rsidRPr="00167665">
        <w:t>5</w:t>
      </w:r>
      <w:r w:rsidR="00F77841">
        <w:t xml:space="preserve"> of the Rules</w:t>
      </w:r>
      <w:r w:rsidRPr="00167665">
        <w:t>.</w:t>
      </w:r>
      <w:r>
        <w:br/>
      </w:r>
      <w:r w:rsidRPr="00CD4725">
        <w:rPr>
          <w:rStyle w:val="References"/>
        </w:rPr>
        <w:t>[Chapter 7, section 7-1</w:t>
      </w:r>
      <w:r w:rsidR="003009D7">
        <w:rPr>
          <w:rStyle w:val="References"/>
        </w:rPr>
        <w:t>5</w:t>
      </w:r>
      <w:r>
        <w:rPr>
          <w:rStyle w:val="References"/>
        </w:rPr>
        <w:t>0</w:t>
      </w:r>
      <w:r w:rsidRPr="00CD4725">
        <w:rPr>
          <w:rStyle w:val="References"/>
        </w:rPr>
        <w:t xml:space="preserve"> </w:t>
      </w:r>
      <w:r>
        <w:rPr>
          <w:rStyle w:val="References"/>
        </w:rPr>
        <w:t>of the Rules</w:t>
      </w:r>
      <w:r w:rsidRPr="00CD4725">
        <w:rPr>
          <w:rStyle w:val="References"/>
        </w:rPr>
        <w:t>]</w:t>
      </w:r>
    </w:p>
    <w:p w14:paraId="34F02CFD" w14:textId="77777777" w:rsidR="00860455" w:rsidRDefault="00860455" w:rsidP="00860455">
      <w:pPr>
        <w:pStyle w:val="Normalparatextwithnumbers"/>
        <w:numPr>
          <w:ilvl w:val="1"/>
          <w:numId w:val="16"/>
        </w:numPr>
      </w:pPr>
      <w:bookmarkStart w:id="267" w:name="_Ref183522170"/>
      <w:r>
        <w:t>An increase in top</w:t>
      </w:r>
      <w:r>
        <w:noBreakHyphen/>
        <w:t xml:space="preserve">up tax may occur if </w:t>
      </w:r>
      <w:r w:rsidRPr="00AA33D2">
        <w:t xml:space="preserve">there is an Undistributed Net GloBE Income Account for the Investment entity with a balance </w:t>
      </w:r>
      <w:r>
        <w:t>greater than</w:t>
      </w:r>
      <w:r w:rsidRPr="00AA33D2">
        <w:t xml:space="preserve"> zero at the end of the third subsequent Fiscal Year</w:t>
      </w:r>
      <w:r>
        <w:t>.</w:t>
      </w:r>
      <w:bookmarkEnd w:id="267"/>
      <w:r>
        <w:t xml:space="preserve"> </w:t>
      </w:r>
    </w:p>
    <w:p w14:paraId="7CFAB87A" w14:textId="0056F7DE" w:rsidR="00860455" w:rsidRDefault="007C010B" w:rsidP="00860455">
      <w:pPr>
        <w:pStyle w:val="Normalparatextwithnumbers"/>
        <w:numPr>
          <w:ilvl w:val="1"/>
          <w:numId w:val="16"/>
        </w:numPr>
      </w:pPr>
      <w:r>
        <w:t>The allocation of any top</w:t>
      </w:r>
      <w:r>
        <w:noBreakHyphen/>
        <w:t>up tax is determined in accordance with Chapter 2 of the Rules, where the Investment Entity is treated as a LTCE of the MNE Group and the amount of top</w:t>
      </w:r>
      <w:r>
        <w:noBreakHyphen/>
        <w:t>up tax for the Reporting Year being calculated as follows.</w:t>
      </w:r>
    </w:p>
    <w:p w14:paraId="398426F8" w14:textId="2B7B6ED8" w:rsidR="00860455" w:rsidRDefault="007C010B" w:rsidP="00B07214">
      <w:pPr>
        <w:pStyle w:val="Dotpoint1"/>
      </w:pPr>
      <w:r>
        <w:t>I</w:t>
      </w:r>
      <w:r w:rsidR="00860455">
        <w:t xml:space="preserve">nclude the Constituent Entity owner’s proportionate share of the </w:t>
      </w:r>
      <w:r>
        <w:t>U</w:t>
      </w:r>
      <w:r w:rsidR="00860455">
        <w:t xml:space="preserve">ndistributed </w:t>
      </w:r>
      <w:r>
        <w:t>N</w:t>
      </w:r>
      <w:r w:rsidR="00860455">
        <w:t>et GloBE Income when</w:t>
      </w:r>
      <w:r w:rsidR="00860455" w:rsidRPr="00443BD4">
        <w:t xml:space="preserve"> computing the Investment Entity’s GloBE Income or Loss </w:t>
      </w:r>
      <w:r>
        <w:t>(</w:t>
      </w:r>
      <w:r w:rsidR="00860455" w:rsidRPr="00443BD4">
        <w:t xml:space="preserve">the </w:t>
      </w:r>
      <w:r w:rsidR="00860455">
        <w:t>Constituent Entity</w:t>
      </w:r>
      <w:r w:rsidR="00860455" w:rsidRPr="00443BD4">
        <w:t>-owner’s undistributed share</w:t>
      </w:r>
      <w:r>
        <w:t xml:space="preserve">). </w:t>
      </w:r>
      <w:r w:rsidR="00860455" w:rsidRPr="00443BD4">
        <w:t xml:space="preserve"> </w:t>
      </w:r>
    </w:p>
    <w:p w14:paraId="1DD7BB4F" w14:textId="46F93989" w:rsidR="00860455" w:rsidRPr="00AE0F7F" w:rsidRDefault="007C010B" w:rsidP="00B07214">
      <w:pPr>
        <w:pStyle w:val="Dotpoint1"/>
        <w:rPr>
          <w:rStyle w:val="References"/>
          <w:b w:val="0"/>
          <w:bCs w:val="0"/>
          <w:i w:val="0"/>
          <w:iCs w:val="0"/>
        </w:rPr>
      </w:pPr>
      <w:r>
        <w:t xml:space="preserve">Multiply </w:t>
      </w:r>
      <w:r w:rsidRPr="00443BD4">
        <w:t xml:space="preserve">the </w:t>
      </w:r>
      <w:r>
        <w:t xml:space="preserve">Constituent Entity </w:t>
      </w:r>
      <w:r w:rsidRPr="00443BD4">
        <w:t xml:space="preserve">owner’s undistributed share by </w:t>
      </w:r>
      <w:r>
        <w:t xml:space="preserve">15 per cent to arrive at </w:t>
      </w:r>
      <w:r w:rsidR="00860455" w:rsidRPr="00443BD4">
        <w:t xml:space="preserve">the </w:t>
      </w:r>
      <w:r w:rsidR="00860455">
        <w:t>top</w:t>
      </w:r>
      <w:r w:rsidR="00860455" w:rsidRPr="00443BD4">
        <w:t xml:space="preserve">-up </w:t>
      </w:r>
      <w:r w:rsidR="00860455">
        <w:t>tax</w:t>
      </w:r>
      <w:r w:rsidR="00860455" w:rsidRPr="00443BD4">
        <w:t xml:space="preserve"> of the Investment Entity for the </w:t>
      </w:r>
      <w:r>
        <w:t xml:space="preserve">Reporting Year. </w:t>
      </w:r>
      <w:r w:rsidR="00860455">
        <w:br/>
      </w:r>
      <w:r w:rsidR="00860455" w:rsidRPr="001C6044">
        <w:rPr>
          <w:rStyle w:val="References"/>
        </w:rPr>
        <w:t>[Chapter 7, section 7-</w:t>
      </w:r>
      <w:r w:rsidR="00860455">
        <w:rPr>
          <w:rStyle w:val="References"/>
        </w:rPr>
        <w:t>1</w:t>
      </w:r>
      <w:r w:rsidR="003009D7">
        <w:rPr>
          <w:rStyle w:val="References"/>
        </w:rPr>
        <w:t>5</w:t>
      </w:r>
      <w:r w:rsidR="00860455">
        <w:rPr>
          <w:rStyle w:val="References"/>
        </w:rPr>
        <w:t>5</w:t>
      </w:r>
      <w:r w:rsidR="00860455" w:rsidRPr="001C6044">
        <w:rPr>
          <w:rStyle w:val="References"/>
        </w:rPr>
        <w:t xml:space="preserve"> </w:t>
      </w:r>
      <w:r w:rsidR="00860455">
        <w:rPr>
          <w:rStyle w:val="References"/>
        </w:rPr>
        <w:t>of the Rules</w:t>
      </w:r>
      <w:r w:rsidR="00860455" w:rsidRPr="001C6044">
        <w:rPr>
          <w:rStyle w:val="References"/>
        </w:rPr>
        <w:t>]</w:t>
      </w:r>
    </w:p>
    <w:p w14:paraId="7839768D" w14:textId="71BF61FB" w:rsidR="0025287E" w:rsidRDefault="00860455" w:rsidP="00860455">
      <w:pPr>
        <w:pStyle w:val="Normalparatextwithnumbers"/>
        <w:numPr>
          <w:ilvl w:val="1"/>
          <w:numId w:val="16"/>
        </w:numPr>
      </w:pPr>
      <w:r>
        <w:t>An Investment Entity can have multiple Constituent Entity-owners. In this case it is possible that those Constituent Entity-</w:t>
      </w:r>
      <w:r w:rsidR="0052359D">
        <w:t>o</w:t>
      </w:r>
      <w:r>
        <w:t>wners will make different elections in respect of their Ownership Interests in the Investment Entity. That is, some Constituent Entity-Owners may elect to apply Part 7-6 in respect of their Ownership Interests in the Investment Entity, while Part 7-4 may apply to the Investment Entity in respect of other Constituent Entity-Owners’ Ownership Interests. Where this occurs, the Investment Entity may have Top</w:t>
      </w:r>
      <w:r w:rsidR="007C010B">
        <w:noBreakHyphen/>
      </w:r>
      <w:r>
        <w:t xml:space="preserve">up Tax Amounts under both Parts 7-4 and 7-6 for the same Fiscal Year.    </w:t>
      </w:r>
    </w:p>
    <w:p w14:paraId="561ED152" w14:textId="77777777" w:rsidR="0025287E" w:rsidRDefault="0025287E">
      <w:pPr>
        <w:spacing w:before="0" w:after="160" w:line="259" w:lineRule="auto"/>
      </w:pPr>
      <w:r>
        <w:br w:type="page"/>
      </w:r>
    </w:p>
    <w:p w14:paraId="19F1F136" w14:textId="77777777" w:rsidR="00860455" w:rsidRDefault="00860455" w:rsidP="0025287E">
      <w:pPr>
        <w:pStyle w:val="Normalparatextwithnumbers"/>
        <w:numPr>
          <w:ilvl w:val="0"/>
          <w:numId w:val="0"/>
        </w:numPr>
        <w:ind w:left="709" w:hanging="709"/>
      </w:pPr>
    </w:p>
    <w:p w14:paraId="20BD8BCE" w14:textId="755673F7" w:rsidR="00707ABE" w:rsidRDefault="00860455" w:rsidP="008974A3">
      <w:pPr>
        <w:pStyle w:val="ExampleHeading"/>
        <w:numPr>
          <w:ilvl w:val="3"/>
          <w:numId w:val="16"/>
        </w:numPr>
        <w:tabs>
          <w:tab w:val="num" w:pos="360"/>
        </w:tabs>
        <w:ind w:left="0" w:firstLine="0"/>
      </w:pPr>
      <w:r>
        <w:t>Top</w:t>
      </w:r>
      <w:r>
        <w:noBreakHyphen/>
        <w:t>up tax under an eligible distribution taxable method</w:t>
      </w:r>
      <w:r w:rsidR="00E82C84">
        <w:t xml:space="preserve"> election</w:t>
      </w:r>
      <w:r w:rsidR="00E82C84">
        <w:br/>
        <w:t xml:space="preserve">                       </w:t>
      </w:r>
      <w:r>
        <w:t xml:space="preserve"> </w:t>
      </w:r>
    </w:p>
    <w:p w14:paraId="4CC37877" w14:textId="289D55BB" w:rsidR="00707ABE" w:rsidRPr="00707ABE" w:rsidRDefault="00707ABE" w:rsidP="00707ABE">
      <w:pPr>
        <w:pStyle w:val="Exampletext"/>
      </w:pPr>
      <w:r w:rsidRPr="00707ABE">
        <w:rPr>
          <w:noProof/>
        </w:rPr>
        <w:drawing>
          <wp:inline distT="0" distB="0" distL="0" distR="0" wp14:anchorId="0252372C" wp14:editId="557B407E">
            <wp:extent cx="3448050" cy="1981200"/>
            <wp:effectExtent l="0" t="0" r="0" b="0"/>
            <wp:docPr id="168468171" name="Picture 48" descr="Diagram of Top-up tax under an eligible distribution taxable method 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8171" name="Picture 48" descr="Diagram of Top-up tax under an eligible distribution taxable method election"/>
                    <pic:cNvPicPr>
                      <a:picLocks noChangeAspect="1" noChangeArrowheads="1"/>
                    </pic:cNvPicPr>
                  </pic:nvPicPr>
                  <pic:blipFill rotWithShape="1">
                    <a:blip r:embed="rId90" cstate="print">
                      <a:extLst>
                        <a:ext uri="{28A0092B-C50C-407E-A947-70E740481C1C}">
                          <a14:useLocalDpi xmlns:a14="http://schemas.microsoft.com/office/drawing/2010/main" val="0"/>
                        </a:ext>
                      </a:extLst>
                    </a:blip>
                    <a:srcRect l="1" t="-1036" r="29581" b="-6735"/>
                    <a:stretch/>
                  </pic:blipFill>
                  <pic:spPr bwMode="auto">
                    <a:xfrm>
                      <a:off x="0" y="0"/>
                      <a:ext cx="3448050" cy="1981200"/>
                    </a:xfrm>
                    <a:prstGeom prst="rect">
                      <a:avLst/>
                    </a:prstGeom>
                    <a:noFill/>
                    <a:ln>
                      <a:noFill/>
                    </a:ln>
                    <a:extLst>
                      <a:ext uri="{53640926-AAD7-44D8-BBD7-CCE9431645EC}">
                        <a14:shadowObscured xmlns:a14="http://schemas.microsoft.com/office/drawing/2010/main"/>
                      </a:ext>
                    </a:extLst>
                  </pic:spPr>
                </pic:pic>
              </a:graphicData>
            </a:graphic>
          </wp:inline>
        </w:drawing>
      </w:r>
    </w:p>
    <w:p w14:paraId="48676048" w14:textId="3FA0180B" w:rsidR="00831443" w:rsidRDefault="00831443" w:rsidP="00831443">
      <w:pPr>
        <w:pStyle w:val="Exampletext"/>
      </w:pPr>
      <w:r>
        <w:t xml:space="preserve">Consider the diagram above for this example, where </w:t>
      </w:r>
      <w:r w:rsidR="00871C58">
        <w:t xml:space="preserve">Constituent </w:t>
      </w:r>
      <w:r w:rsidR="00414AE9">
        <w:t xml:space="preserve">Entity-owner </w:t>
      </w:r>
      <w:r>
        <w:t xml:space="preserve">Owner A owns </w:t>
      </w:r>
      <w:r w:rsidR="00BA145E">
        <w:t>80</w:t>
      </w:r>
      <w:r>
        <w:t xml:space="preserve">% of an Investment Entity. </w:t>
      </w:r>
      <w:r w:rsidR="00DB5AE4">
        <w:t xml:space="preserve">Owner A is part of an MNE Group. </w:t>
      </w:r>
      <w:r w:rsidR="00097103">
        <w:t>A third party (a non-group owner)</w:t>
      </w:r>
      <w:r>
        <w:t xml:space="preserve"> owns </w:t>
      </w:r>
      <w:r w:rsidR="00097103">
        <w:t>the other 20</w:t>
      </w:r>
      <w:r>
        <w:t>% of that Investment Entity.</w:t>
      </w:r>
    </w:p>
    <w:p w14:paraId="1EA2AA41" w14:textId="77777777" w:rsidR="00860455" w:rsidRDefault="00860455" w:rsidP="00860455">
      <w:pPr>
        <w:pStyle w:val="Exampletext"/>
      </w:pPr>
      <w:r>
        <w:t xml:space="preserve">Owner A has made a Part 7-6 election to apply the taxable distribution method election. </w:t>
      </w:r>
    </w:p>
    <w:p w14:paraId="616A4F69" w14:textId="4DFE730C" w:rsidR="00860455" w:rsidRDefault="00860455" w:rsidP="00860455">
      <w:pPr>
        <w:pStyle w:val="Exampletext"/>
      </w:pPr>
      <w:r>
        <w:t>The Investment Entity’s GloBE Income for the Fiscal year was $100. Under subsection 7-1</w:t>
      </w:r>
      <w:r w:rsidR="0052359D">
        <w:t>6</w:t>
      </w:r>
      <w:r>
        <w:t xml:space="preserve">0(3), the Undistributed Net GloBE Income for the Tested Year is $100. </w:t>
      </w:r>
    </w:p>
    <w:p w14:paraId="46755A24" w14:textId="16273BEE" w:rsidR="00860455" w:rsidRDefault="00860455" w:rsidP="00860455">
      <w:pPr>
        <w:pStyle w:val="Exampletext"/>
      </w:pPr>
      <w:r>
        <w:t>Assume none of the items mentioned in subsection 7</w:t>
      </w:r>
      <w:r>
        <w:noBreakHyphen/>
        <w:t>1</w:t>
      </w:r>
      <w:r w:rsidR="0052359D">
        <w:t>6</w:t>
      </w:r>
      <w:r>
        <w:t>0(3) and subsection 7</w:t>
      </w:r>
      <w:r>
        <w:noBreakHyphen/>
        <w:t>1</w:t>
      </w:r>
      <w:r w:rsidR="0052359D">
        <w:t>6</w:t>
      </w:r>
      <w:r>
        <w:t>0(5)</w:t>
      </w:r>
      <w:r w:rsidR="007C010B">
        <w:t xml:space="preserve"> apply, so there is no </w:t>
      </w:r>
      <w:r>
        <w:t>reduc</w:t>
      </w:r>
      <w:r w:rsidR="007C010B">
        <w:t>tion to</w:t>
      </w:r>
      <w:r>
        <w:t xml:space="preserve"> the Undistributed Net GloBE Account. </w:t>
      </w:r>
    </w:p>
    <w:p w14:paraId="1F0FFF9B" w14:textId="77777777" w:rsidR="00860455" w:rsidRDefault="00860455" w:rsidP="00B7652D">
      <w:pPr>
        <w:pStyle w:val="Exampletext"/>
        <w:keepNext/>
        <w:keepLines/>
      </w:pPr>
      <w:r>
        <w:t xml:space="preserve">Then: </w:t>
      </w:r>
    </w:p>
    <w:p w14:paraId="43CD9FB2" w14:textId="7360FFCF" w:rsidR="00860455" w:rsidRDefault="00860455" w:rsidP="00B7652D">
      <w:pPr>
        <w:pStyle w:val="Exampledotpoint1"/>
        <w:keepNext/>
        <w:keepLines/>
      </w:pPr>
      <w:r>
        <w:t xml:space="preserve">Owner A’s proportionate share of $80 (80% x $100) is treated as Investment Entity’s GloBE Income for the Reporting Year </w:t>
      </w:r>
      <w:r w:rsidR="007C010B">
        <w:t>(under subsection 7-</w:t>
      </w:r>
      <w:r w:rsidR="003371D5">
        <w:t>155</w:t>
      </w:r>
      <w:r w:rsidR="007C010B">
        <w:t>(2))</w:t>
      </w:r>
    </w:p>
    <w:p w14:paraId="427446F5" w14:textId="6B429C56" w:rsidR="00860455" w:rsidRDefault="00860455" w:rsidP="00B7652D">
      <w:pPr>
        <w:pStyle w:val="Exampledotpoint1"/>
        <w:keepNext/>
        <w:keepLines/>
      </w:pPr>
      <w:r>
        <w:t xml:space="preserve">$12 (the result of 15% x $80), is treated as top-up tax of a </w:t>
      </w:r>
      <w:r w:rsidR="00125D0E">
        <w:t>LTCE</w:t>
      </w:r>
      <w:r>
        <w:t xml:space="preserve"> in the Reporting Year for the purpose of Chapter 2 </w:t>
      </w:r>
      <w:r w:rsidR="007C010B">
        <w:t>(under subsection 7-1</w:t>
      </w:r>
      <w:r w:rsidR="0052359D">
        <w:t>5</w:t>
      </w:r>
      <w:r w:rsidR="007C010B">
        <w:t>5(3)).</w:t>
      </w:r>
      <w:r>
        <w:t xml:space="preserve"> </w:t>
      </w:r>
    </w:p>
    <w:p w14:paraId="01D2EFF0" w14:textId="77777777" w:rsidR="00860455" w:rsidRDefault="00860455" w:rsidP="00860455">
      <w:pPr>
        <w:pStyle w:val="Heading6"/>
        <w:rPr>
          <w:rFonts w:hint="eastAsia"/>
        </w:rPr>
      </w:pPr>
      <w:r>
        <w:t>Revoking an election</w:t>
      </w:r>
    </w:p>
    <w:p w14:paraId="144B6FE1" w14:textId="14775F2B" w:rsidR="00860455" w:rsidRPr="00443411" w:rsidRDefault="00860455" w:rsidP="00860455">
      <w:pPr>
        <w:pStyle w:val="Normalparatextwithnumbers"/>
        <w:numPr>
          <w:ilvl w:val="1"/>
          <w:numId w:val="16"/>
        </w:numPr>
      </w:pPr>
      <w:r>
        <w:t xml:space="preserve">Where an election is revoked </w:t>
      </w:r>
      <w:r w:rsidR="004F076F">
        <w:t>and</w:t>
      </w:r>
      <w:r>
        <w:t xml:space="preserve"> an increase to top</w:t>
      </w:r>
      <w:r>
        <w:noBreakHyphen/>
        <w:t xml:space="preserve">up tax applies, and there is an Undistributed Net GloBE Income Account for an Investment Entity at the end of the Fiscal Year preceding the revocation year, the Constituent </w:t>
      </w:r>
      <w:r>
        <w:lastRenderedPageBreak/>
        <w:t>Entity</w:t>
      </w:r>
      <w:r>
        <w:noBreakHyphen/>
        <w:t xml:space="preserve">owner’s proportionate share of the Undistributed Net GloBE Income Account is included in the Investment Entity’s GloBE Income or Loss for the revocation year. </w:t>
      </w:r>
      <w:r w:rsidR="004F076F">
        <w:t>Consistent with the top</w:t>
      </w:r>
      <w:r w:rsidR="004F076F">
        <w:noBreakHyphen/>
        <w:t xml:space="preserve">up tax calculation </w:t>
      </w:r>
      <w:r w:rsidR="00826342">
        <w:t xml:space="preserve">mentioned from paragraph </w:t>
      </w:r>
      <w:r w:rsidR="00826342">
        <w:fldChar w:fldCharType="begin"/>
      </w:r>
      <w:r w:rsidR="00826342">
        <w:instrText xml:space="preserve"> REF _Ref183522170 \r \h </w:instrText>
      </w:r>
      <w:r w:rsidR="00826342">
        <w:fldChar w:fldCharType="separate"/>
      </w:r>
      <w:r w:rsidR="009D6D0D">
        <w:t>7.112</w:t>
      </w:r>
      <w:r w:rsidR="00826342">
        <w:fldChar w:fldCharType="end"/>
      </w:r>
      <w:r w:rsidR="00897D25">
        <w:t xml:space="preserve"> and</w:t>
      </w:r>
      <w:r>
        <w:t xml:space="preserve"> for the purposes of Chapter 2 of the Rules, the top-up tax of the Investment Entity for the reporting year will be an amount equal to the Constituent Entity</w:t>
      </w:r>
      <w:r>
        <w:noBreakHyphen/>
        <w:t>owner’s undistributed share multiplied by 15 per cent.</w:t>
      </w:r>
      <w:r>
        <w:br/>
      </w:r>
      <w:r w:rsidRPr="00E06B54">
        <w:rPr>
          <w:rStyle w:val="References"/>
        </w:rPr>
        <w:t>[Chapter 7, section 7-1</w:t>
      </w:r>
      <w:r w:rsidR="0052359D">
        <w:rPr>
          <w:rStyle w:val="References"/>
        </w:rPr>
        <w:t>7</w:t>
      </w:r>
      <w:r w:rsidRPr="00E06B54">
        <w:rPr>
          <w:rStyle w:val="References"/>
        </w:rPr>
        <w:t>0 of the Rules]</w:t>
      </w:r>
      <w:r>
        <w:t xml:space="preserve"> </w:t>
      </w:r>
    </w:p>
    <w:p w14:paraId="3FDF82F3" w14:textId="77777777" w:rsidR="0025163B" w:rsidRPr="006479AC" w:rsidRDefault="0025163B" w:rsidP="006479AC">
      <w:pPr>
        <w:pStyle w:val="Normalparatextnonumbers"/>
      </w:pPr>
    </w:p>
    <w:bookmarkEnd w:id="242"/>
    <w:p w14:paraId="7CAF8C33" w14:textId="43187E69" w:rsidR="0025163B" w:rsidRDefault="0025163B" w:rsidP="006479AC">
      <w:pPr>
        <w:pStyle w:val="Normalparatextnonumbers"/>
      </w:pPr>
    </w:p>
    <w:p w14:paraId="65B47664" w14:textId="77777777" w:rsidR="0025163B" w:rsidRPr="00020288" w:rsidRDefault="0025163B" w:rsidP="00873094">
      <w:pPr>
        <w:spacing w:after="0" w:line="360" w:lineRule="auto"/>
        <w:contextualSpacing/>
        <w:sectPr w:rsidR="0025163B" w:rsidRPr="00020288" w:rsidSect="0025163B">
          <w:headerReference w:type="even" r:id="rId91"/>
          <w:headerReference w:type="default" r:id="rId92"/>
          <w:footerReference w:type="even" r:id="rId93"/>
          <w:footerReference w:type="default" r:id="rId94"/>
          <w:headerReference w:type="first" r:id="rId95"/>
          <w:footerReference w:type="first" r:id="rId96"/>
          <w:type w:val="oddPage"/>
          <w:pgSz w:w="9979" w:h="14175" w:code="9"/>
          <w:pgMar w:top="567" w:right="1134" w:bottom="567" w:left="1134" w:header="709" w:footer="709" w:gutter="0"/>
          <w:cols w:space="708"/>
          <w:titlePg/>
          <w:docGrid w:linePitch="360"/>
        </w:sectPr>
      </w:pPr>
    </w:p>
    <w:p w14:paraId="572ECCF8" w14:textId="72914639" w:rsidR="0025163B" w:rsidRPr="0073326A" w:rsidRDefault="000C23B6" w:rsidP="00777A92">
      <w:pPr>
        <w:pStyle w:val="Chapterheading"/>
        <w:rPr>
          <w:rFonts w:hint="eastAsia"/>
        </w:rPr>
      </w:pPr>
      <w:bookmarkStart w:id="268" w:name="_Toc183417105"/>
      <w:bookmarkStart w:id="269" w:name="_Toc183786682"/>
      <w:r>
        <w:lastRenderedPageBreak/>
        <w:t xml:space="preserve">Safe </w:t>
      </w:r>
      <w:bookmarkEnd w:id="268"/>
      <w:bookmarkEnd w:id="269"/>
      <w:r w:rsidR="00BE7898">
        <w:t>h</w:t>
      </w:r>
      <w:r>
        <w:t xml:space="preserve">arbours </w:t>
      </w:r>
    </w:p>
    <w:p w14:paraId="46220744" w14:textId="684297EE" w:rsidR="002D5E0B" w:rsidRDefault="002D5E0B" w:rsidP="002D5E0B">
      <w:pPr>
        <w:pStyle w:val="TOCHeading"/>
      </w:pPr>
      <w:bookmarkStart w:id="270" w:name="Chapter8"/>
      <w:r>
        <w:t xml:space="preserve">Table of Contents: </w:t>
      </w:r>
    </w:p>
    <w:p w14:paraId="6A6161FE" w14:textId="5E0625BE" w:rsidR="0096460F" w:rsidRDefault="002D5E0B">
      <w:pPr>
        <w:pStyle w:val="TOC2"/>
        <w:rPr>
          <w:rFonts w:asciiTheme="minorHAnsi" w:eastAsiaTheme="minorEastAsia" w:hAnsiTheme="minorHAnsi"/>
          <w:kern w:val="2"/>
          <w:sz w:val="22"/>
          <w:lang w:eastAsia="en-AU"/>
          <w14:ligatures w14:val="standardContextual"/>
        </w:rPr>
      </w:pPr>
      <w:r>
        <w:fldChar w:fldCharType="begin"/>
      </w:r>
      <w:r>
        <w:instrText xml:space="preserve"> TOC \o "1-3" \z  \B Chapter8</w:instrText>
      </w:r>
      <w:r>
        <w:fldChar w:fldCharType="separate"/>
      </w:r>
      <w:r w:rsidR="0096460F">
        <w:t>Outline of chapter</w:t>
      </w:r>
      <w:r w:rsidR="0096460F">
        <w:rPr>
          <w:webHidden/>
        </w:rPr>
        <w:tab/>
      </w:r>
      <w:r w:rsidR="0096460F">
        <w:rPr>
          <w:webHidden/>
        </w:rPr>
        <w:fldChar w:fldCharType="begin"/>
      </w:r>
      <w:r w:rsidR="0096460F">
        <w:rPr>
          <w:webHidden/>
        </w:rPr>
        <w:instrText xml:space="preserve"> PAGEREF _Toc185503025 \h </w:instrText>
      </w:r>
      <w:r w:rsidR="0096460F">
        <w:rPr>
          <w:webHidden/>
        </w:rPr>
      </w:r>
      <w:r w:rsidR="0096460F">
        <w:rPr>
          <w:webHidden/>
        </w:rPr>
        <w:fldChar w:fldCharType="separate"/>
      </w:r>
      <w:r w:rsidR="009D6D0D">
        <w:rPr>
          <w:webHidden/>
        </w:rPr>
        <w:t>167</w:t>
      </w:r>
      <w:r w:rsidR="0096460F">
        <w:rPr>
          <w:webHidden/>
        </w:rPr>
        <w:fldChar w:fldCharType="end"/>
      </w:r>
    </w:p>
    <w:p w14:paraId="34F94B9B" w14:textId="13A319E6" w:rsidR="0096460F" w:rsidRDefault="0096460F">
      <w:pPr>
        <w:pStyle w:val="TOC2"/>
        <w:rPr>
          <w:rFonts w:asciiTheme="minorHAnsi" w:eastAsiaTheme="minorEastAsia" w:hAnsiTheme="minorHAnsi"/>
          <w:kern w:val="2"/>
          <w:sz w:val="22"/>
          <w:lang w:eastAsia="en-AU"/>
          <w14:ligatures w14:val="standardContextual"/>
        </w:rPr>
      </w:pPr>
      <w:r>
        <w:t>Detailed explanation of new law</w:t>
      </w:r>
      <w:r>
        <w:rPr>
          <w:webHidden/>
        </w:rPr>
        <w:tab/>
      </w:r>
      <w:r>
        <w:rPr>
          <w:webHidden/>
        </w:rPr>
        <w:fldChar w:fldCharType="begin"/>
      </w:r>
      <w:r>
        <w:rPr>
          <w:webHidden/>
        </w:rPr>
        <w:instrText xml:space="preserve"> PAGEREF _Toc185503026 \h </w:instrText>
      </w:r>
      <w:r>
        <w:rPr>
          <w:webHidden/>
        </w:rPr>
      </w:r>
      <w:r>
        <w:rPr>
          <w:webHidden/>
        </w:rPr>
        <w:fldChar w:fldCharType="separate"/>
      </w:r>
      <w:r w:rsidR="009D6D0D">
        <w:rPr>
          <w:webHidden/>
        </w:rPr>
        <w:t>168</w:t>
      </w:r>
      <w:r>
        <w:rPr>
          <w:webHidden/>
        </w:rPr>
        <w:fldChar w:fldCharType="end"/>
      </w:r>
    </w:p>
    <w:p w14:paraId="5AD63639" w14:textId="77E25B65"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Transitional CbC Reporting Safe Harbour</w:t>
      </w:r>
      <w:r>
        <w:rPr>
          <w:noProof/>
          <w:webHidden/>
        </w:rPr>
        <w:tab/>
      </w:r>
      <w:r>
        <w:rPr>
          <w:noProof/>
          <w:webHidden/>
        </w:rPr>
        <w:fldChar w:fldCharType="begin"/>
      </w:r>
      <w:r>
        <w:rPr>
          <w:noProof/>
          <w:webHidden/>
        </w:rPr>
        <w:instrText xml:space="preserve"> PAGEREF _Toc185503027 \h </w:instrText>
      </w:r>
      <w:r>
        <w:rPr>
          <w:noProof/>
          <w:webHidden/>
        </w:rPr>
      </w:r>
      <w:r>
        <w:rPr>
          <w:noProof/>
          <w:webHidden/>
        </w:rPr>
        <w:fldChar w:fldCharType="separate"/>
      </w:r>
      <w:r w:rsidR="009D6D0D">
        <w:rPr>
          <w:noProof/>
          <w:webHidden/>
        </w:rPr>
        <w:t>168</w:t>
      </w:r>
      <w:r>
        <w:rPr>
          <w:noProof/>
          <w:webHidden/>
        </w:rPr>
        <w:fldChar w:fldCharType="end"/>
      </w:r>
    </w:p>
    <w:p w14:paraId="66EB1C65" w14:textId="40B2DA19"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Permanent Safe Harbour: simplified calculations</w:t>
      </w:r>
      <w:r>
        <w:rPr>
          <w:noProof/>
          <w:webHidden/>
        </w:rPr>
        <w:tab/>
      </w:r>
      <w:r>
        <w:rPr>
          <w:noProof/>
          <w:webHidden/>
        </w:rPr>
        <w:fldChar w:fldCharType="begin"/>
      </w:r>
      <w:r>
        <w:rPr>
          <w:noProof/>
          <w:webHidden/>
        </w:rPr>
        <w:instrText xml:space="preserve"> PAGEREF _Toc185503028 \h </w:instrText>
      </w:r>
      <w:r>
        <w:rPr>
          <w:noProof/>
          <w:webHidden/>
        </w:rPr>
      </w:r>
      <w:r>
        <w:rPr>
          <w:noProof/>
          <w:webHidden/>
        </w:rPr>
        <w:fldChar w:fldCharType="separate"/>
      </w:r>
      <w:r w:rsidR="009D6D0D">
        <w:rPr>
          <w:noProof/>
          <w:webHidden/>
        </w:rPr>
        <w:t>180</w:t>
      </w:r>
      <w:r>
        <w:rPr>
          <w:noProof/>
          <w:webHidden/>
        </w:rPr>
        <w:fldChar w:fldCharType="end"/>
      </w:r>
    </w:p>
    <w:p w14:paraId="64AD39E9" w14:textId="653D64DC"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QDMTT Safe Harbour</w:t>
      </w:r>
      <w:r>
        <w:rPr>
          <w:noProof/>
          <w:webHidden/>
        </w:rPr>
        <w:tab/>
      </w:r>
      <w:r>
        <w:rPr>
          <w:noProof/>
          <w:webHidden/>
        </w:rPr>
        <w:fldChar w:fldCharType="begin"/>
      </w:r>
      <w:r>
        <w:rPr>
          <w:noProof/>
          <w:webHidden/>
        </w:rPr>
        <w:instrText xml:space="preserve"> PAGEREF _Toc185503029 \h </w:instrText>
      </w:r>
      <w:r>
        <w:rPr>
          <w:noProof/>
          <w:webHidden/>
        </w:rPr>
      </w:r>
      <w:r>
        <w:rPr>
          <w:noProof/>
          <w:webHidden/>
        </w:rPr>
        <w:fldChar w:fldCharType="separate"/>
      </w:r>
      <w:r w:rsidR="009D6D0D">
        <w:rPr>
          <w:noProof/>
          <w:webHidden/>
        </w:rPr>
        <w:t>183</w:t>
      </w:r>
      <w:r>
        <w:rPr>
          <w:noProof/>
          <w:webHidden/>
        </w:rPr>
        <w:fldChar w:fldCharType="end"/>
      </w:r>
    </w:p>
    <w:p w14:paraId="64939D13" w14:textId="3720F5E1"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UTPR Safe Harbour</w:t>
      </w:r>
      <w:r>
        <w:rPr>
          <w:noProof/>
          <w:webHidden/>
        </w:rPr>
        <w:tab/>
      </w:r>
      <w:r>
        <w:rPr>
          <w:noProof/>
          <w:webHidden/>
        </w:rPr>
        <w:fldChar w:fldCharType="begin"/>
      </w:r>
      <w:r>
        <w:rPr>
          <w:noProof/>
          <w:webHidden/>
        </w:rPr>
        <w:instrText xml:space="preserve"> PAGEREF _Toc185503030 \h </w:instrText>
      </w:r>
      <w:r>
        <w:rPr>
          <w:noProof/>
          <w:webHidden/>
        </w:rPr>
      </w:r>
      <w:r>
        <w:rPr>
          <w:noProof/>
          <w:webHidden/>
        </w:rPr>
        <w:fldChar w:fldCharType="separate"/>
      </w:r>
      <w:r w:rsidR="009D6D0D">
        <w:rPr>
          <w:noProof/>
          <w:webHidden/>
        </w:rPr>
        <w:t>187</w:t>
      </w:r>
      <w:r>
        <w:rPr>
          <w:noProof/>
          <w:webHidden/>
        </w:rPr>
        <w:fldChar w:fldCharType="end"/>
      </w:r>
    </w:p>
    <w:p w14:paraId="7D0CC5DA" w14:textId="1486B4DB" w:rsidR="002D5E0B" w:rsidRPr="002D5E0B" w:rsidRDefault="002D5E0B" w:rsidP="002D5E0B">
      <w:r>
        <w:fldChar w:fldCharType="end"/>
      </w:r>
    </w:p>
    <w:p w14:paraId="4930372F" w14:textId="77777777" w:rsidR="0025163B" w:rsidRPr="00020288" w:rsidRDefault="0025163B" w:rsidP="005D0844">
      <w:pPr>
        <w:pStyle w:val="Heading2"/>
        <w:rPr>
          <w:rFonts w:hint="eastAsia"/>
        </w:rPr>
      </w:pPr>
      <w:bookmarkStart w:id="271" w:name="_Toc183786683"/>
      <w:bookmarkStart w:id="272" w:name="_Toc185503025"/>
      <w:r w:rsidRPr="00020288">
        <w:t xml:space="preserve">Outline </w:t>
      </w:r>
      <w:r w:rsidRPr="005D0844">
        <w:t>of</w:t>
      </w:r>
      <w:r w:rsidRPr="00020288">
        <w:t xml:space="preserve"> chapter</w:t>
      </w:r>
      <w:bookmarkEnd w:id="271"/>
      <w:bookmarkEnd w:id="272"/>
    </w:p>
    <w:p w14:paraId="1726AA73" w14:textId="77777777" w:rsidR="009757C6" w:rsidRDefault="009757C6" w:rsidP="009757C6">
      <w:pPr>
        <w:pStyle w:val="Normalparatextwithnumbers"/>
        <w:numPr>
          <w:ilvl w:val="1"/>
          <w:numId w:val="18"/>
        </w:numPr>
      </w:pPr>
      <w:r>
        <w:t>Chapter 8</w:t>
      </w:r>
      <w:r w:rsidRPr="00167665">
        <w:t xml:space="preserve"> </w:t>
      </w:r>
      <w:r>
        <w:t>of the Rules identifies and explains the various types of Safe Harbours available to MNE Groups when determining whether Top</w:t>
      </w:r>
      <w:r>
        <w:noBreakHyphen/>
        <w:t xml:space="preserve">up Tax is payable. </w:t>
      </w:r>
    </w:p>
    <w:p w14:paraId="4165B141" w14:textId="77777777" w:rsidR="009757C6" w:rsidRDefault="009757C6" w:rsidP="009757C6">
      <w:pPr>
        <w:pStyle w:val="Normalparatextwithnumbers"/>
        <w:numPr>
          <w:ilvl w:val="1"/>
          <w:numId w:val="18"/>
        </w:numPr>
      </w:pPr>
      <w:r>
        <w:t>Certain safe harbour rules are included to aid the administrative burden in computing the complex Top</w:t>
      </w:r>
      <w:r>
        <w:noBreakHyphen/>
        <w:t>up Tax calculations by deeming Top-up Tax for a jurisdiction to be zero for a Fiscal Year if certain conditions are met.</w:t>
      </w:r>
    </w:p>
    <w:p w14:paraId="754DDC48" w14:textId="63223288" w:rsidR="009757C6" w:rsidRDefault="009757C6" w:rsidP="009757C6">
      <w:pPr>
        <w:pStyle w:val="Normalparatextwithnumbers"/>
        <w:numPr>
          <w:ilvl w:val="1"/>
          <w:numId w:val="18"/>
        </w:numPr>
      </w:pPr>
      <w:r>
        <w:t xml:space="preserve">There are four safe harbours that may apply to an </w:t>
      </w:r>
      <w:r w:rsidR="002330EF">
        <w:t>MNE Group</w:t>
      </w:r>
      <w:r>
        <w:t xml:space="preserve"> in a jurisdiction for a Fiscal Year, including: </w:t>
      </w:r>
    </w:p>
    <w:p w14:paraId="4708B5E9" w14:textId="77777777" w:rsidR="009757C6" w:rsidRDefault="009757C6" w:rsidP="00B07214">
      <w:pPr>
        <w:pStyle w:val="Dotpoint1"/>
      </w:pPr>
      <w:r w:rsidRPr="00076B2E">
        <w:t>Transitional Safe Harbour</w:t>
      </w:r>
      <w:r>
        <w:t xml:space="preserve">; </w:t>
      </w:r>
    </w:p>
    <w:p w14:paraId="343779F2" w14:textId="77777777" w:rsidR="009757C6" w:rsidRDefault="009757C6" w:rsidP="00B07214">
      <w:pPr>
        <w:pStyle w:val="Dotpoint1"/>
      </w:pPr>
      <w:r w:rsidRPr="00076B2E">
        <w:t>Permanent Simplified Calculations Safe Harbour</w:t>
      </w:r>
      <w:r>
        <w:t xml:space="preserve">; </w:t>
      </w:r>
    </w:p>
    <w:p w14:paraId="4F4E0BA2" w14:textId="77777777" w:rsidR="009757C6" w:rsidRDefault="009757C6" w:rsidP="00B07214">
      <w:pPr>
        <w:pStyle w:val="Dotpoint1"/>
      </w:pPr>
      <w:r>
        <w:t xml:space="preserve">QDMTT </w:t>
      </w:r>
      <w:r w:rsidRPr="00076B2E">
        <w:t>Safe Harbour</w:t>
      </w:r>
      <w:r>
        <w:t xml:space="preserve">; and </w:t>
      </w:r>
    </w:p>
    <w:p w14:paraId="00213413" w14:textId="77777777" w:rsidR="009757C6" w:rsidRDefault="009757C6" w:rsidP="00B07214">
      <w:pPr>
        <w:pStyle w:val="Dotpoint1"/>
      </w:pPr>
      <w:r>
        <w:t xml:space="preserve">UTPR Safe Harbour. </w:t>
      </w:r>
    </w:p>
    <w:p w14:paraId="31EDA823" w14:textId="77777777" w:rsidR="0025163B" w:rsidRPr="00020288" w:rsidRDefault="0025163B" w:rsidP="0025163B">
      <w:pPr>
        <w:pStyle w:val="Heading2"/>
        <w:numPr>
          <w:ilvl w:val="1"/>
          <w:numId w:val="2"/>
        </w:numPr>
        <w:tabs>
          <w:tab w:val="num" w:pos="567"/>
        </w:tabs>
        <w:ind w:left="567" w:hanging="567"/>
        <w:rPr>
          <w:rFonts w:hint="eastAsia"/>
        </w:rPr>
      </w:pPr>
      <w:bookmarkStart w:id="273" w:name="_Toc183786684"/>
      <w:bookmarkStart w:id="274" w:name="_Toc185503026"/>
      <w:r w:rsidRPr="00020288">
        <w:lastRenderedPageBreak/>
        <w:t>Detailed explanation of new law</w:t>
      </w:r>
      <w:bookmarkEnd w:id="273"/>
      <w:bookmarkEnd w:id="274"/>
    </w:p>
    <w:p w14:paraId="39374982" w14:textId="77777777" w:rsidR="000B7C92" w:rsidRDefault="000B7C92" w:rsidP="000B7C92">
      <w:pPr>
        <w:pStyle w:val="Heading3"/>
        <w:rPr>
          <w:rFonts w:hint="eastAsia"/>
        </w:rPr>
      </w:pPr>
      <w:bookmarkStart w:id="275" w:name="_Toc180490676"/>
      <w:bookmarkStart w:id="276" w:name="_Toc183786685"/>
      <w:bookmarkStart w:id="277" w:name="_Toc185503027"/>
      <w:r>
        <w:t>Transitional CbC Reporting Safe Harbour</w:t>
      </w:r>
      <w:bookmarkEnd w:id="275"/>
      <w:bookmarkEnd w:id="276"/>
      <w:bookmarkEnd w:id="277"/>
      <w:r>
        <w:t xml:space="preserve"> </w:t>
      </w:r>
    </w:p>
    <w:p w14:paraId="190BC96F" w14:textId="77777777" w:rsidR="000B7C92" w:rsidRPr="009237AE" w:rsidRDefault="000B7C92" w:rsidP="000B7C92">
      <w:pPr>
        <w:pStyle w:val="Normalparatextwithnumbers"/>
        <w:numPr>
          <w:ilvl w:val="1"/>
          <w:numId w:val="18"/>
        </w:numPr>
      </w:pPr>
      <w:r>
        <w:t>A</w:t>
      </w:r>
      <w:r w:rsidRPr="009237AE">
        <w:t xml:space="preserve">n MNE Group’s </w:t>
      </w:r>
      <w:r>
        <w:t>Top</w:t>
      </w:r>
      <w:r w:rsidRPr="009237AE">
        <w:t xml:space="preserve">-up </w:t>
      </w:r>
      <w:r>
        <w:t>Tax</w:t>
      </w:r>
      <w:r w:rsidRPr="009237AE">
        <w:t xml:space="preserve">, including Additional Current </w:t>
      </w:r>
      <w:r>
        <w:t>Top</w:t>
      </w:r>
      <w:r w:rsidRPr="009237AE">
        <w:t xml:space="preserve">-up </w:t>
      </w:r>
      <w:r>
        <w:t>Tax</w:t>
      </w:r>
      <w:r w:rsidRPr="009237AE">
        <w:t>, for a jurisdiction is taken to be zero for</w:t>
      </w:r>
      <w:r>
        <w:t xml:space="preserve"> </w:t>
      </w:r>
      <w:r w:rsidRPr="009237AE">
        <w:t>a Fiscal Year in the Transition Period</w:t>
      </w:r>
      <w:r>
        <w:t xml:space="preserve">, if the following conditions are satisfied: </w:t>
      </w:r>
      <w:r w:rsidRPr="009237AE">
        <w:t xml:space="preserve"> </w:t>
      </w:r>
    </w:p>
    <w:p w14:paraId="743B6C8E" w14:textId="77777777" w:rsidR="000B7C92" w:rsidRPr="009237AE" w:rsidRDefault="000B7C92" w:rsidP="00B07214">
      <w:pPr>
        <w:pStyle w:val="Dotpoint1"/>
      </w:pPr>
      <w:r w:rsidRPr="009237AE">
        <w:t xml:space="preserve">the Filing </w:t>
      </w:r>
      <w:r>
        <w:t>Constituent Entity</w:t>
      </w:r>
      <w:r w:rsidRPr="009237AE">
        <w:t xml:space="preserve"> of the MNE Group elects to apply the Transitional </w:t>
      </w:r>
      <w:r w:rsidRPr="00167665">
        <w:t xml:space="preserve">CbC </w:t>
      </w:r>
      <w:r>
        <w:t>Reporting</w:t>
      </w:r>
      <w:r w:rsidRPr="009237AE">
        <w:t xml:space="preserve"> Safe Harbour for a specified Fiscal Year during the Transition Period and for a specified jurisdiction; and</w:t>
      </w:r>
    </w:p>
    <w:p w14:paraId="26C07D7F" w14:textId="77777777" w:rsidR="000B7C92" w:rsidRPr="009237AE" w:rsidRDefault="000B7C92" w:rsidP="00B07214">
      <w:pPr>
        <w:pStyle w:val="Dotpoint1"/>
      </w:pPr>
      <w:r w:rsidRPr="009237AE">
        <w:t xml:space="preserve">the MNE Group satisfies any of the following tests for the specified jurisdiction for the </w:t>
      </w:r>
      <w:r>
        <w:t xml:space="preserve">specified </w:t>
      </w:r>
      <w:r w:rsidRPr="009237AE">
        <w:t>Fiscal Year:</w:t>
      </w:r>
    </w:p>
    <w:p w14:paraId="419B38FE" w14:textId="77777777" w:rsidR="000B7C92" w:rsidRDefault="000B7C92" w:rsidP="000C1F26">
      <w:pPr>
        <w:pStyle w:val="dotpoint2"/>
        <w:tabs>
          <w:tab w:val="clear" w:pos="1513"/>
          <w:tab w:val="clear" w:pos="2127"/>
        </w:tabs>
        <w:ind w:left="2127" w:hanging="709"/>
        <w:rPr>
          <w:rFonts w:eastAsiaTheme="minorHAnsi"/>
        </w:rPr>
      </w:pPr>
      <w:r w:rsidRPr="009237AE">
        <w:rPr>
          <w:rFonts w:eastAsiaTheme="minorHAnsi"/>
        </w:rPr>
        <w:t xml:space="preserve">the Simplified ETR test </w:t>
      </w:r>
    </w:p>
    <w:p w14:paraId="7AE64987" w14:textId="77777777" w:rsidR="000B7C92" w:rsidRPr="00B83EB9" w:rsidRDefault="000B7C92" w:rsidP="000C1F26">
      <w:pPr>
        <w:pStyle w:val="dotpoint2"/>
        <w:tabs>
          <w:tab w:val="clear" w:pos="1513"/>
          <w:tab w:val="clear" w:pos="2127"/>
        </w:tabs>
        <w:ind w:left="2127" w:hanging="709"/>
        <w:rPr>
          <w:rFonts w:eastAsiaTheme="minorHAnsi"/>
        </w:rPr>
      </w:pPr>
      <w:r w:rsidRPr="00B83EB9">
        <w:rPr>
          <w:rFonts w:eastAsiaTheme="minorHAnsi"/>
        </w:rPr>
        <w:t xml:space="preserve">the Routine profits test; or  </w:t>
      </w:r>
    </w:p>
    <w:p w14:paraId="6F9FB767" w14:textId="255C283D" w:rsidR="000B7C92" w:rsidRPr="009237AE" w:rsidRDefault="000B7C92" w:rsidP="000C1F26">
      <w:pPr>
        <w:pStyle w:val="dotpoint2"/>
        <w:tabs>
          <w:tab w:val="clear" w:pos="1513"/>
          <w:tab w:val="clear" w:pos="2127"/>
        </w:tabs>
        <w:ind w:left="2127" w:hanging="709"/>
        <w:rPr>
          <w:rFonts w:eastAsiaTheme="minorHAnsi"/>
        </w:rPr>
      </w:pPr>
      <w:r w:rsidRPr="00B83EB9">
        <w:rPr>
          <w:rFonts w:eastAsiaTheme="minorHAnsi"/>
        </w:rPr>
        <w:t>the De minimis test</w:t>
      </w:r>
      <w:r w:rsidRPr="009237AE">
        <w:rPr>
          <w:rFonts w:eastAsiaTheme="minorHAnsi"/>
        </w:rPr>
        <w:t>.</w:t>
      </w:r>
      <w:r>
        <w:br/>
      </w:r>
      <w:r w:rsidRPr="001E3399">
        <w:rPr>
          <w:rStyle w:val="References"/>
          <w:rFonts w:eastAsiaTheme="minorHAnsi"/>
        </w:rPr>
        <w:t>[Chapter 8, subsections 8-</w:t>
      </w:r>
      <w:r w:rsidR="00400741">
        <w:rPr>
          <w:rStyle w:val="References"/>
          <w:rFonts w:eastAsiaTheme="minorHAnsi"/>
        </w:rPr>
        <w:t>10</w:t>
      </w:r>
      <w:r w:rsidRPr="001E3399">
        <w:rPr>
          <w:rStyle w:val="References"/>
          <w:rFonts w:eastAsiaTheme="minorHAnsi"/>
        </w:rPr>
        <w:t>(1) and (2)</w:t>
      </w:r>
      <w:r>
        <w:rPr>
          <w:rStyle w:val="References"/>
          <w:rFonts w:eastAsiaTheme="minorHAnsi"/>
        </w:rPr>
        <w:t xml:space="preserve"> of the Rules</w:t>
      </w:r>
      <w:r w:rsidRPr="001E3399">
        <w:rPr>
          <w:rStyle w:val="References"/>
          <w:rFonts w:eastAsiaTheme="minorHAnsi"/>
        </w:rPr>
        <w:t>]</w:t>
      </w:r>
      <w:r w:rsidRPr="009237AE">
        <w:rPr>
          <w:rFonts w:eastAsiaTheme="minorHAnsi"/>
        </w:rPr>
        <w:t xml:space="preserve"> </w:t>
      </w:r>
    </w:p>
    <w:p w14:paraId="5D4BD1E4" w14:textId="4CFE0003" w:rsidR="000B7C92" w:rsidRPr="00AB234D" w:rsidRDefault="000B7C92" w:rsidP="000B7C92">
      <w:pPr>
        <w:pStyle w:val="Normalparatextwithnumbers"/>
        <w:numPr>
          <w:ilvl w:val="1"/>
          <w:numId w:val="18"/>
        </w:numPr>
        <w:rPr>
          <w:rStyle w:val="References"/>
          <w:b w:val="0"/>
          <w:bCs w:val="0"/>
          <w:i w:val="0"/>
          <w:iCs w:val="0"/>
        </w:rPr>
      </w:pPr>
      <w:r w:rsidRPr="005605FF">
        <w:t>The Transitional CbC</w:t>
      </w:r>
      <w:r>
        <w:t xml:space="preserve"> </w:t>
      </w:r>
      <w:r w:rsidRPr="005605FF">
        <w:t>R</w:t>
      </w:r>
      <w:r>
        <w:t>eporting</w:t>
      </w:r>
      <w:r w:rsidRPr="005605FF">
        <w:t xml:space="preserve"> Safe Harbour is designed to provide transitional relief for MNE Groups in the initial years during which the GloBE Rules come into effect.</w:t>
      </w:r>
      <w:r>
        <w:t xml:space="preserve"> Therefore, t</w:t>
      </w:r>
      <w:r w:rsidRPr="00584F96">
        <w:t xml:space="preserve">he three alternative tests </w:t>
      </w:r>
      <w:r>
        <w:t xml:space="preserve">under the transitional CbC Reporting Safe Harbour </w:t>
      </w:r>
      <w:r w:rsidRPr="00584F96">
        <w:t xml:space="preserve">may </w:t>
      </w:r>
      <w:r>
        <w:t xml:space="preserve">only </w:t>
      </w:r>
      <w:r w:rsidRPr="00584F96">
        <w:t xml:space="preserve">be </w:t>
      </w:r>
      <w:r>
        <w:t xml:space="preserve">accessed </w:t>
      </w:r>
      <w:r w:rsidRPr="00584F96">
        <w:t>for a Fiscal Year beginning on or before 31 December 2026, and not including a Fiscal Year that ends after 30 June 2028.</w:t>
      </w:r>
      <w:r>
        <w:br/>
      </w:r>
      <w:r w:rsidRPr="00AB234D">
        <w:rPr>
          <w:rStyle w:val="References"/>
        </w:rPr>
        <w:t>[</w:t>
      </w:r>
      <w:r w:rsidRPr="008216D7">
        <w:rPr>
          <w:rStyle w:val="References"/>
        </w:rPr>
        <w:t xml:space="preserve">Chapter </w:t>
      </w:r>
      <w:r w:rsidR="009A3FDB">
        <w:rPr>
          <w:rStyle w:val="References"/>
        </w:rPr>
        <w:t>8</w:t>
      </w:r>
      <w:r w:rsidRPr="008216D7">
        <w:rPr>
          <w:rStyle w:val="References"/>
        </w:rPr>
        <w:t xml:space="preserve">, section </w:t>
      </w:r>
      <w:r w:rsidR="0019617C">
        <w:rPr>
          <w:rStyle w:val="References"/>
        </w:rPr>
        <w:t>8</w:t>
      </w:r>
      <w:r w:rsidRPr="008216D7">
        <w:rPr>
          <w:rStyle w:val="References"/>
        </w:rPr>
        <w:t>-</w:t>
      </w:r>
      <w:r w:rsidR="00400741">
        <w:rPr>
          <w:rStyle w:val="References"/>
        </w:rPr>
        <w:t>15</w:t>
      </w:r>
      <w:r w:rsidRPr="008216D7">
        <w:rPr>
          <w:rStyle w:val="References"/>
        </w:rPr>
        <w:t xml:space="preserve"> of the Rules]</w:t>
      </w:r>
    </w:p>
    <w:p w14:paraId="40C01230" w14:textId="40595A73" w:rsidR="000B7C92" w:rsidRDefault="000B7C92" w:rsidP="000B7C92">
      <w:pPr>
        <w:pStyle w:val="Heading5"/>
        <w:numPr>
          <w:ilvl w:val="4"/>
          <w:numId w:val="2"/>
        </w:numPr>
      </w:pPr>
      <w:r>
        <w:t>Eligibility for the transitional CbC</w:t>
      </w:r>
      <w:r w:rsidR="002E15F6">
        <w:t xml:space="preserve"> </w:t>
      </w:r>
      <w:r>
        <w:t>R</w:t>
      </w:r>
      <w:r w:rsidR="002E15F6">
        <w:t>eporting</w:t>
      </w:r>
      <w:r>
        <w:t xml:space="preserve"> </w:t>
      </w:r>
      <w:r w:rsidR="00C51E44">
        <w:t>S</w:t>
      </w:r>
      <w:r>
        <w:t xml:space="preserve">afe </w:t>
      </w:r>
      <w:r w:rsidR="00C51E44">
        <w:t>H</w:t>
      </w:r>
      <w:r>
        <w:t>arbour</w:t>
      </w:r>
    </w:p>
    <w:p w14:paraId="238686AB" w14:textId="5EDB4AFE" w:rsidR="000B7C92" w:rsidRDefault="000B7C92" w:rsidP="000B7C92">
      <w:pPr>
        <w:pStyle w:val="Normalparatextwithnumbers"/>
        <w:numPr>
          <w:ilvl w:val="1"/>
          <w:numId w:val="18"/>
        </w:numPr>
      </w:pPr>
      <w:r w:rsidRPr="00416FC6">
        <w:t>The Transitional CbC</w:t>
      </w:r>
      <w:r>
        <w:t xml:space="preserve"> </w:t>
      </w:r>
      <w:r w:rsidRPr="00416FC6">
        <w:t>R</w:t>
      </w:r>
      <w:r>
        <w:t>eporting</w:t>
      </w:r>
      <w:r w:rsidRPr="00416FC6">
        <w:t xml:space="preserve"> Safe Harbour operates using simplified jurisdictional revenue and income information contained in a MNE’s Qualified CbC Report, and jurisdictional tax information contained in a MNE’s Qualified Financial Statements. The Transitional CbC</w:t>
      </w:r>
      <w:r w:rsidR="00C51E44">
        <w:t xml:space="preserve"> </w:t>
      </w:r>
      <w:r w:rsidRPr="00416FC6">
        <w:t>R</w:t>
      </w:r>
      <w:r w:rsidR="00C51E44">
        <w:t>eporting</w:t>
      </w:r>
      <w:r w:rsidRPr="00416FC6">
        <w:t xml:space="preserve"> Safe Harbour applies on a jurisdictional basis to a tested jurisdiction.</w:t>
      </w:r>
      <w:r>
        <w:t xml:space="preserve"> </w:t>
      </w:r>
    </w:p>
    <w:p w14:paraId="7AE90FAE" w14:textId="24FAF997" w:rsidR="000B7C92" w:rsidRDefault="000B7C92" w:rsidP="000B7C92">
      <w:pPr>
        <w:pStyle w:val="Normalparatextwithnumbers"/>
        <w:numPr>
          <w:ilvl w:val="1"/>
          <w:numId w:val="18"/>
        </w:numPr>
      </w:pPr>
      <w:r>
        <w:t>T</w:t>
      </w:r>
      <w:r w:rsidRPr="00954B01">
        <w:t xml:space="preserve">he </w:t>
      </w:r>
      <w:r>
        <w:t xml:space="preserve">application of the </w:t>
      </w:r>
      <w:r w:rsidRPr="00954B01">
        <w:t>Transitional CbC</w:t>
      </w:r>
      <w:r>
        <w:t xml:space="preserve"> </w:t>
      </w:r>
      <w:r w:rsidRPr="00954B01">
        <w:t>R</w:t>
      </w:r>
      <w:r>
        <w:t>eporting</w:t>
      </w:r>
      <w:r w:rsidRPr="00954B01">
        <w:t xml:space="preserve"> Safe Harbour </w:t>
      </w:r>
      <w:r>
        <w:t xml:space="preserve">to </w:t>
      </w:r>
      <w:r w:rsidRPr="00954B01">
        <w:t>a Constituent Entity depends on which jurisdiction the Constituent Entity is located in under the GloBE Rules.</w:t>
      </w:r>
      <w:r>
        <w:t xml:space="preserve"> </w:t>
      </w:r>
      <w:r w:rsidRPr="000C476F">
        <w:t xml:space="preserve">Where the Constituent Entity is a CbC Resident in one jurisdiction, the relevant data </w:t>
      </w:r>
      <w:r>
        <w:t xml:space="preserve">is </w:t>
      </w:r>
      <w:r w:rsidRPr="000C476F">
        <w:t>generally included in the Qualified CbC Report for that jurisdiction. However, if the Constituent entity is located in another jurisdiction in accordance with the GloBE Rules, the Transitional CbC</w:t>
      </w:r>
      <w:r>
        <w:t xml:space="preserve"> </w:t>
      </w:r>
      <w:r w:rsidRPr="000C476F">
        <w:t>R</w:t>
      </w:r>
      <w:r>
        <w:t>eporting</w:t>
      </w:r>
      <w:r w:rsidRPr="000C476F">
        <w:t xml:space="preserve"> Safe Harbour only appl</w:t>
      </w:r>
      <w:r w:rsidR="00C51E44">
        <w:t>ies</w:t>
      </w:r>
      <w:r w:rsidRPr="000C476F">
        <w:t xml:space="preserve"> </w:t>
      </w:r>
      <w:r>
        <w:t xml:space="preserve">for </w:t>
      </w:r>
      <w:r w:rsidRPr="000C476F">
        <w:t>the Constituent Entity if th</w:t>
      </w:r>
      <w:r>
        <w:t>e</w:t>
      </w:r>
      <w:r w:rsidRPr="000C476F">
        <w:t xml:space="preserve"> other jurisdiction </w:t>
      </w:r>
      <w:r>
        <w:t xml:space="preserve">also </w:t>
      </w:r>
      <w:r w:rsidRPr="000C476F">
        <w:t>qualifies for the safe harbour.</w:t>
      </w:r>
    </w:p>
    <w:p w14:paraId="5A0B83F0" w14:textId="4B2B1F49" w:rsidR="000B7C92" w:rsidRDefault="000B7C92" w:rsidP="000B7C92">
      <w:pPr>
        <w:pStyle w:val="Normalparatextwithnumbers"/>
        <w:numPr>
          <w:ilvl w:val="1"/>
          <w:numId w:val="18"/>
        </w:numPr>
      </w:pPr>
      <w:r>
        <w:lastRenderedPageBreak/>
        <w:t xml:space="preserve">Similar to the operation of calculating the ETR under Chapter 5 of the Rules, the </w:t>
      </w:r>
      <w:r w:rsidRPr="00281452">
        <w:t>Transitional CbC</w:t>
      </w:r>
      <w:r>
        <w:t xml:space="preserve"> </w:t>
      </w:r>
      <w:r w:rsidRPr="00281452">
        <w:t>R</w:t>
      </w:r>
      <w:r>
        <w:t>eporting</w:t>
      </w:r>
      <w:r w:rsidRPr="00281452">
        <w:t xml:space="preserve"> Safe Harbour tests </w:t>
      </w:r>
      <w:r>
        <w:t>apply separately for JVs and JV Groups (including where there are multiple JV groups located in the same jurisdiction</w:t>
      </w:r>
      <w:r w:rsidR="004A3220">
        <w:t>)</w:t>
      </w:r>
      <w:r>
        <w:t xml:space="preserve">. </w:t>
      </w:r>
      <w:r>
        <w:br/>
      </w:r>
      <w:r w:rsidRPr="00E0030E">
        <w:rPr>
          <w:rStyle w:val="References"/>
        </w:rPr>
        <w:t>[Chapter 8, section 8-</w:t>
      </w:r>
      <w:r w:rsidR="00CA008D">
        <w:rPr>
          <w:rStyle w:val="References"/>
        </w:rPr>
        <w:t>80</w:t>
      </w:r>
      <w:r w:rsidRPr="00E0030E">
        <w:rPr>
          <w:rStyle w:val="References"/>
        </w:rPr>
        <w:t xml:space="preserve"> of the Rules]</w:t>
      </w:r>
    </w:p>
    <w:p w14:paraId="06D1869A" w14:textId="1EB733F2" w:rsidR="000B7C92" w:rsidRDefault="000B7C92" w:rsidP="000B7C92">
      <w:pPr>
        <w:pStyle w:val="Normalparatextwithnumbers"/>
        <w:numPr>
          <w:ilvl w:val="1"/>
          <w:numId w:val="18"/>
        </w:numPr>
      </w:pPr>
      <w:r>
        <w:t xml:space="preserve">MOCEs may access the CbC Reporting Safe Harbour, but those entities are combined with the main Constituent Entities of the </w:t>
      </w:r>
      <w:r w:rsidR="002330EF">
        <w:t>MNE Group</w:t>
      </w:r>
      <w:r>
        <w:t xml:space="preserve">. Given that the CbC Report does not have a separate reporting mechanism for MOCEs, they are combined with ordinary Constituent Entities of the </w:t>
      </w:r>
      <w:r w:rsidR="002330EF">
        <w:t>MNE Group</w:t>
      </w:r>
      <w:r>
        <w:t xml:space="preserve">. This is a different application to the ordinary </w:t>
      </w:r>
      <w:r w:rsidRPr="00720FCF">
        <w:t xml:space="preserve">Jurisdictional Top-up Tax </w:t>
      </w:r>
      <w:r>
        <w:t xml:space="preserve">framework, where the </w:t>
      </w:r>
      <w:r w:rsidRPr="00720FCF">
        <w:t xml:space="preserve">MOCE is calculated separately from other standard </w:t>
      </w:r>
      <w:r>
        <w:t xml:space="preserve">Constituent Entities </w:t>
      </w:r>
      <w:r w:rsidRPr="00720FCF">
        <w:t>located in the same jurisdiction.</w:t>
      </w:r>
    </w:p>
    <w:p w14:paraId="2F257174" w14:textId="77777777" w:rsidR="000B7C92" w:rsidRDefault="000B7C92" w:rsidP="000B7C92">
      <w:pPr>
        <w:pStyle w:val="Normalparatextwithnumbers"/>
        <w:numPr>
          <w:ilvl w:val="1"/>
          <w:numId w:val="18"/>
        </w:numPr>
      </w:pPr>
      <w:r>
        <w:t xml:space="preserve">An MNE Group may make separate elections for separate entities that apply simultaneously to the same jurisdiction, for example: </w:t>
      </w:r>
    </w:p>
    <w:p w14:paraId="4A7E28C3" w14:textId="77777777" w:rsidR="000B7C92" w:rsidRDefault="000B7C92" w:rsidP="00B07214">
      <w:pPr>
        <w:pStyle w:val="Dotpoint1"/>
      </w:pPr>
      <w:r>
        <w:t xml:space="preserve">an election covering all standard CEs and MOCEs located in Australia; and </w:t>
      </w:r>
    </w:p>
    <w:p w14:paraId="64EE8E77" w14:textId="77777777" w:rsidR="000B7C92" w:rsidRDefault="000B7C92" w:rsidP="00B07214">
      <w:pPr>
        <w:pStyle w:val="Dotpoint1"/>
      </w:pPr>
      <w:r>
        <w:t>a separate election covering JVs located in Australia; and</w:t>
      </w:r>
    </w:p>
    <w:p w14:paraId="2EDC4BF7" w14:textId="77777777" w:rsidR="000B7C92" w:rsidRDefault="000B7C92" w:rsidP="00B07214">
      <w:pPr>
        <w:pStyle w:val="Dotpoint1"/>
      </w:pPr>
      <w:r>
        <w:t xml:space="preserve">a separate election covering Investment and Insurance Investment Entities. </w:t>
      </w:r>
    </w:p>
    <w:p w14:paraId="545B0950" w14:textId="77777777" w:rsidR="000B7C92" w:rsidRDefault="000B7C92" w:rsidP="000B7C92">
      <w:pPr>
        <w:pStyle w:val="Heading6"/>
        <w:rPr>
          <w:rFonts w:hint="eastAsia"/>
        </w:rPr>
      </w:pPr>
      <w:r>
        <w:t>Computation for a UPE that is a Flow</w:t>
      </w:r>
      <w:r>
        <w:noBreakHyphen/>
        <w:t xml:space="preserve">through Entity </w:t>
      </w:r>
    </w:p>
    <w:p w14:paraId="43811FF3" w14:textId="4D9591FA" w:rsidR="000B7C92" w:rsidRDefault="000B7C92" w:rsidP="000B7C92">
      <w:pPr>
        <w:pStyle w:val="Normalparatextwithnumbers"/>
        <w:numPr>
          <w:ilvl w:val="1"/>
          <w:numId w:val="18"/>
        </w:numPr>
      </w:pPr>
      <w:r>
        <w:t>There are special rules for a Flow-through Entity that is a UPE, where the Transitional CbC</w:t>
      </w:r>
      <w:r w:rsidR="00DC25F2">
        <w:t xml:space="preserve"> </w:t>
      </w:r>
      <w:r>
        <w:t>R</w:t>
      </w:r>
      <w:r w:rsidR="00DC25F2">
        <w:t>eporting Safe Harbour</w:t>
      </w:r>
      <w:r>
        <w:t xml:space="preserve"> can only apply if all ownership interests in the UPE are held by qualified persons under section 7-5 of the Rules. This is required even if a deductible dividend regime also applies to the UPE that is a Flow</w:t>
      </w:r>
      <w:r>
        <w:noBreakHyphen/>
        <w:t xml:space="preserve">through entity. </w:t>
      </w:r>
      <w:r>
        <w:br/>
      </w:r>
      <w:r w:rsidRPr="0067056E">
        <w:rPr>
          <w:rStyle w:val="References"/>
        </w:rPr>
        <w:t>[Chapter 8, sections 8</w:t>
      </w:r>
      <w:r w:rsidRPr="0067056E">
        <w:rPr>
          <w:rStyle w:val="References"/>
        </w:rPr>
        <w:noBreakHyphen/>
      </w:r>
      <w:r w:rsidR="00013CF5">
        <w:rPr>
          <w:rStyle w:val="References"/>
        </w:rPr>
        <w:t>85</w:t>
      </w:r>
      <w:r w:rsidRPr="0067056E">
        <w:rPr>
          <w:rStyle w:val="References"/>
        </w:rPr>
        <w:t xml:space="preserve"> and 8-</w:t>
      </w:r>
      <w:r w:rsidR="00013CF5">
        <w:rPr>
          <w:rStyle w:val="References"/>
        </w:rPr>
        <w:t>90</w:t>
      </w:r>
      <w:r w:rsidRPr="0067056E">
        <w:rPr>
          <w:rStyle w:val="References"/>
        </w:rPr>
        <w:t xml:space="preserve"> of the Rules]</w:t>
      </w:r>
    </w:p>
    <w:p w14:paraId="4BB3779B" w14:textId="77777777" w:rsidR="000B7C92" w:rsidRDefault="000B7C92" w:rsidP="000B7C92">
      <w:pPr>
        <w:pStyle w:val="Normalparatextwithnumbers"/>
        <w:numPr>
          <w:ilvl w:val="1"/>
          <w:numId w:val="18"/>
        </w:numPr>
      </w:pPr>
      <w:r>
        <w:t>The amounts attributable to</w:t>
      </w:r>
      <w:r w:rsidRPr="00263CBD">
        <w:t xml:space="preserve"> an Ownership Interest </w:t>
      </w:r>
      <w:r>
        <w:t>in the UPE that is a Flow</w:t>
      </w:r>
      <w:r>
        <w:noBreakHyphen/>
        <w:t xml:space="preserve">through Entity that is </w:t>
      </w:r>
      <w:r w:rsidRPr="00263CBD">
        <w:t>held by</w:t>
      </w:r>
      <w:r>
        <w:t xml:space="preserve"> any of the following qualified persons is excluded</w:t>
      </w:r>
      <w:r w:rsidRPr="001C4CF3">
        <w:t xml:space="preserve"> </w:t>
      </w:r>
      <w:r>
        <w:t xml:space="preserve">when determining the </w:t>
      </w:r>
      <w:r w:rsidRPr="00263CBD">
        <w:t>MNE Group’s Profit (Loss) before Income Tax and any associated taxes</w:t>
      </w:r>
      <w:r>
        <w:t xml:space="preserve">: </w:t>
      </w:r>
    </w:p>
    <w:p w14:paraId="3F005657" w14:textId="77777777" w:rsidR="000B7C92" w:rsidRDefault="000B7C92" w:rsidP="00B07214">
      <w:pPr>
        <w:pStyle w:val="Dotpoint1"/>
      </w:pPr>
      <w:r>
        <w:t xml:space="preserve">a holder of the ownership interest who is subject to tax within 12 months, a holder who is an individual, </w:t>
      </w:r>
      <w:r w:rsidRPr="00BB68CF">
        <w:t>Governmental Entity, an International Organisation, a Non</w:t>
      </w:r>
      <w:r>
        <w:noBreakHyphen/>
      </w:r>
      <w:r w:rsidRPr="00BB68CF">
        <w:t>profit Organisation, or a Pension Fund</w:t>
      </w:r>
      <w:r>
        <w:t>, if the UPE is just a Flow</w:t>
      </w:r>
      <w:r>
        <w:noBreakHyphen/>
        <w:t xml:space="preserve">through Entity; or  </w:t>
      </w:r>
      <w:r w:rsidRPr="00FA52C4">
        <w:t xml:space="preserve"> </w:t>
      </w:r>
    </w:p>
    <w:p w14:paraId="0AFD2A11" w14:textId="77777777" w:rsidR="000B7C92" w:rsidRDefault="000B7C92" w:rsidP="00B07214">
      <w:pPr>
        <w:pStyle w:val="Dotpoint1"/>
      </w:pPr>
      <w:r>
        <w:t xml:space="preserve">a recipient </w:t>
      </w:r>
      <w:r w:rsidRPr="00CC5FC1">
        <w:t>who is an individual, Governmental Entity, an International Organisation, a Non</w:t>
      </w:r>
      <w:r>
        <w:noBreakHyphen/>
      </w:r>
      <w:r w:rsidRPr="00CC5FC1">
        <w:t xml:space="preserve">profit Organisation, or a Pension Fund, </w:t>
      </w:r>
      <w:r>
        <w:t xml:space="preserve">or the dividend </w:t>
      </w:r>
      <w:r w:rsidRPr="00CC5FC1">
        <w:t>is subject to tax within 12 months,</w:t>
      </w:r>
      <w:r>
        <w:t xml:space="preserve"> </w:t>
      </w:r>
      <w:r w:rsidRPr="00CC5FC1">
        <w:t xml:space="preserve">if the UPE is </w:t>
      </w:r>
      <w:r>
        <w:t xml:space="preserve">subject to deductible dividend regime. </w:t>
      </w:r>
    </w:p>
    <w:p w14:paraId="2D437537" w14:textId="77777777" w:rsidR="000B7C92" w:rsidRDefault="000B7C92" w:rsidP="000B7C92">
      <w:pPr>
        <w:pStyle w:val="Heading6"/>
        <w:rPr>
          <w:rFonts w:hint="eastAsia"/>
        </w:rPr>
      </w:pPr>
      <w:r>
        <w:lastRenderedPageBreak/>
        <w:t xml:space="preserve">Investment entities </w:t>
      </w:r>
    </w:p>
    <w:p w14:paraId="0FF48AD0" w14:textId="4C6F4835" w:rsidR="000B7C92" w:rsidRDefault="000B7C92" w:rsidP="000B7C92">
      <w:pPr>
        <w:pStyle w:val="Normalparatextwithnumbers"/>
        <w:numPr>
          <w:ilvl w:val="1"/>
          <w:numId w:val="18"/>
        </w:numPr>
      </w:pPr>
      <w:r>
        <w:t xml:space="preserve">Investment and </w:t>
      </w:r>
      <w:r w:rsidR="00FD35F8">
        <w:t>I</w:t>
      </w:r>
      <w:r>
        <w:t xml:space="preserve">nsurance </w:t>
      </w:r>
      <w:r w:rsidR="00FD35F8">
        <w:t>I</w:t>
      </w:r>
      <w:r>
        <w:t xml:space="preserve">nvestment </w:t>
      </w:r>
      <w:r w:rsidR="00FD35F8">
        <w:t>E</w:t>
      </w:r>
      <w:r>
        <w:t xml:space="preserve">ntities may apply </w:t>
      </w:r>
      <w:r w:rsidR="00FD35F8">
        <w:t xml:space="preserve">the Transitional CbC </w:t>
      </w:r>
      <w:r w:rsidR="00FD35F8" w:rsidRPr="00FD35F8">
        <w:t xml:space="preserve">Reporting Safe Harbour </w:t>
      </w:r>
      <w:r>
        <w:t xml:space="preserve">if: </w:t>
      </w:r>
    </w:p>
    <w:p w14:paraId="337DFA25" w14:textId="2021E915" w:rsidR="000B7C92" w:rsidRDefault="000B7C92" w:rsidP="00B7652D">
      <w:pPr>
        <w:pStyle w:val="Dotpoint1"/>
        <w:numPr>
          <w:ilvl w:val="0"/>
          <w:numId w:val="0"/>
        </w:numPr>
        <w:ind w:left="1418"/>
      </w:pPr>
      <w:r>
        <w:t>(a)</w:t>
      </w:r>
      <w:r w:rsidR="00B07214">
        <w:tab/>
      </w:r>
      <w:r>
        <w:t>the investment entity makes a separate GloBE calculation under Parts 7-4, 7-5 or 7-6 of the Rules;</w:t>
      </w:r>
    </w:p>
    <w:p w14:paraId="02F23A35" w14:textId="4FF7897E" w:rsidR="000B7C92" w:rsidRDefault="000B7C92" w:rsidP="00B7652D">
      <w:pPr>
        <w:pStyle w:val="Dotpoint1"/>
        <w:numPr>
          <w:ilvl w:val="0"/>
          <w:numId w:val="0"/>
        </w:numPr>
        <w:ind w:left="1418"/>
      </w:pPr>
      <w:r>
        <w:t>(b)</w:t>
      </w:r>
      <w:r w:rsidR="00B07214">
        <w:tab/>
      </w:r>
      <w:r>
        <w:t xml:space="preserve">the investment entity jurisdiction and the jurisdiction of residence of any constituent entity owner may continue to benefit from the </w:t>
      </w:r>
      <w:r w:rsidR="00FD35F8">
        <w:t>T</w:t>
      </w:r>
      <w:r>
        <w:t>ransitional CbC</w:t>
      </w:r>
      <w:r w:rsidR="00FD35F8">
        <w:t xml:space="preserve"> </w:t>
      </w:r>
      <w:r w:rsidR="00FD35F8" w:rsidRPr="00FD35F8">
        <w:t>Reporting Safe Harbour</w:t>
      </w:r>
      <w:r>
        <w:t>; and</w:t>
      </w:r>
    </w:p>
    <w:p w14:paraId="21AFB1C9" w14:textId="66628FD2" w:rsidR="000B7C92" w:rsidRDefault="000B7C92" w:rsidP="00B7652D">
      <w:pPr>
        <w:pStyle w:val="Dotpoint1"/>
        <w:numPr>
          <w:ilvl w:val="0"/>
          <w:numId w:val="0"/>
        </w:numPr>
        <w:ind w:left="1418"/>
      </w:pPr>
      <w:r>
        <w:t>(c)</w:t>
      </w:r>
      <w:r w:rsidR="00B07214">
        <w:tab/>
      </w:r>
      <w:r>
        <w:t>the profit (loss) before income tax and total revenue of the investment entity (and any associated taxes) is only reflected in the jurisdiction of its direct parent entities in proportion to their ownership interests</w:t>
      </w:r>
      <w:r w:rsidR="009917E0">
        <w:t xml:space="preserve">, </w:t>
      </w:r>
      <w:r>
        <w:t xml:space="preserve">consistent with paragraph 63 on page 302 of the consolidated commentary.  </w:t>
      </w:r>
      <w:r>
        <w:br/>
      </w:r>
      <w:r w:rsidRPr="00B3761E">
        <w:rPr>
          <w:rStyle w:val="References"/>
        </w:rPr>
        <w:t>[Chapter 8, section 8-</w:t>
      </w:r>
      <w:r w:rsidR="00294955">
        <w:rPr>
          <w:rStyle w:val="References"/>
        </w:rPr>
        <w:t>95</w:t>
      </w:r>
      <w:r w:rsidR="00294955" w:rsidRPr="00B3761E">
        <w:rPr>
          <w:rStyle w:val="References"/>
        </w:rPr>
        <w:t xml:space="preserve"> </w:t>
      </w:r>
      <w:r w:rsidRPr="00B3761E">
        <w:rPr>
          <w:rStyle w:val="References"/>
        </w:rPr>
        <w:t>of the Rules]</w:t>
      </w:r>
    </w:p>
    <w:p w14:paraId="6C443E24" w14:textId="77777777" w:rsidR="000B7C92" w:rsidRDefault="000B7C92" w:rsidP="000B7C92">
      <w:pPr>
        <w:pStyle w:val="Normalparatextwithnumbers"/>
        <w:numPr>
          <w:ilvl w:val="1"/>
          <w:numId w:val="18"/>
        </w:numPr>
      </w:pPr>
      <w:r>
        <w:t xml:space="preserve">The requirement to limit amounts to only the </w:t>
      </w:r>
      <w:r w:rsidRPr="007B2C2E">
        <w:t xml:space="preserve">direct Constituent Entity owner’s CbC Reporting jurisdiction </w:t>
      </w:r>
      <w:r w:rsidRPr="008F7C72">
        <w:t xml:space="preserve">is </w:t>
      </w:r>
      <w:r>
        <w:t xml:space="preserve">based on </w:t>
      </w:r>
      <w:r w:rsidRPr="008F7C72">
        <w:t xml:space="preserve">the Investment Entities and Insurance Investment Entities data </w:t>
      </w:r>
      <w:r>
        <w:t xml:space="preserve">potentially being </w:t>
      </w:r>
      <w:r w:rsidRPr="008F7C72">
        <w:t>reported twice - once in the jurisdiction of the Constituent Entity owner and again in the jurisdiction of the Investment Entities or Insurance Investment Entities.</w:t>
      </w:r>
    </w:p>
    <w:p w14:paraId="1110DEEC" w14:textId="75E368D2" w:rsidR="000B7C92" w:rsidRDefault="000B7C92" w:rsidP="000B7C92">
      <w:pPr>
        <w:pStyle w:val="Normalparatextwithnumbers"/>
        <w:numPr>
          <w:ilvl w:val="1"/>
          <w:numId w:val="18"/>
        </w:numPr>
      </w:pPr>
      <w:r>
        <w:t xml:space="preserve">Part 7-4 </w:t>
      </w:r>
      <w:r w:rsidR="001E1AE3">
        <w:t xml:space="preserve">of the Rules </w:t>
      </w:r>
      <w:r>
        <w:t>does not apply to</w:t>
      </w:r>
      <w:r w:rsidRPr="00CF65E7">
        <w:t xml:space="preserve"> </w:t>
      </w:r>
      <w:r w:rsidRPr="00D53CC8">
        <w:t xml:space="preserve">Investment Entities and Insurance Investment Entities </w:t>
      </w:r>
      <w:r>
        <w:t xml:space="preserve">that are covered by an election to apply the Transitional CbC Reporting Safe Harbour. This has the effect of combining the </w:t>
      </w:r>
      <w:r w:rsidRPr="00C7009A">
        <w:t>Investment Entities and Insurance Investment Entities</w:t>
      </w:r>
      <w:r>
        <w:t xml:space="preserve"> data with the MNE Group, as if it were an ordinary Constituent Entity. </w:t>
      </w:r>
      <w:r>
        <w:br/>
      </w:r>
      <w:r w:rsidRPr="008D3F7D">
        <w:rPr>
          <w:rStyle w:val="References"/>
        </w:rPr>
        <w:t>[Chapter 8, subsection 8</w:t>
      </w:r>
      <w:r w:rsidRPr="008D3F7D">
        <w:rPr>
          <w:rStyle w:val="References"/>
        </w:rPr>
        <w:softHyphen/>
        <w:t>-</w:t>
      </w:r>
      <w:r w:rsidR="00013CF5">
        <w:rPr>
          <w:rStyle w:val="References"/>
        </w:rPr>
        <w:t>95</w:t>
      </w:r>
      <w:r w:rsidRPr="008D3F7D">
        <w:rPr>
          <w:rStyle w:val="References"/>
        </w:rPr>
        <w:t>(5) of the Rules</w:t>
      </w:r>
      <w:r>
        <w:rPr>
          <w:rStyle w:val="References"/>
        </w:rPr>
        <w:t>]</w:t>
      </w:r>
      <w:r>
        <w:t xml:space="preserve"> </w:t>
      </w:r>
    </w:p>
    <w:p w14:paraId="4F44B051" w14:textId="599330D4" w:rsidR="000B7C92" w:rsidRDefault="000B7C92" w:rsidP="000B7C92">
      <w:pPr>
        <w:pStyle w:val="Normalparatextwithnumbers"/>
        <w:numPr>
          <w:ilvl w:val="1"/>
          <w:numId w:val="18"/>
        </w:numPr>
      </w:pPr>
      <w:r>
        <w:t xml:space="preserve">Individual </w:t>
      </w:r>
      <w:r w:rsidRPr="00FE160B">
        <w:t>Investment Entities and Insurance Investment Entities</w:t>
      </w:r>
      <w:r>
        <w:t xml:space="preserve"> that qualify for the Transitional CbC </w:t>
      </w:r>
      <w:r w:rsidR="009917E0">
        <w:t xml:space="preserve">Reporting </w:t>
      </w:r>
      <w:r>
        <w:t>Safe Harbour will each have a Top</w:t>
      </w:r>
      <w:r>
        <w:noBreakHyphen/>
        <w:t xml:space="preserve">up Tax of zero. This contrasts with the approach of ordinary Constituent Entities that qualify for the Transitional CbC </w:t>
      </w:r>
      <w:r w:rsidR="009917E0">
        <w:t xml:space="preserve">Reporting </w:t>
      </w:r>
      <w:r>
        <w:t>Safe Harbour that deems jurisdictional Top</w:t>
      </w:r>
      <w:r>
        <w:noBreakHyphen/>
        <w:t>up Tax as zero. Deeming the jurisdiction Top</w:t>
      </w:r>
      <w:r>
        <w:noBreakHyphen/>
        <w:t xml:space="preserve">up Tax for </w:t>
      </w:r>
      <w:r w:rsidRPr="006C027A">
        <w:t xml:space="preserve">Investment Entities and Insurance Investment Entities </w:t>
      </w:r>
      <w:r>
        <w:t xml:space="preserve">located in a jurisdiction would inappropriately result in all </w:t>
      </w:r>
      <w:r w:rsidRPr="00964A04">
        <w:t xml:space="preserve">Investment Entities and Insurance Investment Entities </w:t>
      </w:r>
      <w:r>
        <w:t>having a Top</w:t>
      </w:r>
      <w:r>
        <w:noBreakHyphen/>
        <w:t xml:space="preserve">up Tax of zero, including those that are not covered by an election and do not qualify for the benefits of the Transitional CbC Reporting </w:t>
      </w:r>
      <w:r w:rsidR="00CA4F78">
        <w:t>S</w:t>
      </w:r>
      <w:r>
        <w:t xml:space="preserve">afe </w:t>
      </w:r>
      <w:r w:rsidR="00CA4F78">
        <w:t>H</w:t>
      </w:r>
      <w:r>
        <w:t>arbour. Consequently, given that the calculation provisions under sections 7-90 and 7</w:t>
      </w:r>
      <w:r w:rsidR="00732D82">
        <w:noBreakHyphen/>
      </w:r>
      <w:r>
        <w:t>95</w:t>
      </w:r>
      <w:r w:rsidR="00D1001B">
        <w:t xml:space="preserve"> of the Rules</w:t>
      </w:r>
      <w:r>
        <w:t xml:space="preserve"> are computed on an aggregate basis, the </w:t>
      </w:r>
      <w:r w:rsidRPr="005719EC">
        <w:t>Investment Entities and Insurance Investment Entities</w:t>
      </w:r>
      <w:r>
        <w:t xml:space="preserve"> that have Top</w:t>
      </w:r>
      <w:r>
        <w:noBreakHyphen/>
        <w:t>up Tax deemed to be nil under the Transitional CbC</w:t>
      </w:r>
      <w:r w:rsidR="009917E0" w:rsidRPr="009917E0">
        <w:t xml:space="preserve"> Reporting Safe Harbour </w:t>
      </w:r>
      <w:r>
        <w:t>are excluded from those calculations.</w:t>
      </w:r>
    </w:p>
    <w:p w14:paraId="192CF031" w14:textId="040054FF" w:rsidR="000B7C92" w:rsidRDefault="000B7C92" w:rsidP="000B7C92">
      <w:pPr>
        <w:pStyle w:val="Normalparatextwithnumbers"/>
        <w:numPr>
          <w:ilvl w:val="1"/>
          <w:numId w:val="18"/>
        </w:numPr>
      </w:pPr>
      <w:r w:rsidRPr="0004718F">
        <w:t xml:space="preserve">Investment Entities </w:t>
      </w:r>
      <w:r>
        <w:t xml:space="preserve">or </w:t>
      </w:r>
      <w:r w:rsidRPr="0004718F">
        <w:t>Insurance Investment Entities</w:t>
      </w:r>
      <w:r>
        <w:t xml:space="preserve"> that</w:t>
      </w:r>
      <w:r w:rsidRPr="0004718F">
        <w:t xml:space="preserve"> </w:t>
      </w:r>
      <w:r>
        <w:t>are excluded from the benefit of the Transitional CbC</w:t>
      </w:r>
      <w:r w:rsidR="009917E0">
        <w:t xml:space="preserve"> </w:t>
      </w:r>
      <w:r>
        <w:t>R</w:t>
      </w:r>
      <w:r w:rsidR="009917E0">
        <w:t>eporting</w:t>
      </w:r>
      <w:r>
        <w:t xml:space="preserve"> Safe Harbour, those entities will apply the ordinary Top</w:t>
      </w:r>
      <w:r>
        <w:noBreakHyphen/>
        <w:t xml:space="preserve">up Tax rules under Part 7-4 of the Rules. </w:t>
      </w:r>
    </w:p>
    <w:p w14:paraId="6C073654" w14:textId="77777777" w:rsidR="000B7C92" w:rsidRDefault="000B7C92" w:rsidP="000B7C92">
      <w:pPr>
        <w:pStyle w:val="Normalparatextwithnumbers"/>
        <w:numPr>
          <w:ilvl w:val="1"/>
          <w:numId w:val="18"/>
        </w:numPr>
      </w:pPr>
      <w:r>
        <w:lastRenderedPageBreak/>
        <w:t xml:space="preserve">The Transitional CbC Reporting Safe Harbour cannot apply to Constituent Entities subject to an eligible distribution tax election under Part 7-3 of the Rules. </w:t>
      </w:r>
    </w:p>
    <w:p w14:paraId="6BBC2CFF" w14:textId="77777777" w:rsidR="000B7C92" w:rsidRDefault="000B7C92" w:rsidP="000B7C92">
      <w:pPr>
        <w:pStyle w:val="Heading6"/>
        <w:rPr>
          <w:rFonts w:hint="eastAsia"/>
        </w:rPr>
      </w:pPr>
      <w:r>
        <w:t>Exclusions</w:t>
      </w:r>
    </w:p>
    <w:p w14:paraId="2D1735D6" w14:textId="77777777" w:rsidR="000B7C92" w:rsidRDefault="000B7C92" w:rsidP="000B7C92">
      <w:pPr>
        <w:pStyle w:val="Normalparatextwithnumbers"/>
        <w:numPr>
          <w:ilvl w:val="1"/>
          <w:numId w:val="18"/>
        </w:numPr>
      </w:pPr>
      <w:r>
        <w:t xml:space="preserve">An MNE Group cannot apply the Transitional CbC Reporting Safe Harbour to the jurisdiction if any of the following conditions are satisfied: </w:t>
      </w:r>
    </w:p>
    <w:p w14:paraId="6E792EAD" w14:textId="77777777" w:rsidR="000B7C92" w:rsidRDefault="000B7C92" w:rsidP="00B07214">
      <w:pPr>
        <w:pStyle w:val="Dotpoint1"/>
      </w:pPr>
      <w:r>
        <w:t xml:space="preserve">a stateless Constituent Entity (for example, certain Reverse Hybrids) is taken to be located in the jurisdiction; </w:t>
      </w:r>
    </w:p>
    <w:p w14:paraId="3A009E2E" w14:textId="77777777" w:rsidR="000B7C92" w:rsidRDefault="000B7C92" w:rsidP="00B07214">
      <w:pPr>
        <w:pStyle w:val="Dotpoint1"/>
      </w:pPr>
      <w:r>
        <w:t xml:space="preserve">there is no single Qualified CbC report that covers all the information from the groups in a multi-parented MNE Group (for example, certain stapled structures); </w:t>
      </w:r>
    </w:p>
    <w:p w14:paraId="44C123F3" w14:textId="139650A6" w:rsidR="000B7C92" w:rsidRDefault="000B7C92" w:rsidP="00B07214">
      <w:pPr>
        <w:pStyle w:val="Dotpoint1"/>
      </w:pPr>
      <w:r>
        <w:t>a</w:t>
      </w:r>
      <w:r w:rsidDel="000D7301">
        <w:t xml:space="preserve"> </w:t>
      </w:r>
      <w:r w:rsidR="000D7301">
        <w:t xml:space="preserve">Deemed </w:t>
      </w:r>
      <w:r>
        <w:t>Distribution Tax election has been made for the Fiscal Year in the jurisdiction; or</w:t>
      </w:r>
    </w:p>
    <w:p w14:paraId="408D07EE" w14:textId="4C494170" w:rsidR="000B7C92" w:rsidRPr="00AB234D" w:rsidRDefault="000B7C92" w:rsidP="00B07214">
      <w:pPr>
        <w:pStyle w:val="Dotpoint1"/>
        <w:rPr>
          <w:rStyle w:val="References"/>
        </w:rPr>
      </w:pPr>
      <w:r>
        <w:t xml:space="preserve">the </w:t>
      </w:r>
      <w:r w:rsidR="002330EF">
        <w:t>MNE Group</w:t>
      </w:r>
      <w:r>
        <w:t xml:space="preserve"> did not benefit from the Transitional CbC Reporting Safe Harbour in a previous year unless the MNE did not have Constituent Entities in that jurisdiction in the previous year. </w:t>
      </w:r>
      <w:r>
        <w:br/>
      </w:r>
      <w:r w:rsidRPr="00AB234D">
        <w:rPr>
          <w:rStyle w:val="References"/>
        </w:rPr>
        <w:t>[Chapter 8, section 8-</w:t>
      </w:r>
      <w:r w:rsidR="00013CF5">
        <w:rPr>
          <w:rStyle w:val="References"/>
        </w:rPr>
        <w:t>10</w:t>
      </w:r>
      <w:r>
        <w:rPr>
          <w:rStyle w:val="References"/>
        </w:rPr>
        <w:t>5 of the Rules]</w:t>
      </w:r>
    </w:p>
    <w:p w14:paraId="7D760974" w14:textId="241F69F4" w:rsidR="000B7C92" w:rsidRPr="009237AE" w:rsidRDefault="000B7C92" w:rsidP="000B7C92">
      <w:pPr>
        <w:pStyle w:val="Normalparatextwithnumbers"/>
        <w:numPr>
          <w:ilvl w:val="1"/>
          <w:numId w:val="18"/>
        </w:numPr>
      </w:pPr>
      <w:r>
        <w:t>The last condition reflects the ‘on</w:t>
      </w:r>
      <w:r w:rsidR="00CA4F78">
        <w:t>c</w:t>
      </w:r>
      <w:r>
        <w:t>e out, always out’ rule, that requires the Transitional CbC Reporting Safe Harbour to be consistently applied where there are Constituent Entities in the jurisdiction. If an MNE Group has not applied the Transitional CbC Reporting Safe Harbour with respect to a jurisdiction in a Fiscal Year in which the MNE Group is subject to the GloBE Rules, the MNE Group cannot qualify for that safe harbour for that jurisdiction in a subsequent year.</w:t>
      </w:r>
    </w:p>
    <w:p w14:paraId="345598BC" w14:textId="77777777" w:rsidR="000B7C92" w:rsidRPr="00F2247E" w:rsidRDefault="000B7C92" w:rsidP="000B7C92">
      <w:pPr>
        <w:pStyle w:val="Heading5"/>
        <w:numPr>
          <w:ilvl w:val="4"/>
          <w:numId w:val="2"/>
        </w:numPr>
      </w:pPr>
      <w:r w:rsidRPr="00F2247E">
        <w:t>Simplified ETR test</w:t>
      </w:r>
    </w:p>
    <w:p w14:paraId="52D125DC" w14:textId="47C61A3F" w:rsidR="000B7C92" w:rsidRDefault="000B7C92" w:rsidP="000B7C92">
      <w:pPr>
        <w:pStyle w:val="Normalparatextwithnumbers"/>
        <w:numPr>
          <w:ilvl w:val="1"/>
          <w:numId w:val="18"/>
        </w:numPr>
      </w:pPr>
      <w:r>
        <w:t xml:space="preserve">The simplified ETR test is </w:t>
      </w:r>
      <w:r w:rsidR="00FF68B8">
        <w:t>like</w:t>
      </w:r>
      <w:r>
        <w:t xml:space="preserve"> the mechanics for computing the ETR under Chapter 5 of the Rules, but instead relies on data from the qualified financial statements and is calculated using the following formula:  </w:t>
      </w:r>
    </w:p>
    <w:p w14:paraId="71F749E2" w14:textId="0528D772" w:rsidR="00976EF8" w:rsidRDefault="00976EF8" w:rsidP="000B7C92">
      <w:pPr>
        <w:pStyle w:val="Normalparatextnonumbers"/>
      </w:pPr>
      <w:r w:rsidRPr="00976EF8">
        <w:rPr>
          <w:noProof/>
        </w:rPr>
        <w:drawing>
          <wp:inline distT="0" distB="0" distL="0" distR="0" wp14:anchorId="554E6393" wp14:editId="7ED6B464">
            <wp:extent cx="4895850" cy="504825"/>
            <wp:effectExtent l="0" t="0" r="0" b="0"/>
            <wp:docPr id="1254740278" name="Picture 49" descr="Formula for Simplified ETR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740278" name="Picture 49" descr="Formula for Simplified ETR test"/>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895850" cy="504825"/>
                    </a:xfrm>
                    <a:prstGeom prst="rect">
                      <a:avLst/>
                    </a:prstGeom>
                    <a:noFill/>
                    <a:ln>
                      <a:noFill/>
                    </a:ln>
                  </pic:spPr>
                </pic:pic>
              </a:graphicData>
            </a:graphic>
          </wp:inline>
        </w:drawing>
      </w:r>
    </w:p>
    <w:p w14:paraId="50FD28C7" w14:textId="14146483" w:rsidR="000B7C92" w:rsidRPr="00190AB8" w:rsidRDefault="000B7C92" w:rsidP="000B7C92">
      <w:pPr>
        <w:pStyle w:val="Normalparatextwithnumbers"/>
        <w:numPr>
          <w:ilvl w:val="0"/>
          <w:numId w:val="0"/>
        </w:numPr>
        <w:ind w:left="709" w:firstLine="11"/>
        <w:rPr>
          <w:rStyle w:val="References"/>
        </w:rPr>
      </w:pPr>
      <w:r w:rsidRPr="00190AB8">
        <w:rPr>
          <w:rStyle w:val="References"/>
        </w:rPr>
        <w:t>[Chapter 8, section 8-</w:t>
      </w:r>
      <w:r w:rsidR="00013CF5">
        <w:rPr>
          <w:rStyle w:val="References"/>
        </w:rPr>
        <w:t>4</w:t>
      </w:r>
      <w:r w:rsidRPr="00190AB8">
        <w:rPr>
          <w:rStyle w:val="References"/>
        </w:rPr>
        <w:t>5 of the Rules]</w:t>
      </w:r>
    </w:p>
    <w:p w14:paraId="1B124897" w14:textId="40EF871C" w:rsidR="000B7C92" w:rsidRDefault="000B7C92" w:rsidP="000B7C92">
      <w:pPr>
        <w:pStyle w:val="Normalparatextwithnumbers"/>
        <w:numPr>
          <w:ilvl w:val="1"/>
          <w:numId w:val="18"/>
        </w:numPr>
      </w:pPr>
      <w:r>
        <w:t>If the Simplified ETR of the tested jurisdiction is equal to or greater than the Transition Rate then the tested jurisdiction would qualify for the</w:t>
      </w:r>
      <w:r w:rsidR="00CA4F78">
        <w:t xml:space="preserve"> Transitional CbC </w:t>
      </w:r>
      <w:r w:rsidR="00CA4F78" w:rsidRPr="00CA4F78">
        <w:t>Reporting Safe Harbour</w:t>
      </w:r>
      <w:r>
        <w:t xml:space="preserve">. </w:t>
      </w:r>
      <w:r>
        <w:br/>
      </w:r>
      <w:r w:rsidRPr="009D7CD2">
        <w:tab/>
      </w:r>
      <w:bookmarkStart w:id="278" w:name="_Hlk181171995"/>
      <w:r w:rsidRPr="00237FA0">
        <w:rPr>
          <w:b/>
          <w:i/>
        </w:rPr>
        <w:t>[Chapter 8, section 8-</w:t>
      </w:r>
      <w:r w:rsidR="00013CF5">
        <w:rPr>
          <w:b/>
          <w:i/>
        </w:rPr>
        <w:t>4</w:t>
      </w:r>
      <w:r w:rsidRPr="00237FA0">
        <w:rPr>
          <w:b/>
          <w:i/>
        </w:rPr>
        <w:t>0 of the Rules]</w:t>
      </w:r>
      <w:bookmarkEnd w:id="278"/>
    </w:p>
    <w:p w14:paraId="27778AB8" w14:textId="77777777" w:rsidR="000B7C92" w:rsidRDefault="000B7C92" w:rsidP="000B7C92">
      <w:pPr>
        <w:pStyle w:val="Normalparatextwithnumbers"/>
        <w:numPr>
          <w:ilvl w:val="1"/>
          <w:numId w:val="18"/>
        </w:numPr>
      </w:pPr>
      <w:r>
        <w:t xml:space="preserve">The safe harbour applies where the Simplified ETR exceeds the Transition Rate for a year, where the transition rate is: </w:t>
      </w:r>
    </w:p>
    <w:p w14:paraId="301181B9" w14:textId="77777777" w:rsidR="000B7C92" w:rsidRDefault="000B7C92" w:rsidP="00B07214">
      <w:pPr>
        <w:pStyle w:val="Dotpoint1"/>
      </w:pPr>
      <w:r>
        <w:lastRenderedPageBreak/>
        <w:t xml:space="preserve">15 per cent for Fiscal years beginning in 2023 and 2024; </w:t>
      </w:r>
    </w:p>
    <w:p w14:paraId="2AAA579F" w14:textId="77777777" w:rsidR="000B7C92" w:rsidRDefault="000B7C92" w:rsidP="00B07214">
      <w:pPr>
        <w:pStyle w:val="Dotpoint1"/>
      </w:pPr>
      <w:r>
        <w:t xml:space="preserve">16 per cent for Fiscal years beginning in 2025; and  </w:t>
      </w:r>
    </w:p>
    <w:p w14:paraId="63F03831" w14:textId="2E187D51" w:rsidR="000B7C92" w:rsidRDefault="000B7C92" w:rsidP="00B07214">
      <w:pPr>
        <w:pStyle w:val="Dotpoint1"/>
      </w:pPr>
      <w:r>
        <w:t xml:space="preserve">17 per cent for fiscal years beginning in 2026. </w:t>
      </w:r>
      <w:r>
        <w:br/>
      </w:r>
      <w:r w:rsidRPr="001E3399">
        <w:rPr>
          <w:rStyle w:val="References"/>
        </w:rPr>
        <w:t>[</w:t>
      </w:r>
      <w:r>
        <w:rPr>
          <w:rStyle w:val="References"/>
        </w:rPr>
        <w:t>Chapter 8, s</w:t>
      </w:r>
      <w:r w:rsidRPr="001E3399">
        <w:rPr>
          <w:rStyle w:val="References"/>
        </w:rPr>
        <w:t>ection 8</w:t>
      </w:r>
      <w:r w:rsidRPr="001E3399">
        <w:rPr>
          <w:rStyle w:val="References"/>
        </w:rPr>
        <w:noBreakHyphen/>
      </w:r>
      <w:r w:rsidR="00013CF5">
        <w:rPr>
          <w:rStyle w:val="References"/>
        </w:rPr>
        <w:t>5</w:t>
      </w:r>
      <w:r>
        <w:rPr>
          <w:rStyle w:val="References"/>
        </w:rPr>
        <w:t xml:space="preserve">5 </w:t>
      </w:r>
      <w:r w:rsidRPr="001E3399">
        <w:rPr>
          <w:rStyle w:val="References"/>
        </w:rPr>
        <w:t>of the Rules]</w:t>
      </w:r>
      <w:r>
        <w:t xml:space="preserve"> </w:t>
      </w:r>
    </w:p>
    <w:p w14:paraId="11A889F1" w14:textId="77777777" w:rsidR="000B7C92" w:rsidRDefault="000B7C92" w:rsidP="000B7C92">
      <w:pPr>
        <w:pStyle w:val="Normalparatextwithnumbers"/>
        <w:numPr>
          <w:ilvl w:val="1"/>
          <w:numId w:val="18"/>
        </w:numPr>
      </w:pPr>
      <w:r w:rsidRPr="002B31CB">
        <w:t xml:space="preserve">Simplified Covered Taxes </w:t>
      </w:r>
      <w:r>
        <w:t xml:space="preserve">equals the </w:t>
      </w:r>
      <w:r w:rsidRPr="002B31CB">
        <w:t xml:space="preserve">jurisdiction’s income tax expense as reported on the MNE Group’s Qualified Financial Statements </w:t>
      </w:r>
      <w:r>
        <w:t xml:space="preserve">and </w:t>
      </w:r>
      <w:r w:rsidRPr="002B31CB">
        <w:t>include</w:t>
      </w:r>
      <w:r>
        <w:t>s</w:t>
      </w:r>
      <w:r w:rsidRPr="002B31CB">
        <w:t xml:space="preserve"> adjustments to the income tax expense provision of prior years</w:t>
      </w:r>
      <w:r>
        <w:t xml:space="preserve"> and deferred items. However, the simplified covered taxes must exclude: </w:t>
      </w:r>
    </w:p>
    <w:p w14:paraId="09C0A9BC" w14:textId="77777777" w:rsidR="000B7C92" w:rsidRDefault="000B7C92" w:rsidP="00B07214">
      <w:pPr>
        <w:pStyle w:val="Dotpoint1"/>
      </w:pPr>
      <w:r w:rsidRPr="002B31CB">
        <w:t>income tax expense of Constituent Entities whose income is not included in the CbC Report (such as Entities held for sale)</w:t>
      </w:r>
      <w:r>
        <w:t>, this includes Constituent Entities that are CbC residents in a different jurisdiction to the jurisdiction being tested for the Fiscal Year and therefore, have income or loss reported in another jurisdiction;</w:t>
      </w:r>
      <w:r w:rsidRPr="002B31CB">
        <w:t xml:space="preserve"> </w:t>
      </w:r>
      <w:r>
        <w:t xml:space="preserve">and </w:t>
      </w:r>
    </w:p>
    <w:p w14:paraId="3F3C5A34" w14:textId="77777777" w:rsidR="000B7C92" w:rsidRDefault="000B7C92" w:rsidP="00B07214">
      <w:pPr>
        <w:pStyle w:val="Dotpoint1"/>
      </w:pPr>
      <w:r w:rsidRPr="002B31CB">
        <w:t>taxes that are not Covered Taxes</w:t>
      </w:r>
      <w:r>
        <w:t>; and</w:t>
      </w:r>
      <w:r w:rsidRPr="002B31CB">
        <w:t xml:space="preserve"> </w:t>
      </w:r>
    </w:p>
    <w:p w14:paraId="095D4C9E" w14:textId="0C120F7C" w:rsidR="000B7C92" w:rsidRPr="00B60D60" w:rsidRDefault="000B7C92" w:rsidP="00B07214">
      <w:pPr>
        <w:pStyle w:val="Dotpoint1"/>
        <w:rPr>
          <w:rStyle w:val="References"/>
          <w:b w:val="0"/>
          <w:bCs w:val="0"/>
          <w:i w:val="0"/>
          <w:iCs w:val="0"/>
        </w:rPr>
      </w:pPr>
      <w:r w:rsidRPr="002B31CB">
        <w:t>uncertain tax positions</w:t>
      </w:r>
      <w:r>
        <w:t xml:space="preserve">. </w:t>
      </w:r>
      <w:r w:rsidRPr="002B31CB">
        <w:t xml:space="preserve"> </w:t>
      </w:r>
      <w:r>
        <w:br/>
      </w:r>
      <w:r w:rsidRPr="00206331">
        <w:rPr>
          <w:rStyle w:val="References"/>
        </w:rPr>
        <w:t>[Chapter 8, section 8-</w:t>
      </w:r>
      <w:r w:rsidR="00013CF5">
        <w:rPr>
          <w:rStyle w:val="References"/>
        </w:rPr>
        <w:t>5</w:t>
      </w:r>
      <w:r>
        <w:rPr>
          <w:rStyle w:val="References"/>
        </w:rPr>
        <w:t>0 of the Rules</w:t>
      </w:r>
      <w:r w:rsidRPr="00206331">
        <w:rPr>
          <w:rStyle w:val="References"/>
        </w:rPr>
        <w:t>]</w:t>
      </w:r>
    </w:p>
    <w:p w14:paraId="5B510710" w14:textId="77777777" w:rsidR="000B7C92" w:rsidRDefault="000B7C92" w:rsidP="000B7C92">
      <w:pPr>
        <w:pStyle w:val="Heading6"/>
        <w:rPr>
          <w:rFonts w:hint="eastAsia"/>
        </w:rPr>
      </w:pPr>
      <w:r>
        <w:t>ETR test for Hybrids, CFCs, and Permanent Establishments</w:t>
      </w:r>
    </w:p>
    <w:p w14:paraId="73A4B9E0" w14:textId="48D7F433" w:rsidR="000B7C92" w:rsidRPr="002D2749" w:rsidRDefault="000B7C92" w:rsidP="00664107">
      <w:pPr>
        <w:pStyle w:val="Normalparatextwithnumbers"/>
        <w:numPr>
          <w:ilvl w:val="1"/>
          <w:numId w:val="18"/>
        </w:numPr>
      </w:pPr>
      <w:r>
        <w:t>No cross allocation of taxes is needed for the purpose of simplified ETR computation. However, to prevent double counting of a Permanent Establishment’s income for the purposes of the simplified ETR test, the income tax expense of a Permanent Establishment is exclusively allocated to the Permanent Establishment’s jurisdiction. That income tax expense must not be included in the Simplified ETR Test for the Main Entity’s jurisdiction. If any income tax expense in respect of the P</w:t>
      </w:r>
      <w:r w:rsidR="00664107">
        <w:t xml:space="preserve">ermanent </w:t>
      </w:r>
      <w:r>
        <w:t>E</w:t>
      </w:r>
      <w:r w:rsidR="00664107">
        <w:t>stablishment</w:t>
      </w:r>
      <w:r>
        <w:t xml:space="preserve">s income is included in the Main Entity’s jurisdiction, then it remains in the Main Entity’s jurisdiction </w:t>
      </w:r>
      <w:r w:rsidR="00E27A97">
        <w:t>and</w:t>
      </w:r>
      <w:r>
        <w:t xml:space="preserve"> there is no allocation</w:t>
      </w:r>
      <w:r w:rsidR="00E27A97">
        <w:t>, c</w:t>
      </w:r>
      <w:r>
        <w:t xml:space="preserve">onsistent with paragraphs 87 to 89 on page 307 of the </w:t>
      </w:r>
      <w:r w:rsidR="000541E9">
        <w:t>Consolidated Commentary</w:t>
      </w:r>
      <w:r>
        <w:t>.</w:t>
      </w:r>
    </w:p>
    <w:p w14:paraId="117BC78E" w14:textId="6D15635A" w:rsidR="000B7C92" w:rsidRDefault="000B7C92" w:rsidP="000B7C92">
      <w:pPr>
        <w:pStyle w:val="Normalparatextwithnumbers"/>
        <w:numPr>
          <w:ilvl w:val="1"/>
          <w:numId w:val="18"/>
        </w:numPr>
      </w:pPr>
      <w:r>
        <w:t xml:space="preserve">The income tax expense of the Constituent Entity must be reported using data from the qualified financial statement. The purpose of this requirement is to ensure there are no asymmetries in </w:t>
      </w:r>
      <w:r w:rsidR="000B232C">
        <w:t xml:space="preserve">the Transitional CbC </w:t>
      </w:r>
      <w:r w:rsidR="000B232C" w:rsidRPr="000B232C">
        <w:t xml:space="preserve">Reporting Safe Harbour </w:t>
      </w:r>
      <w:r>
        <w:t>computations. However, there is an exception for Permanent Establishments. In practice, to populate the underlying data for the Permanent Establishment, the MNE Group would have to use the following sources which are derived from the qualified statement:</w:t>
      </w:r>
    </w:p>
    <w:p w14:paraId="54A34BC1" w14:textId="77777777" w:rsidR="000B7C92" w:rsidRDefault="000B7C92" w:rsidP="00B07214">
      <w:pPr>
        <w:pStyle w:val="Dotpoint1"/>
      </w:pPr>
      <w:r>
        <w:t xml:space="preserve">the accounts used to prepare the CFS by the UPE; or </w:t>
      </w:r>
    </w:p>
    <w:p w14:paraId="179E1BA9" w14:textId="77777777" w:rsidR="000B7C92" w:rsidRDefault="000B7C92" w:rsidP="00B07214">
      <w:pPr>
        <w:pStyle w:val="Dotpoint1"/>
      </w:pPr>
      <w:r>
        <w:t>separate financial accounts of the Constituent Entity.</w:t>
      </w:r>
    </w:p>
    <w:p w14:paraId="2797CF21" w14:textId="10E76075" w:rsidR="000B7C92" w:rsidRDefault="000B7C92" w:rsidP="00557E71">
      <w:pPr>
        <w:pStyle w:val="Normalparatextwithnumbers"/>
      </w:pPr>
      <w:r>
        <w:t xml:space="preserve">However, the MNE Group could alternatively use data from sources specifically permitted by the Agreed Administrative Guidance and combine it </w:t>
      </w:r>
      <w:r>
        <w:lastRenderedPageBreak/>
        <w:t xml:space="preserve">with the data of the other Constituent Entities. This exception also applies to </w:t>
      </w:r>
      <w:r w:rsidR="00A309A3">
        <w:t>NMCEs</w:t>
      </w:r>
      <w:r>
        <w:t xml:space="preserve">, see paragraph 75 page 304 of the Consolidated Commentary.  </w:t>
      </w:r>
    </w:p>
    <w:p w14:paraId="05F1E954" w14:textId="2F90A2FD" w:rsidR="000B7C92" w:rsidRDefault="000B7C92" w:rsidP="000B7C92">
      <w:pPr>
        <w:pStyle w:val="Normalparatextwithnumbers"/>
        <w:numPr>
          <w:ilvl w:val="1"/>
          <w:numId w:val="18"/>
        </w:numPr>
      </w:pPr>
      <w:r>
        <w:t xml:space="preserve">Taxes paid or accrued by a Main Entity, or a Constituent Entity-owner of a </w:t>
      </w:r>
      <w:r w:rsidRPr="0019617C">
        <w:t>Hybrid Entity</w:t>
      </w:r>
      <w:r w:rsidRPr="0019617C" w:rsidDel="00C8643B">
        <w:t xml:space="preserve"> </w:t>
      </w:r>
      <w:r w:rsidRPr="0019617C">
        <w:t>or CFC</w:t>
      </w:r>
      <w:r w:rsidRPr="0019617C" w:rsidDel="00C8643B">
        <w:t xml:space="preserve"> </w:t>
      </w:r>
      <w:r w:rsidRPr="0019617C">
        <w:t>do not</w:t>
      </w:r>
      <w:r>
        <w:t xml:space="preserve"> need to be allocated in accordance with </w:t>
      </w:r>
      <w:r w:rsidR="00FD2C84">
        <w:t>C</w:t>
      </w:r>
      <w:r>
        <w:t>hapter 4 of the Rules for the purposes of the simplified ETR calculation. This is because part or all of those taxes are also taken into account in the ETR computations of a jurisdiction that includes a CFC, Permanent Establishment or Hybrid Entity.</w:t>
      </w:r>
      <w:r w:rsidRPr="0096196C">
        <w:t xml:space="preserve"> </w:t>
      </w:r>
    </w:p>
    <w:p w14:paraId="2C90E1CE" w14:textId="77777777" w:rsidR="000B7C92" w:rsidRDefault="000B7C92" w:rsidP="000B7C92">
      <w:pPr>
        <w:pStyle w:val="Heading5"/>
        <w:numPr>
          <w:ilvl w:val="4"/>
          <w:numId w:val="2"/>
        </w:numPr>
      </w:pPr>
      <w:r>
        <w:t xml:space="preserve">Routine profits test </w:t>
      </w:r>
    </w:p>
    <w:p w14:paraId="4D336EB5" w14:textId="2C315F4A" w:rsidR="000B7C92" w:rsidRDefault="000B7C92" w:rsidP="000B7C92">
      <w:pPr>
        <w:pStyle w:val="Normalparatextwithnumbers"/>
        <w:numPr>
          <w:ilvl w:val="1"/>
          <w:numId w:val="18"/>
        </w:numPr>
      </w:pPr>
      <w:r w:rsidDel="003427AE">
        <w:t xml:space="preserve">The </w:t>
      </w:r>
      <w:r>
        <w:t xml:space="preserve">Routine profits </w:t>
      </w:r>
      <w:r w:rsidDel="003427AE">
        <w:t>test</w:t>
      </w:r>
      <w:r>
        <w:t xml:space="preserve"> compares a tested jurisdiction’s Substance-based Income Exclusion amount for the jurisdiction for the Fiscal</w:t>
      </w:r>
      <w:r w:rsidDel="007502BB">
        <w:t xml:space="preserve"> </w:t>
      </w:r>
      <w:r>
        <w:t>Year to the tested jurisdiction’s Profit (Loss) before Income Tax as reported in the MNE’s Qualified CbC Report.</w:t>
      </w:r>
      <w:r>
        <w:br/>
      </w:r>
      <w:r w:rsidRPr="000B0E32">
        <w:rPr>
          <w:rStyle w:val="References"/>
        </w:rPr>
        <w:t>[Chapter 8, subsection 8-</w:t>
      </w:r>
      <w:r w:rsidR="0081739A">
        <w:rPr>
          <w:rStyle w:val="References"/>
        </w:rPr>
        <w:t>6</w:t>
      </w:r>
      <w:r w:rsidRPr="000B0E32">
        <w:rPr>
          <w:rStyle w:val="References"/>
        </w:rPr>
        <w:t>0(1) of the Rules]</w:t>
      </w:r>
      <w:r>
        <w:t xml:space="preserve"> </w:t>
      </w:r>
    </w:p>
    <w:p w14:paraId="492AEB8C" w14:textId="072AB457" w:rsidR="000B7C92" w:rsidRDefault="000B7C92" w:rsidP="000B7C92">
      <w:pPr>
        <w:pStyle w:val="Normalparatextwithnumbers"/>
        <w:numPr>
          <w:ilvl w:val="1"/>
          <w:numId w:val="18"/>
        </w:numPr>
      </w:pPr>
      <w:r>
        <w:t xml:space="preserve">For the purposes of the Routine profits test, the </w:t>
      </w:r>
      <w:r w:rsidRPr="003240F9">
        <w:t xml:space="preserve">Substance-based Income Exclusion </w:t>
      </w:r>
      <w:r>
        <w:t>is computed in accordance with Part 5</w:t>
      </w:r>
      <w:r>
        <w:noBreakHyphen/>
        <w:t>3 of the Rules, using the same transitional percentage rates that are outlined under Part 9-2 of the Rules. The Substance</w:t>
      </w:r>
      <w:r>
        <w:noBreakHyphen/>
        <w:t xml:space="preserve">based </w:t>
      </w:r>
      <w:r w:rsidR="000B232C">
        <w:t>I</w:t>
      </w:r>
      <w:r>
        <w:t xml:space="preserve">ncome </w:t>
      </w:r>
      <w:r w:rsidR="000B232C">
        <w:t>E</w:t>
      </w:r>
      <w:r>
        <w:t xml:space="preserve">xclusion for the routine profits test is only to take into account Constituent Entities that are both located in the jurisdiction and that are CbC residents for the Fiscal Year. A CbC </w:t>
      </w:r>
      <w:r w:rsidR="00CC6595">
        <w:t>r</w:t>
      </w:r>
      <w:r>
        <w:t>esident must be recorded as a resident in the CbC report.</w:t>
      </w:r>
      <w:r>
        <w:br/>
      </w:r>
      <w:r w:rsidRPr="000C0CA7">
        <w:rPr>
          <w:rStyle w:val="References"/>
        </w:rPr>
        <w:t>[Chapter 8, subsection</w:t>
      </w:r>
      <w:r>
        <w:rPr>
          <w:rStyle w:val="References"/>
        </w:rPr>
        <w:t>s</w:t>
      </w:r>
      <w:r w:rsidRPr="000C0CA7">
        <w:rPr>
          <w:rStyle w:val="References"/>
        </w:rPr>
        <w:t xml:space="preserve"> 8-</w:t>
      </w:r>
      <w:r w:rsidR="0081739A">
        <w:rPr>
          <w:rStyle w:val="References"/>
        </w:rPr>
        <w:t>6</w:t>
      </w:r>
      <w:r w:rsidRPr="000C0CA7">
        <w:rPr>
          <w:rStyle w:val="References"/>
        </w:rPr>
        <w:t>0(</w:t>
      </w:r>
      <w:r>
        <w:rPr>
          <w:rStyle w:val="References"/>
        </w:rPr>
        <w:t>2</w:t>
      </w:r>
      <w:r w:rsidRPr="000C0CA7">
        <w:rPr>
          <w:rStyle w:val="References"/>
        </w:rPr>
        <w:t>)</w:t>
      </w:r>
      <w:r>
        <w:rPr>
          <w:rStyle w:val="References"/>
        </w:rPr>
        <w:t xml:space="preserve"> and (3)</w:t>
      </w:r>
      <w:r w:rsidRPr="000C0CA7">
        <w:rPr>
          <w:rStyle w:val="References"/>
        </w:rPr>
        <w:t xml:space="preserve"> </w:t>
      </w:r>
      <w:r>
        <w:rPr>
          <w:rStyle w:val="References"/>
        </w:rPr>
        <w:t>and section 8-</w:t>
      </w:r>
      <w:r w:rsidR="0081739A">
        <w:rPr>
          <w:rStyle w:val="References"/>
        </w:rPr>
        <w:t>6</w:t>
      </w:r>
      <w:r>
        <w:rPr>
          <w:rStyle w:val="References"/>
        </w:rPr>
        <w:t xml:space="preserve">5 </w:t>
      </w:r>
      <w:r w:rsidRPr="000C0CA7">
        <w:rPr>
          <w:rStyle w:val="References"/>
        </w:rPr>
        <w:t>of the Rules]</w:t>
      </w:r>
    </w:p>
    <w:p w14:paraId="0E9B32E1" w14:textId="77777777" w:rsidR="000B7C92" w:rsidRDefault="000B7C92" w:rsidP="000B7C92">
      <w:pPr>
        <w:pStyle w:val="Normalparatextwithnumbers"/>
        <w:numPr>
          <w:ilvl w:val="1"/>
          <w:numId w:val="18"/>
        </w:numPr>
      </w:pPr>
      <w:r>
        <w:t xml:space="preserve">This has the effect that the Routine profits test does not take into account the payroll costs and tangible assets of Entities that are not Constituent Entities under either the CbC Report or the ordinary GloBE rules, such as Entities held for sale or Excluded Entities. </w:t>
      </w:r>
    </w:p>
    <w:p w14:paraId="72FB8D1E" w14:textId="640C9097" w:rsidR="000B7C92" w:rsidRDefault="000B7C92" w:rsidP="000B7C92">
      <w:pPr>
        <w:pStyle w:val="Normalparatextwithnumbers"/>
        <w:numPr>
          <w:ilvl w:val="1"/>
          <w:numId w:val="18"/>
        </w:numPr>
      </w:pPr>
      <w:r>
        <w:t xml:space="preserve">A tested jurisdiction with a loss or zero profits will not have income that exceeds the routine profits amount, and will always meet the Routine </w:t>
      </w:r>
      <w:r w:rsidDel="0099673A">
        <w:t xml:space="preserve">profits </w:t>
      </w:r>
      <w:r>
        <w:t xml:space="preserve">test, therefore an </w:t>
      </w:r>
      <w:r w:rsidR="002330EF">
        <w:t>MNE Group</w:t>
      </w:r>
      <w:r>
        <w:t xml:space="preserve"> does not need to calculate the jurisdiction’s </w:t>
      </w:r>
      <w:r w:rsidRPr="003240F9">
        <w:t>Substance-based Income Exclusion</w:t>
      </w:r>
      <w:r>
        <w:t>. This outcome is similar to the outcome under Part 5</w:t>
      </w:r>
      <w:r>
        <w:noBreakHyphen/>
        <w:t>1 of the Rules, where an ETR computation is not necessary if a tested jurisdiction does not have any Net GloBE Income.</w:t>
      </w:r>
    </w:p>
    <w:p w14:paraId="3761BE9F" w14:textId="77777777" w:rsidR="000B7C92" w:rsidRDefault="000B7C92" w:rsidP="000B7C92">
      <w:pPr>
        <w:pStyle w:val="Heading5"/>
        <w:numPr>
          <w:ilvl w:val="4"/>
          <w:numId w:val="2"/>
        </w:numPr>
      </w:pPr>
      <w:r>
        <w:t>De minimis test</w:t>
      </w:r>
    </w:p>
    <w:p w14:paraId="3BDAA404" w14:textId="77777777" w:rsidR="000B7C92" w:rsidRDefault="000B7C92" w:rsidP="000B7C92">
      <w:pPr>
        <w:pStyle w:val="Normalparatextwithnumbers"/>
        <w:numPr>
          <w:ilvl w:val="1"/>
          <w:numId w:val="18"/>
        </w:numPr>
      </w:pPr>
      <w:r>
        <w:t>The MNE Group’s Total Revenue and Profit (Loss) before Income Tax for each tested jurisdiction is extracted directly from the Qualified CbC Report. If a tested jurisdiction produces revenue and income that meet the de minimis test, then the tested jurisdiction qualifies for the safe harbour.</w:t>
      </w:r>
    </w:p>
    <w:p w14:paraId="4DD30784" w14:textId="77777777" w:rsidR="000B7C92" w:rsidRDefault="000B7C92" w:rsidP="000B7C92">
      <w:pPr>
        <w:pStyle w:val="Normalparatextwithnumbers"/>
        <w:numPr>
          <w:ilvl w:val="1"/>
          <w:numId w:val="18"/>
        </w:numPr>
      </w:pPr>
      <w:r w:rsidRPr="00167665">
        <w:t>The</w:t>
      </w:r>
      <w:r>
        <w:t xml:space="preserve"> MNE Group must satisfy two conditions to meet the de minimis test in a Fiscal Year: </w:t>
      </w:r>
    </w:p>
    <w:p w14:paraId="33D43988" w14:textId="77777777" w:rsidR="000B7C92" w:rsidRDefault="000B7C92" w:rsidP="00B07214">
      <w:pPr>
        <w:pStyle w:val="Dotpoint1"/>
      </w:pPr>
      <w:r>
        <w:lastRenderedPageBreak/>
        <w:t xml:space="preserve">the Total Revenue for the fiscal year for the jurisdiction is less than EUR 10 million; and </w:t>
      </w:r>
    </w:p>
    <w:p w14:paraId="6FAFE36E" w14:textId="61E9A9C9" w:rsidR="000B7C92" w:rsidRDefault="000B7C92" w:rsidP="00B07214">
      <w:pPr>
        <w:pStyle w:val="Dotpoint1"/>
      </w:pPr>
      <w:r>
        <w:t>the profit (loss) before income tax for the Fiscal Year for the jurisdiction of under EUR 1 million.</w:t>
      </w:r>
      <w:r>
        <w:br/>
      </w:r>
      <w:r w:rsidRPr="00AB234D">
        <w:rPr>
          <w:rStyle w:val="References"/>
        </w:rPr>
        <w:t>[Chapter 8, section 8-</w:t>
      </w:r>
      <w:r w:rsidR="0081739A">
        <w:rPr>
          <w:rStyle w:val="References"/>
        </w:rPr>
        <w:t>2</w:t>
      </w:r>
      <w:r w:rsidRPr="00AB234D">
        <w:rPr>
          <w:rStyle w:val="References"/>
        </w:rPr>
        <w:t>0</w:t>
      </w:r>
      <w:r>
        <w:rPr>
          <w:rStyle w:val="References"/>
        </w:rPr>
        <w:t xml:space="preserve"> of the Rules</w:t>
      </w:r>
      <w:r w:rsidRPr="00AB234D">
        <w:rPr>
          <w:rStyle w:val="References"/>
        </w:rPr>
        <w:t>]</w:t>
      </w:r>
      <w:r>
        <w:t xml:space="preserve"> </w:t>
      </w:r>
    </w:p>
    <w:p w14:paraId="49B4E8AC" w14:textId="6D2A78BD" w:rsidR="000B7C92" w:rsidRPr="00B218BD" w:rsidRDefault="000B7C92" w:rsidP="000B7C92">
      <w:pPr>
        <w:pStyle w:val="Normalparatextwithnumbers"/>
        <w:numPr>
          <w:ilvl w:val="1"/>
          <w:numId w:val="18"/>
        </w:numPr>
        <w:rPr>
          <w:rStyle w:val="References"/>
          <w:b w:val="0"/>
          <w:bCs w:val="0"/>
          <w:i w:val="0"/>
          <w:iCs w:val="0"/>
        </w:rPr>
      </w:pPr>
      <w:r w:rsidRPr="00B218BD">
        <w:rPr>
          <w:rStyle w:val="References"/>
          <w:b w:val="0"/>
          <w:bCs w:val="0"/>
          <w:i w:val="0"/>
          <w:iCs w:val="0"/>
        </w:rPr>
        <w:t>However</w:t>
      </w:r>
      <w:r>
        <w:rPr>
          <w:rStyle w:val="References"/>
          <w:b w:val="0"/>
          <w:bCs w:val="0"/>
          <w:i w:val="0"/>
          <w:iCs w:val="0"/>
        </w:rPr>
        <w:t>, if the total revenue of each C</w:t>
      </w:r>
      <w:r w:rsidR="00CC6595">
        <w:rPr>
          <w:rStyle w:val="References"/>
          <w:b w:val="0"/>
          <w:bCs w:val="0"/>
          <w:i w:val="0"/>
          <w:iCs w:val="0"/>
        </w:rPr>
        <w:t xml:space="preserve">onstituent </w:t>
      </w:r>
      <w:r>
        <w:rPr>
          <w:rStyle w:val="References"/>
          <w:b w:val="0"/>
          <w:bCs w:val="0"/>
          <w:i w:val="0"/>
          <w:iCs w:val="0"/>
        </w:rPr>
        <w:t>E</w:t>
      </w:r>
      <w:r w:rsidR="00CC6595">
        <w:rPr>
          <w:rStyle w:val="References"/>
          <w:b w:val="0"/>
          <w:bCs w:val="0"/>
          <w:i w:val="0"/>
          <w:iCs w:val="0"/>
        </w:rPr>
        <w:t>ntity</w:t>
      </w:r>
      <w:r>
        <w:rPr>
          <w:rStyle w:val="References"/>
          <w:b w:val="0"/>
          <w:bCs w:val="0"/>
          <w:i w:val="0"/>
          <w:iCs w:val="0"/>
        </w:rPr>
        <w:t xml:space="preserve"> located in the jurisdiction, entities held for sale, NMCEs and the total CbC Reporting Revenue exceeds 10 million Euros, the </w:t>
      </w:r>
      <w:r w:rsidR="002330EF">
        <w:rPr>
          <w:rStyle w:val="References"/>
          <w:b w:val="0"/>
          <w:bCs w:val="0"/>
          <w:i w:val="0"/>
          <w:iCs w:val="0"/>
        </w:rPr>
        <w:t>MNE Group</w:t>
      </w:r>
      <w:r>
        <w:rPr>
          <w:rStyle w:val="References"/>
          <w:b w:val="0"/>
          <w:bCs w:val="0"/>
          <w:i w:val="0"/>
          <w:iCs w:val="0"/>
        </w:rPr>
        <w:t xml:space="preserve"> for the jurisdiction does not qualify for the De minimis test. The total revenue of a </w:t>
      </w:r>
      <w:r w:rsidR="00CC6595">
        <w:rPr>
          <w:rStyle w:val="References"/>
          <w:b w:val="0"/>
          <w:bCs w:val="0"/>
          <w:i w:val="0"/>
          <w:iCs w:val="0"/>
        </w:rPr>
        <w:t xml:space="preserve">Constituent </w:t>
      </w:r>
      <w:r>
        <w:rPr>
          <w:rStyle w:val="References"/>
          <w:b w:val="0"/>
          <w:bCs w:val="0"/>
          <w:i w:val="0"/>
          <w:iCs w:val="0"/>
        </w:rPr>
        <w:t>E</w:t>
      </w:r>
      <w:r w:rsidR="00CC6595">
        <w:rPr>
          <w:rStyle w:val="References"/>
          <w:b w:val="0"/>
          <w:bCs w:val="0"/>
          <w:i w:val="0"/>
          <w:iCs w:val="0"/>
        </w:rPr>
        <w:t>ntity</w:t>
      </w:r>
      <w:r>
        <w:rPr>
          <w:rStyle w:val="References"/>
          <w:b w:val="0"/>
          <w:bCs w:val="0"/>
          <w:i w:val="0"/>
          <w:iCs w:val="0"/>
        </w:rPr>
        <w:t xml:space="preserve"> is defined under section 8-1</w:t>
      </w:r>
      <w:r w:rsidR="003A1320">
        <w:rPr>
          <w:rStyle w:val="References"/>
          <w:b w:val="0"/>
          <w:bCs w:val="0"/>
          <w:i w:val="0"/>
          <w:iCs w:val="0"/>
        </w:rPr>
        <w:t>90</w:t>
      </w:r>
      <w:r w:rsidR="00664107">
        <w:rPr>
          <w:rStyle w:val="References"/>
          <w:b w:val="0"/>
          <w:bCs w:val="0"/>
          <w:i w:val="0"/>
          <w:iCs w:val="0"/>
        </w:rPr>
        <w:t xml:space="preserve"> of the Rules</w:t>
      </w:r>
      <w:r>
        <w:rPr>
          <w:rStyle w:val="References"/>
          <w:b w:val="0"/>
          <w:bCs w:val="0"/>
          <w:i w:val="0"/>
          <w:iCs w:val="0"/>
        </w:rPr>
        <w:t xml:space="preserve">, which is defined separately to an </w:t>
      </w:r>
      <w:r w:rsidRPr="00D355B8">
        <w:rPr>
          <w:rStyle w:val="References"/>
          <w:b w:val="0"/>
          <w:bCs w:val="0"/>
          <w:i w:val="0"/>
          <w:iCs w:val="0"/>
        </w:rPr>
        <w:t>MNE Group’s Total Revenue</w:t>
      </w:r>
      <w:r>
        <w:rPr>
          <w:rStyle w:val="References"/>
          <w:b w:val="0"/>
          <w:bCs w:val="0"/>
          <w:i w:val="0"/>
          <w:iCs w:val="0"/>
        </w:rPr>
        <w:t xml:space="preserve">. </w:t>
      </w:r>
      <w:r w:rsidRPr="00B218BD">
        <w:rPr>
          <w:rStyle w:val="References"/>
          <w:b w:val="0"/>
          <w:bCs w:val="0"/>
          <w:i w:val="0"/>
          <w:iCs w:val="0"/>
        </w:rPr>
        <w:br/>
      </w:r>
      <w:r>
        <w:rPr>
          <w:rStyle w:val="References"/>
        </w:rPr>
        <w:t>[Chapter 8,</w:t>
      </w:r>
      <w:r w:rsidRPr="00AB234D">
        <w:rPr>
          <w:rStyle w:val="References"/>
        </w:rPr>
        <w:t xml:space="preserve"> </w:t>
      </w:r>
      <w:r>
        <w:rPr>
          <w:rStyle w:val="References"/>
        </w:rPr>
        <w:t>subsection</w:t>
      </w:r>
      <w:r w:rsidRPr="00AB234D">
        <w:rPr>
          <w:rStyle w:val="References"/>
        </w:rPr>
        <w:t xml:space="preserve"> 8-</w:t>
      </w:r>
      <w:r w:rsidR="0081739A">
        <w:rPr>
          <w:rStyle w:val="References"/>
        </w:rPr>
        <w:t>2</w:t>
      </w:r>
      <w:r w:rsidRPr="00AB234D">
        <w:rPr>
          <w:rStyle w:val="References"/>
        </w:rPr>
        <w:t>0</w:t>
      </w:r>
      <w:r>
        <w:rPr>
          <w:rStyle w:val="References"/>
        </w:rPr>
        <w:t>(2)</w:t>
      </w:r>
      <w:r w:rsidRPr="00AB234D">
        <w:rPr>
          <w:rStyle w:val="References"/>
        </w:rPr>
        <w:t>(b)</w:t>
      </w:r>
      <w:r>
        <w:rPr>
          <w:rStyle w:val="References"/>
        </w:rPr>
        <w:t xml:space="preserve"> of the Rules]</w:t>
      </w:r>
    </w:p>
    <w:p w14:paraId="3C4EF61C" w14:textId="77777777" w:rsidR="000B7C92" w:rsidRPr="006A1256" w:rsidRDefault="000B7C92" w:rsidP="000B7C92">
      <w:pPr>
        <w:pStyle w:val="Normalparatextwithnumbers"/>
        <w:numPr>
          <w:ilvl w:val="1"/>
          <w:numId w:val="18"/>
        </w:numPr>
        <w:rPr>
          <w:rStyle w:val="References"/>
          <w:b w:val="0"/>
          <w:bCs w:val="0"/>
          <w:i w:val="0"/>
          <w:iCs w:val="0"/>
        </w:rPr>
      </w:pPr>
      <w:r>
        <w:t xml:space="preserve">For the purposes of the De minimis test, the definition of qualified CbC Reports removes the need to calculate CbC Reporting Revenue and Income over multiple years.  It would extend the benefit of the safe harbour to those MNEs that have previously not been preparing their CbC Reports based on sources other than Qualified Financial Statements but have switched to use Qualified Financial Statements. </w:t>
      </w:r>
    </w:p>
    <w:p w14:paraId="3C447207" w14:textId="27F70C70" w:rsidR="000B7C92" w:rsidRDefault="000B7C92">
      <w:pPr>
        <w:pStyle w:val="Normalparatextwithnumbers"/>
        <w:numPr>
          <w:ilvl w:val="1"/>
          <w:numId w:val="18"/>
        </w:numPr>
      </w:pPr>
      <w:r>
        <w:t>The Total Revenue and Profit (Loss) before Income Tax is an MNE Group’s Profit (Loss) before Income Tax in a jurisdiction as reported on its Qualified CbC Report</w:t>
      </w:r>
      <w:r w:rsidR="00F81854">
        <w:t xml:space="preserve">. If Qualified Financial Statements are not available for a Permanent Establishment, the MNE Group may determine the portion of the Main Entity’s Total Revenue and </w:t>
      </w:r>
      <w:r w:rsidR="00F81854" w:rsidRPr="00F81854">
        <w:t xml:space="preserve">Profit (Loss) before Income Tax </w:t>
      </w:r>
      <w:r w:rsidR="00F81854">
        <w:t xml:space="preserve">that is attributable to the PE using separate financial statements prepared by the Main Entity for the Permanent Establishment for financial reporting, regulatory, tax reporting, or internal management control purposes </w:t>
      </w:r>
      <w:r w:rsidR="002453B9">
        <w:t>consistent with paragraph 86 on page 306 of the Consolidated Commentary</w:t>
      </w:r>
      <w:r>
        <w:t>.</w:t>
      </w:r>
      <w:r>
        <w:br/>
      </w:r>
      <w:bookmarkStart w:id="279" w:name="_Hlk181952042"/>
      <w:r w:rsidRPr="00AB234D">
        <w:rPr>
          <w:rStyle w:val="References"/>
        </w:rPr>
        <w:t xml:space="preserve">[Chapter 8, </w:t>
      </w:r>
      <w:bookmarkEnd w:id="279"/>
      <w:r w:rsidRPr="00AB234D">
        <w:rPr>
          <w:rStyle w:val="References"/>
        </w:rPr>
        <w:t>section</w:t>
      </w:r>
      <w:r>
        <w:rPr>
          <w:rStyle w:val="References"/>
        </w:rPr>
        <w:t xml:space="preserve">s </w:t>
      </w:r>
      <w:r w:rsidRPr="00AB234D">
        <w:rPr>
          <w:rStyle w:val="References"/>
        </w:rPr>
        <w:t>8-</w:t>
      </w:r>
      <w:r w:rsidR="003A1320">
        <w:rPr>
          <w:rStyle w:val="References"/>
        </w:rPr>
        <w:t>2</w:t>
      </w:r>
      <w:r>
        <w:rPr>
          <w:rStyle w:val="References"/>
        </w:rPr>
        <w:t>5 and 8-</w:t>
      </w:r>
      <w:r w:rsidR="00302B1A">
        <w:rPr>
          <w:rStyle w:val="References"/>
        </w:rPr>
        <w:t>3</w:t>
      </w:r>
      <w:r>
        <w:rPr>
          <w:rStyle w:val="References"/>
        </w:rPr>
        <w:t>0</w:t>
      </w:r>
      <w:r w:rsidRPr="00AB234D">
        <w:rPr>
          <w:rStyle w:val="References"/>
        </w:rPr>
        <w:t xml:space="preserve"> </w:t>
      </w:r>
      <w:r>
        <w:rPr>
          <w:rStyle w:val="References"/>
        </w:rPr>
        <w:t>of the Rules</w:t>
      </w:r>
      <w:r w:rsidRPr="00AB234D">
        <w:rPr>
          <w:rStyle w:val="References"/>
        </w:rPr>
        <w:t>]</w:t>
      </w:r>
      <w:r>
        <w:t xml:space="preserve"> </w:t>
      </w:r>
    </w:p>
    <w:p w14:paraId="28D758ED" w14:textId="64198EE0" w:rsidR="000B7C92" w:rsidRDefault="000B7C92" w:rsidP="000B7C92">
      <w:pPr>
        <w:pStyle w:val="Normalparatextwithnumbers"/>
        <w:numPr>
          <w:ilvl w:val="1"/>
          <w:numId w:val="18"/>
        </w:numPr>
      </w:pPr>
      <w:r>
        <w:t>In determining the profit of loss before income tax, the MNE must d</w:t>
      </w:r>
      <w:r w:rsidRPr="00554DE7">
        <w:t xml:space="preserve">isregard </w:t>
      </w:r>
      <w:r>
        <w:t xml:space="preserve">any </w:t>
      </w:r>
      <w:r w:rsidRPr="00554DE7">
        <w:t xml:space="preserve">Net Unrealised Fair Value Loss </w:t>
      </w:r>
      <w:r>
        <w:t xml:space="preserve">in excess of </w:t>
      </w:r>
      <w:r w:rsidRPr="00554DE7">
        <w:t>50 million Euros for the jurisdiction for the Fiscal Year.</w:t>
      </w:r>
      <w:r>
        <w:t xml:space="preserve"> The </w:t>
      </w:r>
      <w:r w:rsidRPr="00997210">
        <w:t xml:space="preserve">Net Unrealised Fair Value Loss for a jurisdiction for a Fiscal Year </w:t>
      </w:r>
      <w:r>
        <w:t>is</w:t>
      </w:r>
      <w:r w:rsidRPr="00997210">
        <w:t xml:space="preserve"> the sum of all losses, reduced by any gains, which arise from changes in fair value of Ownership Interests (</w:t>
      </w:r>
      <w:r>
        <w:t xml:space="preserve">excluding those for </w:t>
      </w:r>
      <w:r w:rsidRPr="00997210">
        <w:t>Portfolio Shareholdings) held by any Constituent Entity of the MNE Group</w:t>
      </w:r>
      <w:r>
        <w:t xml:space="preserve">. </w:t>
      </w:r>
      <w:r w:rsidR="000573C9" w:rsidRPr="000573C9">
        <w:t>The Net Unrealised Fair Value Loss</w:t>
      </w:r>
      <w:r w:rsidR="000573C9">
        <w:t xml:space="preserve"> is</w:t>
      </w:r>
      <w:r w:rsidR="0007712C">
        <w:t xml:space="preserve"> based on amounts </w:t>
      </w:r>
      <w:r w:rsidR="000573C9">
        <w:t xml:space="preserve">as reported in the Qualified </w:t>
      </w:r>
      <w:r w:rsidR="00F63C2C">
        <w:t>F</w:t>
      </w:r>
      <w:r w:rsidR="000573C9">
        <w:t xml:space="preserve">inancial </w:t>
      </w:r>
      <w:r w:rsidR="00F63C2C">
        <w:t>S</w:t>
      </w:r>
      <w:r w:rsidR="000573C9">
        <w:t xml:space="preserve">tatements. </w:t>
      </w:r>
      <w:r>
        <w:br/>
      </w:r>
      <w:r w:rsidRPr="00AB234D">
        <w:rPr>
          <w:rStyle w:val="References"/>
        </w:rPr>
        <w:t>[Chapter 8,</w:t>
      </w:r>
      <w:r>
        <w:rPr>
          <w:rStyle w:val="References"/>
        </w:rPr>
        <w:t xml:space="preserve"> section </w:t>
      </w:r>
      <w:r w:rsidR="008D5279">
        <w:rPr>
          <w:rStyle w:val="References"/>
        </w:rPr>
        <w:t>8</w:t>
      </w:r>
      <w:r w:rsidR="008D5279">
        <w:rPr>
          <w:rStyle w:val="References"/>
        </w:rPr>
        <w:noBreakHyphen/>
      </w:r>
      <w:r w:rsidR="00231C47">
        <w:rPr>
          <w:rStyle w:val="References"/>
        </w:rPr>
        <w:t>100</w:t>
      </w:r>
      <w:r>
        <w:rPr>
          <w:rStyle w:val="References"/>
        </w:rPr>
        <w:t xml:space="preserve"> of the Rules]</w:t>
      </w:r>
    </w:p>
    <w:p w14:paraId="687B4287" w14:textId="77777777" w:rsidR="000B7C92" w:rsidRDefault="000B7C92" w:rsidP="000B7C92">
      <w:pPr>
        <w:pStyle w:val="Heading6"/>
        <w:rPr>
          <w:rFonts w:hint="eastAsia"/>
        </w:rPr>
      </w:pPr>
      <w:r>
        <w:t>Five</w:t>
      </w:r>
      <w:r>
        <w:noBreakHyphen/>
        <w:t xml:space="preserve">year elections continues to apply </w:t>
      </w:r>
    </w:p>
    <w:p w14:paraId="5BB42B5A" w14:textId="5950ECE4" w:rsidR="000B7C92" w:rsidRDefault="000B7C92" w:rsidP="000B7C92">
      <w:pPr>
        <w:pStyle w:val="Normalparatextwithnumbers"/>
        <w:numPr>
          <w:ilvl w:val="1"/>
          <w:numId w:val="18"/>
        </w:numPr>
      </w:pPr>
      <w:r>
        <w:t>A Filing Constituent Entity can continue to make a Five</w:t>
      </w:r>
      <w:r>
        <w:noBreakHyphen/>
        <w:t>Year Election to apply the treatment provided under Parts 7</w:t>
      </w:r>
      <w:r>
        <w:noBreakHyphen/>
        <w:t>5 or 7</w:t>
      </w:r>
      <w:r>
        <w:noBreakHyphen/>
        <w:t>6 notwithstanding that the C</w:t>
      </w:r>
      <w:r w:rsidR="00763172">
        <w:t xml:space="preserve">onstituent </w:t>
      </w:r>
      <w:r>
        <w:t>E</w:t>
      </w:r>
      <w:r w:rsidR="00763172">
        <w:t>ntity</w:t>
      </w:r>
      <w:r>
        <w:noBreakHyphen/>
        <w:t>owner of the non-qualifying I</w:t>
      </w:r>
      <w:r w:rsidR="00763172">
        <w:t xml:space="preserve">nvestment </w:t>
      </w:r>
      <w:r>
        <w:t>E</w:t>
      </w:r>
      <w:r w:rsidR="00763172">
        <w:t>ntity</w:t>
      </w:r>
      <w:r>
        <w:t xml:space="preserve"> or I</w:t>
      </w:r>
      <w:r w:rsidR="00763172">
        <w:t xml:space="preserve">nsurance </w:t>
      </w:r>
      <w:r>
        <w:lastRenderedPageBreak/>
        <w:t>I</w:t>
      </w:r>
      <w:r w:rsidR="00763172">
        <w:t xml:space="preserve">nvestment </w:t>
      </w:r>
      <w:r>
        <w:t>E</w:t>
      </w:r>
      <w:r w:rsidR="00763172">
        <w:t>ntity</w:t>
      </w:r>
      <w:r>
        <w:t xml:space="preserve"> benefits from the CbC</w:t>
      </w:r>
      <w:r w:rsidR="00CE2516">
        <w:t xml:space="preserve"> </w:t>
      </w:r>
      <w:r>
        <w:t>R</w:t>
      </w:r>
      <w:r w:rsidR="00CE2516">
        <w:t>eporting</w:t>
      </w:r>
      <w:r>
        <w:t xml:space="preserve"> Safe Harbour (consistent with paragraph 61 </w:t>
      </w:r>
      <w:r w:rsidR="00803CA6">
        <w:t>to</w:t>
      </w:r>
      <w:r>
        <w:t xml:space="preserve"> 64 on page 302 of the </w:t>
      </w:r>
      <w:r w:rsidR="00CE2516">
        <w:t>C</w:t>
      </w:r>
      <w:r>
        <w:t xml:space="preserve">onsolidated </w:t>
      </w:r>
      <w:r w:rsidR="00CE2516">
        <w:t>C</w:t>
      </w:r>
      <w:r>
        <w:t xml:space="preserve">ommentary). </w:t>
      </w:r>
    </w:p>
    <w:p w14:paraId="29F014A2" w14:textId="77777777" w:rsidR="000B7C92" w:rsidRDefault="000B7C92" w:rsidP="000B7C92">
      <w:pPr>
        <w:pStyle w:val="Heading5"/>
        <w:numPr>
          <w:ilvl w:val="4"/>
          <w:numId w:val="2"/>
        </w:numPr>
      </w:pPr>
      <w:r>
        <w:t xml:space="preserve">Qualified financial statements and qualified CbC Reports </w:t>
      </w:r>
    </w:p>
    <w:p w14:paraId="7A5444C5" w14:textId="77777777" w:rsidR="000B7C92" w:rsidRDefault="000B7C92" w:rsidP="000B7C92">
      <w:pPr>
        <w:pStyle w:val="Heading6"/>
        <w:rPr>
          <w:rFonts w:hint="eastAsia"/>
        </w:rPr>
      </w:pPr>
      <w:r>
        <w:t xml:space="preserve">Qualified financial statements </w:t>
      </w:r>
    </w:p>
    <w:p w14:paraId="0DDF2312" w14:textId="77777777" w:rsidR="000B7C92" w:rsidRDefault="000B7C92" w:rsidP="000B7C92">
      <w:pPr>
        <w:pStyle w:val="Normalparatextwithnumbers"/>
        <w:numPr>
          <w:ilvl w:val="1"/>
          <w:numId w:val="18"/>
        </w:numPr>
      </w:pPr>
      <w:r>
        <w:t xml:space="preserve">A qualified CbC report is based on what is considered qualified financial statements and is defined as any of the following: </w:t>
      </w:r>
    </w:p>
    <w:p w14:paraId="4451136D" w14:textId="77777777" w:rsidR="000B7C92" w:rsidRDefault="000B7C92" w:rsidP="00B07214">
      <w:pPr>
        <w:pStyle w:val="Dotpoint1"/>
      </w:pPr>
      <w:r>
        <w:t>the financial accounts used to prepare the CFS of the UPE (the same requirement as under Part 3-2 of the Rules)</w:t>
      </w:r>
      <w:r w:rsidRPr="00167665">
        <w:t>;</w:t>
      </w:r>
      <w:r>
        <w:t xml:space="preserve"> or </w:t>
      </w:r>
    </w:p>
    <w:p w14:paraId="756304AD" w14:textId="77777777" w:rsidR="000B7C92" w:rsidRDefault="000B7C92" w:rsidP="00B07214">
      <w:pPr>
        <w:pStyle w:val="Dotpoint1"/>
      </w:pPr>
      <w:r>
        <w:t xml:space="preserve">separate financial statements of each Constituent Entity (defined below); or </w:t>
      </w:r>
    </w:p>
    <w:p w14:paraId="72B75702" w14:textId="0FC2E148" w:rsidR="000B7C92" w:rsidRDefault="000B7C92" w:rsidP="00B07214">
      <w:pPr>
        <w:pStyle w:val="Dotpoint1"/>
      </w:pPr>
      <w:r>
        <w:t xml:space="preserve">in the case of an NMCE or Permanent Establishment: the financial accounts of that Constituent Entity that are used for preparation of the MNE Group’s CbC Report. </w:t>
      </w:r>
      <w:r>
        <w:br/>
      </w:r>
      <w:r w:rsidRPr="00AB234D">
        <w:rPr>
          <w:rStyle w:val="References"/>
        </w:rPr>
        <w:t>[Chapter 8, subsection 8-</w:t>
      </w:r>
      <w:r w:rsidR="002E474C">
        <w:rPr>
          <w:rStyle w:val="References"/>
        </w:rPr>
        <w:t>70</w:t>
      </w:r>
      <w:r w:rsidRPr="00AB234D">
        <w:rPr>
          <w:rStyle w:val="References"/>
        </w:rPr>
        <w:t>(1)</w:t>
      </w:r>
      <w:r>
        <w:rPr>
          <w:rStyle w:val="References"/>
        </w:rPr>
        <w:t xml:space="preserve"> of the Rules</w:t>
      </w:r>
      <w:r w:rsidRPr="00AB234D">
        <w:rPr>
          <w:rStyle w:val="References"/>
        </w:rPr>
        <w:t>]</w:t>
      </w:r>
    </w:p>
    <w:p w14:paraId="7E91D2CC" w14:textId="77777777" w:rsidR="000B7C92" w:rsidRDefault="000B7C92" w:rsidP="000B7C92">
      <w:pPr>
        <w:pStyle w:val="Normalparatextwithnumbers"/>
        <w:numPr>
          <w:ilvl w:val="1"/>
          <w:numId w:val="18"/>
        </w:numPr>
      </w:pPr>
      <w:r>
        <w:t xml:space="preserve">The inclusion of separate financial statements caters to individual Constituent Entities that prepare financial statements but does not require Constituent Entities to prepare financial statements. It is sufficient to use the separate financial accounts of a Constituent Entity that are used in the preparation of the CFS. To be qualified financial statements, separate financial statements of a Constituent Entity must: </w:t>
      </w:r>
    </w:p>
    <w:p w14:paraId="3B50CBAE" w14:textId="77777777" w:rsidR="000B7C92" w:rsidRDefault="000B7C92" w:rsidP="00B07214">
      <w:pPr>
        <w:pStyle w:val="Dotpoint1"/>
      </w:pPr>
      <w:r>
        <w:t xml:space="preserve">be prepared in accordance with an Acceptable FAS or Authorised FAS; </w:t>
      </w:r>
    </w:p>
    <w:p w14:paraId="25A29786" w14:textId="77777777" w:rsidR="000B7C92" w:rsidRDefault="000B7C92" w:rsidP="00B07214">
      <w:pPr>
        <w:pStyle w:val="Dotpoint1"/>
      </w:pPr>
      <w:r>
        <w:t>include reliable information that is maintained based on that accounting standard; and</w:t>
      </w:r>
    </w:p>
    <w:p w14:paraId="699BA3D4" w14:textId="42493DA1" w:rsidR="000B7C92" w:rsidRDefault="000B7C92" w:rsidP="00B07214">
      <w:pPr>
        <w:pStyle w:val="Dotpoint1"/>
      </w:pPr>
      <w:r>
        <w:t xml:space="preserve">meet the consistent reporting condition and the goodwill impairment adjustment, if the MNE Group </w:t>
      </w:r>
      <w:r w:rsidRPr="00350880">
        <w:t>allocated and incorporated purchase accounting adjustments</w:t>
      </w:r>
      <w:r>
        <w:t xml:space="preserve">. </w:t>
      </w:r>
      <w:r>
        <w:br/>
      </w:r>
      <w:r w:rsidRPr="006C167C">
        <w:rPr>
          <w:rStyle w:val="References"/>
        </w:rPr>
        <w:t>[Chapter 8, subsections 8-</w:t>
      </w:r>
      <w:r w:rsidR="00302B1A">
        <w:rPr>
          <w:rStyle w:val="References"/>
        </w:rPr>
        <w:t>7</w:t>
      </w:r>
      <w:r w:rsidRPr="006C167C">
        <w:rPr>
          <w:rStyle w:val="References"/>
        </w:rPr>
        <w:t>0(2) and (3) of the Rules]</w:t>
      </w:r>
    </w:p>
    <w:p w14:paraId="12E8E60B" w14:textId="0ECE255B" w:rsidR="000B7C92" w:rsidRDefault="000B7C92" w:rsidP="000B7C92">
      <w:pPr>
        <w:pStyle w:val="Normalparatextwithnumbers"/>
        <w:numPr>
          <w:ilvl w:val="1"/>
          <w:numId w:val="18"/>
        </w:numPr>
      </w:pPr>
      <w:r>
        <w:t>The consistent reporting condition is met where the MNE Group has not submitted a CbC Report for a Fiscal Year beginning after 31 December 2022 that was based on the Constituent Entity’s reporting package or separate financial statements without the Purchase Price Accounting adjustments, except where the Constituent Entity was required by law or regulation to change its reporting package or separate financial statements to include Purchase Price Accounting adjustments.</w:t>
      </w:r>
      <w:r>
        <w:br/>
      </w:r>
      <w:r w:rsidRPr="00AB234D">
        <w:rPr>
          <w:rStyle w:val="References"/>
        </w:rPr>
        <w:t>[Chapter 8, subsection 8-</w:t>
      </w:r>
      <w:r w:rsidR="00302B1A">
        <w:rPr>
          <w:rStyle w:val="References"/>
        </w:rPr>
        <w:t>7</w:t>
      </w:r>
      <w:r>
        <w:rPr>
          <w:rStyle w:val="References"/>
        </w:rPr>
        <w:t>0</w:t>
      </w:r>
      <w:r w:rsidRPr="00AB234D">
        <w:rPr>
          <w:rStyle w:val="References"/>
        </w:rPr>
        <w:t>(4) of the Rules]</w:t>
      </w:r>
    </w:p>
    <w:p w14:paraId="0BCDE84D" w14:textId="77777777" w:rsidR="000B7C92" w:rsidRDefault="000B7C92" w:rsidP="000B7C92">
      <w:pPr>
        <w:pStyle w:val="Normalparatextwithnumbers"/>
        <w:numPr>
          <w:ilvl w:val="1"/>
          <w:numId w:val="18"/>
        </w:numPr>
      </w:pPr>
      <w:r>
        <w:t xml:space="preserve">Any reduction to the Constituent Entity’s income attributable to an impairment of goodwill related to transactions entered into after 30 November 2021 must </w:t>
      </w:r>
      <w:r>
        <w:lastRenderedPageBreak/>
        <w:t>be added back to the MNE Group’s Profit (Loss) before Income Tax for the jurisdiction for the Fiscal Year when applying either the:</w:t>
      </w:r>
    </w:p>
    <w:p w14:paraId="75557D34" w14:textId="77777777" w:rsidR="000B7C92" w:rsidRDefault="000B7C92" w:rsidP="00B07214">
      <w:pPr>
        <w:pStyle w:val="Dotpoint1"/>
      </w:pPr>
      <w:r>
        <w:t>routine profits test; or</w:t>
      </w:r>
    </w:p>
    <w:p w14:paraId="6BB12CAC" w14:textId="40B708C7" w:rsidR="000B7C92" w:rsidRPr="00AE279F" w:rsidRDefault="000B7C92" w:rsidP="00B07214">
      <w:pPr>
        <w:pStyle w:val="Dotpoint1"/>
        <w:rPr>
          <w:rStyle w:val="References"/>
          <w:b w:val="0"/>
          <w:bCs w:val="0"/>
          <w:i w:val="0"/>
          <w:iCs w:val="0"/>
        </w:rPr>
      </w:pPr>
      <w:r>
        <w:t>simplified ETR test, but only if the financial accounts do not also have a reversal of deferred tax liability or recognition or increase of a deferred tax asset in respect of the impairment of goodwill.</w:t>
      </w:r>
      <w:r>
        <w:br/>
      </w:r>
      <w:r w:rsidRPr="00AB234D">
        <w:rPr>
          <w:rStyle w:val="References"/>
        </w:rPr>
        <w:t>[Chapter 8, subsections 8-</w:t>
      </w:r>
      <w:r w:rsidR="00302B1A">
        <w:rPr>
          <w:rStyle w:val="References"/>
        </w:rPr>
        <w:t>7</w:t>
      </w:r>
      <w:r>
        <w:rPr>
          <w:rStyle w:val="References"/>
        </w:rPr>
        <w:t>0</w:t>
      </w:r>
      <w:r w:rsidRPr="00AB234D">
        <w:rPr>
          <w:rStyle w:val="References"/>
        </w:rPr>
        <w:t>(5)</w:t>
      </w:r>
      <w:r>
        <w:rPr>
          <w:rStyle w:val="References"/>
        </w:rPr>
        <w:t xml:space="preserve"> of the Rules</w:t>
      </w:r>
      <w:r w:rsidRPr="00AB234D">
        <w:rPr>
          <w:rStyle w:val="References"/>
        </w:rPr>
        <w:t>]</w:t>
      </w:r>
    </w:p>
    <w:p w14:paraId="070BBB33" w14:textId="77777777" w:rsidR="000B7C92" w:rsidRDefault="000B7C92" w:rsidP="000B7C92">
      <w:pPr>
        <w:pStyle w:val="Normalparatextwithnumbers"/>
        <w:numPr>
          <w:ilvl w:val="1"/>
          <w:numId w:val="18"/>
        </w:numPr>
      </w:pPr>
      <w:r>
        <w:t>For the Constituent Entity that prepares separate financial accounts, i</w:t>
      </w:r>
      <w:r w:rsidRPr="00C21597">
        <w:t xml:space="preserve">f there is an item (such as a deferred tax expense) that relates to a specific entity’s accounts but </w:t>
      </w:r>
      <w:r>
        <w:t xml:space="preserve">is </w:t>
      </w:r>
      <w:r w:rsidRPr="00C21597">
        <w:t>reflected in the UPE’s CFS,</w:t>
      </w:r>
      <w:r>
        <w:t xml:space="preserve"> then</w:t>
      </w:r>
      <w:r w:rsidRPr="00C21597">
        <w:t xml:space="preserve"> that item must be </w:t>
      </w:r>
      <w:r>
        <w:t xml:space="preserve">removed from the CFS </w:t>
      </w:r>
      <w:r w:rsidRPr="00C21597">
        <w:t xml:space="preserve">and reflected in the individual </w:t>
      </w:r>
      <w:r>
        <w:t xml:space="preserve">constituent </w:t>
      </w:r>
      <w:r w:rsidRPr="00C21597">
        <w:t>entity’s data when using the standalone statements.</w:t>
      </w:r>
    </w:p>
    <w:p w14:paraId="6819389D" w14:textId="50F03250" w:rsidR="000B7C92" w:rsidRDefault="000B7C92" w:rsidP="000B7C92">
      <w:pPr>
        <w:pStyle w:val="Normalparatextwithnumbers"/>
        <w:numPr>
          <w:ilvl w:val="1"/>
          <w:numId w:val="18"/>
        </w:numPr>
      </w:pPr>
      <w:r>
        <w:t xml:space="preserve">There are several requirements the </w:t>
      </w:r>
      <w:r w:rsidR="002330EF">
        <w:t>MNE Group</w:t>
      </w:r>
      <w:r>
        <w:t xml:space="preserve"> must comply with when preparing the qualified financial statements including: </w:t>
      </w:r>
    </w:p>
    <w:p w14:paraId="2A9DDBDE" w14:textId="77777777" w:rsidR="000B7C92" w:rsidRDefault="000B7C92" w:rsidP="00B07214">
      <w:pPr>
        <w:pStyle w:val="Dotpoint1"/>
      </w:pPr>
      <w:r>
        <w:t>using the same source of qualified financial statements to apply the transitional safe harbour to a jurisdiction (including where there are multiple entities within the jurisdiction); and</w:t>
      </w:r>
    </w:p>
    <w:p w14:paraId="05089EA8" w14:textId="6C97811D" w:rsidR="000B7C92" w:rsidRDefault="000B7C92" w:rsidP="00B07214">
      <w:pPr>
        <w:pStyle w:val="Dotpoint1"/>
      </w:pPr>
      <w:r>
        <w:t>not adjusting any of the data contained in the qualified financial statements, even where the adjustments would be more consistent with the GloBE rules.</w:t>
      </w:r>
      <w:r>
        <w:br/>
      </w:r>
      <w:r w:rsidRPr="00D54390">
        <w:rPr>
          <w:rStyle w:val="References"/>
        </w:rPr>
        <w:t>[Chapter 8, section 8-</w:t>
      </w:r>
      <w:r w:rsidR="00302B1A">
        <w:rPr>
          <w:rStyle w:val="References"/>
        </w:rPr>
        <w:t>75</w:t>
      </w:r>
      <w:r w:rsidRPr="00D54390">
        <w:rPr>
          <w:rStyle w:val="References"/>
        </w:rPr>
        <w:t xml:space="preserve"> of the Rules]</w:t>
      </w:r>
    </w:p>
    <w:p w14:paraId="36BB3FB0" w14:textId="77777777" w:rsidR="000B7C92" w:rsidRDefault="000B7C92" w:rsidP="000B7C92">
      <w:pPr>
        <w:pStyle w:val="Normalparatextwithnumbers"/>
        <w:numPr>
          <w:ilvl w:val="1"/>
          <w:numId w:val="18"/>
        </w:numPr>
      </w:pPr>
      <w:r>
        <w:t xml:space="preserve">The specific exemption to </w:t>
      </w:r>
      <w:r w:rsidRPr="000612E9">
        <w:t xml:space="preserve">using the same source of data for </w:t>
      </w:r>
      <w:r>
        <w:t xml:space="preserve">an </w:t>
      </w:r>
      <w:r w:rsidRPr="000612E9">
        <w:t>entity</w:t>
      </w:r>
      <w:r>
        <w:t xml:space="preserve"> refers to </w:t>
      </w:r>
      <w:r w:rsidRPr="000612E9">
        <w:t>the deferred tax component of the income tax expense</w:t>
      </w:r>
      <w:r>
        <w:t xml:space="preserve"> </w:t>
      </w:r>
      <w:r w:rsidRPr="000612E9">
        <w:t xml:space="preserve">that relates to Profit (Loss) Before Tax </w:t>
      </w:r>
      <w:r>
        <w:t xml:space="preserve">for the entity. Instead of using the entity’s separate financial accounts or statements, the consolidating parent entity may refer accounting entry that is used in preparing the CFS for data on the deferred tax component. </w:t>
      </w:r>
    </w:p>
    <w:p w14:paraId="488726AB" w14:textId="6627F10D" w:rsidR="000B7C92" w:rsidRDefault="000B7C92" w:rsidP="000B7C92">
      <w:pPr>
        <w:pStyle w:val="Normalparatextwithnumbers"/>
        <w:numPr>
          <w:ilvl w:val="1"/>
          <w:numId w:val="18"/>
        </w:numPr>
      </w:pPr>
      <w:r>
        <w:t>A</w:t>
      </w:r>
      <w:r w:rsidRPr="008A4374">
        <w:t xml:space="preserve">n </w:t>
      </w:r>
      <w:r w:rsidR="002330EF">
        <w:t>MNE Group</w:t>
      </w:r>
      <w:r w:rsidRPr="008A4374">
        <w:t xml:space="preserve"> </w:t>
      </w:r>
      <w:r>
        <w:t xml:space="preserve">that has a presence </w:t>
      </w:r>
      <w:r w:rsidRPr="008A4374">
        <w:t xml:space="preserve">across multiple jurisdictions </w:t>
      </w:r>
      <w:r>
        <w:t xml:space="preserve">will still </w:t>
      </w:r>
      <w:r w:rsidRPr="008A4374">
        <w:t xml:space="preserve">qualify for the transitional </w:t>
      </w:r>
      <w:r>
        <w:t>safe harbour where different accounting standards are used in each jurisdiction.</w:t>
      </w:r>
      <w:r w:rsidRPr="00543C34">
        <w:t xml:space="preserve"> </w:t>
      </w:r>
    </w:p>
    <w:p w14:paraId="03E33EE6" w14:textId="77777777" w:rsidR="000B7C92" w:rsidRDefault="000B7C92" w:rsidP="000B7C92">
      <w:pPr>
        <w:pStyle w:val="Heading6"/>
        <w:rPr>
          <w:rFonts w:hint="eastAsia"/>
        </w:rPr>
      </w:pPr>
      <w:r>
        <w:t>Qualified CbC Reports</w:t>
      </w:r>
    </w:p>
    <w:p w14:paraId="3FF0A9B0" w14:textId="77777777" w:rsidR="000B7C92" w:rsidRDefault="000B7C92" w:rsidP="000B7C92">
      <w:pPr>
        <w:pStyle w:val="Normalparatextwithnumbers"/>
        <w:numPr>
          <w:ilvl w:val="1"/>
          <w:numId w:val="18"/>
        </w:numPr>
      </w:pPr>
      <w:r>
        <w:t xml:space="preserve">The types of qualified financial statements contribute to determining what is considered a Qualified CbC Report. A Qualified CbC report in relation to a jurisdiction is prepared and filed using Qualified Financial Statements.  </w:t>
      </w:r>
    </w:p>
    <w:p w14:paraId="2E2B62A1" w14:textId="3CF2A776" w:rsidR="00010087" w:rsidRDefault="000B7C92" w:rsidP="000B7C92">
      <w:pPr>
        <w:pStyle w:val="Normalparatextwithnumbers"/>
        <w:numPr>
          <w:ilvl w:val="1"/>
          <w:numId w:val="18"/>
        </w:numPr>
      </w:pPr>
      <w:r>
        <w:t>MNE Groups that are in scope of the GloBE Rules but not required to file CbC Reports may still be eligible for the Transitional CbC</w:t>
      </w:r>
      <w:r w:rsidR="00270ECD">
        <w:t xml:space="preserve"> </w:t>
      </w:r>
      <w:r>
        <w:t>R</w:t>
      </w:r>
      <w:r w:rsidR="00270ECD">
        <w:t>eporting</w:t>
      </w:r>
      <w:r>
        <w:t xml:space="preserve"> Safe Harbour if the GloBE Information Return is completed using the data from Qualified Financial Statements that would have been reported as Total Revenue and Profit (Loss) Before Income Tax in a Qualified CbC Report if the MNE Group were required to file a CbC Report in accordance with the CbC requirements in the UPE Jurisdiction.  </w:t>
      </w:r>
    </w:p>
    <w:p w14:paraId="0EAA9E41" w14:textId="028B726F" w:rsidR="000B7C92" w:rsidRDefault="000B7C92" w:rsidP="006433AD">
      <w:pPr>
        <w:pStyle w:val="Normalparatextwithnumbers"/>
        <w:keepNext/>
        <w:keepLines/>
        <w:numPr>
          <w:ilvl w:val="1"/>
          <w:numId w:val="18"/>
        </w:numPr>
        <w:ind w:left="706" w:hanging="706"/>
      </w:pPr>
      <w:r>
        <w:lastRenderedPageBreak/>
        <w:t xml:space="preserve">If the UPE Jurisdiction does not have CbC requirements, it is the amounts that would have been reported in accordance with the OECD BEPS Action 13 Final Report and the OECD Guidance on the Implementation of CbC Reporting, </w:t>
      </w:r>
      <w:r w:rsidR="00F35A27">
        <w:t xml:space="preserve">which is </w:t>
      </w:r>
      <w:r>
        <w:t xml:space="preserve">freely </w:t>
      </w:r>
      <w:r w:rsidR="00F35A27">
        <w:t xml:space="preserve">and publicly </w:t>
      </w:r>
      <w:r>
        <w:t xml:space="preserve">available </w:t>
      </w:r>
      <w:r w:rsidR="00F35A27">
        <w:t>fr</w:t>
      </w:r>
      <w:r>
        <w:t>o</w:t>
      </w:r>
      <w:r w:rsidR="00F35A27">
        <w:t>m</w:t>
      </w:r>
      <w:r>
        <w:t xml:space="preserve"> the OECD website. Alternatively, </w:t>
      </w:r>
      <w:r w:rsidRPr="003341B5">
        <w:t xml:space="preserve">an </w:t>
      </w:r>
      <w:r w:rsidR="002330EF">
        <w:t>MNE Group</w:t>
      </w:r>
      <w:r w:rsidRPr="003341B5">
        <w:t xml:space="preserve"> may voluntarily submit a CbC</w:t>
      </w:r>
      <w:r w:rsidR="00270ECD">
        <w:t xml:space="preserve"> </w:t>
      </w:r>
      <w:r w:rsidRPr="003341B5">
        <w:t>R</w:t>
      </w:r>
      <w:r w:rsidR="00270ECD">
        <w:t>eport</w:t>
      </w:r>
      <w:r w:rsidRPr="003341B5">
        <w:t>.</w:t>
      </w:r>
      <w:r>
        <w:br/>
      </w:r>
      <w:r w:rsidRPr="003F6E29">
        <w:rPr>
          <w:rStyle w:val="References"/>
        </w:rPr>
        <w:t>[Chapter 8, subsection 8-</w:t>
      </w:r>
      <w:r w:rsidR="00302B1A">
        <w:rPr>
          <w:rStyle w:val="References"/>
        </w:rPr>
        <w:t>3</w:t>
      </w:r>
      <w:r w:rsidRPr="003F6E29">
        <w:rPr>
          <w:rStyle w:val="References"/>
        </w:rPr>
        <w:t>5(3) and (4) of the Rules]</w:t>
      </w:r>
    </w:p>
    <w:p w14:paraId="4285EADF" w14:textId="00C623DE" w:rsidR="000B7C92" w:rsidRDefault="000B7C92" w:rsidP="000B7C92">
      <w:pPr>
        <w:pStyle w:val="Normalparatextwithnumbers"/>
        <w:numPr>
          <w:ilvl w:val="1"/>
          <w:numId w:val="18"/>
        </w:numPr>
      </w:pPr>
      <w:r>
        <w:t>For NMCEs that are not included in the CFS based on materiality grounds, the definition of Qualified Financial Statements allows the MNE Group to use the same financial accounts of the NMCEs that are used to prepare the MNE Group’s CbC Report.</w:t>
      </w:r>
      <w:r>
        <w:br/>
      </w:r>
      <w:r w:rsidRPr="004057A1">
        <w:rPr>
          <w:b/>
          <w:i/>
        </w:rPr>
        <w:t xml:space="preserve">[Chapter 8, </w:t>
      </w:r>
      <w:r>
        <w:rPr>
          <w:b/>
          <w:bCs/>
          <w:i/>
          <w:iCs/>
        </w:rPr>
        <w:t>subsection</w:t>
      </w:r>
      <w:r w:rsidRPr="004057A1">
        <w:rPr>
          <w:b/>
          <w:i/>
        </w:rPr>
        <w:t xml:space="preserve"> 8-</w:t>
      </w:r>
      <w:r w:rsidR="00760959">
        <w:rPr>
          <w:b/>
          <w:i/>
        </w:rPr>
        <w:t>7</w:t>
      </w:r>
      <w:r>
        <w:rPr>
          <w:b/>
          <w:i/>
        </w:rPr>
        <w:t>0</w:t>
      </w:r>
      <w:r w:rsidRPr="004057A1">
        <w:rPr>
          <w:b/>
          <w:i/>
        </w:rPr>
        <w:t>(1)(c) of the Rules]</w:t>
      </w:r>
      <w:r w:rsidRPr="009A33E7">
        <w:t xml:space="preserve"> </w:t>
      </w:r>
    </w:p>
    <w:p w14:paraId="26903CE3" w14:textId="77777777" w:rsidR="000B7C92" w:rsidRPr="00AA0B51" w:rsidRDefault="000B7C92" w:rsidP="000B7C92">
      <w:pPr>
        <w:pStyle w:val="Normalparatextwithnumbers"/>
        <w:numPr>
          <w:ilvl w:val="1"/>
          <w:numId w:val="18"/>
        </w:numPr>
      </w:pPr>
      <w:r>
        <w:t>Given that JVs do not prepare CbC Reports, JVs will generally rely on the hypothetical option that allows access to the Transitional CbC Reporting Safe Harbour despite not being required to file CbC reports.</w:t>
      </w:r>
      <w:r w:rsidRPr="00154813">
        <w:t xml:space="preserve"> </w:t>
      </w:r>
    </w:p>
    <w:p w14:paraId="067C9C12" w14:textId="77777777" w:rsidR="000B7C92" w:rsidRDefault="000B7C92" w:rsidP="000B7C92">
      <w:pPr>
        <w:pStyle w:val="Heading5"/>
        <w:numPr>
          <w:ilvl w:val="4"/>
          <w:numId w:val="2"/>
        </w:numPr>
      </w:pPr>
      <w:bookmarkStart w:id="280" w:name="_Toc180490677"/>
      <w:r>
        <w:t>Anti avoidance rule – hybrid arbitrage arrangements</w:t>
      </w:r>
    </w:p>
    <w:p w14:paraId="757C1C94" w14:textId="14D86CC6" w:rsidR="000B7C92" w:rsidRDefault="000B7C92" w:rsidP="000B7C92">
      <w:pPr>
        <w:pStyle w:val="Normalparatextwithnumbers"/>
        <w:numPr>
          <w:ilvl w:val="1"/>
          <w:numId w:val="18"/>
        </w:numPr>
      </w:pPr>
      <w:r>
        <w:t>An anti</w:t>
      </w:r>
      <w:r>
        <w:noBreakHyphen/>
        <w:t xml:space="preserve">avoidance rule is included to prevent MNE Groups from entering  or altering arrangements in an attempt to qualify for the </w:t>
      </w:r>
      <w:r w:rsidR="0059702C">
        <w:t>T</w:t>
      </w:r>
      <w:r>
        <w:t xml:space="preserve">ransitional </w:t>
      </w:r>
      <w:r w:rsidR="0059702C">
        <w:t>CbC</w:t>
      </w:r>
      <w:r w:rsidR="00CE0F49">
        <w:t xml:space="preserve"> Reporting</w:t>
      </w:r>
      <w:r w:rsidR="0059702C">
        <w:t xml:space="preserve"> </w:t>
      </w:r>
      <w:r>
        <w:t>Safe Harbour to avoid paying Top</w:t>
      </w:r>
      <w:r>
        <w:noBreakHyphen/>
        <w:t>up Tax.</w:t>
      </w:r>
    </w:p>
    <w:p w14:paraId="356142E4" w14:textId="7EE6C86C" w:rsidR="000B7C92" w:rsidRDefault="000B7C92" w:rsidP="000B7C92">
      <w:pPr>
        <w:pStyle w:val="Normalparatextwithnumbers"/>
        <w:numPr>
          <w:ilvl w:val="1"/>
          <w:numId w:val="18"/>
        </w:numPr>
      </w:pPr>
      <w:r>
        <w:t xml:space="preserve">The Tested Jurisdiction’s Profit or loss Before income Tax and income tax expense must be adjusted with respect to any Hybrid Arbitrage Arrangements entered into after 15 December 2022 (the release of the OECD’s safe harbour guidance). This affects the </w:t>
      </w:r>
      <w:r w:rsidR="004D511B">
        <w:t>T</w:t>
      </w:r>
      <w:r>
        <w:t>ransitional CbC</w:t>
      </w:r>
      <w:r w:rsidR="004D511B">
        <w:t xml:space="preserve"> </w:t>
      </w:r>
      <w:r>
        <w:t>R</w:t>
      </w:r>
      <w:r w:rsidR="004D511B">
        <w:t>eporting</w:t>
      </w:r>
      <w:r>
        <w:t xml:space="preserve"> </w:t>
      </w:r>
      <w:r w:rsidR="004D511B">
        <w:t>S</w:t>
      </w:r>
      <w:r>
        <w:t xml:space="preserve">afe </w:t>
      </w:r>
      <w:r w:rsidR="004D511B">
        <w:t>H</w:t>
      </w:r>
      <w:r>
        <w:t xml:space="preserve">arbour calculation by excluding any: </w:t>
      </w:r>
    </w:p>
    <w:p w14:paraId="6F4FF8AC" w14:textId="77777777" w:rsidR="000B7C92" w:rsidRPr="00B07214" w:rsidRDefault="000B7C92" w:rsidP="00B07214">
      <w:pPr>
        <w:pStyle w:val="Dotpoint1"/>
      </w:pPr>
      <w:r w:rsidRPr="00B07214">
        <w:t>expense or loss arising from a deduction / non</w:t>
      </w:r>
      <w:r w:rsidRPr="00B07214">
        <w:noBreakHyphen/>
        <w:t xml:space="preserve">inclusion arrangement or duplicate loss arrangement from the tested jurisdictions PBT; and </w:t>
      </w:r>
    </w:p>
    <w:p w14:paraId="6A03C223" w14:textId="24E369CA" w:rsidR="000B7C92" w:rsidRDefault="000B7C92" w:rsidP="00B07214">
      <w:pPr>
        <w:pStyle w:val="Dotpoint1"/>
      </w:pPr>
      <w:r w:rsidRPr="00B07214">
        <w:t>income tax expense from a duplicate tax recognition arrangement from the tested jurisdictions income tax expense.</w:t>
      </w:r>
      <w:r w:rsidRPr="00B07214">
        <w:br/>
      </w:r>
      <w:r w:rsidRPr="00B20FA1">
        <w:rPr>
          <w:rStyle w:val="References"/>
        </w:rPr>
        <w:t>[Chapter 8, section 8-</w:t>
      </w:r>
      <w:r w:rsidR="00760959">
        <w:rPr>
          <w:rStyle w:val="References"/>
        </w:rPr>
        <w:t>110</w:t>
      </w:r>
      <w:r w:rsidRPr="00B20FA1">
        <w:rPr>
          <w:rStyle w:val="References"/>
        </w:rPr>
        <w:t xml:space="preserve"> of the Rules]</w:t>
      </w:r>
    </w:p>
    <w:p w14:paraId="2D3BA909" w14:textId="44EE9799" w:rsidR="000B7C92" w:rsidRPr="00922B0F" w:rsidRDefault="000B7C92" w:rsidP="000B7C92">
      <w:pPr>
        <w:pStyle w:val="Normalparatextwithnumbers"/>
        <w:numPr>
          <w:ilvl w:val="1"/>
          <w:numId w:val="18"/>
        </w:numPr>
        <w:rPr>
          <w:rStyle w:val="References"/>
        </w:rPr>
      </w:pPr>
      <w:r>
        <w:t>A hybrid arbitrage arrangement extends to arrangements that existed prior to 15 December 2022, but were amended or transferred after the release of the safe harbour guidance. It also applies if the accounting treatment with respect to the arrangement changes after 15 December 2022.</w:t>
      </w:r>
      <w:r w:rsidR="00760959">
        <w:t xml:space="preserve"> </w:t>
      </w:r>
      <w:r>
        <w:t xml:space="preserve">These extended treatments are intended to prevent parties from qualifying for the Transitional CbC Reporting Safe Harbour based on manipulating transactions to meet the conditions. </w:t>
      </w:r>
      <w:r>
        <w:br/>
      </w:r>
      <w:r w:rsidRPr="00922B0F">
        <w:rPr>
          <w:rStyle w:val="References"/>
        </w:rPr>
        <w:t>[Chapter 8, section 8-</w:t>
      </w:r>
      <w:r w:rsidR="00760959">
        <w:rPr>
          <w:rStyle w:val="References"/>
        </w:rPr>
        <w:t>150</w:t>
      </w:r>
      <w:r w:rsidRPr="00922B0F">
        <w:rPr>
          <w:rStyle w:val="References"/>
        </w:rPr>
        <w:t xml:space="preserve"> of the Rules]</w:t>
      </w:r>
    </w:p>
    <w:p w14:paraId="64D07C75" w14:textId="2A63D04E" w:rsidR="000B7C92" w:rsidRDefault="000B7C92" w:rsidP="000F4718">
      <w:pPr>
        <w:pStyle w:val="Normalparatextwithnumbers"/>
        <w:keepNext/>
        <w:keepLines/>
        <w:numPr>
          <w:ilvl w:val="1"/>
          <w:numId w:val="18"/>
        </w:numPr>
        <w:ind w:left="706" w:hanging="706"/>
      </w:pPr>
      <w:r>
        <w:lastRenderedPageBreak/>
        <w:t xml:space="preserve">Similarly, a Constituent Entity will also be considered to have entered into an arrangement if after 15 December 2022 the performance of any rights or obligations differs from the performance of those rights and obligations prior to 15 December 2022. This includes payments that are reduced or ceased, which has the effect of increasing the balance of a liability. </w:t>
      </w:r>
      <w:r>
        <w:br/>
      </w:r>
      <w:r w:rsidRPr="00DC62D7">
        <w:rPr>
          <w:rStyle w:val="References"/>
        </w:rPr>
        <w:t>[Chapter 8, section 8-</w:t>
      </w:r>
      <w:r w:rsidR="00760959">
        <w:rPr>
          <w:rStyle w:val="References"/>
        </w:rPr>
        <w:t>150</w:t>
      </w:r>
      <w:r w:rsidRPr="00DC62D7">
        <w:rPr>
          <w:rStyle w:val="References"/>
        </w:rPr>
        <w:t xml:space="preserve"> of the Rules]</w:t>
      </w:r>
    </w:p>
    <w:p w14:paraId="2D438B91" w14:textId="77777777" w:rsidR="000B7C92" w:rsidRDefault="000B7C92" w:rsidP="000B7C92">
      <w:pPr>
        <w:pStyle w:val="Normalparatextwithnumbers"/>
        <w:numPr>
          <w:ilvl w:val="1"/>
          <w:numId w:val="18"/>
        </w:numPr>
      </w:pPr>
      <w:r>
        <w:t xml:space="preserve">A Hybrid Arbitrage Arrangement is defined with respect to either a: </w:t>
      </w:r>
    </w:p>
    <w:p w14:paraId="134E0535" w14:textId="77777777" w:rsidR="000B7C92" w:rsidRDefault="000B7C92" w:rsidP="00B07214">
      <w:pPr>
        <w:pStyle w:val="Dotpoint1"/>
      </w:pPr>
      <w:r>
        <w:t xml:space="preserve">deduction / non-inclusion arrangement; </w:t>
      </w:r>
    </w:p>
    <w:p w14:paraId="332A7954" w14:textId="77777777" w:rsidR="000B7C92" w:rsidRDefault="000B7C92" w:rsidP="00B07214">
      <w:pPr>
        <w:pStyle w:val="Dotpoint1"/>
      </w:pPr>
      <w:r>
        <w:t>a duplicate loss arrangement; or</w:t>
      </w:r>
    </w:p>
    <w:p w14:paraId="7F7D5265" w14:textId="0F752E02" w:rsidR="000B7C92" w:rsidRDefault="000B7C92" w:rsidP="00B07214">
      <w:pPr>
        <w:pStyle w:val="Dotpoint1"/>
      </w:pPr>
      <w:r>
        <w:t xml:space="preserve">a duplicate tax recognition arrangement. </w:t>
      </w:r>
      <w:r>
        <w:br/>
      </w:r>
      <w:r w:rsidRPr="00B20FA1">
        <w:rPr>
          <w:rStyle w:val="References"/>
        </w:rPr>
        <w:t>[Chapter 8, section 8-</w:t>
      </w:r>
      <w:r w:rsidR="00760959">
        <w:rPr>
          <w:rStyle w:val="References"/>
        </w:rPr>
        <w:t>115</w:t>
      </w:r>
      <w:r w:rsidRPr="00B20FA1">
        <w:rPr>
          <w:rStyle w:val="References"/>
        </w:rPr>
        <w:t xml:space="preserve"> of the Rules]</w:t>
      </w:r>
    </w:p>
    <w:p w14:paraId="2933A2F4" w14:textId="77777777" w:rsidR="00CE0F49" w:rsidRDefault="00CE0F49" w:rsidP="00CE0F49">
      <w:pPr>
        <w:pStyle w:val="Heading6"/>
        <w:rPr>
          <w:rFonts w:hint="eastAsia"/>
        </w:rPr>
      </w:pPr>
      <w:r>
        <w:t>D</w:t>
      </w:r>
      <w:r w:rsidRPr="0025164B">
        <w:t xml:space="preserve">eduction / non-inclusion arrangement </w:t>
      </w:r>
    </w:p>
    <w:p w14:paraId="3CFF4168" w14:textId="77777777" w:rsidR="00CE0F49" w:rsidRDefault="00CE0F49" w:rsidP="00CE0F49">
      <w:pPr>
        <w:pStyle w:val="Normalparatextwithnumbers"/>
        <w:numPr>
          <w:ilvl w:val="1"/>
          <w:numId w:val="18"/>
        </w:numPr>
      </w:pPr>
      <w:r>
        <w:t>A deduction / non-inclusion arrangement is an arrangement under which one Constituent Entity directly or indirectly provides credit or otherwise makes an investment in another Constituent Entity that results in an expense or loss in the financial statements of a Constituent Entity to the extent that:</w:t>
      </w:r>
    </w:p>
    <w:p w14:paraId="277D19A9" w14:textId="77777777" w:rsidR="00CE0F49" w:rsidRDefault="00CE0F49" w:rsidP="00B07214">
      <w:pPr>
        <w:pStyle w:val="Dotpoint1"/>
      </w:pPr>
      <w:r>
        <w:t xml:space="preserve">there is no commensurate increase in the revenue or gain in the financial statements off the Constituent entity counterparty; or </w:t>
      </w:r>
    </w:p>
    <w:p w14:paraId="054E2AEF" w14:textId="0721AF2E" w:rsidR="00CE0F49" w:rsidRDefault="00CE0F49" w:rsidP="00B07214">
      <w:pPr>
        <w:pStyle w:val="Dotpoint1"/>
      </w:pPr>
      <w:r>
        <w:t xml:space="preserve">the Constituent Entity counterparty is not reasonably expected, over the life of the arrangement, to have a commensurate increase in its taxable income. </w:t>
      </w:r>
      <w:r>
        <w:br/>
      </w:r>
      <w:r w:rsidRPr="00DF34A4">
        <w:rPr>
          <w:rStyle w:val="References"/>
        </w:rPr>
        <w:t>[Chapter 8, section 8-</w:t>
      </w:r>
      <w:r w:rsidR="00760959">
        <w:rPr>
          <w:rStyle w:val="References"/>
        </w:rPr>
        <w:t>120</w:t>
      </w:r>
      <w:r w:rsidRPr="00DF34A4">
        <w:rPr>
          <w:rStyle w:val="References"/>
        </w:rPr>
        <w:t xml:space="preserve"> of the Rules]</w:t>
      </w:r>
    </w:p>
    <w:p w14:paraId="22D1D1B1" w14:textId="77777777" w:rsidR="00CE0F49" w:rsidRDefault="00CE0F49" w:rsidP="00CE0F49">
      <w:pPr>
        <w:pStyle w:val="Normalparatextwithnumbers"/>
        <w:numPr>
          <w:ilvl w:val="1"/>
          <w:numId w:val="18"/>
        </w:numPr>
      </w:pPr>
      <w:r>
        <w:t>The deduction / non</w:t>
      </w:r>
      <w:r>
        <w:noBreakHyphen/>
        <w:t xml:space="preserve">inclusion arrangement does not extend to expenses exclusively arising from Additional Tier One Capital. </w:t>
      </w:r>
    </w:p>
    <w:p w14:paraId="05CEE674" w14:textId="77777777" w:rsidR="000B7C92" w:rsidRDefault="000B7C92" w:rsidP="000B7C92">
      <w:pPr>
        <w:pStyle w:val="Heading6"/>
        <w:rPr>
          <w:rFonts w:hint="eastAsia"/>
        </w:rPr>
      </w:pPr>
      <w:r>
        <w:t xml:space="preserve">Duplicate loss arrangement </w:t>
      </w:r>
    </w:p>
    <w:p w14:paraId="6D6BAA0F" w14:textId="77777777" w:rsidR="000B7C92" w:rsidRDefault="000B7C92" w:rsidP="000B7C92">
      <w:pPr>
        <w:pStyle w:val="Normalparatextwithnumbers"/>
        <w:numPr>
          <w:ilvl w:val="1"/>
          <w:numId w:val="18"/>
        </w:numPr>
      </w:pPr>
      <w:r>
        <w:t>A duplicate loss arrangement is an arrangement that results in an expense or loss being included in the financial statement of a Constituent Entity to the extent that:</w:t>
      </w:r>
    </w:p>
    <w:p w14:paraId="5667EAF2" w14:textId="77777777" w:rsidR="000B7C92" w:rsidRDefault="000B7C92" w:rsidP="00B07214">
      <w:pPr>
        <w:pStyle w:val="Dotpoint1"/>
      </w:pPr>
      <w:r>
        <w:t>the expense or loss is also being included as an expense or loss in the financial statement of another Constituent Entity; or</w:t>
      </w:r>
    </w:p>
    <w:p w14:paraId="6BAD3C86" w14:textId="716736AB" w:rsidR="000B7C92" w:rsidRDefault="000B7C92" w:rsidP="00B07214">
      <w:pPr>
        <w:pStyle w:val="Dotpoint1"/>
      </w:pPr>
      <w:r>
        <w:t>the arrangement also gives rise to a duplicate amount that is deductible for purposes of determining the taxable income of another Constituent Entity in another jurisdiction.</w:t>
      </w:r>
      <w:r>
        <w:br/>
      </w:r>
      <w:r w:rsidRPr="00B20FA1">
        <w:rPr>
          <w:rStyle w:val="References"/>
        </w:rPr>
        <w:t>[Chapter 8, section 8-</w:t>
      </w:r>
      <w:r w:rsidR="00DF1E9E">
        <w:rPr>
          <w:rStyle w:val="References"/>
        </w:rPr>
        <w:t>125</w:t>
      </w:r>
      <w:r w:rsidRPr="00B20FA1">
        <w:rPr>
          <w:rStyle w:val="References"/>
        </w:rPr>
        <w:t xml:space="preserve"> of the Rules]</w:t>
      </w:r>
    </w:p>
    <w:p w14:paraId="6FF7CF1F" w14:textId="77777777" w:rsidR="000B7C92" w:rsidRDefault="000B7C92" w:rsidP="000B7C92">
      <w:pPr>
        <w:pStyle w:val="Normalparatextwithnumbers"/>
        <w:numPr>
          <w:ilvl w:val="1"/>
          <w:numId w:val="18"/>
        </w:numPr>
      </w:pPr>
      <w:r>
        <w:t>The duplicate loss arrangement does not capture an amount of expense to the extent that it is offset against revenue which is included in the financial accounts of both Constituent Entities.</w:t>
      </w:r>
    </w:p>
    <w:p w14:paraId="10D1CE94" w14:textId="29243381" w:rsidR="000B7C92" w:rsidRDefault="000B7C92" w:rsidP="000B7C92">
      <w:pPr>
        <w:pStyle w:val="Normalparatextwithnumbers"/>
        <w:numPr>
          <w:ilvl w:val="1"/>
          <w:numId w:val="18"/>
        </w:numPr>
      </w:pPr>
      <w:r>
        <w:lastRenderedPageBreak/>
        <w:t xml:space="preserve">The duplicate loss arrangement </w:t>
      </w:r>
      <w:r w:rsidRPr="0025164B">
        <w:t>ensure</w:t>
      </w:r>
      <w:r>
        <w:t>s</w:t>
      </w:r>
      <w:r w:rsidRPr="0025164B">
        <w:t xml:space="preserve"> there is no duplicate expense or loss </w:t>
      </w:r>
      <w:r>
        <w:t xml:space="preserve">being claimed or recorded across </w:t>
      </w:r>
      <w:r w:rsidRPr="0025164B">
        <w:t xml:space="preserve">multiple </w:t>
      </w:r>
      <w:r>
        <w:t>Constituent Entities</w:t>
      </w:r>
      <w:r w:rsidRPr="0025164B">
        <w:t xml:space="preserve"> and that only one is claiming the amount. This ensures that regardless of how many </w:t>
      </w:r>
      <w:r>
        <w:t xml:space="preserve">Constituent Entities </w:t>
      </w:r>
      <w:r w:rsidRPr="0025164B">
        <w:t xml:space="preserve">(for example, 10 </w:t>
      </w:r>
      <w:r>
        <w:t>Constituent Entities</w:t>
      </w:r>
      <w:r w:rsidRPr="0025164B">
        <w:t>) are part of the transaction and attempt to claim the same expense, all will be disallowed the expense or loss, except one. This prevents duplicating the same amount</w:t>
      </w:r>
      <w:r>
        <w:t xml:space="preserve"> across financial statements</w:t>
      </w:r>
      <w:r w:rsidRPr="0025164B">
        <w:t>.</w:t>
      </w:r>
      <w:r>
        <w:br/>
      </w:r>
      <w:r w:rsidRPr="00E1471A">
        <w:rPr>
          <w:rStyle w:val="References"/>
        </w:rPr>
        <w:t xml:space="preserve">[Chapter 8, </w:t>
      </w:r>
      <w:r w:rsidR="00DF1E9E">
        <w:rPr>
          <w:rStyle w:val="References"/>
        </w:rPr>
        <w:t>sub</w:t>
      </w:r>
      <w:r w:rsidRPr="00E1471A">
        <w:rPr>
          <w:rStyle w:val="References"/>
        </w:rPr>
        <w:t>section 8-</w:t>
      </w:r>
      <w:r w:rsidR="00DF1E9E">
        <w:rPr>
          <w:rStyle w:val="References"/>
        </w:rPr>
        <w:t>110</w:t>
      </w:r>
      <w:r w:rsidRPr="00E1471A">
        <w:rPr>
          <w:rStyle w:val="References"/>
        </w:rPr>
        <w:t>(2) of the Rules]</w:t>
      </w:r>
    </w:p>
    <w:p w14:paraId="59FE7446" w14:textId="77777777" w:rsidR="000B7C92" w:rsidRDefault="000B7C92" w:rsidP="000B7C92">
      <w:pPr>
        <w:pStyle w:val="Heading6"/>
        <w:rPr>
          <w:rFonts w:hint="eastAsia"/>
        </w:rPr>
      </w:pPr>
      <w:r>
        <w:t>D</w:t>
      </w:r>
      <w:r w:rsidRPr="00F9530D">
        <w:t>uplicate tax recognition arrangement</w:t>
      </w:r>
    </w:p>
    <w:p w14:paraId="11BF8EAE" w14:textId="39D42D9F" w:rsidR="000B7C92" w:rsidRDefault="000B7C92" w:rsidP="000B7C92">
      <w:pPr>
        <w:pStyle w:val="Normalparatextwithnumbers"/>
        <w:numPr>
          <w:ilvl w:val="1"/>
          <w:numId w:val="18"/>
        </w:numPr>
      </w:pPr>
      <w:r>
        <w:t>D</w:t>
      </w:r>
      <w:r w:rsidRPr="0025164B">
        <w:t>uplicate tax recognition arrangemen</w:t>
      </w:r>
      <w:r>
        <w:t>t results in more than one Constituent Entity including part or all of the same income tax expense in its:</w:t>
      </w:r>
    </w:p>
    <w:p w14:paraId="7CD1563D" w14:textId="77777777" w:rsidR="000B7C92" w:rsidRDefault="000B7C92" w:rsidP="00B07214">
      <w:pPr>
        <w:pStyle w:val="Dotpoint1"/>
      </w:pPr>
      <w:r>
        <w:t>adjusted Covered Taxes; or</w:t>
      </w:r>
    </w:p>
    <w:p w14:paraId="05E668BC" w14:textId="77777777" w:rsidR="000B7C92" w:rsidRDefault="000B7C92" w:rsidP="00B07214">
      <w:pPr>
        <w:pStyle w:val="Dotpoint1"/>
      </w:pPr>
      <w:r>
        <w:t xml:space="preserve">simplified ETR, </w:t>
      </w:r>
    </w:p>
    <w:p w14:paraId="734CB076" w14:textId="77ADAB8E" w:rsidR="000B7C92" w:rsidRDefault="000B7C92" w:rsidP="00B07214">
      <w:pPr>
        <w:pStyle w:val="Dotpoint1"/>
        <w:numPr>
          <w:ilvl w:val="0"/>
          <w:numId w:val="0"/>
        </w:numPr>
        <w:ind w:left="720"/>
      </w:pPr>
      <w:r>
        <w:t>for purposes of applying the Transitional CbC</w:t>
      </w:r>
      <w:r w:rsidR="006A53AF">
        <w:t xml:space="preserve"> </w:t>
      </w:r>
      <w:r>
        <w:t>R</w:t>
      </w:r>
      <w:r w:rsidR="006A53AF">
        <w:t>eporting</w:t>
      </w:r>
      <w:r>
        <w:t xml:space="preserve"> Safe Harbour unless such arrangements also result in the income subject to the tax being included in the relevant financial statements of each such Constituent Entity. An arrangement will not be a duplicate tax recognition arrangement if it arises solely because the Simplified ETR of a Constituent Entity does not require adjustments for income tax expenses, which would be allocated to another Constituent Entity in determining the first Constituent Entity’s Adjusted Covered Taxes.</w:t>
      </w:r>
      <w:r>
        <w:br/>
      </w:r>
      <w:r w:rsidRPr="001021A7">
        <w:rPr>
          <w:rStyle w:val="References"/>
        </w:rPr>
        <w:t>[Chapter 8, section 8-</w:t>
      </w:r>
      <w:r w:rsidR="00DF1E9E">
        <w:rPr>
          <w:rStyle w:val="References"/>
        </w:rPr>
        <w:t>130</w:t>
      </w:r>
      <w:r w:rsidRPr="001021A7">
        <w:rPr>
          <w:rStyle w:val="References"/>
        </w:rPr>
        <w:t xml:space="preserve"> of the Rules]</w:t>
      </w:r>
    </w:p>
    <w:p w14:paraId="601A9999" w14:textId="4EA99D3D" w:rsidR="000B7C92" w:rsidRDefault="000B7C92" w:rsidP="000B7C92">
      <w:pPr>
        <w:pStyle w:val="Normalparatextwithnumbers"/>
        <w:numPr>
          <w:ilvl w:val="1"/>
          <w:numId w:val="18"/>
        </w:numPr>
      </w:pPr>
      <w:r>
        <w:t xml:space="preserve">The Hybrid arbitrage arrangement applies to any Constituent Entity of the MNE Group, including deemed Constituent Entities, such as JVs and excluded entities that have an election under section 20 of the </w:t>
      </w:r>
      <w:r w:rsidR="00AA07F6">
        <w:t xml:space="preserve">Assessment </w:t>
      </w:r>
      <w:r>
        <w:t>Act apply.</w:t>
      </w:r>
      <w:r>
        <w:br/>
      </w:r>
      <w:r w:rsidRPr="00310C5B">
        <w:rPr>
          <w:rStyle w:val="References"/>
        </w:rPr>
        <w:t>[Chapter 8, section 8-</w:t>
      </w:r>
      <w:r w:rsidR="008F52D0">
        <w:rPr>
          <w:rStyle w:val="References"/>
        </w:rPr>
        <w:t>135</w:t>
      </w:r>
      <w:r w:rsidRPr="00310C5B">
        <w:rPr>
          <w:rStyle w:val="References"/>
        </w:rPr>
        <w:t xml:space="preserve"> of the Rules]</w:t>
      </w:r>
      <w:r>
        <w:t xml:space="preserve"> </w:t>
      </w:r>
    </w:p>
    <w:p w14:paraId="778370CC" w14:textId="7F79FFB6" w:rsidR="000B7C92" w:rsidRDefault="000B7C92" w:rsidP="000B7C92">
      <w:pPr>
        <w:pStyle w:val="Normalparatextwithnumbers"/>
        <w:numPr>
          <w:ilvl w:val="1"/>
          <w:numId w:val="18"/>
        </w:numPr>
      </w:pPr>
      <w:r>
        <w:t>For the purposes of applying the hybrid arbitrage rule, the meaning of financial statements has a broad meaning to capture either the Constituent Entity’s accounts used to determine GloBE income, or the statements used for the calculations under the Transitional CbC</w:t>
      </w:r>
      <w:r w:rsidR="006A53AF">
        <w:t xml:space="preserve"> </w:t>
      </w:r>
      <w:r>
        <w:t>R</w:t>
      </w:r>
      <w:r w:rsidR="006A53AF">
        <w:t>eporting</w:t>
      </w:r>
      <w:r>
        <w:t xml:space="preserve"> Safe Harbour. </w:t>
      </w:r>
      <w:r w:rsidR="008F3B20">
        <w:br/>
      </w:r>
      <w:r w:rsidR="008F3B20" w:rsidRPr="008F3B20">
        <w:rPr>
          <w:rStyle w:val="References"/>
        </w:rPr>
        <w:t>[Chapter 8, section 8</w:t>
      </w:r>
      <w:r w:rsidR="008F3B20" w:rsidRPr="008F3B20">
        <w:rPr>
          <w:rStyle w:val="References"/>
        </w:rPr>
        <w:noBreakHyphen/>
        <w:t>140 of the Rules]</w:t>
      </w:r>
    </w:p>
    <w:p w14:paraId="088B49BC" w14:textId="77777777" w:rsidR="000B7C92" w:rsidRDefault="000B7C92" w:rsidP="000B7C92">
      <w:pPr>
        <w:pStyle w:val="Normalparatextwithnumbers"/>
        <w:numPr>
          <w:ilvl w:val="1"/>
          <w:numId w:val="18"/>
        </w:numPr>
      </w:pPr>
      <w:r>
        <w:t>A Constituent Entity will not be considered to have a commensurate increase in its taxable income to the extent that:</w:t>
      </w:r>
    </w:p>
    <w:p w14:paraId="62985C14" w14:textId="77777777" w:rsidR="000B7C92" w:rsidRDefault="000B7C92" w:rsidP="00B07214">
      <w:pPr>
        <w:pStyle w:val="Dotpoint1"/>
      </w:pPr>
      <w:r>
        <w:t>the amount included in taxable income is offset by a tax attribute. Such as, a loss carry</w:t>
      </w:r>
      <w:r>
        <w:noBreakHyphen/>
        <w:t>forward or an unused interest carry</w:t>
      </w:r>
      <w:r>
        <w:noBreakHyphen/>
        <w:t>forward, with respect to which a valuation adjustment or an accounting recognition adjustment has been made. Alternately, if an adjustment determination would have been made without regard to the ability of a Constituent Entity to use the tax attribute with respect to any Hybrid Arbitrage Arrangement entered into after 15 December 2022; or</w:t>
      </w:r>
    </w:p>
    <w:p w14:paraId="0A11609B" w14:textId="3F45584C" w:rsidR="000B7C92" w:rsidRPr="009D2FE8" w:rsidRDefault="000B7C92" w:rsidP="00B07214">
      <w:pPr>
        <w:pStyle w:val="Dotpoint1"/>
      </w:pPr>
      <w:r>
        <w:lastRenderedPageBreak/>
        <w:t>the payment that gives rise to the expense or loss also gives rise to a taxable deduction or loss of a Constituent Entity that is located in the same jurisdiction as the Constituent Entity counterparty, without being included as an expense or loss in determining the P</w:t>
      </w:r>
      <w:r w:rsidR="00762A5C">
        <w:t xml:space="preserve">rofit (Loss) </w:t>
      </w:r>
      <w:r>
        <w:t>B</w:t>
      </w:r>
      <w:r w:rsidR="00762A5C">
        <w:t xml:space="preserve">efore Income </w:t>
      </w:r>
      <w:r>
        <w:t>T</w:t>
      </w:r>
      <w:r w:rsidR="00762A5C">
        <w:t>ax</w:t>
      </w:r>
      <w:r>
        <w:t xml:space="preserve"> for that jurisdiction (including as a result of being an expense or loss in the financial statements of Flow-</w:t>
      </w:r>
      <w:r w:rsidR="0007732C">
        <w:t>t</w:t>
      </w:r>
      <w:r>
        <w:t xml:space="preserve">hrough Entity which is owned by a Constituent Entity in the jurisdiction of the Constituent Entity counterparty). </w:t>
      </w:r>
      <w:r>
        <w:br/>
      </w:r>
      <w:r w:rsidRPr="00922B0F">
        <w:rPr>
          <w:rStyle w:val="References"/>
        </w:rPr>
        <w:t>[Chapter 8, section</w:t>
      </w:r>
      <w:r w:rsidR="008F3B20">
        <w:rPr>
          <w:rStyle w:val="References"/>
        </w:rPr>
        <w:t>s</w:t>
      </w:r>
      <w:r w:rsidRPr="00922B0F">
        <w:rPr>
          <w:rStyle w:val="References"/>
        </w:rPr>
        <w:t xml:space="preserve"> 8-</w:t>
      </w:r>
      <w:r w:rsidR="008F3B20">
        <w:rPr>
          <w:rStyle w:val="References"/>
        </w:rPr>
        <w:t xml:space="preserve">120 </w:t>
      </w:r>
      <w:r w:rsidR="008F3B20" w:rsidRPr="005812D4">
        <w:rPr>
          <w:rStyle w:val="References"/>
        </w:rPr>
        <w:t>and 8</w:t>
      </w:r>
      <w:r w:rsidR="008F3B20" w:rsidRPr="005812D4">
        <w:rPr>
          <w:rStyle w:val="References"/>
        </w:rPr>
        <w:noBreakHyphen/>
        <w:t>145</w:t>
      </w:r>
      <w:r w:rsidRPr="005812D4">
        <w:rPr>
          <w:rStyle w:val="References"/>
        </w:rPr>
        <w:t xml:space="preserve"> of</w:t>
      </w:r>
      <w:r w:rsidRPr="00922B0F">
        <w:rPr>
          <w:rStyle w:val="References"/>
        </w:rPr>
        <w:t xml:space="preserve"> the Rules]</w:t>
      </w:r>
    </w:p>
    <w:p w14:paraId="57B3DF04" w14:textId="77777777" w:rsidR="000B7C92" w:rsidRDefault="000B7C92" w:rsidP="000B7C92">
      <w:pPr>
        <w:pStyle w:val="Heading3"/>
        <w:rPr>
          <w:rFonts w:hint="eastAsia"/>
        </w:rPr>
      </w:pPr>
      <w:bookmarkStart w:id="281" w:name="_Toc183786686"/>
      <w:bookmarkStart w:id="282" w:name="_Toc185503028"/>
      <w:r>
        <w:t>Permanent Safe Harbour: simplified calculations</w:t>
      </w:r>
      <w:bookmarkEnd w:id="280"/>
      <w:bookmarkEnd w:id="281"/>
      <w:bookmarkEnd w:id="282"/>
      <w:r>
        <w:t xml:space="preserve"> </w:t>
      </w:r>
    </w:p>
    <w:p w14:paraId="0DF80C94" w14:textId="3D4E24A1" w:rsidR="00EC018E" w:rsidRDefault="00973FCB" w:rsidP="00973FCB">
      <w:pPr>
        <w:pStyle w:val="Normalparatextwithnumbers"/>
        <w:numPr>
          <w:ilvl w:val="1"/>
          <w:numId w:val="18"/>
        </w:numPr>
      </w:pPr>
      <w:r w:rsidRPr="006B089D">
        <w:t>The Simplified Calculations Safe Harbour allows MNE Groups to avoid making certain complex GloBE calculations in situations where the calculation could be simplified</w:t>
      </w:r>
      <w:r>
        <w:t>,</w:t>
      </w:r>
      <w:r w:rsidRPr="006B089D">
        <w:t xml:space="preserve"> without altering the MNE Group’s GloBE outcomes or otherwise undermining the integrity of the GloBE Rules.</w:t>
      </w:r>
      <w:r>
        <w:t xml:space="preserve"> </w:t>
      </w:r>
      <w:r w:rsidR="000B7C92">
        <w:br/>
      </w:r>
      <w:r w:rsidR="000B7C92" w:rsidRPr="002C16F7">
        <w:rPr>
          <w:rStyle w:val="References"/>
        </w:rPr>
        <w:t>[Chapter 8</w:t>
      </w:r>
      <w:r w:rsidR="000B7C92">
        <w:rPr>
          <w:rStyle w:val="References"/>
        </w:rPr>
        <w:t>, Division 2 of Part 8-2</w:t>
      </w:r>
      <w:r w:rsidR="000B7C92" w:rsidRPr="002C16F7">
        <w:rPr>
          <w:rStyle w:val="References"/>
        </w:rPr>
        <w:t xml:space="preserve"> of the Rules]</w:t>
      </w:r>
      <w:r w:rsidR="000B7C92">
        <w:t xml:space="preserve">  </w:t>
      </w:r>
    </w:p>
    <w:p w14:paraId="2A7F8BF3" w14:textId="6F6843A5" w:rsidR="000B7C92" w:rsidRDefault="00EC018E" w:rsidP="00973FCB">
      <w:pPr>
        <w:pStyle w:val="Normalparatextwithnumbers"/>
        <w:numPr>
          <w:ilvl w:val="1"/>
          <w:numId w:val="18"/>
        </w:numPr>
      </w:pPr>
      <w:r>
        <w:t>The permanent safe harbour framework enables the implementation of future permanent safe harbours that are agreed by the OECD.</w:t>
      </w:r>
    </w:p>
    <w:p w14:paraId="04B0572B" w14:textId="77777777" w:rsidR="000B7C92" w:rsidRDefault="000B7C92" w:rsidP="000B7C92">
      <w:pPr>
        <w:pStyle w:val="Heading4"/>
        <w:numPr>
          <w:ilvl w:val="3"/>
          <w:numId w:val="2"/>
        </w:numPr>
      </w:pPr>
      <w:r>
        <w:t>Application of the safe harbour</w:t>
      </w:r>
    </w:p>
    <w:p w14:paraId="7C0CADD0" w14:textId="028A375B" w:rsidR="000B7C92" w:rsidRDefault="000B7C92" w:rsidP="000B7C92">
      <w:pPr>
        <w:pStyle w:val="Normalparatextwithnumbers"/>
        <w:numPr>
          <w:ilvl w:val="1"/>
          <w:numId w:val="18"/>
        </w:numPr>
      </w:pPr>
      <w:r>
        <w:t>A Filing Constituent Entity</w:t>
      </w:r>
      <w:r w:rsidDel="00354DE9">
        <w:t xml:space="preserve"> </w:t>
      </w:r>
      <w:r w:rsidR="00354DE9">
        <w:t xml:space="preserve">for </w:t>
      </w:r>
      <w:r>
        <w:t xml:space="preserve">an MNE Group may make an </w:t>
      </w:r>
      <w:r w:rsidR="002330EF">
        <w:t>Annual Election</w:t>
      </w:r>
      <w:r>
        <w:t xml:space="preserve"> in respect of a jurisdiction (the tested jurisdiction) to apply the Simplified Calculations Safe Harbour. Where a tested jurisdiction qualifies for the Simplified Calculations Safe Harbour for a Fiscal Year, the Top-up Tax for that jurisdiction will be deemed to be zero. The Simplified Calculations Safe Harbour will apply when the tested jurisdiction satisfies the requirements of any one of the following simplified calculations tests:</w:t>
      </w:r>
    </w:p>
    <w:p w14:paraId="0D74F050" w14:textId="77777777" w:rsidR="000B7C92" w:rsidRDefault="000B7C92" w:rsidP="00B07214">
      <w:pPr>
        <w:pStyle w:val="Dotpoint1"/>
      </w:pPr>
      <w:r>
        <w:t xml:space="preserve">De minimis test; </w:t>
      </w:r>
    </w:p>
    <w:p w14:paraId="5A33E854" w14:textId="77777777" w:rsidR="000B7C92" w:rsidRDefault="000B7C92" w:rsidP="00B07214">
      <w:pPr>
        <w:pStyle w:val="Dotpoint1"/>
      </w:pPr>
      <w:r>
        <w:t xml:space="preserve">ETR test; or  </w:t>
      </w:r>
    </w:p>
    <w:p w14:paraId="1464D25C" w14:textId="67D483AC" w:rsidR="000B7C92" w:rsidRDefault="000B7C92" w:rsidP="00B07214">
      <w:pPr>
        <w:pStyle w:val="Dotpoint1"/>
      </w:pPr>
      <w:r>
        <w:t xml:space="preserve">Routine profits test. </w:t>
      </w:r>
      <w:r>
        <w:br/>
      </w:r>
      <w:r w:rsidRPr="00F8636F">
        <w:rPr>
          <w:rStyle w:val="References"/>
        </w:rPr>
        <w:t>[</w:t>
      </w:r>
      <w:r>
        <w:rPr>
          <w:rStyle w:val="References"/>
        </w:rPr>
        <w:t xml:space="preserve">Chapter 8, </w:t>
      </w:r>
      <w:r w:rsidRPr="00F8636F">
        <w:rPr>
          <w:rStyle w:val="References"/>
        </w:rPr>
        <w:t>Section 8</w:t>
      </w:r>
      <w:r w:rsidRPr="00F8636F">
        <w:rPr>
          <w:rStyle w:val="References"/>
        </w:rPr>
        <w:noBreakHyphen/>
      </w:r>
      <w:r>
        <w:rPr>
          <w:rStyle w:val="References"/>
        </w:rPr>
        <w:t>1</w:t>
      </w:r>
      <w:r w:rsidR="00E60191">
        <w:rPr>
          <w:rStyle w:val="References"/>
        </w:rPr>
        <w:t>55</w:t>
      </w:r>
      <w:r w:rsidRPr="00F8636F">
        <w:rPr>
          <w:rStyle w:val="References"/>
        </w:rPr>
        <w:t xml:space="preserve"> of the Rules]</w:t>
      </w:r>
    </w:p>
    <w:p w14:paraId="7AE6BFDA" w14:textId="77777777" w:rsidR="000B7C92" w:rsidRDefault="000B7C92" w:rsidP="000B7C92">
      <w:pPr>
        <w:pStyle w:val="Normalparatextwithnumbers"/>
        <w:numPr>
          <w:ilvl w:val="1"/>
          <w:numId w:val="18"/>
        </w:numPr>
      </w:pPr>
      <w:r>
        <w:t xml:space="preserve">The simplified calculations tests follow the same tests as outlined under Chapter 5, where </w:t>
      </w:r>
      <w:r w:rsidRPr="00D0597A">
        <w:t>the</w:t>
      </w:r>
      <w:r>
        <w:t>:</w:t>
      </w:r>
      <w:r w:rsidRPr="00D0597A">
        <w:t xml:space="preserve"> </w:t>
      </w:r>
    </w:p>
    <w:p w14:paraId="015B0363" w14:textId="3AA64D4A" w:rsidR="000B7C92" w:rsidRDefault="000B7C92" w:rsidP="00B07214">
      <w:pPr>
        <w:pStyle w:val="Dotpoint1"/>
      </w:pPr>
      <w:r>
        <w:t>simplified calculations</w:t>
      </w:r>
      <w:r w:rsidRPr="00D0597A">
        <w:t xml:space="preserve"> Routine profit test mirrors the Substance-based Income Exclusion amount</w:t>
      </w:r>
      <w:r>
        <w:t xml:space="preserve"> under Part 5-3</w:t>
      </w:r>
      <w:r w:rsidR="006A53AF">
        <w:t xml:space="preserve"> of the Rules</w:t>
      </w:r>
      <w:r w:rsidRPr="00D0597A">
        <w:t xml:space="preserve">; </w:t>
      </w:r>
    </w:p>
    <w:p w14:paraId="1B9DA3BD" w14:textId="77777777" w:rsidR="000B7C92" w:rsidRDefault="000B7C92" w:rsidP="00B07214">
      <w:pPr>
        <w:pStyle w:val="Dotpoint1"/>
      </w:pPr>
      <w:r w:rsidRPr="00D0597A">
        <w:t>simplified calculations De minimis test follows the de minimis exclusion</w:t>
      </w:r>
      <w:r>
        <w:t xml:space="preserve"> </w:t>
      </w:r>
      <w:r w:rsidRPr="000B782F">
        <w:t xml:space="preserve">under </w:t>
      </w:r>
      <w:r>
        <w:t>Part 5-5 of the Rules</w:t>
      </w:r>
      <w:r w:rsidRPr="00D0597A">
        <w:t xml:space="preserve">; and </w:t>
      </w:r>
    </w:p>
    <w:p w14:paraId="099F5B09" w14:textId="5319A814" w:rsidR="000B7C92" w:rsidRDefault="000B7C92" w:rsidP="00B07214">
      <w:pPr>
        <w:pStyle w:val="Dotpoint1"/>
      </w:pPr>
      <w:r w:rsidRPr="00D0597A">
        <w:lastRenderedPageBreak/>
        <w:t>simplified calculations ETR test is based on the ETR calculations</w:t>
      </w:r>
      <w:r>
        <w:t xml:space="preserve"> under Chapter 5. </w:t>
      </w:r>
      <w:r>
        <w:br/>
      </w:r>
      <w:r w:rsidRPr="00874F4B">
        <w:rPr>
          <w:rStyle w:val="References"/>
        </w:rPr>
        <w:t>[sections 8-</w:t>
      </w:r>
      <w:r>
        <w:rPr>
          <w:rStyle w:val="References"/>
        </w:rPr>
        <w:t>1</w:t>
      </w:r>
      <w:r w:rsidR="00D75669">
        <w:rPr>
          <w:rStyle w:val="References"/>
        </w:rPr>
        <w:t>6</w:t>
      </w:r>
      <w:r>
        <w:rPr>
          <w:rStyle w:val="References"/>
        </w:rPr>
        <w:t>0</w:t>
      </w:r>
      <w:r w:rsidRPr="00874F4B">
        <w:rPr>
          <w:rStyle w:val="References"/>
        </w:rPr>
        <w:t>, 8-</w:t>
      </w:r>
      <w:r>
        <w:rPr>
          <w:rStyle w:val="References"/>
        </w:rPr>
        <w:t>1</w:t>
      </w:r>
      <w:r w:rsidR="00D75669">
        <w:rPr>
          <w:rStyle w:val="References"/>
        </w:rPr>
        <w:t>65</w:t>
      </w:r>
      <w:r w:rsidRPr="00874F4B">
        <w:rPr>
          <w:rStyle w:val="References"/>
        </w:rPr>
        <w:t xml:space="preserve"> and 8-</w:t>
      </w:r>
      <w:r>
        <w:rPr>
          <w:rStyle w:val="References"/>
        </w:rPr>
        <w:t>1</w:t>
      </w:r>
      <w:r w:rsidR="00D75669">
        <w:rPr>
          <w:rStyle w:val="References"/>
        </w:rPr>
        <w:t>70</w:t>
      </w:r>
      <w:r>
        <w:rPr>
          <w:rStyle w:val="References"/>
        </w:rPr>
        <w:t xml:space="preserve"> of the Rules</w:t>
      </w:r>
      <w:r w:rsidRPr="00874F4B">
        <w:rPr>
          <w:rStyle w:val="References"/>
        </w:rPr>
        <w:t>]</w:t>
      </w:r>
    </w:p>
    <w:p w14:paraId="4174314A" w14:textId="77777777" w:rsidR="000B7C92" w:rsidRDefault="000B7C92" w:rsidP="000B7C92">
      <w:pPr>
        <w:pStyle w:val="Normalparatextwithnumbers"/>
        <w:numPr>
          <w:ilvl w:val="1"/>
          <w:numId w:val="18"/>
        </w:numPr>
      </w:pPr>
      <w:r>
        <w:t>The application of the permanent safe harbour does not impact any Additional Current top-up tax that may arise. An MNE Group may still be liable to Jurisdictional Top-up Tax for the Fiscal Year due to Additional Top</w:t>
      </w:r>
      <w:r>
        <w:noBreakHyphen/>
        <w:t xml:space="preserve">up Tax arising under Part 5-4 of the Rules. </w:t>
      </w:r>
      <w:r w:rsidRPr="00D0597A">
        <w:t xml:space="preserve"> </w:t>
      </w:r>
    </w:p>
    <w:p w14:paraId="2193AAE1" w14:textId="6F0F89B1" w:rsidR="000B7C92" w:rsidRDefault="000B7C92" w:rsidP="000B7C92">
      <w:pPr>
        <w:pStyle w:val="Heading4"/>
        <w:numPr>
          <w:ilvl w:val="3"/>
          <w:numId w:val="2"/>
        </w:numPr>
      </w:pPr>
      <w:r>
        <w:t>N</w:t>
      </w:r>
      <w:r w:rsidR="00450AFB">
        <w:t>on</w:t>
      </w:r>
      <w:r w:rsidR="00450AFB">
        <w:noBreakHyphen/>
      </w:r>
      <w:r>
        <w:t>M</w:t>
      </w:r>
      <w:r w:rsidR="00450AFB">
        <w:t xml:space="preserve">aterial </w:t>
      </w:r>
      <w:r>
        <w:t>C</w:t>
      </w:r>
      <w:r w:rsidR="00450AFB">
        <w:t xml:space="preserve">onstituent </w:t>
      </w:r>
      <w:r>
        <w:t>E</w:t>
      </w:r>
      <w:r w:rsidR="00450AFB">
        <w:t>ntity</w:t>
      </w:r>
      <w:r>
        <w:t xml:space="preserve"> Safe Harbour </w:t>
      </w:r>
    </w:p>
    <w:p w14:paraId="390F445E" w14:textId="265BBFAA" w:rsidR="000B7C92" w:rsidRDefault="000B7C92" w:rsidP="000B7C92">
      <w:pPr>
        <w:pStyle w:val="Normalparatextwithnumbers"/>
        <w:numPr>
          <w:ilvl w:val="1"/>
          <w:numId w:val="18"/>
        </w:numPr>
      </w:pPr>
      <w:r>
        <w:t xml:space="preserve">The </w:t>
      </w:r>
      <w:r w:rsidRPr="001A107A">
        <w:t xml:space="preserve">simplified income, revenue and tax calculations </w:t>
      </w:r>
      <w:r>
        <w:t>may apply to n</w:t>
      </w:r>
      <w:r w:rsidRPr="001A107A">
        <w:t>o</w:t>
      </w:r>
      <w:r>
        <w:t>n</w:t>
      </w:r>
      <w:r>
        <w:noBreakHyphen/>
      </w:r>
      <w:r w:rsidRPr="001A107A">
        <w:t xml:space="preserve">material </w:t>
      </w:r>
      <w:r>
        <w:t>Constituent Entities</w:t>
      </w:r>
      <w:r w:rsidRPr="001A107A">
        <w:t xml:space="preserve"> (NMCEs), as part of the </w:t>
      </w:r>
      <w:r>
        <w:t xml:space="preserve">Permanent </w:t>
      </w:r>
      <w:r w:rsidRPr="001A107A">
        <w:t xml:space="preserve">Safe Harbour. These simplified calculations </w:t>
      </w:r>
      <w:r>
        <w:t xml:space="preserve">only </w:t>
      </w:r>
      <w:r w:rsidRPr="001A107A">
        <w:t>apply in respect of NMCEs</w:t>
      </w:r>
      <w:r>
        <w:t xml:space="preserve">. </w:t>
      </w:r>
      <w:r w:rsidRPr="001A107A">
        <w:t xml:space="preserve">If the jurisdiction does not qualify for the </w:t>
      </w:r>
      <w:r>
        <w:t xml:space="preserve">Permanent </w:t>
      </w:r>
      <w:r w:rsidRPr="001A107A">
        <w:t xml:space="preserve">Safe Harbour, the </w:t>
      </w:r>
      <w:r w:rsidR="002330EF">
        <w:t>MNE Group</w:t>
      </w:r>
      <w:r>
        <w:t xml:space="preserve"> must use the </w:t>
      </w:r>
      <w:r w:rsidRPr="001A107A">
        <w:t>standard GloBE calculations in respect of NMCEs</w:t>
      </w:r>
      <w:r>
        <w:t xml:space="preserve">. </w:t>
      </w:r>
    </w:p>
    <w:p w14:paraId="19BEA0B1" w14:textId="77777777" w:rsidR="000B7C92" w:rsidRDefault="000B7C92" w:rsidP="00F74B19">
      <w:pPr>
        <w:pStyle w:val="Normalparatextwithnumbers"/>
        <w:numPr>
          <w:ilvl w:val="1"/>
          <w:numId w:val="27"/>
        </w:numPr>
      </w:pPr>
      <w:r>
        <w:t xml:space="preserve">The permanent safe harbour applies to NMCEs on the basis that it is common for MNEs to exclude NMCE’s from the CFS in accordance with the </w:t>
      </w:r>
      <w:r w:rsidRPr="001A107A">
        <w:t xml:space="preserve">definition of </w:t>
      </w:r>
      <w:r>
        <w:t xml:space="preserve">the </w:t>
      </w:r>
      <w:r w:rsidRPr="001A107A">
        <w:t xml:space="preserve">materiality threshold in the relevant accounting </w:t>
      </w:r>
      <w:r>
        <w:t xml:space="preserve">standards. </w:t>
      </w:r>
    </w:p>
    <w:p w14:paraId="41277846" w14:textId="77777777" w:rsidR="000B7C92" w:rsidRDefault="000B7C92" w:rsidP="000B7C92">
      <w:pPr>
        <w:pStyle w:val="Heading6"/>
        <w:rPr>
          <w:rFonts w:hint="eastAsia"/>
        </w:rPr>
      </w:pPr>
      <w:r>
        <w:t>Definition of NMCE</w:t>
      </w:r>
    </w:p>
    <w:p w14:paraId="223DE455" w14:textId="77777777" w:rsidR="000B7C92" w:rsidRDefault="000B7C92" w:rsidP="000B7C92">
      <w:pPr>
        <w:pStyle w:val="Normalparatextwithnumbers"/>
        <w:numPr>
          <w:ilvl w:val="1"/>
          <w:numId w:val="18"/>
        </w:numPr>
      </w:pPr>
      <w:r>
        <w:t xml:space="preserve">An NMCE must meet the following six conditions:  </w:t>
      </w:r>
    </w:p>
    <w:p w14:paraId="3B6D4E9F" w14:textId="77777777" w:rsidR="000B7C92" w:rsidRDefault="000B7C92" w:rsidP="00B07214">
      <w:pPr>
        <w:pStyle w:val="Dotpoint1"/>
      </w:pPr>
      <w:r>
        <w:t xml:space="preserve">the Constituent Entity must not be consolidated on a line-by-line basis in the CFS of the UPE for the Fiscal Year, based on size or materiality grounds; </w:t>
      </w:r>
    </w:p>
    <w:p w14:paraId="6B6DF703" w14:textId="15CFB36A" w:rsidR="000B7C92" w:rsidRDefault="000B7C92" w:rsidP="00B07214">
      <w:pPr>
        <w:pStyle w:val="Dotpoint1"/>
      </w:pPr>
      <w:r>
        <w:t xml:space="preserve">the MNE Group's CFS must meet </w:t>
      </w:r>
      <w:r w:rsidRPr="00AC510D">
        <w:t>paragraphs</w:t>
      </w:r>
      <w:r>
        <w:t xml:space="preserve"> (a) or (c) of the definition of CFS in section 34 of the </w:t>
      </w:r>
      <w:r w:rsidR="008165C9">
        <w:t xml:space="preserve">Assessment </w:t>
      </w:r>
      <w:r>
        <w:t xml:space="preserve">Act; </w:t>
      </w:r>
    </w:p>
    <w:p w14:paraId="74AA1257" w14:textId="77777777" w:rsidR="000B7C92" w:rsidRDefault="000B7C92" w:rsidP="00B07214">
      <w:pPr>
        <w:pStyle w:val="Dotpoint1"/>
      </w:pPr>
      <w:r>
        <w:t xml:space="preserve">the CFS must be externally audited; </w:t>
      </w:r>
    </w:p>
    <w:p w14:paraId="3B8E954F" w14:textId="0FFBAE19" w:rsidR="000B7C92" w:rsidRDefault="000B7C92" w:rsidP="00B07214">
      <w:pPr>
        <w:pStyle w:val="Dotpoint1"/>
      </w:pPr>
      <w:r>
        <w:t xml:space="preserve">the external audit follows the auditing standards issued by the auditing standards board in the jurisdiction in which the </w:t>
      </w:r>
      <w:r w:rsidR="001B58B0">
        <w:t>UPE</w:t>
      </w:r>
      <w:r w:rsidRPr="00FA1FA0">
        <w:t xml:space="preserve"> of the MNE Group</w:t>
      </w:r>
      <w:r>
        <w:t xml:space="preserve"> is located;</w:t>
      </w:r>
      <w:r w:rsidDel="004D27FE">
        <w:t xml:space="preserve"> </w:t>
      </w:r>
    </w:p>
    <w:p w14:paraId="6802BB5B" w14:textId="77777777" w:rsidR="000B7C92" w:rsidRDefault="000B7C92" w:rsidP="00B07214">
      <w:pPr>
        <w:pStyle w:val="Dotpoint1"/>
      </w:pPr>
      <w:r>
        <w:t>the external audit report is not qualified in a respect that is relevant to size or materiality; and</w:t>
      </w:r>
    </w:p>
    <w:p w14:paraId="4BDA9316" w14:textId="116CE7CA" w:rsidR="000B7C92" w:rsidRDefault="000B7C92" w:rsidP="00B07214">
      <w:pPr>
        <w:pStyle w:val="Dotpoint1"/>
      </w:pPr>
      <w:r>
        <w:t xml:space="preserve">where the Constituent Entity’s revenues exceed EUR 50 million, the Constituent Entity can only be an NMCE if the financial accounts are prepared in accordance with an Acceptable FAS or an Authorised FAS. </w:t>
      </w:r>
      <w:r>
        <w:br/>
      </w:r>
      <w:r w:rsidRPr="006D37A7">
        <w:rPr>
          <w:rStyle w:val="References"/>
        </w:rPr>
        <w:t>[Chapter 8, section 8-1</w:t>
      </w:r>
      <w:r w:rsidR="00290636">
        <w:rPr>
          <w:rStyle w:val="References"/>
        </w:rPr>
        <w:t>85</w:t>
      </w:r>
      <w:r w:rsidRPr="006D37A7">
        <w:rPr>
          <w:rStyle w:val="References"/>
        </w:rPr>
        <w:t xml:space="preserve"> of the Rules]</w:t>
      </w:r>
    </w:p>
    <w:p w14:paraId="1B498497" w14:textId="600D787F" w:rsidR="000B7C92" w:rsidRDefault="00DA3447" w:rsidP="00063DA6">
      <w:pPr>
        <w:pStyle w:val="Normalparatextwithnumbers"/>
        <w:keepNext/>
        <w:keepLines/>
        <w:numPr>
          <w:ilvl w:val="1"/>
          <w:numId w:val="18"/>
        </w:numPr>
        <w:ind w:left="706" w:hanging="706"/>
      </w:pPr>
      <w:r>
        <w:lastRenderedPageBreak/>
        <w:t>I</w:t>
      </w:r>
      <w:r w:rsidR="000B7C92">
        <w:t xml:space="preserve">t is not appropriate to allow the MNE </w:t>
      </w:r>
      <w:r>
        <w:t>G</w:t>
      </w:r>
      <w:r w:rsidR="000B7C92">
        <w:t xml:space="preserve">roup to access the NMCE </w:t>
      </w:r>
      <w:r>
        <w:t>S</w:t>
      </w:r>
      <w:r w:rsidR="000B7C92">
        <w:t xml:space="preserve">afe </w:t>
      </w:r>
      <w:r>
        <w:t>H</w:t>
      </w:r>
      <w:r w:rsidR="000B7C92">
        <w:t>arbour if the CFS is prepared in accordance with paragraph (b) or (d) of the CFS definition</w:t>
      </w:r>
      <w:r>
        <w:t xml:space="preserve"> </w:t>
      </w:r>
      <w:r w:rsidRPr="00DA3447">
        <w:t>in section 34 of the Assessment Act</w:t>
      </w:r>
      <w:r w:rsidR="002330EF">
        <w:t xml:space="preserve">, due to </w:t>
      </w:r>
      <w:r w:rsidR="000B7C92">
        <w:t>paragraph (b)</w:t>
      </w:r>
      <w:r w:rsidR="002330EF">
        <w:t xml:space="preserve"> of that Act </w:t>
      </w:r>
      <w:r w:rsidR="000B7C92">
        <w:t>refer</w:t>
      </w:r>
      <w:r w:rsidR="002330EF">
        <w:t xml:space="preserve">ring </w:t>
      </w:r>
      <w:r w:rsidR="000B7C92">
        <w:t xml:space="preserve">to the financial statements of a Main Entity and an MNE Group and an MNE </w:t>
      </w:r>
      <w:r w:rsidR="002330EF">
        <w:t>G</w:t>
      </w:r>
      <w:r w:rsidR="000B7C92">
        <w:t>roup made up only of a Main Entity and its Permanent Establishments cannot apply the NMCE simplified calculations.</w:t>
      </w:r>
    </w:p>
    <w:p w14:paraId="6936E123" w14:textId="10E9A700" w:rsidR="000B7C92" w:rsidRDefault="000B7C92" w:rsidP="00AC510D">
      <w:pPr>
        <w:pStyle w:val="Normalparatextwithnumbers"/>
        <w:numPr>
          <w:ilvl w:val="1"/>
          <w:numId w:val="18"/>
        </w:numPr>
      </w:pPr>
      <w:r>
        <w:t xml:space="preserve">The NMCE definition requires there to be </w:t>
      </w:r>
      <w:r w:rsidR="0049664F">
        <w:t>CFS</w:t>
      </w:r>
      <w:r>
        <w:t xml:space="preserve"> that have been externally audited to determine the non-materiality of the Entity.</w:t>
      </w:r>
      <w:r w:rsidR="00894A96">
        <w:t xml:space="preserve"> </w:t>
      </w:r>
      <w:r>
        <w:t>The external auditor that audits the CFS must be a legal person or individual with the relevant expertise to undertake the audit tasks. The auditor's opinion must not contain objections (i.e. qualifications) in relation to the exclusion of the Entity from the consolidation perimeter.</w:t>
      </w:r>
    </w:p>
    <w:p w14:paraId="7967ED87" w14:textId="094BAFB2" w:rsidR="000B7C92" w:rsidRDefault="000B7C92" w:rsidP="000B7C92">
      <w:pPr>
        <w:pStyle w:val="Normalparatextwithnumbers"/>
        <w:numPr>
          <w:ilvl w:val="1"/>
          <w:numId w:val="18"/>
        </w:numPr>
      </w:pPr>
      <w:r>
        <w:t>If a Main Entity is an NMCE then all its Permanent Establishments are also considered NMCEs.</w:t>
      </w:r>
      <w:r w:rsidRPr="00DD55D3">
        <w:t xml:space="preserve"> </w:t>
      </w:r>
      <w:r>
        <w:br/>
      </w:r>
      <w:r w:rsidRPr="00DD55D3">
        <w:rPr>
          <w:rStyle w:val="References"/>
        </w:rPr>
        <w:t>[</w:t>
      </w:r>
      <w:r>
        <w:rPr>
          <w:rStyle w:val="References"/>
        </w:rPr>
        <w:t>Chapter 8, subsection</w:t>
      </w:r>
      <w:r w:rsidRPr="00DD55D3">
        <w:rPr>
          <w:rStyle w:val="References"/>
        </w:rPr>
        <w:t xml:space="preserve"> 8-</w:t>
      </w:r>
      <w:r>
        <w:rPr>
          <w:rStyle w:val="References"/>
        </w:rPr>
        <w:t>1</w:t>
      </w:r>
      <w:r w:rsidR="00290636">
        <w:rPr>
          <w:rStyle w:val="References"/>
        </w:rPr>
        <w:t>85</w:t>
      </w:r>
      <w:r w:rsidRPr="00DD55D3">
        <w:rPr>
          <w:rStyle w:val="References"/>
        </w:rPr>
        <w:t xml:space="preserve"> of the Rules]</w:t>
      </w:r>
    </w:p>
    <w:p w14:paraId="231050E0" w14:textId="77777777" w:rsidR="000B7C92" w:rsidRDefault="000B7C92" w:rsidP="000B7C92">
      <w:pPr>
        <w:pStyle w:val="Heading6"/>
        <w:rPr>
          <w:rFonts w:hint="eastAsia"/>
        </w:rPr>
      </w:pPr>
      <w:r>
        <w:t>Applying the NMCE safe Harbour</w:t>
      </w:r>
    </w:p>
    <w:p w14:paraId="43FB6C87" w14:textId="547A3597" w:rsidR="000B7C92" w:rsidRDefault="000B7C92" w:rsidP="000B7C92">
      <w:pPr>
        <w:pStyle w:val="Normalparatextwithnumbers"/>
        <w:numPr>
          <w:ilvl w:val="1"/>
          <w:numId w:val="18"/>
        </w:numPr>
      </w:pPr>
      <w:r>
        <w:t xml:space="preserve">The simplified calculations for NMCEs only applies where the </w:t>
      </w:r>
      <w:r w:rsidR="002330EF">
        <w:t>MNE Group</w:t>
      </w:r>
      <w:r>
        <w:t xml:space="preserve"> has made an </w:t>
      </w:r>
      <w:r w:rsidR="00161D73">
        <w:t>A</w:t>
      </w:r>
      <w:r>
        <w:t xml:space="preserve">nnual </w:t>
      </w:r>
      <w:r w:rsidR="00161D73">
        <w:t>E</w:t>
      </w:r>
      <w:r>
        <w:t>lection in respect of each NMCE located in the jurisdiction to which the safe harbour applies to. This has the effect of applying the NMCE safe harbour to the NMCE located in that jurisdiction that may then use the simplified income, simplified revenue and simplified tax calculations for that NMCE for the purposes of satisfying one of the simplified calculations tests.</w:t>
      </w:r>
      <w:r w:rsidRPr="002D3170">
        <w:t xml:space="preserve"> </w:t>
      </w:r>
      <w:r>
        <w:br/>
      </w:r>
      <w:r w:rsidRPr="002D3170">
        <w:rPr>
          <w:rStyle w:val="References"/>
        </w:rPr>
        <w:t>[</w:t>
      </w:r>
      <w:r>
        <w:rPr>
          <w:rStyle w:val="References"/>
        </w:rPr>
        <w:t xml:space="preserve">Chapter 8, </w:t>
      </w:r>
      <w:r w:rsidRPr="002D3170">
        <w:rPr>
          <w:rStyle w:val="References"/>
        </w:rPr>
        <w:t>subsection</w:t>
      </w:r>
      <w:r w:rsidR="004F43F6">
        <w:rPr>
          <w:rStyle w:val="References"/>
        </w:rPr>
        <w:t>s</w:t>
      </w:r>
      <w:r w:rsidRPr="002D3170">
        <w:rPr>
          <w:rStyle w:val="References"/>
        </w:rPr>
        <w:t xml:space="preserve"> 8-</w:t>
      </w:r>
      <w:r>
        <w:rPr>
          <w:rStyle w:val="References"/>
        </w:rPr>
        <w:t>1</w:t>
      </w:r>
      <w:r w:rsidR="004F43F6">
        <w:rPr>
          <w:rStyle w:val="References"/>
        </w:rPr>
        <w:t>55</w:t>
      </w:r>
      <w:r w:rsidRPr="002D3170">
        <w:rPr>
          <w:rStyle w:val="References"/>
        </w:rPr>
        <w:t>(3) and 8-</w:t>
      </w:r>
      <w:r>
        <w:rPr>
          <w:rStyle w:val="References"/>
        </w:rPr>
        <w:t>1</w:t>
      </w:r>
      <w:r w:rsidR="004F43F6">
        <w:rPr>
          <w:rStyle w:val="References"/>
        </w:rPr>
        <w:t>80</w:t>
      </w:r>
      <w:r w:rsidRPr="002D3170">
        <w:rPr>
          <w:rStyle w:val="References"/>
        </w:rPr>
        <w:t>(3)</w:t>
      </w:r>
      <w:r>
        <w:rPr>
          <w:rStyle w:val="References"/>
        </w:rPr>
        <w:t xml:space="preserve"> of the Rules]</w:t>
      </w:r>
    </w:p>
    <w:p w14:paraId="1F7F5801" w14:textId="77777777" w:rsidR="000B7C92" w:rsidRDefault="000B7C92" w:rsidP="000B7C92">
      <w:pPr>
        <w:pStyle w:val="Heading6"/>
        <w:rPr>
          <w:rFonts w:hint="eastAsia"/>
        </w:rPr>
      </w:pPr>
      <w:r>
        <w:t xml:space="preserve">Simplified Calculations </w:t>
      </w:r>
    </w:p>
    <w:p w14:paraId="3E4133EF" w14:textId="36F9D612" w:rsidR="000B7C92" w:rsidRDefault="000B7C92" w:rsidP="00C4592E">
      <w:pPr>
        <w:pStyle w:val="Normalparatextwithnumbers"/>
        <w:numPr>
          <w:ilvl w:val="1"/>
          <w:numId w:val="18"/>
        </w:numPr>
      </w:pPr>
      <w:r>
        <w:t>The simplified calculations for NMCEs provide for an alternative method for determining the GloBE Income or Loss, revenue, and Adjusted Covered Taxes of such Entities for use in one of the simplified calculations tests, as part of the Permanent Safe Harbour. For the purposes of the Simplified Calculations Safe Harbour Tests (</w:t>
      </w:r>
      <w:r w:rsidR="00EA36F8">
        <w:t>the</w:t>
      </w:r>
      <w:r>
        <w:t xml:space="preserve"> De minimis Test, ETR Test, </w:t>
      </w:r>
      <w:r w:rsidR="00EA36F8">
        <w:t>or</w:t>
      </w:r>
      <w:r>
        <w:t xml:space="preserve"> Routine Profit Test), the following Simplified Income, Revenue and Tax Calculations shall be undertaken for each NMCE subject to the election. Note that both the NMCE’s GloBE Income or Loss and the Total Revenue may be positive or negative.</w:t>
      </w:r>
      <w:r w:rsidR="00C4592E">
        <w:t xml:space="preserve"> </w:t>
      </w:r>
    </w:p>
    <w:p w14:paraId="66722346" w14:textId="440DBE09" w:rsidR="000B7C92" w:rsidRDefault="000B7C92" w:rsidP="000B7C92">
      <w:pPr>
        <w:pStyle w:val="Normalparatextwithnumbers"/>
        <w:numPr>
          <w:ilvl w:val="1"/>
          <w:numId w:val="18"/>
        </w:numPr>
      </w:pPr>
      <w:r>
        <w:t xml:space="preserve">Under the simplified revenue calculation for an NMCE, the Total Revenue of the NMCE, as determined under the Relevant CbC Regulations, is taken to be its revenue for the purposes of applying the </w:t>
      </w:r>
      <w:r w:rsidRPr="00034D3A">
        <w:t xml:space="preserve">simplified calculations </w:t>
      </w:r>
      <w:r>
        <w:t>De minimis test</w:t>
      </w:r>
      <w:r w:rsidR="007D3E01">
        <w:t xml:space="preserve"> and Routine profits test</w:t>
      </w:r>
      <w:r>
        <w:t>. This means that both the GloBE Income and revenue of the NMCE will be the same amount in the context of the NMCE simplified calculations.</w:t>
      </w:r>
      <w:r>
        <w:br/>
      </w:r>
      <w:r w:rsidRPr="00034D3A">
        <w:rPr>
          <w:b/>
          <w:bCs/>
          <w:i/>
          <w:iCs/>
        </w:rPr>
        <w:t xml:space="preserve">[Chapter 8, </w:t>
      </w:r>
      <w:r w:rsidR="000C3ECD">
        <w:rPr>
          <w:b/>
          <w:bCs/>
          <w:i/>
          <w:iCs/>
        </w:rPr>
        <w:t>section</w:t>
      </w:r>
      <w:r w:rsidR="00E40EFF">
        <w:rPr>
          <w:b/>
          <w:bCs/>
          <w:i/>
          <w:iCs/>
        </w:rPr>
        <w:t>s</w:t>
      </w:r>
      <w:r w:rsidR="000C3ECD">
        <w:rPr>
          <w:b/>
          <w:bCs/>
          <w:i/>
          <w:iCs/>
        </w:rPr>
        <w:t xml:space="preserve"> 8</w:t>
      </w:r>
      <w:r w:rsidR="000C3ECD">
        <w:rPr>
          <w:b/>
          <w:bCs/>
          <w:i/>
          <w:iCs/>
        </w:rPr>
        <w:noBreakHyphen/>
        <w:t>160</w:t>
      </w:r>
      <w:r w:rsidR="00E40EFF">
        <w:rPr>
          <w:b/>
          <w:bCs/>
          <w:i/>
          <w:iCs/>
        </w:rPr>
        <w:t xml:space="preserve"> and 8</w:t>
      </w:r>
      <w:r w:rsidR="00E40EFF">
        <w:rPr>
          <w:b/>
          <w:bCs/>
          <w:i/>
          <w:iCs/>
        </w:rPr>
        <w:noBreakHyphen/>
        <w:t>170</w:t>
      </w:r>
      <w:r w:rsidR="000C3ECD">
        <w:rPr>
          <w:b/>
          <w:bCs/>
          <w:i/>
          <w:iCs/>
        </w:rPr>
        <w:t xml:space="preserve">, </w:t>
      </w:r>
      <w:r w:rsidRPr="00034D3A">
        <w:rPr>
          <w:b/>
          <w:bCs/>
          <w:i/>
          <w:iCs/>
        </w:rPr>
        <w:t>subsections 8-</w:t>
      </w:r>
      <w:r>
        <w:rPr>
          <w:b/>
          <w:bCs/>
          <w:i/>
          <w:iCs/>
        </w:rPr>
        <w:t>1</w:t>
      </w:r>
      <w:r w:rsidR="00AA2FD0">
        <w:rPr>
          <w:b/>
          <w:bCs/>
          <w:i/>
          <w:iCs/>
        </w:rPr>
        <w:t>75</w:t>
      </w:r>
      <w:r w:rsidRPr="00034D3A">
        <w:rPr>
          <w:b/>
          <w:bCs/>
          <w:i/>
          <w:iCs/>
        </w:rPr>
        <w:t>(3) and 8-</w:t>
      </w:r>
      <w:r>
        <w:rPr>
          <w:b/>
          <w:bCs/>
          <w:i/>
          <w:iCs/>
        </w:rPr>
        <w:t>1</w:t>
      </w:r>
      <w:r w:rsidR="00AA2FD0">
        <w:rPr>
          <w:b/>
          <w:bCs/>
          <w:i/>
          <w:iCs/>
        </w:rPr>
        <w:t>90</w:t>
      </w:r>
      <w:r w:rsidRPr="00034D3A">
        <w:rPr>
          <w:b/>
          <w:bCs/>
          <w:i/>
          <w:iCs/>
        </w:rPr>
        <w:t>(1)</w:t>
      </w:r>
      <w:r>
        <w:rPr>
          <w:b/>
          <w:bCs/>
          <w:i/>
          <w:iCs/>
        </w:rPr>
        <w:t xml:space="preserve"> of the Rules</w:t>
      </w:r>
      <w:r w:rsidRPr="00034D3A">
        <w:rPr>
          <w:b/>
          <w:bCs/>
          <w:i/>
          <w:iCs/>
        </w:rPr>
        <w:t>]</w:t>
      </w:r>
    </w:p>
    <w:p w14:paraId="43C03143" w14:textId="247010C3" w:rsidR="000B7C92" w:rsidRDefault="000B7C92" w:rsidP="00063DA6">
      <w:pPr>
        <w:pStyle w:val="Normalparatextwithnumbers"/>
        <w:keepNext/>
        <w:keepLines/>
        <w:numPr>
          <w:ilvl w:val="1"/>
          <w:numId w:val="18"/>
        </w:numPr>
        <w:ind w:left="706" w:hanging="706"/>
      </w:pPr>
      <w:r>
        <w:lastRenderedPageBreak/>
        <w:t xml:space="preserve">Under the simplified tax calculation, the measure of Adjusted Covered Taxes of NMCEs is the Income Tax Accrued (Current Year) as determined under the Relevant CbC Regulations, for the purpose of applying the </w:t>
      </w:r>
      <w:r w:rsidRPr="00034D3A">
        <w:t xml:space="preserve">simplified calculations </w:t>
      </w:r>
      <w:r>
        <w:t>ETR test. This means that the simplified tax calculation excludes any deferred tax expenses, adjustments for non-current items, and provisions for uncertain tax liabilities.</w:t>
      </w:r>
      <w:r>
        <w:br/>
      </w:r>
      <w:r w:rsidRPr="00034D3A">
        <w:rPr>
          <w:b/>
          <w:bCs/>
          <w:i/>
          <w:iCs/>
        </w:rPr>
        <w:t xml:space="preserve">[Chapter 8, </w:t>
      </w:r>
      <w:r w:rsidR="000C3ECD">
        <w:rPr>
          <w:b/>
          <w:bCs/>
          <w:i/>
          <w:iCs/>
        </w:rPr>
        <w:t>section 8</w:t>
      </w:r>
      <w:r w:rsidR="000C3ECD">
        <w:rPr>
          <w:b/>
          <w:bCs/>
          <w:i/>
          <w:iCs/>
        </w:rPr>
        <w:noBreakHyphen/>
        <w:t xml:space="preserve">165, </w:t>
      </w:r>
      <w:r w:rsidRPr="00034D3A">
        <w:rPr>
          <w:b/>
          <w:bCs/>
          <w:i/>
          <w:iCs/>
        </w:rPr>
        <w:t>subsections 8-</w:t>
      </w:r>
      <w:r>
        <w:rPr>
          <w:b/>
          <w:bCs/>
          <w:i/>
          <w:iCs/>
        </w:rPr>
        <w:t>1</w:t>
      </w:r>
      <w:r w:rsidR="00AA2FD0">
        <w:rPr>
          <w:b/>
          <w:bCs/>
          <w:i/>
          <w:iCs/>
        </w:rPr>
        <w:t>75</w:t>
      </w:r>
      <w:r w:rsidRPr="00034D3A">
        <w:rPr>
          <w:b/>
          <w:bCs/>
          <w:i/>
          <w:iCs/>
        </w:rPr>
        <w:t>(</w:t>
      </w:r>
      <w:r w:rsidR="00247E66">
        <w:rPr>
          <w:b/>
          <w:bCs/>
          <w:i/>
          <w:iCs/>
        </w:rPr>
        <w:t>5</w:t>
      </w:r>
      <w:r w:rsidRPr="00034D3A">
        <w:rPr>
          <w:b/>
          <w:bCs/>
          <w:i/>
          <w:iCs/>
        </w:rPr>
        <w:t>) and 8-</w:t>
      </w:r>
      <w:r>
        <w:rPr>
          <w:b/>
          <w:bCs/>
          <w:i/>
          <w:iCs/>
        </w:rPr>
        <w:t>1</w:t>
      </w:r>
      <w:r w:rsidR="00AA2FD0">
        <w:rPr>
          <w:b/>
          <w:bCs/>
          <w:i/>
          <w:iCs/>
        </w:rPr>
        <w:t>90</w:t>
      </w:r>
      <w:r w:rsidRPr="00034D3A">
        <w:rPr>
          <w:b/>
          <w:bCs/>
          <w:i/>
          <w:iCs/>
        </w:rPr>
        <w:t>(2)</w:t>
      </w:r>
      <w:r>
        <w:rPr>
          <w:b/>
          <w:bCs/>
          <w:i/>
          <w:iCs/>
        </w:rPr>
        <w:t xml:space="preserve"> of the Rules</w:t>
      </w:r>
      <w:r w:rsidRPr="00034D3A">
        <w:rPr>
          <w:b/>
          <w:bCs/>
          <w:i/>
          <w:iCs/>
        </w:rPr>
        <w:t>]</w:t>
      </w:r>
    </w:p>
    <w:p w14:paraId="3F2EA258" w14:textId="77777777" w:rsidR="000B7C92" w:rsidRDefault="000B7C92" w:rsidP="000B7C92">
      <w:pPr>
        <w:pStyle w:val="Normalparatextwithnumbers"/>
        <w:numPr>
          <w:ilvl w:val="1"/>
          <w:numId w:val="18"/>
        </w:numPr>
      </w:pPr>
      <w:r>
        <w:t>In the case of a Permanent Establishment that is an NMCE, the amount of the GloBE Income, revenue, and Adjusted Covered Tax is the Total Revenue and Income Tax Accrued (Current Year) as determined under the Relevant CbC Regulations with respect to such Permanent Establishment.</w:t>
      </w:r>
    </w:p>
    <w:p w14:paraId="7B16DCFC" w14:textId="54FA3CA1" w:rsidR="000B7C92" w:rsidRDefault="000B7C92" w:rsidP="00F74B19">
      <w:pPr>
        <w:pStyle w:val="Normalparatextwithnumbers"/>
        <w:numPr>
          <w:ilvl w:val="1"/>
          <w:numId w:val="27"/>
        </w:numPr>
      </w:pPr>
      <w:r>
        <w:t xml:space="preserve">The Relevant CbC Regulations refers to the </w:t>
      </w:r>
      <w:r w:rsidR="006865F4">
        <w:t>CbC</w:t>
      </w:r>
      <w:r>
        <w:t xml:space="preserve"> Reporting regulations applicable in the UPE Jurisdiction or in the surrogate parent entity jurisdiction, if a CbC Report is not filed in the UPE Jurisdiction. If the UPE jurisdiction does not have CbC requirements and an MNE Group is not required to file a CbC Report in any jurisdiction, Relevant CbC Regulations means the OECD BEPS Action 13 Final Report and the OECD Guidance on the Implementation of</w:t>
      </w:r>
      <w:r w:rsidR="00EB2055">
        <w:t xml:space="preserve"> CbC</w:t>
      </w:r>
      <w:r>
        <w:t xml:space="preserve"> Reporting. The OECD’s guidance on CbC Reporting is a document that is freely and publicly available from </w:t>
      </w:r>
      <w:r w:rsidRPr="00727E66">
        <w:t>https://oecd.org</w:t>
      </w:r>
      <w:r>
        <w:t xml:space="preserve">. </w:t>
      </w:r>
    </w:p>
    <w:p w14:paraId="3728B9A4" w14:textId="30F7625D" w:rsidR="000B7C92" w:rsidRPr="00AF206C" w:rsidRDefault="006865F4" w:rsidP="00F74B19">
      <w:pPr>
        <w:pStyle w:val="Normalparatextwithnumbers"/>
        <w:numPr>
          <w:ilvl w:val="1"/>
          <w:numId w:val="27"/>
        </w:numPr>
      </w:pPr>
      <w:r>
        <w:t>CbC</w:t>
      </w:r>
      <w:r w:rsidR="000B7C92">
        <w:t xml:space="preserve"> Reporting regulations means the reporting obligations for </w:t>
      </w:r>
      <w:r>
        <w:t>CbC</w:t>
      </w:r>
      <w:r w:rsidR="000B7C92">
        <w:t xml:space="preserve"> reporting entities set out in Subdivision 815-E of the </w:t>
      </w:r>
      <w:r w:rsidR="000B7C92" w:rsidRPr="00DC63F9">
        <w:t>ITAA 1997</w:t>
      </w:r>
      <w:r w:rsidR="000B7C92">
        <w:t xml:space="preserve"> and the law of a jurisdiction corresponding to that Subdivision.</w:t>
      </w:r>
      <w:r w:rsidR="000B7C92">
        <w:br/>
      </w:r>
      <w:r w:rsidR="000B7C92" w:rsidRPr="00DC63F9">
        <w:rPr>
          <w:b/>
          <w:i/>
        </w:rPr>
        <w:t>[Chapter 8, section 8-</w:t>
      </w:r>
      <w:r w:rsidR="000B7C92">
        <w:rPr>
          <w:b/>
          <w:i/>
        </w:rPr>
        <w:t>1</w:t>
      </w:r>
      <w:r w:rsidR="00615EF1">
        <w:rPr>
          <w:b/>
          <w:i/>
        </w:rPr>
        <w:t>95</w:t>
      </w:r>
      <w:r w:rsidR="000B7C92" w:rsidRPr="00DC63F9">
        <w:rPr>
          <w:b/>
          <w:i/>
        </w:rPr>
        <w:t xml:space="preserve"> of the Rules]</w:t>
      </w:r>
    </w:p>
    <w:p w14:paraId="3066996D" w14:textId="228E7BC4" w:rsidR="000B7C92" w:rsidRPr="002D3170" w:rsidRDefault="000B7C92" w:rsidP="00F74B19">
      <w:pPr>
        <w:pStyle w:val="Normalparatextwithnumbers"/>
        <w:numPr>
          <w:ilvl w:val="1"/>
          <w:numId w:val="27"/>
        </w:numPr>
      </w:pPr>
      <w:r w:rsidRPr="00246FA9">
        <w:t xml:space="preserve">The term </w:t>
      </w:r>
      <w:r w:rsidRPr="00247E66">
        <w:rPr>
          <w:iCs/>
        </w:rPr>
        <w:t>Surrogate Parent Entity</w:t>
      </w:r>
      <w:r>
        <w:t xml:space="preserve"> is defined in the OECD’s guidance document and</w:t>
      </w:r>
      <w:r w:rsidRPr="00246FA9">
        <w:t xml:space="preserve"> </w:t>
      </w:r>
      <w:r>
        <w:t xml:space="preserve">is defined as </w:t>
      </w:r>
      <w:r w:rsidRPr="00246FA9">
        <w:t xml:space="preserve">one Constituent Entity of the MNE Group that has been appointed by </w:t>
      </w:r>
      <w:r>
        <w:t xml:space="preserve">the </w:t>
      </w:r>
      <w:r w:rsidRPr="00246FA9">
        <w:t xml:space="preserve">MNE Group, as a sole substitute for the </w:t>
      </w:r>
      <w:r w:rsidR="001B58B0">
        <w:t>UPE</w:t>
      </w:r>
      <w:r w:rsidRPr="00246FA9">
        <w:t xml:space="preserve">, to file the </w:t>
      </w:r>
      <w:r>
        <w:t xml:space="preserve">CbC </w:t>
      </w:r>
      <w:r w:rsidRPr="00246FA9">
        <w:t xml:space="preserve">Report </w:t>
      </w:r>
      <w:r>
        <w:t xml:space="preserve">on behalf of the MNE Group, </w:t>
      </w:r>
      <w:r w:rsidRPr="00246FA9">
        <w:t>in that Constituent Entity’s jurisdiction of tax residence</w:t>
      </w:r>
      <w:r>
        <w:t xml:space="preserve">. The surrogate parent entity in CbC Reporting is a similar concept to ‘Designated Filing Entity’ under </w:t>
      </w:r>
      <w:r w:rsidR="00A22A32">
        <w:t xml:space="preserve">section 127-25 of the </w:t>
      </w:r>
      <w:r w:rsidR="00A22A32" w:rsidRPr="00753299">
        <w:rPr>
          <w:i/>
          <w:iCs/>
        </w:rPr>
        <w:t>T</w:t>
      </w:r>
      <w:r w:rsidR="00753299" w:rsidRPr="00753299">
        <w:rPr>
          <w:i/>
          <w:iCs/>
        </w:rPr>
        <w:t xml:space="preserve">axation </w:t>
      </w:r>
      <w:r w:rsidR="00A22A32" w:rsidRPr="00753299">
        <w:rPr>
          <w:i/>
          <w:iCs/>
        </w:rPr>
        <w:t>A</w:t>
      </w:r>
      <w:r w:rsidR="00753299" w:rsidRPr="00753299">
        <w:rPr>
          <w:i/>
          <w:iCs/>
        </w:rPr>
        <w:t xml:space="preserve">dministration </w:t>
      </w:r>
      <w:r w:rsidR="00A22A32" w:rsidRPr="00753299">
        <w:rPr>
          <w:i/>
          <w:iCs/>
        </w:rPr>
        <w:t>A</w:t>
      </w:r>
      <w:r w:rsidR="00753299" w:rsidRPr="00753299">
        <w:rPr>
          <w:i/>
          <w:iCs/>
        </w:rPr>
        <w:t>ct</w:t>
      </w:r>
      <w:r w:rsidR="00A22A32" w:rsidRPr="00753299">
        <w:rPr>
          <w:i/>
          <w:iCs/>
        </w:rPr>
        <w:t xml:space="preserve"> 1953</w:t>
      </w:r>
      <w:r w:rsidRPr="00246FA9">
        <w:t>.</w:t>
      </w:r>
    </w:p>
    <w:p w14:paraId="6B18C40F" w14:textId="77777777" w:rsidR="000B7C92" w:rsidRDefault="000B7C92" w:rsidP="000B7C92">
      <w:pPr>
        <w:pStyle w:val="Heading3"/>
        <w:rPr>
          <w:rFonts w:hint="eastAsia"/>
        </w:rPr>
      </w:pPr>
      <w:bookmarkStart w:id="283" w:name="_Toc180490678"/>
      <w:bookmarkStart w:id="284" w:name="_Toc183786687"/>
      <w:bookmarkStart w:id="285" w:name="_Toc185503029"/>
      <w:r w:rsidRPr="000731E7">
        <w:t>QDMTT</w:t>
      </w:r>
      <w:r>
        <w:t xml:space="preserve"> Safe Harbour</w:t>
      </w:r>
      <w:bookmarkEnd w:id="283"/>
      <w:bookmarkEnd w:id="284"/>
      <w:bookmarkEnd w:id="285"/>
    </w:p>
    <w:p w14:paraId="30266F02" w14:textId="77777777" w:rsidR="000B7C92" w:rsidRDefault="000B7C92" w:rsidP="000B7C92">
      <w:pPr>
        <w:pStyle w:val="Heading5"/>
        <w:numPr>
          <w:ilvl w:val="4"/>
          <w:numId w:val="2"/>
        </w:numPr>
      </w:pPr>
      <w:r>
        <w:t xml:space="preserve">General rule </w:t>
      </w:r>
    </w:p>
    <w:p w14:paraId="4D7D676F" w14:textId="77777777" w:rsidR="000B7C92" w:rsidRDefault="000B7C92" w:rsidP="000B7C92">
      <w:pPr>
        <w:pStyle w:val="Normalparatextwithnumbers"/>
        <w:numPr>
          <w:ilvl w:val="1"/>
          <w:numId w:val="18"/>
        </w:numPr>
      </w:pPr>
      <w:r w:rsidRPr="002C16F7">
        <w:t xml:space="preserve">Where an MNE Group qualifies for the QDMTT Safe Harbour for a Fiscal Year, the </w:t>
      </w:r>
      <w:r>
        <w:t>Top</w:t>
      </w:r>
      <w:r w:rsidRPr="002C16F7">
        <w:t xml:space="preserve">-up </w:t>
      </w:r>
      <w:r>
        <w:t>Tax</w:t>
      </w:r>
      <w:r w:rsidRPr="002C16F7">
        <w:t xml:space="preserve"> for the jurisdiction for the Fiscal Year is taken to be zero.</w:t>
      </w:r>
    </w:p>
    <w:p w14:paraId="5EF5E0A5" w14:textId="77777777" w:rsidR="000B7C92" w:rsidRDefault="000B7C92" w:rsidP="000B7C92">
      <w:pPr>
        <w:pStyle w:val="Normalparatextwithnumbers"/>
        <w:numPr>
          <w:ilvl w:val="1"/>
          <w:numId w:val="18"/>
        </w:numPr>
      </w:pPr>
      <w:r>
        <w:t xml:space="preserve">An MNE Group will be eligible for the QDMTT Safe Harbour in respect of a jurisdiction for a Fiscal Year where: </w:t>
      </w:r>
    </w:p>
    <w:p w14:paraId="19B7F32F" w14:textId="77777777" w:rsidR="000B7C92" w:rsidRDefault="000B7C92" w:rsidP="00B07214">
      <w:pPr>
        <w:pStyle w:val="Dotpoint1"/>
      </w:pPr>
      <w:r>
        <w:t xml:space="preserve">the jurisdiction has a QDMTT for the Fiscal Year; </w:t>
      </w:r>
    </w:p>
    <w:p w14:paraId="40F9125D" w14:textId="4B011611" w:rsidR="000B7C92" w:rsidRDefault="000B7C92" w:rsidP="00B07214">
      <w:pPr>
        <w:pStyle w:val="Dotpoint1"/>
      </w:pPr>
      <w:r>
        <w:lastRenderedPageBreak/>
        <w:t>the jurisdiction is specified in a determination made by the Minister; and</w:t>
      </w:r>
    </w:p>
    <w:p w14:paraId="2E424DC8" w14:textId="6F9A1DEB" w:rsidR="000B7C92" w:rsidRDefault="000B7C92" w:rsidP="00B07214">
      <w:pPr>
        <w:pStyle w:val="Dotpoint1"/>
      </w:pPr>
      <w:r>
        <w:t xml:space="preserve">a Filing Constituent Entity </w:t>
      </w:r>
      <w:r w:rsidR="000815CF">
        <w:t xml:space="preserve">for </w:t>
      </w:r>
      <w:r>
        <w:t xml:space="preserve">the MNE Group has made an </w:t>
      </w:r>
      <w:r w:rsidR="002330EF">
        <w:t>Annual Election</w:t>
      </w:r>
      <w:r>
        <w:t xml:space="preserve"> to apply the QDMTT Safe Harbour to the jurisdiction for the Fiscal Year. </w:t>
      </w:r>
    </w:p>
    <w:p w14:paraId="0308E512" w14:textId="686C434B" w:rsidR="009A2B1A" w:rsidRDefault="009A2B1A" w:rsidP="009A2B1A">
      <w:pPr>
        <w:pStyle w:val="Normalparatextwithnumbers"/>
        <w:numPr>
          <w:ilvl w:val="1"/>
          <w:numId w:val="18"/>
        </w:numPr>
      </w:pPr>
      <w:r w:rsidRPr="002C16F7">
        <w:t xml:space="preserve">The QDMTT Safe Harbour operates by allowing an MNE Group to make an </w:t>
      </w:r>
      <w:r w:rsidR="002330EF">
        <w:t>Annual Election</w:t>
      </w:r>
      <w:r w:rsidRPr="002C16F7">
        <w:t xml:space="preserve"> to apply the QDMTT Safe Harbour for each subgroup or standalone Entity subject to a separate </w:t>
      </w:r>
      <w:r w:rsidR="00474635">
        <w:t xml:space="preserve">QDMTT </w:t>
      </w:r>
      <w:r w:rsidRPr="002C16F7">
        <w:t xml:space="preserve">calculation. </w:t>
      </w:r>
      <w:r>
        <w:br/>
      </w:r>
      <w:r w:rsidRPr="002C16F7">
        <w:rPr>
          <w:rStyle w:val="References"/>
        </w:rPr>
        <w:t>[Chapter 8, section 8-</w:t>
      </w:r>
      <w:r w:rsidR="00E00743">
        <w:rPr>
          <w:rStyle w:val="References"/>
        </w:rPr>
        <w:t>200</w:t>
      </w:r>
      <w:r w:rsidRPr="002C16F7">
        <w:rPr>
          <w:rStyle w:val="References"/>
        </w:rPr>
        <w:t xml:space="preserve"> of the Rules]</w:t>
      </w:r>
    </w:p>
    <w:p w14:paraId="1173B389" w14:textId="77777777" w:rsidR="00AB2245" w:rsidRDefault="00AB2245" w:rsidP="00AB2245">
      <w:pPr>
        <w:pStyle w:val="Normalparatextwithnumbers"/>
        <w:numPr>
          <w:ilvl w:val="1"/>
          <w:numId w:val="18"/>
        </w:numPr>
      </w:pPr>
      <w:r w:rsidRPr="002C16F7">
        <w:t xml:space="preserve">For example, </w:t>
      </w:r>
      <w:r>
        <w:t>where</w:t>
      </w:r>
      <w:r w:rsidRPr="002C16F7">
        <w:t xml:space="preserve"> three </w:t>
      </w:r>
      <w:r>
        <w:t>Constituent Entities</w:t>
      </w:r>
      <w:r w:rsidRPr="002C16F7">
        <w:t xml:space="preserve"> of the main group, two members of the same JV Group, and one Investment Entity subject to Part 7</w:t>
      </w:r>
      <w:r>
        <w:noBreakHyphen/>
      </w:r>
      <w:r w:rsidRPr="002C16F7">
        <w:t>4, are located in a jurisdiction with a QDMTT that meets the standards of the safe harbour</w:t>
      </w:r>
      <w:r>
        <w:t xml:space="preserve"> </w:t>
      </w:r>
      <w:r w:rsidRPr="002C16F7">
        <w:t xml:space="preserve">the Filing </w:t>
      </w:r>
      <w:r>
        <w:t>Constituent Entity</w:t>
      </w:r>
      <w:r w:rsidRPr="002C16F7">
        <w:t xml:space="preserve"> would need to make a separate election for the three </w:t>
      </w:r>
      <w:r>
        <w:t>Constituent Entities</w:t>
      </w:r>
      <w:r w:rsidRPr="002C16F7">
        <w:t>, the two members of the JV Group and for the Investment Entity.</w:t>
      </w:r>
    </w:p>
    <w:p w14:paraId="1A432FFE" w14:textId="2CC37ED5" w:rsidR="00174F37" w:rsidRDefault="00174F37" w:rsidP="00174F37">
      <w:pPr>
        <w:pStyle w:val="Normalparatextwithnumbers"/>
        <w:numPr>
          <w:ilvl w:val="1"/>
          <w:numId w:val="18"/>
        </w:numPr>
      </w:pPr>
      <w:r w:rsidRPr="00922B0F">
        <w:t xml:space="preserve">The Minister’s determination is an appropriate mechanism to determine whether a jurisdiction has a </w:t>
      </w:r>
      <w:r w:rsidR="00AB2245">
        <w:t>Q</w:t>
      </w:r>
      <w:r w:rsidRPr="00922B0F">
        <w:t>DMT</w:t>
      </w:r>
      <w:r w:rsidR="00AB2245">
        <w:t>T Safe Harbour status for the Fiscal Year</w:t>
      </w:r>
      <w:r w:rsidRPr="00922B0F">
        <w:t xml:space="preserve">. This ensures there is appropriate parliamentary oversight </w:t>
      </w:r>
      <w:r>
        <w:t xml:space="preserve">of the jurisdictions that have a qualifying DMT, and that the Rules do not incorporate the </w:t>
      </w:r>
      <w:r w:rsidR="00AB2245">
        <w:t xml:space="preserve">list of qualifying QDMTT Safe Harbours published by the </w:t>
      </w:r>
      <w:r>
        <w:t>OECD</w:t>
      </w:r>
      <w:r w:rsidR="00AB2245">
        <w:t xml:space="preserve"> by reference</w:t>
      </w:r>
      <w:r>
        <w:t>.</w:t>
      </w:r>
    </w:p>
    <w:p w14:paraId="531E558A" w14:textId="77777777" w:rsidR="000B7C92" w:rsidRDefault="000B7C92" w:rsidP="000B7C92">
      <w:pPr>
        <w:pStyle w:val="Heading5"/>
        <w:numPr>
          <w:ilvl w:val="4"/>
          <w:numId w:val="2"/>
        </w:numPr>
      </w:pPr>
      <w:r>
        <w:t xml:space="preserve">Disputed amounts </w:t>
      </w:r>
    </w:p>
    <w:p w14:paraId="4DC47D80" w14:textId="64BA3411" w:rsidR="000B7C92" w:rsidRDefault="000B7C92" w:rsidP="000B7C92">
      <w:pPr>
        <w:pStyle w:val="Normalparatextwithnumbers"/>
        <w:numPr>
          <w:ilvl w:val="1"/>
          <w:numId w:val="18"/>
        </w:numPr>
      </w:pPr>
      <w:r>
        <w:t xml:space="preserve">A Filing Constituent Entity cannot elect to apply the QDMTT Safe Harbour where all or part of the top-up tax computed for the jurisdiction for the Fiscal Year under the QDMTT would not be treated as Domestic </w:t>
      </w:r>
      <w:r w:rsidR="00B31EED">
        <w:t>T</w:t>
      </w:r>
      <w:r>
        <w:t xml:space="preserve">op-up </w:t>
      </w:r>
      <w:r w:rsidR="00B31EED">
        <w:t>T</w:t>
      </w:r>
      <w:r>
        <w:t xml:space="preserve">ax for the purposes of section 5-30 of the Rules, assuming the safe harbour did not apply. </w:t>
      </w:r>
    </w:p>
    <w:p w14:paraId="060F86B3" w14:textId="4F9870AC" w:rsidR="000B7C92" w:rsidRDefault="000B7C92" w:rsidP="000B7C92">
      <w:pPr>
        <w:pStyle w:val="Normalparatextwithnumbers"/>
        <w:numPr>
          <w:ilvl w:val="1"/>
          <w:numId w:val="18"/>
        </w:numPr>
      </w:pPr>
      <w:r>
        <w:t>The term Domestic Top</w:t>
      </w:r>
      <w:r w:rsidR="00B46568">
        <w:t>-</w:t>
      </w:r>
      <w:r>
        <w:t>up Tax refers to the amounts payable by each Constituent Entity of an MNE Group under a QDMTT of a jurisdiction for the Fiscal Year. However, pursuant to section 5-3</w:t>
      </w:r>
      <w:r w:rsidR="00361676">
        <w:t>5</w:t>
      </w:r>
      <w:r>
        <w:t xml:space="preserve"> of the Rules, such amounts shall not include any amount of QDMTT that:</w:t>
      </w:r>
    </w:p>
    <w:p w14:paraId="1CAF236C" w14:textId="77777777" w:rsidR="000B7C92" w:rsidRDefault="000B7C92" w:rsidP="00B07214">
      <w:pPr>
        <w:pStyle w:val="Dotpoint1"/>
      </w:pPr>
      <w:r>
        <w:t>the MNE Group directly or indirectly challenges in a judicial or administrative proceeding; or</w:t>
      </w:r>
    </w:p>
    <w:p w14:paraId="05EEA806" w14:textId="77777777" w:rsidR="000B7C92" w:rsidRDefault="000B7C92" w:rsidP="00B07214">
      <w:pPr>
        <w:pStyle w:val="Dotpoint1"/>
      </w:pPr>
      <w:r>
        <w:t>the tax authority of the jurisdiction has determined is not assessable or collectible,</w:t>
      </w:r>
    </w:p>
    <w:p w14:paraId="2FB0B417" w14:textId="42399C45" w:rsidR="000B7C92" w:rsidRDefault="000B7C92" w:rsidP="000B7C92">
      <w:pPr>
        <w:pStyle w:val="Normalparatextwithnumbers"/>
        <w:numPr>
          <w:ilvl w:val="0"/>
          <w:numId w:val="0"/>
        </w:numPr>
        <w:ind w:left="709"/>
      </w:pPr>
      <w:r>
        <w:t>based on constitutional grounds,</w:t>
      </w:r>
      <w:r w:rsidR="00E04DBC">
        <w:t xml:space="preserve"> </w:t>
      </w:r>
      <w:r>
        <w:t xml:space="preserve">other superior law, or based on a specific agreement with the government of the QDMTT jurisdiction limiting the MNE Group’s tax liability, such as a tax stabilisation agreement, investment agreement, or similar agreement. </w:t>
      </w:r>
    </w:p>
    <w:p w14:paraId="28F99BE4" w14:textId="50273C88" w:rsidR="000B7C92" w:rsidRDefault="000B7C92" w:rsidP="004B5F1C">
      <w:pPr>
        <w:pStyle w:val="Normalparatextwithnumbers"/>
        <w:keepNext/>
        <w:keepLines/>
        <w:numPr>
          <w:ilvl w:val="1"/>
          <w:numId w:val="18"/>
        </w:numPr>
        <w:ind w:left="706" w:hanging="706"/>
      </w:pPr>
      <w:r>
        <w:lastRenderedPageBreak/>
        <w:t>Where all or part of the MNE Group’s Qualified QDMTT payable for the jurisdiction for a Fiscal Year under section 5</w:t>
      </w:r>
      <w:r>
        <w:noBreakHyphen/>
        <w:t>3</w:t>
      </w:r>
      <w:r w:rsidR="00361676">
        <w:t>5</w:t>
      </w:r>
      <w:r>
        <w:t xml:space="preserve"> of the Rules</w:t>
      </w:r>
      <w:r w:rsidRPr="00167665">
        <w:t xml:space="preserve"> </w:t>
      </w:r>
      <w:r>
        <w:t>would not be considered Domestic T</w:t>
      </w:r>
      <w:r w:rsidRPr="00167665">
        <w:t>op</w:t>
      </w:r>
      <w:r>
        <w:t>-up T</w:t>
      </w:r>
      <w:r w:rsidRPr="00167665">
        <w:t>ax</w:t>
      </w:r>
      <w:r>
        <w:t xml:space="preserve"> for the purposes of section 5-30 of the Rules, then, the MNE Group is prevented from making the election to apply the QDMTT Safe Harbour to that jurisdiction for that Fiscal Year. </w:t>
      </w:r>
      <w:r>
        <w:br/>
      </w:r>
      <w:r w:rsidRPr="002C16F7">
        <w:rPr>
          <w:rStyle w:val="References"/>
        </w:rPr>
        <w:t>[Chapter 8, section 8-</w:t>
      </w:r>
      <w:r w:rsidR="00E00743">
        <w:rPr>
          <w:rStyle w:val="References"/>
        </w:rPr>
        <w:t>20</w:t>
      </w:r>
      <w:r>
        <w:rPr>
          <w:rStyle w:val="References"/>
        </w:rPr>
        <w:t>5 of the Rules</w:t>
      </w:r>
      <w:r w:rsidRPr="002C16F7">
        <w:rPr>
          <w:rStyle w:val="References"/>
        </w:rPr>
        <w:t>]</w:t>
      </w:r>
    </w:p>
    <w:p w14:paraId="0ADE42E3" w14:textId="77777777" w:rsidR="000B7C92" w:rsidRDefault="000B7C92" w:rsidP="000B7C92">
      <w:pPr>
        <w:pStyle w:val="Heading5"/>
        <w:numPr>
          <w:ilvl w:val="4"/>
          <w:numId w:val="2"/>
        </w:numPr>
      </w:pPr>
      <w:r>
        <w:t>Switch</w:t>
      </w:r>
      <w:r>
        <w:softHyphen/>
      </w:r>
      <w:r>
        <w:noBreakHyphen/>
        <w:t xml:space="preserve">off rule </w:t>
      </w:r>
    </w:p>
    <w:p w14:paraId="71F5FD1D" w14:textId="27478036" w:rsidR="00174F37" w:rsidRPr="00174F37" w:rsidRDefault="000B7C92" w:rsidP="00AC510D">
      <w:pPr>
        <w:pStyle w:val="Normalparatextwithnumbers"/>
        <w:numPr>
          <w:ilvl w:val="1"/>
          <w:numId w:val="18"/>
        </w:numPr>
        <w:spacing w:before="0" w:after="160" w:line="259" w:lineRule="auto"/>
        <w:rPr>
          <w:rStyle w:val="References"/>
          <w:b w:val="0"/>
          <w:bCs w:val="0"/>
          <w:i w:val="0"/>
          <w:iCs w:val="0"/>
        </w:rPr>
      </w:pPr>
      <w:r>
        <w:t>There are specific scenarios where an MNE Group will be subject to a switch</w:t>
      </w:r>
      <w:r>
        <w:noBreakHyphen/>
        <w:t xml:space="preserve">off </w:t>
      </w:r>
      <w:r w:rsidR="0082669E">
        <w:t>r</w:t>
      </w:r>
      <w:r>
        <w:t xml:space="preserve">ule. </w:t>
      </w:r>
      <w:r w:rsidR="00174F37">
        <w:t>Where the switch</w:t>
      </w:r>
      <w:r w:rsidR="00174F37">
        <w:noBreakHyphen/>
        <w:t xml:space="preserve">off rule applies to an MNE Group, the MNE Group is prevented from applying the QDMTT Safe Harbour to Constituent Entities located or created in the QDMTT jurisdiction and will switch to the credit method for QDMTT provided under section 5-30 of the Rules. </w:t>
      </w:r>
    </w:p>
    <w:p w14:paraId="79A3F7A5" w14:textId="5DA954F4" w:rsidR="000B7C92" w:rsidRDefault="000B7C92" w:rsidP="00AC510D">
      <w:pPr>
        <w:pStyle w:val="Normalparatextwithnumbers"/>
        <w:numPr>
          <w:ilvl w:val="1"/>
          <w:numId w:val="18"/>
        </w:numPr>
        <w:spacing w:before="0" w:after="160" w:line="259" w:lineRule="auto"/>
      </w:pPr>
      <w:r>
        <w:t xml:space="preserve">The switch-off </w:t>
      </w:r>
      <w:r w:rsidR="0082669E">
        <w:t>r</w:t>
      </w:r>
      <w:r>
        <w:t>ule r</w:t>
      </w:r>
      <w:r w:rsidRPr="0008205D">
        <w:t>ecogni</w:t>
      </w:r>
      <w:r>
        <w:t>s</w:t>
      </w:r>
      <w:r w:rsidRPr="0008205D">
        <w:t>e</w:t>
      </w:r>
      <w:r>
        <w:t>s</w:t>
      </w:r>
      <w:r w:rsidRPr="0008205D">
        <w:t xml:space="preserve"> that</w:t>
      </w:r>
      <w:r w:rsidR="00174F37">
        <w:t xml:space="preserve"> some</w:t>
      </w:r>
      <w:r w:rsidRPr="0008205D">
        <w:t xml:space="preserve"> </w:t>
      </w:r>
      <w:r>
        <w:t xml:space="preserve">QDMTT </w:t>
      </w:r>
      <w:r w:rsidRPr="0008205D">
        <w:t>jurisdiction</w:t>
      </w:r>
      <w:r w:rsidR="00174F37">
        <w:t>s</w:t>
      </w:r>
      <w:r w:rsidRPr="0008205D">
        <w:t xml:space="preserve"> could be subject to certain restrictions on imposing the </w:t>
      </w:r>
      <w:r>
        <w:t xml:space="preserve">QDMTT </w:t>
      </w:r>
      <w:r w:rsidRPr="0008205D">
        <w:t xml:space="preserve">with respect to a particular </w:t>
      </w:r>
      <w:r>
        <w:t>Constituent Entity</w:t>
      </w:r>
      <w:r w:rsidRPr="0008205D">
        <w:t xml:space="preserve"> or corporate structure</w:t>
      </w:r>
      <w:r>
        <w:t>s</w:t>
      </w:r>
      <w:r w:rsidRPr="0008205D">
        <w:t xml:space="preserve">. </w:t>
      </w:r>
      <w:r>
        <w:t xml:space="preserve">It recognises that in some scenarios it would be </w:t>
      </w:r>
      <w:r w:rsidRPr="00007CED">
        <w:t xml:space="preserve">disproportionate </w:t>
      </w:r>
      <w:r>
        <w:t xml:space="preserve">to deny a QDMTT jurisdiction from qualifying for a </w:t>
      </w:r>
      <w:r w:rsidRPr="0059523D">
        <w:t xml:space="preserve">QDMTT Safe Harbour </w:t>
      </w:r>
      <w:r>
        <w:t xml:space="preserve">for all MNE Groups </w:t>
      </w:r>
      <w:r w:rsidRPr="00007CED">
        <w:t xml:space="preserve">because </w:t>
      </w:r>
      <w:r>
        <w:t>those restrictions might only</w:t>
      </w:r>
      <w:r w:rsidRPr="00007CED">
        <w:t xml:space="preserve"> impact on a small number of </w:t>
      </w:r>
      <w:r w:rsidR="00174F37">
        <w:t xml:space="preserve">Constituent </w:t>
      </w:r>
      <w:r w:rsidRPr="00007CED">
        <w:t>Entities or particular corporate structures</w:t>
      </w:r>
      <w:r>
        <w:t>.</w:t>
      </w:r>
    </w:p>
    <w:p w14:paraId="6933017E" w14:textId="77777777" w:rsidR="000B7C92" w:rsidRDefault="000B7C92" w:rsidP="000B7C92">
      <w:pPr>
        <w:pStyle w:val="Normalparatextwithnumbers"/>
        <w:numPr>
          <w:ilvl w:val="1"/>
          <w:numId w:val="18"/>
        </w:numPr>
        <w:spacing w:before="0" w:after="160" w:line="259" w:lineRule="auto"/>
      </w:pPr>
      <w:r>
        <w:t>The switch</w:t>
      </w:r>
      <w:r>
        <w:noBreakHyphen/>
        <w:t>off rule applies if a QDMTT jurisdiction decides:</w:t>
      </w:r>
    </w:p>
    <w:p w14:paraId="64CD4066" w14:textId="77777777" w:rsidR="000B7C92" w:rsidRDefault="000B7C92" w:rsidP="00B07214">
      <w:pPr>
        <w:pStyle w:val="Dotpoint1"/>
        <w:rPr>
          <w:lang w:eastAsia="zh-TW"/>
        </w:rPr>
      </w:pPr>
      <w:r>
        <w:rPr>
          <w:lang w:eastAsia="zh-TW"/>
        </w:rPr>
        <w:t xml:space="preserve">not to impose a QDMTT on Flow-through Entities created in its jurisdiction; </w:t>
      </w:r>
    </w:p>
    <w:p w14:paraId="312C6C09" w14:textId="77777777" w:rsidR="000B7C92" w:rsidRDefault="000B7C92" w:rsidP="00B07214">
      <w:pPr>
        <w:pStyle w:val="Dotpoint1"/>
        <w:rPr>
          <w:lang w:eastAsia="zh-TW"/>
        </w:rPr>
      </w:pPr>
      <w:r>
        <w:rPr>
          <w:lang w:eastAsia="zh-TW"/>
        </w:rPr>
        <w:t>not to impose a QDMTT on Investment Entities subject to equivalents of Parts 7-4, 7</w:t>
      </w:r>
      <w:r>
        <w:rPr>
          <w:lang w:eastAsia="zh-TW"/>
        </w:rPr>
        <w:noBreakHyphen/>
        <w:t>5, and 7</w:t>
      </w:r>
      <w:r>
        <w:rPr>
          <w:lang w:eastAsia="zh-TW"/>
        </w:rPr>
        <w:noBreakHyphen/>
        <w:t xml:space="preserve">6 of the Rules; </w:t>
      </w:r>
    </w:p>
    <w:p w14:paraId="10396D17" w14:textId="77777777" w:rsidR="000B7C92" w:rsidRDefault="000B7C92" w:rsidP="00B07214">
      <w:pPr>
        <w:pStyle w:val="Dotpoint1"/>
        <w:rPr>
          <w:lang w:eastAsia="zh-TW"/>
        </w:rPr>
      </w:pPr>
      <w:r>
        <w:rPr>
          <w:lang w:eastAsia="zh-TW"/>
        </w:rPr>
        <w:t xml:space="preserve">to adopt an equivalent of Part 9-3 of the Rules without limitation; </w:t>
      </w:r>
    </w:p>
    <w:p w14:paraId="061ABA57" w14:textId="77777777" w:rsidR="000B7C92" w:rsidRDefault="000B7C92" w:rsidP="00B07214">
      <w:pPr>
        <w:pStyle w:val="Dotpoint1"/>
        <w:rPr>
          <w:lang w:eastAsia="zh-TW"/>
        </w:rPr>
      </w:pPr>
      <w:r>
        <w:rPr>
          <w:lang w:eastAsia="zh-TW"/>
        </w:rPr>
        <w:t xml:space="preserve">to include JVs or members of a JV Group within the scope of the QDMTT but imposes the liability on Constituent Entities of the main group instead of directly on the members of the JV Group; </w:t>
      </w:r>
    </w:p>
    <w:p w14:paraId="6BF2C46F" w14:textId="4E9F5F5F" w:rsidR="00174F37" w:rsidRPr="00174F37" w:rsidRDefault="00174F37" w:rsidP="00B07214">
      <w:pPr>
        <w:pStyle w:val="Dotpoint1"/>
      </w:pPr>
      <w:r>
        <w:rPr>
          <w:rFonts w:eastAsia="Yu Mincho"/>
        </w:rPr>
        <w:t xml:space="preserve">that </w:t>
      </w:r>
      <w:r w:rsidRPr="00451AF5">
        <w:t xml:space="preserve">a </w:t>
      </w:r>
      <w:r>
        <w:t xml:space="preserve">Constituent Entity </w:t>
      </w:r>
      <w:r w:rsidRPr="00451AF5">
        <w:t xml:space="preserve">that is </w:t>
      </w:r>
      <w:r>
        <w:rPr>
          <w:rFonts w:eastAsia="Yu Mincho"/>
        </w:rPr>
        <w:t>an</w:t>
      </w:r>
      <w:r w:rsidRPr="00451AF5">
        <w:t xml:space="preserve"> </w:t>
      </w:r>
      <w:r>
        <w:t xml:space="preserve">OECD </w:t>
      </w:r>
      <w:r w:rsidRPr="00451AF5">
        <w:t>Securitisation Entity</w:t>
      </w:r>
      <w:r>
        <w:rPr>
          <w:rFonts w:eastAsia="Yu Mincho"/>
        </w:rPr>
        <w:t xml:space="preserve">: </w:t>
      </w:r>
    </w:p>
    <w:p w14:paraId="4A6B4ACF" w14:textId="573EC666" w:rsidR="000B7C92" w:rsidRPr="00451AF5" w:rsidRDefault="00174F37" w:rsidP="00CB0495">
      <w:pPr>
        <w:pStyle w:val="dotpoint2"/>
        <w:tabs>
          <w:tab w:val="clear" w:pos="1513"/>
          <w:tab w:val="clear" w:pos="2127"/>
        </w:tabs>
        <w:ind w:left="2127" w:hanging="709"/>
      </w:pPr>
      <w:r>
        <w:rPr>
          <w:rFonts w:eastAsia="Yu Mincho"/>
        </w:rPr>
        <w:t xml:space="preserve">is </w:t>
      </w:r>
      <w:r w:rsidR="000B7C92" w:rsidRPr="00451AF5">
        <w:t>exclude</w:t>
      </w:r>
      <w:r>
        <w:t>d</w:t>
      </w:r>
      <w:r w:rsidR="000B7C92" w:rsidRPr="00451AF5">
        <w:t xml:space="preserve"> from </w:t>
      </w:r>
      <w:r w:rsidR="000B7C92">
        <w:t xml:space="preserve">the </w:t>
      </w:r>
      <w:r w:rsidR="000B7C92" w:rsidRPr="00451AF5">
        <w:t>scope</w:t>
      </w:r>
      <w:r w:rsidR="000B7C92">
        <w:t xml:space="preserve"> of </w:t>
      </w:r>
      <w:r w:rsidR="00DA3866">
        <w:t>the Q</w:t>
      </w:r>
      <w:r w:rsidR="000B7C92">
        <w:t>DMT</w:t>
      </w:r>
      <w:r w:rsidR="00DA3866">
        <w:t>T</w:t>
      </w:r>
      <w:r w:rsidR="000B7C92" w:rsidRPr="00451AF5">
        <w:t>;</w:t>
      </w:r>
      <w:r>
        <w:t xml:space="preserve"> or</w:t>
      </w:r>
    </w:p>
    <w:p w14:paraId="1121D1AD" w14:textId="2E109625" w:rsidR="000B7C92" w:rsidRPr="00CB4E2B" w:rsidRDefault="00174F37" w:rsidP="00CB0495">
      <w:pPr>
        <w:pStyle w:val="dotpoint2"/>
        <w:tabs>
          <w:tab w:val="clear" w:pos="1513"/>
          <w:tab w:val="clear" w:pos="2127"/>
        </w:tabs>
        <w:ind w:left="2127" w:hanging="709"/>
      </w:pPr>
      <w:r>
        <w:rPr>
          <w:rFonts w:eastAsia="Yu Mincho"/>
        </w:rPr>
        <w:t xml:space="preserve">is </w:t>
      </w:r>
      <w:r w:rsidR="000B7C92" w:rsidRPr="00451AF5">
        <w:t>include</w:t>
      </w:r>
      <w:r>
        <w:t>d</w:t>
      </w:r>
      <w:r w:rsidR="000B7C92" w:rsidRPr="00451AF5">
        <w:t xml:space="preserve"> in </w:t>
      </w:r>
      <w:r w:rsidR="000B7C92">
        <w:rPr>
          <w:rFonts w:eastAsia="Yu Mincho"/>
        </w:rPr>
        <w:t xml:space="preserve">the </w:t>
      </w:r>
      <w:r w:rsidR="000B7C92" w:rsidRPr="00451AF5">
        <w:t xml:space="preserve">scope </w:t>
      </w:r>
      <w:r>
        <w:t xml:space="preserve">of </w:t>
      </w:r>
      <w:r w:rsidR="000B7C92" w:rsidRPr="00451AF5">
        <w:t>a QDMT</w:t>
      </w:r>
      <w:r w:rsidR="000B7C92">
        <w:rPr>
          <w:rFonts w:eastAsia="Yu Mincho"/>
        </w:rPr>
        <w:t>T</w:t>
      </w:r>
      <w:r w:rsidR="000B7C92" w:rsidRPr="00451AF5">
        <w:t xml:space="preserve"> </w:t>
      </w:r>
      <w:r>
        <w:t xml:space="preserve">but the QDMTT is not imposed on that </w:t>
      </w:r>
      <w:r w:rsidR="000B7C92" w:rsidRPr="00451AF5">
        <w:t>Entity</w:t>
      </w:r>
      <w:r w:rsidR="00DA3866">
        <w:rPr>
          <w:rFonts w:eastAsia="Yu Mincho"/>
        </w:rPr>
        <w:t xml:space="preserve">. </w:t>
      </w:r>
      <w:r w:rsidR="00DA3866">
        <w:rPr>
          <w:rFonts w:eastAsia="Yu Mincho"/>
        </w:rPr>
        <w:br/>
      </w:r>
      <w:r w:rsidR="00DA3866" w:rsidRPr="002C16F7">
        <w:rPr>
          <w:rStyle w:val="References"/>
        </w:rPr>
        <w:t xml:space="preserve">[Chapter 8, </w:t>
      </w:r>
      <w:r w:rsidR="00DA3866">
        <w:rPr>
          <w:rStyle w:val="References"/>
        </w:rPr>
        <w:t>sub</w:t>
      </w:r>
      <w:r w:rsidR="00DA3866" w:rsidRPr="002C16F7">
        <w:rPr>
          <w:rStyle w:val="References"/>
        </w:rPr>
        <w:t>section</w:t>
      </w:r>
      <w:r w:rsidR="00DA3866">
        <w:rPr>
          <w:rStyle w:val="References"/>
        </w:rPr>
        <w:t>s</w:t>
      </w:r>
      <w:r w:rsidR="00DA3866" w:rsidRPr="002C16F7">
        <w:rPr>
          <w:rStyle w:val="References"/>
        </w:rPr>
        <w:t xml:space="preserve"> 8-</w:t>
      </w:r>
      <w:r w:rsidR="00C46698">
        <w:rPr>
          <w:rStyle w:val="References"/>
        </w:rPr>
        <w:t>2</w:t>
      </w:r>
      <w:r w:rsidR="00DA3866">
        <w:rPr>
          <w:rStyle w:val="References"/>
        </w:rPr>
        <w:t>1</w:t>
      </w:r>
      <w:r w:rsidR="00C46698">
        <w:rPr>
          <w:rStyle w:val="References"/>
        </w:rPr>
        <w:t>0</w:t>
      </w:r>
      <w:r w:rsidR="00DA3866">
        <w:rPr>
          <w:rStyle w:val="References"/>
        </w:rPr>
        <w:t>(1) to (4)</w:t>
      </w:r>
      <w:r w:rsidR="00885381">
        <w:rPr>
          <w:rStyle w:val="References"/>
        </w:rPr>
        <w:t>, (6)</w:t>
      </w:r>
      <w:r w:rsidR="00071445">
        <w:rPr>
          <w:rStyle w:val="References"/>
        </w:rPr>
        <w:t xml:space="preserve"> to</w:t>
      </w:r>
      <w:r w:rsidR="00885381">
        <w:rPr>
          <w:rStyle w:val="References"/>
        </w:rPr>
        <w:t xml:space="preserve"> </w:t>
      </w:r>
      <w:r w:rsidR="00885381" w:rsidRPr="00071445">
        <w:rPr>
          <w:rStyle w:val="References"/>
        </w:rPr>
        <w:t>(8)</w:t>
      </w:r>
      <w:r w:rsidR="00DA3866">
        <w:rPr>
          <w:rStyle w:val="References"/>
        </w:rPr>
        <w:t xml:space="preserve"> of the Rules</w:t>
      </w:r>
      <w:r w:rsidR="00DA3866" w:rsidRPr="002C16F7">
        <w:rPr>
          <w:rStyle w:val="References"/>
        </w:rPr>
        <w:t>]</w:t>
      </w:r>
    </w:p>
    <w:p w14:paraId="59759198" w14:textId="15E43C1D" w:rsidR="000B7C92" w:rsidRPr="00174F37" w:rsidRDefault="00DA3866" w:rsidP="004B5F1C">
      <w:pPr>
        <w:pStyle w:val="Normalparatextwithnumbers"/>
        <w:keepNext/>
        <w:keepLines/>
        <w:ind w:left="706" w:hanging="706"/>
        <w:rPr>
          <w:rStyle w:val="References"/>
          <w:b w:val="0"/>
          <w:bCs w:val="0"/>
          <w:i w:val="0"/>
          <w:iCs w:val="0"/>
        </w:rPr>
      </w:pPr>
      <w:r>
        <w:rPr>
          <w:rFonts w:eastAsia="Yu Mincho"/>
        </w:rPr>
        <w:lastRenderedPageBreak/>
        <w:t>However, the switch</w:t>
      </w:r>
      <w:r>
        <w:rPr>
          <w:rFonts w:eastAsia="Yu Mincho"/>
        </w:rPr>
        <w:noBreakHyphen/>
        <w:t xml:space="preserve">off rule does not apply if a QDMTT jurisdiction imposes the QDMTT liability of </w:t>
      </w:r>
      <w:r w:rsidR="000B7C92">
        <w:rPr>
          <w:rFonts w:eastAsia="Yu Mincho"/>
        </w:rPr>
        <w:t>a</w:t>
      </w:r>
      <w:r w:rsidR="006F084B">
        <w:rPr>
          <w:rFonts w:eastAsia="Yu Mincho"/>
        </w:rPr>
        <w:t>n OECD</w:t>
      </w:r>
      <w:r w:rsidR="000B7C92">
        <w:rPr>
          <w:rFonts w:eastAsia="Yu Mincho"/>
        </w:rPr>
        <w:t xml:space="preserve"> Securitisation Entity </w:t>
      </w:r>
      <w:r w:rsidR="000B7C92" w:rsidRPr="00451AF5">
        <w:t xml:space="preserve">on other </w:t>
      </w:r>
      <w:r w:rsidR="000B7C92">
        <w:t xml:space="preserve">Constituent Entity </w:t>
      </w:r>
      <w:r w:rsidR="000B7C92" w:rsidRPr="00451AF5">
        <w:t>of the MNE Group that is not a</w:t>
      </w:r>
      <w:r w:rsidR="004731E7">
        <w:t>n OECD</w:t>
      </w:r>
      <w:r w:rsidR="000B7C92" w:rsidRPr="00451AF5">
        <w:t xml:space="preserve"> Securitisation Entity, or </w:t>
      </w:r>
      <w:r>
        <w:t xml:space="preserve">imposes the QDMTT liability directly on the OECD </w:t>
      </w:r>
      <w:r w:rsidR="000B7C92" w:rsidRPr="00451AF5">
        <w:t xml:space="preserve">Securitisation Entity </w:t>
      </w:r>
      <w:r>
        <w:t xml:space="preserve">only if </w:t>
      </w:r>
      <w:r w:rsidRPr="00451AF5">
        <w:t xml:space="preserve">it is the only </w:t>
      </w:r>
      <w:r>
        <w:t xml:space="preserve">Constituent Entity </w:t>
      </w:r>
      <w:r w:rsidRPr="00451AF5">
        <w:t xml:space="preserve">in the jurisdiction </w:t>
      </w:r>
      <w:r>
        <w:t xml:space="preserve">and </w:t>
      </w:r>
      <w:r w:rsidR="000B7C92" w:rsidRPr="00451AF5">
        <w:t>the QDMTT liability c</w:t>
      </w:r>
      <w:r>
        <w:t>ould n</w:t>
      </w:r>
      <w:r w:rsidR="000B7C92" w:rsidRPr="00451AF5">
        <w:t xml:space="preserve">ot otherwise </w:t>
      </w:r>
      <w:r>
        <w:t xml:space="preserve">be </w:t>
      </w:r>
      <w:r w:rsidR="000B7C92" w:rsidRPr="00451AF5">
        <w:t>collected.</w:t>
      </w:r>
      <w:r>
        <w:br/>
      </w:r>
      <w:r w:rsidRPr="00DA3866">
        <w:rPr>
          <w:rStyle w:val="References"/>
        </w:rPr>
        <w:t>[Chapter 8, subsection 8-</w:t>
      </w:r>
      <w:r w:rsidR="00C46698">
        <w:rPr>
          <w:rStyle w:val="References"/>
        </w:rPr>
        <w:t>2</w:t>
      </w:r>
      <w:r w:rsidRPr="00DA3866">
        <w:rPr>
          <w:rStyle w:val="References"/>
        </w:rPr>
        <w:t>1</w:t>
      </w:r>
      <w:r w:rsidR="00C46698">
        <w:rPr>
          <w:rStyle w:val="References"/>
        </w:rPr>
        <w:t>0</w:t>
      </w:r>
      <w:r w:rsidRPr="00DA3866">
        <w:rPr>
          <w:rStyle w:val="References"/>
        </w:rPr>
        <w:t>(</w:t>
      </w:r>
      <w:r w:rsidR="00C46698">
        <w:rPr>
          <w:rStyle w:val="References"/>
        </w:rPr>
        <w:t>5</w:t>
      </w:r>
      <w:r w:rsidRPr="00DA3866">
        <w:rPr>
          <w:rStyle w:val="References"/>
        </w:rPr>
        <w:t>) of the Rules]</w:t>
      </w:r>
      <w:r w:rsidR="00174F37" w:rsidRPr="00174F37">
        <w:rPr>
          <w:rStyle w:val="References"/>
        </w:rPr>
        <w:t xml:space="preserve"> </w:t>
      </w:r>
    </w:p>
    <w:p w14:paraId="30EBF5D9" w14:textId="143842F3" w:rsidR="00174F37" w:rsidRPr="00174F37" w:rsidRDefault="00174F37" w:rsidP="00174F37">
      <w:pPr>
        <w:pStyle w:val="Normalparatextwithnumbers"/>
        <w:rPr>
          <w:rStyle w:val="References"/>
          <w:b w:val="0"/>
          <w:bCs w:val="0"/>
          <w:i w:val="0"/>
          <w:iCs w:val="0"/>
        </w:rPr>
      </w:pPr>
      <w:r>
        <w:t xml:space="preserve">In addition, the Minister may make a determination specifying that another jurisdiction’s QDMTT is subject to certain restrictions, if a relevant restriction applies to the MNE Group for the Fiscal Year.  </w:t>
      </w:r>
      <w:r>
        <w:br/>
      </w:r>
      <w:r w:rsidRPr="00174F37">
        <w:rPr>
          <w:rStyle w:val="References"/>
        </w:rPr>
        <w:t>[Chapter 8, subsections 8-155(</w:t>
      </w:r>
      <w:r w:rsidR="00C46698">
        <w:rPr>
          <w:rStyle w:val="References"/>
        </w:rPr>
        <w:t>9</w:t>
      </w:r>
      <w:r w:rsidRPr="00174F37">
        <w:rPr>
          <w:rStyle w:val="References"/>
        </w:rPr>
        <w:t>) and (</w:t>
      </w:r>
      <w:r w:rsidR="00C46698">
        <w:rPr>
          <w:rStyle w:val="References"/>
        </w:rPr>
        <w:t>10</w:t>
      </w:r>
      <w:r w:rsidRPr="00174F37">
        <w:rPr>
          <w:rStyle w:val="References"/>
        </w:rPr>
        <w:t>) of the Rules]</w:t>
      </w:r>
    </w:p>
    <w:p w14:paraId="72C10DA5" w14:textId="58A0F8BB" w:rsidR="00174F37" w:rsidRPr="00174F37" w:rsidRDefault="00A231BF" w:rsidP="00AC510D">
      <w:pPr>
        <w:pStyle w:val="Normalparatextwithnumbers"/>
        <w:numPr>
          <w:ilvl w:val="1"/>
          <w:numId w:val="18"/>
        </w:numPr>
      </w:pPr>
      <w:r>
        <w:t>The Minister’s power to make determinations</w:t>
      </w:r>
      <w:r w:rsidRPr="007A2D17">
        <w:t xml:space="preserve"> </w:t>
      </w:r>
      <w:r>
        <w:t xml:space="preserve">specifying a jurisdiction may access the QDMTT Safe Harbour as well as the determination to impose any restrictions on a jurisdictions QDMTT </w:t>
      </w:r>
      <w:r w:rsidRPr="007A2D17">
        <w:t xml:space="preserve">is </w:t>
      </w:r>
      <w:r>
        <w:t>appropriate to maintain alignment with the OECD’s determination of jurisdictions that are qualified</w:t>
      </w:r>
      <w:r w:rsidRPr="007A2D17">
        <w:t xml:space="preserve">. This determination </w:t>
      </w:r>
      <w:r>
        <w:t xml:space="preserve">is a legislative instrument and is therefore subject to </w:t>
      </w:r>
      <w:r w:rsidRPr="007A2D17">
        <w:t>disallowance and sunsetting.</w:t>
      </w:r>
      <w:r>
        <w:t xml:space="preserve"> </w:t>
      </w:r>
      <w:r w:rsidR="00174F37">
        <w:t xml:space="preserve">Given the </w:t>
      </w:r>
      <w:r w:rsidR="002324B5">
        <w:t>Safe Harbours</w:t>
      </w:r>
      <w:r w:rsidR="00AB2245">
        <w:t>, and in particular the QDMTT Safe Harbour,</w:t>
      </w:r>
      <w:r w:rsidR="002324B5">
        <w:t xml:space="preserve"> </w:t>
      </w:r>
      <w:r w:rsidR="00174F37">
        <w:t>will be subject to ongoing review by the OECD</w:t>
      </w:r>
      <w:r w:rsidR="00AB2245">
        <w:t>,</w:t>
      </w:r>
      <w:r w:rsidR="002324B5">
        <w:t xml:space="preserve"> the </w:t>
      </w:r>
      <w:r w:rsidR="00174F37">
        <w:t xml:space="preserve">Minister’s determination </w:t>
      </w:r>
      <w:r w:rsidR="002324B5">
        <w:t xml:space="preserve">by </w:t>
      </w:r>
      <w:r w:rsidR="00174F37">
        <w:t xml:space="preserve">legislative instrument </w:t>
      </w:r>
      <w:r w:rsidR="002324B5">
        <w:t xml:space="preserve">is an appropriate mechanism to </w:t>
      </w:r>
      <w:r>
        <w:t xml:space="preserve">not only </w:t>
      </w:r>
      <w:r w:rsidR="002324B5">
        <w:t xml:space="preserve">ensure </w:t>
      </w:r>
      <w:r>
        <w:t xml:space="preserve">alignment with the OECD guidance, but also to provide the correct outcome </w:t>
      </w:r>
      <w:r w:rsidR="00DA3866">
        <w:t xml:space="preserve">that a jurisdiction cannot access the full QDMTT Safe Harbour if it is inconsistent with the OECD Guidance. </w:t>
      </w:r>
    </w:p>
    <w:p w14:paraId="0E5F5375" w14:textId="20FF6A91" w:rsidR="000B7C92" w:rsidRDefault="000B7C92" w:rsidP="000B7C92">
      <w:pPr>
        <w:pStyle w:val="Heading6"/>
        <w:rPr>
          <w:rFonts w:hint="eastAsia"/>
        </w:rPr>
      </w:pPr>
      <w:r>
        <w:t>Defining a</w:t>
      </w:r>
      <w:r w:rsidR="00116009">
        <w:t>n OECD</w:t>
      </w:r>
      <w:r>
        <w:t xml:space="preserve"> </w:t>
      </w:r>
      <w:r w:rsidR="00DA3866">
        <w:t>S</w:t>
      </w:r>
      <w:r>
        <w:t xml:space="preserve">ecuritisation </w:t>
      </w:r>
      <w:r w:rsidR="00DA3866">
        <w:t>E</w:t>
      </w:r>
      <w:r>
        <w:t xml:space="preserve">ntity </w:t>
      </w:r>
    </w:p>
    <w:p w14:paraId="0748B1C8" w14:textId="04B8CCF9" w:rsidR="000B7C92" w:rsidRDefault="000B7C92" w:rsidP="007047E4">
      <w:pPr>
        <w:pStyle w:val="Normalparatextwithnumbers"/>
        <w:numPr>
          <w:ilvl w:val="1"/>
          <w:numId w:val="18"/>
        </w:numPr>
      </w:pPr>
      <w:r>
        <w:t xml:space="preserve">For the purposes of applying the switch off rule, the definition of </w:t>
      </w:r>
      <w:r w:rsidR="00116009">
        <w:t>OECD S</w:t>
      </w:r>
      <w:r>
        <w:t xml:space="preserve">ecuritisation </w:t>
      </w:r>
      <w:r w:rsidR="00116009">
        <w:t>E</w:t>
      </w:r>
      <w:r>
        <w:t xml:space="preserve">ntity </w:t>
      </w:r>
      <w:r w:rsidR="00116009">
        <w:t xml:space="preserve">does </w:t>
      </w:r>
      <w:r>
        <w:t>not align with Division 820 of the ITAA 1997 but is instead defined as</w:t>
      </w:r>
      <w:r w:rsidR="007047E4">
        <w:t xml:space="preserve"> </w:t>
      </w:r>
      <w:r>
        <w:t xml:space="preserve">an Entity which is a participant in a Securitisation Arrangement which satisfies the following conditions: </w:t>
      </w:r>
    </w:p>
    <w:p w14:paraId="0AD90892" w14:textId="77777777" w:rsidR="000B7C92" w:rsidRDefault="000B7C92" w:rsidP="00B07214">
      <w:pPr>
        <w:pStyle w:val="Dotpoint1"/>
      </w:pPr>
      <w:r>
        <w:t xml:space="preserve">the Entity only carries out activities that facilitate one or more Securitisation Arrangements (which is defined below); </w:t>
      </w:r>
    </w:p>
    <w:p w14:paraId="432A8462" w14:textId="68A87E6E" w:rsidR="000B7C92" w:rsidRDefault="000B7C92" w:rsidP="00B07214">
      <w:pPr>
        <w:pStyle w:val="Dotpoint1"/>
      </w:pPr>
      <w:r>
        <w:t xml:space="preserve">the Entity grants security over its assets in favour of its creditors (or the creditors of another </w:t>
      </w:r>
      <w:r w:rsidR="00474635">
        <w:t xml:space="preserve">OECD </w:t>
      </w:r>
      <w:r>
        <w:t>Securitisation Entity);and</w:t>
      </w:r>
    </w:p>
    <w:p w14:paraId="5125780C" w14:textId="05093827" w:rsidR="000B7C92" w:rsidRDefault="000B7C92" w:rsidP="00B07214">
      <w:pPr>
        <w:pStyle w:val="Dotpoint1"/>
      </w:pPr>
      <w:r>
        <w:t xml:space="preserve">the Entity pays out all cash received from its assets to its creditors (or the creditors of another </w:t>
      </w:r>
      <w:r w:rsidR="00474635">
        <w:t xml:space="preserve">OECD </w:t>
      </w:r>
      <w:r>
        <w:t xml:space="preserve">Securitisation Entity) on at least an annual basis, other than: </w:t>
      </w:r>
    </w:p>
    <w:p w14:paraId="257B3309" w14:textId="77777777" w:rsidR="000B7C92" w:rsidRPr="00B7652D" w:rsidRDefault="000B7C92" w:rsidP="00B7652D">
      <w:pPr>
        <w:pStyle w:val="dotpoint2"/>
        <w:tabs>
          <w:tab w:val="clear" w:pos="1513"/>
          <w:tab w:val="clear" w:pos="2127"/>
        </w:tabs>
        <w:ind w:left="2127" w:hanging="709"/>
        <w:rPr>
          <w:rFonts w:eastAsia="Yu Mincho"/>
        </w:rPr>
      </w:pPr>
      <w:r w:rsidRPr="00B7652D">
        <w:rPr>
          <w:rFonts w:eastAsia="Yu Mincho"/>
        </w:rPr>
        <w:t xml:space="preserve">cash retained to meet an amount of profit required by the documentation of the arrangement, for eventual distribution to equity holders (or equivalent); or </w:t>
      </w:r>
    </w:p>
    <w:p w14:paraId="0261AF79" w14:textId="77777777" w:rsidR="000B7C92" w:rsidRPr="00B7652D" w:rsidRDefault="000B7C92" w:rsidP="00B7652D">
      <w:pPr>
        <w:pStyle w:val="dotpoint2"/>
        <w:tabs>
          <w:tab w:val="clear" w:pos="1513"/>
          <w:tab w:val="clear" w:pos="2127"/>
        </w:tabs>
        <w:ind w:left="2127" w:hanging="709"/>
        <w:rPr>
          <w:rFonts w:eastAsia="Yu Mincho"/>
        </w:rPr>
      </w:pPr>
      <w:r w:rsidRPr="00B7652D">
        <w:rPr>
          <w:rFonts w:eastAsia="Yu Mincho"/>
        </w:rPr>
        <w:t xml:space="preserve">cash reasonably required under the terms of the arrangement for either (or both) of the following purposes: </w:t>
      </w:r>
    </w:p>
    <w:p w14:paraId="78956834" w14:textId="77777777" w:rsidR="000B7C92" w:rsidRPr="00B7652D" w:rsidRDefault="000B7C92" w:rsidP="00B7652D">
      <w:pPr>
        <w:pStyle w:val="dotpoint2"/>
        <w:tabs>
          <w:tab w:val="clear" w:pos="1513"/>
          <w:tab w:val="clear" w:pos="2127"/>
        </w:tabs>
        <w:ind w:left="2127" w:hanging="709"/>
        <w:rPr>
          <w:rFonts w:eastAsia="Yu Mincho"/>
        </w:rPr>
      </w:pPr>
      <w:r w:rsidRPr="00B7652D">
        <w:rPr>
          <w:rFonts w:eastAsia="Yu Mincho"/>
        </w:rPr>
        <w:lastRenderedPageBreak/>
        <w:t xml:space="preserve">to make provision for future payments which are required, or will likely be required, to be made by the Entity under the terms of the arrangement; or </w:t>
      </w:r>
    </w:p>
    <w:p w14:paraId="16CB9C64" w14:textId="77777777" w:rsidR="000B7C92" w:rsidRPr="00B7652D" w:rsidRDefault="000B7C92" w:rsidP="00B7652D">
      <w:pPr>
        <w:pStyle w:val="dotpoint2"/>
        <w:tabs>
          <w:tab w:val="clear" w:pos="1513"/>
          <w:tab w:val="clear" w:pos="2127"/>
        </w:tabs>
        <w:ind w:left="2127" w:hanging="709"/>
        <w:rPr>
          <w:rFonts w:eastAsia="Yu Mincho"/>
        </w:rPr>
      </w:pPr>
      <w:r w:rsidRPr="00B7652D">
        <w:rPr>
          <w:rFonts w:eastAsia="Yu Mincho"/>
        </w:rPr>
        <w:t>to maintain or enhance the creditworthiness of the Entity.</w:t>
      </w:r>
    </w:p>
    <w:p w14:paraId="1C3B585C" w14:textId="5BD7CD16" w:rsidR="000B7C92" w:rsidRDefault="000B7C92" w:rsidP="000B7C92">
      <w:pPr>
        <w:pStyle w:val="Normalparatextwithnumbers"/>
        <w:numPr>
          <w:ilvl w:val="1"/>
          <w:numId w:val="18"/>
        </w:numPr>
      </w:pPr>
      <w:r>
        <w:t>An Entity is not a</w:t>
      </w:r>
      <w:r w:rsidR="007047E4">
        <w:t>n OECD</w:t>
      </w:r>
      <w:r>
        <w:t xml:space="preserve"> Securitisation Entity unless any profit for a given Fiscal Year is negligible relative to the revenues of the Entity (consistent with paragraphs 148.2-148.3 on page 143 of the June A</w:t>
      </w:r>
      <w:r w:rsidR="007047E4">
        <w:t xml:space="preserve">dministrative </w:t>
      </w:r>
      <w:r>
        <w:t>G</w:t>
      </w:r>
      <w:r w:rsidR="007047E4">
        <w:t>uidance</w:t>
      </w:r>
      <w:r>
        <w:t xml:space="preserve"> 2024). </w:t>
      </w:r>
      <w:r>
        <w:br/>
      </w:r>
      <w:r w:rsidRPr="00151BD5">
        <w:rPr>
          <w:rStyle w:val="References"/>
        </w:rPr>
        <w:t>[Chapter 8, section 8</w:t>
      </w:r>
      <w:r w:rsidRPr="00151BD5">
        <w:rPr>
          <w:rStyle w:val="References"/>
        </w:rPr>
        <w:noBreakHyphen/>
      </w:r>
      <w:r w:rsidR="00885381">
        <w:rPr>
          <w:rStyle w:val="References"/>
        </w:rPr>
        <w:t>2</w:t>
      </w:r>
      <w:r w:rsidR="007047E4">
        <w:rPr>
          <w:rStyle w:val="References"/>
        </w:rPr>
        <w:t>15</w:t>
      </w:r>
      <w:r w:rsidRPr="00151BD5">
        <w:rPr>
          <w:rStyle w:val="References"/>
        </w:rPr>
        <w:t xml:space="preserve"> of the Rules]</w:t>
      </w:r>
      <w:r>
        <w:t xml:space="preserve"> </w:t>
      </w:r>
    </w:p>
    <w:p w14:paraId="2BB98575" w14:textId="0A7B1098" w:rsidR="000B7C92" w:rsidRDefault="000B7C92" w:rsidP="000B7C92">
      <w:pPr>
        <w:pStyle w:val="Normalparatextwithnumbers"/>
        <w:numPr>
          <w:ilvl w:val="1"/>
          <w:numId w:val="18"/>
        </w:numPr>
      </w:pPr>
      <w:r>
        <w:t xml:space="preserve">A securitisation arrangement </w:t>
      </w:r>
      <w:r w:rsidR="000705FE">
        <w:t xml:space="preserve">does not arise when a Constituent Entity of the MNE Group is involved, but otherwise must </w:t>
      </w:r>
      <w:r>
        <w:t>satisf</w:t>
      </w:r>
      <w:r w:rsidR="000705FE">
        <w:t>y</w:t>
      </w:r>
      <w:r>
        <w:t xml:space="preserve"> the following two conditions: </w:t>
      </w:r>
    </w:p>
    <w:p w14:paraId="0741B0A6" w14:textId="3C1D36F6" w:rsidR="000B7C92" w:rsidRDefault="000B7C92" w:rsidP="00B07214">
      <w:pPr>
        <w:pStyle w:val="Dotpoint1"/>
      </w:pPr>
      <w:r>
        <w:t>the arrangement is implemented for the purpose of pooling and repackaging a portfolio of assets (or exposures to assets) for investors in a manner that legally segregates one or more identified pools of assets; and</w:t>
      </w:r>
    </w:p>
    <w:p w14:paraId="7E228D4B" w14:textId="04DF1FAF" w:rsidR="000B7C92" w:rsidRDefault="000B7C92" w:rsidP="00B07214">
      <w:pPr>
        <w:pStyle w:val="Dotpoint1"/>
      </w:pPr>
      <w:r>
        <w:t>the arrangement seeks through contractual agreements to limit the exposure of those investors to the risk of insolvency of an Entity holding the legally segregated assets by controlling the ability of identified creditors of that Entity (or of another Entity in the arrangement) to make claims against it through legally binding documentation entered into by those creditors (consistent with paragraphs 148.4 on page 143 of the June A</w:t>
      </w:r>
      <w:r w:rsidR="00DF231D">
        <w:t xml:space="preserve">dministrative </w:t>
      </w:r>
      <w:r>
        <w:t>G</w:t>
      </w:r>
      <w:r w:rsidR="00DF231D">
        <w:t>uidance</w:t>
      </w:r>
      <w:r>
        <w:t xml:space="preserve"> 2024).</w:t>
      </w:r>
      <w:r>
        <w:br/>
      </w:r>
      <w:r w:rsidRPr="00EA2CB3">
        <w:rPr>
          <w:rStyle w:val="References"/>
        </w:rPr>
        <w:t>[Chapter 8, section 8</w:t>
      </w:r>
      <w:r w:rsidRPr="00EA2CB3">
        <w:rPr>
          <w:rStyle w:val="References"/>
        </w:rPr>
        <w:noBreakHyphen/>
      </w:r>
      <w:r w:rsidR="002E6173">
        <w:rPr>
          <w:rStyle w:val="References"/>
        </w:rPr>
        <w:t>220</w:t>
      </w:r>
      <w:r>
        <w:rPr>
          <w:rStyle w:val="References"/>
        </w:rPr>
        <w:t xml:space="preserve"> of the Rules]</w:t>
      </w:r>
    </w:p>
    <w:p w14:paraId="0E9370E8" w14:textId="77777777" w:rsidR="000B7C92" w:rsidRDefault="000B7C92" w:rsidP="000B7C92">
      <w:pPr>
        <w:pStyle w:val="Heading3"/>
        <w:rPr>
          <w:rFonts w:hint="eastAsia"/>
        </w:rPr>
      </w:pPr>
      <w:bookmarkStart w:id="286" w:name="_Toc183786688"/>
      <w:bookmarkStart w:id="287" w:name="_Toc185503030"/>
      <w:r>
        <w:t>UTPR Safe Harbour</w:t>
      </w:r>
      <w:bookmarkEnd w:id="286"/>
      <w:bookmarkEnd w:id="287"/>
      <w:r>
        <w:t xml:space="preserve"> </w:t>
      </w:r>
    </w:p>
    <w:p w14:paraId="495F3518" w14:textId="066D7C8A" w:rsidR="000B7C92" w:rsidRDefault="000B7C92" w:rsidP="000B7C92">
      <w:pPr>
        <w:pStyle w:val="Normalparatextwithnumbers"/>
        <w:numPr>
          <w:ilvl w:val="1"/>
          <w:numId w:val="18"/>
        </w:numPr>
      </w:pPr>
      <w:r>
        <w:t>The Transitional UTPR deems Top</w:t>
      </w:r>
      <w:r w:rsidR="00794844">
        <w:noBreakHyphen/>
      </w:r>
      <w:r>
        <w:t>up Tax to be zero for an MNE Group for a Fiscal Year between 1 January 2026 and 31 December 2026 if the UPE jurisdiction has a corporate income tax rate of at least 20 per</w:t>
      </w:r>
      <w:r w:rsidR="003F5BD6">
        <w:t xml:space="preserve"> </w:t>
      </w:r>
      <w:r>
        <w:t xml:space="preserve">cent. </w:t>
      </w:r>
      <w:r>
        <w:br/>
      </w:r>
      <w:r w:rsidRPr="2274A4DF">
        <w:rPr>
          <w:rStyle w:val="References"/>
        </w:rPr>
        <w:t>[Chapter 8, section 8</w:t>
      </w:r>
      <w:r w:rsidR="00787393">
        <w:rPr>
          <w:rStyle w:val="References"/>
        </w:rPr>
        <w:noBreakHyphen/>
      </w:r>
      <w:r w:rsidR="00E32A65">
        <w:rPr>
          <w:rStyle w:val="References"/>
        </w:rPr>
        <w:t>225</w:t>
      </w:r>
      <w:r w:rsidRPr="2274A4DF">
        <w:rPr>
          <w:rStyle w:val="References"/>
        </w:rPr>
        <w:t xml:space="preserve"> of the Rules]</w:t>
      </w:r>
    </w:p>
    <w:p w14:paraId="6484B820" w14:textId="32C19054" w:rsidR="000B7C92" w:rsidRPr="00BD362A" w:rsidRDefault="000B7C92" w:rsidP="000B7C92">
      <w:pPr>
        <w:pStyle w:val="Normalparatextwithnumbers"/>
        <w:numPr>
          <w:ilvl w:val="1"/>
          <w:numId w:val="18"/>
        </w:numPr>
      </w:pPr>
      <w:r w:rsidRPr="00BD362A">
        <w:t xml:space="preserve">An MNE Group that qualifies for </w:t>
      </w:r>
      <w:r>
        <w:t xml:space="preserve">both the </w:t>
      </w:r>
      <w:r w:rsidRPr="00BD362A">
        <w:t xml:space="preserve">transitional </w:t>
      </w:r>
      <w:r>
        <w:t>CbC</w:t>
      </w:r>
      <w:r w:rsidR="002E6173">
        <w:t xml:space="preserve"> </w:t>
      </w:r>
      <w:r>
        <w:t>R</w:t>
      </w:r>
      <w:r w:rsidR="002E6173">
        <w:t>eporting</w:t>
      </w:r>
      <w:r>
        <w:t xml:space="preserve"> </w:t>
      </w:r>
      <w:r w:rsidRPr="00BD362A">
        <w:t xml:space="preserve">safe harbour </w:t>
      </w:r>
      <w:r>
        <w:t xml:space="preserve">and the UTPR safe harbour </w:t>
      </w:r>
      <w:r w:rsidRPr="00BD362A">
        <w:t>may choose which safe</w:t>
      </w:r>
      <w:r>
        <w:t xml:space="preserve"> </w:t>
      </w:r>
      <w:r w:rsidRPr="00BD362A">
        <w:t xml:space="preserve">harbour to apply for that jurisdiction. </w:t>
      </w:r>
    </w:p>
    <w:p w14:paraId="52989EBB" w14:textId="4B28F9C9" w:rsidR="000B7C92" w:rsidRDefault="000B7C92" w:rsidP="000B7C92">
      <w:pPr>
        <w:pStyle w:val="Normalparatextwithnumbers"/>
        <w:numPr>
          <w:ilvl w:val="1"/>
          <w:numId w:val="18"/>
        </w:numPr>
      </w:pPr>
      <w:r>
        <w:t xml:space="preserve">The Transitional UTPR Safe Harbour deems the UTPR Top-up Tax Amount calculated for the UPE Jurisdiction to be zero. This only applies to Constituent Entities and JVs that are located in the jurisdiction of the UPE of the actual </w:t>
      </w:r>
      <w:r w:rsidR="002330EF">
        <w:t>MNE Group</w:t>
      </w:r>
      <w:r>
        <w:t xml:space="preserve"> and does not extend to the UPE of any deemed groups. </w:t>
      </w:r>
    </w:p>
    <w:p w14:paraId="440E567B" w14:textId="315B848B" w:rsidR="000B7C92" w:rsidRDefault="000B7C92" w:rsidP="00D1568F">
      <w:pPr>
        <w:pStyle w:val="Normalparatextwithnumbers"/>
        <w:keepNext/>
        <w:keepLines/>
        <w:numPr>
          <w:ilvl w:val="1"/>
          <w:numId w:val="18"/>
        </w:numPr>
        <w:ind w:left="706" w:hanging="706"/>
      </w:pPr>
      <w:r>
        <w:lastRenderedPageBreak/>
        <w:t>The Transitional UTPR Safe Harbour deems the Top-up Tax of each C</w:t>
      </w:r>
      <w:r w:rsidR="002E6173">
        <w:t xml:space="preserve">onstituent </w:t>
      </w:r>
      <w:r>
        <w:t>E</w:t>
      </w:r>
      <w:r w:rsidR="002E6173">
        <w:t>ntity</w:t>
      </w:r>
      <w:r>
        <w:t xml:space="preserve">, each JV and JV Subsidiary in respect of, the </w:t>
      </w:r>
      <w:r w:rsidR="002330EF">
        <w:t>MNE Group</w:t>
      </w:r>
      <w:r>
        <w:t xml:space="preserve">, that is located in the jurisdiction of the UPE of the actual MNE Group to be nil for the purpose of computing the Total UTPR Top-up Tax Amount. </w:t>
      </w:r>
    </w:p>
    <w:p w14:paraId="751891C2" w14:textId="77777777" w:rsidR="000B7C92" w:rsidRDefault="000B7C92" w:rsidP="000B7C92">
      <w:pPr>
        <w:pStyle w:val="Normalparatextwithnumbers"/>
        <w:numPr>
          <w:ilvl w:val="1"/>
          <w:numId w:val="18"/>
        </w:numPr>
      </w:pPr>
      <w:r>
        <w:t>For example, if a UPE of an MNE Group is located in Jurisdiction A and a JV Group located in the Jurisdiction B, the UTPR safe harbour only operates to reduce Top</w:t>
      </w:r>
      <w:r>
        <w:noBreakHyphen/>
        <w:t xml:space="preserve">up Tax to zero for </w:t>
      </w:r>
      <w:r w:rsidRPr="00CE3687">
        <w:t>Jurisdiction A</w:t>
      </w:r>
      <w:r>
        <w:t xml:space="preserve">. The UTPR safe harbour does not extend to the JV Group in Jurisdiction B, on the basis that the JV is deemed as a separate group and is not in the same location as the UPE of the main MNE Group. </w:t>
      </w:r>
      <w:bookmarkEnd w:id="270"/>
    </w:p>
    <w:p w14:paraId="2EBB2295" w14:textId="77777777" w:rsidR="0025163B" w:rsidRPr="00020288" w:rsidRDefault="0025163B" w:rsidP="00873094">
      <w:pPr>
        <w:spacing w:after="0" w:line="360" w:lineRule="auto"/>
        <w:contextualSpacing/>
        <w:sectPr w:rsidR="0025163B" w:rsidRPr="00020288" w:rsidSect="0025163B">
          <w:headerReference w:type="even" r:id="rId98"/>
          <w:headerReference w:type="default" r:id="rId99"/>
          <w:footerReference w:type="even" r:id="rId100"/>
          <w:footerReference w:type="default" r:id="rId101"/>
          <w:headerReference w:type="first" r:id="rId102"/>
          <w:footerReference w:type="first" r:id="rId103"/>
          <w:type w:val="oddPage"/>
          <w:pgSz w:w="9979" w:h="14175" w:code="9"/>
          <w:pgMar w:top="567" w:right="1134" w:bottom="567" w:left="1134" w:header="709" w:footer="709" w:gutter="0"/>
          <w:cols w:space="708"/>
          <w:titlePg/>
          <w:docGrid w:linePitch="360"/>
        </w:sectPr>
      </w:pPr>
    </w:p>
    <w:p w14:paraId="5C2A7F93" w14:textId="7F15484E" w:rsidR="0025163B" w:rsidRPr="0073326A" w:rsidRDefault="000C23B6" w:rsidP="00777A92">
      <w:pPr>
        <w:pStyle w:val="Chapterheading"/>
        <w:rPr>
          <w:rFonts w:hint="eastAsia"/>
        </w:rPr>
      </w:pPr>
      <w:bookmarkStart w:id="288" w:name="_Toc183417106"/>
      <w:bookmarkStart w:id="289" w:name="_Toc183786689"/>
      <w:r>
        <w:lastRenderedPageBreak/>
        <w:t>Transitional provisions</w:t>
      </w:r>
      <w:bookmarkEnd w:id="288"/>
      <w:bookmarkEnd w:id="289"/>
    </w:p>
    <w:p w14:paraId="5BCA62E4" w14:textId="69693650" w:rsidR="002D5E0B" w:rsidRDefault="002D5E0B" w:rsidP="002D5E0B">
      <w:pPr>
        <w:pStyle w:val="TOCHeading"/>
      </w:pPr>
      <w:bookmarkStart w:id="290" w:name="Chapter9"/>
      <w:r>
        <w:t xml:space="preserve">Table of Contents: </w:t>
      </w:r>
    </w:p>
    <w:p w14:paraId="1E1BA4A4" w14:textId="4BC85B49" w:rsidR="0096460F" w:rsidRDefault="002D5E0B">
      <w:pPr>
        <w:pStyle w:val="TOC2"/>
        <w:rPr>
          <w:rFonts w:asciiTheme="minorHAnsi" w:eastAsiaTheme="minorEastAsia" w:hAnsiTheme="minorHAnsi"/>
          <w:kern w:val="2"/>
          <w:sz w:val="22"/>
          <w:lang w:eastAsia="en-AU"/>
          <w14:ligatures w14:val="standardContextual"/>
        </w:rPr>
      </w:pPr>
      <w:r>
        <w:fldChar w:fldCharType="begin"/>
      </w:r>
      <w:r>
        <w:instrText xml:space="preserve"> TOC \o "1-3" \z  \B Chapter9</w:instrText>
      </w:r>
      <w:r>
        <w:fldChar w:fldCharType="separate"/>
      </w:r>
      <w:r w:rsidR="0096460F">
        <w:t>Outline of chapter</w:t>
      </w:r>
      <w:r w:rsidR="0096460F">
        <w:rPr>
          <w:webHidden/>
        </w:rPr>
        <w:tab/>
      </w:r>
      <w:r w:rsidR="0096460F">
        <w:rPr>
          <w:webHidden/>
        </w:rPr>
        <w:fldChar w:fldCharType="begin"/>
      </w:r>
      <w:r w:rsidR="0096460F">
        <w:rPr>
          <w:webHidden/>
        </w:rPr>
        <w:instrText xml:space="preserve"> PAGEREF _Toc185503031 \h </w:instrText>
      </w:r>
      <w:r w:rsidR="0096460F">
        <w:rPr>
          <w:webHidden/>
        </w:rPr>
      </w:r>
      <w:r w:rsidR="0096460F">
        <w:rPr>
          <w:webHidden/>
        </w:rPr>
        <w:fldChar w:fldCharType="separate"/>
      </w:r>
      <w:r w:rsidR="009D6D0D">
        <w:rPr>
          <w:webHidden/>
        </w:rPr>
        <w:t>189</w:t>
      </w:r>
      <w:r w:rsidR="0096460F">
        <w:rPr>
          <w:webHidden/>
        </w:rPr>
        <w:fldChar w:fldCharType="end"/>
      </w:r>
    </w:p>
    <w:p w14:paraId="2587F654" w14:textId="4A257C82" w:rsidR="0096460F" w:rsidRDefault="0096460F">
      <w:pPr>
        <w:pStyle w:val="TOC2"/>
        <w:rPr>
          <w:rFonts w:asciiTheme="minorHAnsi" w:eastAsiaTheme="minorEastAsia" w:hAnsiTheme="minorHAnsi"/>
          <w:kern w:val="2"/>
          <w:sz w:val="22"/>
          <w:lang w:eastAsia="en-AU"/>
          <w14:ligatures w14:val="standardContextual"/>
        </w:rPr>
      </w:pPr>
      <w:r>
        <w:t>Detailed explanation of new law</w:t>
      </w:r>
      <w:r>
        <w:rPr>
          <w:webHidden/>
        </w:rPr>
        <w:tab/>
      </w:r>
      <w:r>
        <w:rPr>
          <w:webHidden/>
        </w:rPr>
        <w:fldChar w:fldCharType="begin"/>
      </w:r>
      <w:r>
        <w:rPr>
          <w:webHidden/>
        </w:rPr>
        <w:instrText xml:space="preserve"> PAGEREF _Toc185503032 \h </w:instrText>
      </w:r>
      <w:r>
        <w:rPr>
          <w:webHidden/>
        </w:rPr>
      </w:r>
      <w:r>
        <w:rPr>
          <w:webHidden/>
        </w:rPr>
        <w:fldChar w:fldCharType="separate"/>
      </w:r>
      <w:r w:rsidR="009D6D0D">
        <w:rPr>
          <w:webHidden/>
        </w:rPr>
        <w:t>190</w:t>
      </w:r>
      <w:r>
        <w:rPr>
          <w:webHidden/>
        </w:rPr>
        <w:fldChar w:fldCharType="end"/>
      </w:r>
    </w:p>
    <w:p w14:paraId="6C01CAAE" w14:textId="2C2146EF"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Tax attributes upon transition</w:t>
      </w:r>
      <w:r>
        <w:rPr>
          <w:noProof/>
          <w:webHidden/>
        </w:rPr>
        <w:tab/>
      </w:r>
      <w:r>
        <w:rPr>
          <w:noProof/>
          <w:webHidden/>
        </w:rPr>
        <w:fldChar w:fldCharType="begin"/>
      </w:r>
      <w:r>
        <w:rPr>
          <w:noProof/>
          <w:webHidden/>
        </w:rPr>
        <w:instrText xml:space="preserve"> PAGEREF _Toc185503033 \h </w:instrText>
      </w:r>
      <w:r>
        <w:rPr>
          <w:noProof/>
          <w:webHidden/>
        </w:rPr>
      </w:r>
      <w:r>
        <w:rPr>
          <w:noProof/>
          <w:webHidden/>
        </w:rPr>
        <w:fldChar w:fldCharType="separate"/>
      </w:r>
      <w:r w:rsidR="009D6D0D">
        <w:rPr>
          <w:noProof/>
          <w:webHidden/>
        </w:rPr>
        <w:t>190</w:t>
      </w:r>
      <w:r>
        <w:rPr>
          <w:noProof/>
          <w:webHidden/>
        </w:rPr>
        <w:fldChar w:fldCharType="end"/>
      </w:r>
    </w:p>
    <w:p w14:paraId="1BC97112" w14:textId="22ADA829"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Transitional relief for the Substance-based Income Exclusion</w:t>
      </w:r>
      <w:r>
        <w:rPr>
          <w:noProof/>
          <w:webHidden/>
        </w:rPr>
        <w:tab/>
      </w:r>
      <w:r>
        <w:rPr>
          <w:noProof/>
          <w:webHidden/>
        </w:rPr>
        <w:fldChar w:fldCharType="begin"/>
      </w:r>
      <w:r>
        <w:rPr>
          <w:noProof/>
          <w:webHidden/>
        </w:rPr>
        <w:instrText xml:space="preserve"> PAGEREF _Toc185503034 \h </w:instrText>
      </w:r>
      <w:r>
        <w:rPr>
          <w:noProof/>
          <w:webHidden/>
        </w:rPr>
      </w:r>
      <w:r>
        <w:rPr>
          <w:noProof/>
          <w:webHidden/>
        </w:rPr>
        <w:fldChar w:fldCharType="separate"/>
      </w:r>
      <w:r w:rsidR="009D6D0D">
        <w:rPr>
          <w:noProof/>
          <w:webHidden/>
        </w:rPr>
        <w:t>198</w:t>
      </w:r>
      <w:r>
        <w:rPr>
          <w:noProof/>
          <w:webHidden/>
        </w:rPr>
        <w:fldChar w:fldCharType="end"/>
      </w:r>
    </w:p>
    <w:p w14:paraId="1A037CC2" w14:textId="073E8D57" w:rsidR="0096460F" w:rsidRDefault="0096460F">
      <w:pPr>
        <w:pStyle w:val="TOC3"/>
        <w:rPr>
          <w:rFonts w:asciiTheme="minorHAnsi" w:eastAsiaTheme="minorEastAsia" w:hAnsiTheme="minorHAnsi" w:cstheme="minorBidi"/>
          <w:iCs w:val="0"/>
          <w:noProof/>
          <w:kern w:val="2"/>
          <w:sz w:val="22"/>
          <w:szCs w:val="22"/>
          <w:lang w:eastAsia="en-AU"/>
          <w14:ligatures w14:val="standardContextual"/>
        </w:rPr>
      </w:pPr>
      <w:r>
        <w:rPr>
          <w:noProof/>
        </w:rPr>
        <w:t>Transitional Exclusion from the UTPR for an MNE Group in the initial phase of activity</w:t>
      </w:r>
      <w:r>
        <w:rPr>
          <w:noProof/>
          <w:webHidden/>
        </w:rPr>
        <w:tab/>
      </w:r>
      <w:r>
        <w:rPr>
          <w:noProof/>
          <w:webHidden/>
        </w:rPr>
        <w:fldChar w:fldCharType="begin"/>
      </w:r>
      <w:r>
        <w:rPr>
          <w:noProof/>
          <w:webHidden/>
        </w:rPr>
        <w:instrText xml:space="preserve"> PAGEREF _Toc185503035 \h </w:instrText>
      </w:r>
      <w:r>
        <w:rPr>
          <w:noProof/>
          <w:webHidden/>
        </w:rPr>
      </w:r>
      <w:r>
        <w:rPr>
          <w:noProof/>
          <w:webHidden/>
        </w:rPr>
        <w:fldChar w:fldCharType="separate"/>
      </w:r>
      <w:r w:rsidR="009D6D0D">
        <w:rPr>
          <w:noProof/>
          <w:webHidden/>
        </w:rPr>
        <w:t>199</w:t>
      </w:r>
      <w:r>
        <w:rPr>
          <w:noProof/>
          <w:webHidden/>
        </w:rPr>
        <w:fldChar w:fldCharType="end"/>
      </w:r>
    </w:p>
    <w:p w14:paraId="1F0E9F85" w14:textId="235F194F" w:rsidR="002D5E0B" w:rsidRPr="002D5E0B" w:rsidRDefault="002D5E0B" w:rsidP="002D5E0B">
      <w:r>
        <w:fldChar w:fldCharType="end"/>
      </w:r>
    </w:p>
    <w:p w14:paraId="491C8386" w14:textId="77777777" w:rsidR="0025163B" w:rsidRPr="00020288" w:rsidRDefault="0025163B" w:rsidP="005D0844">
      <w:pPr>
        <w:pStyle w:val="Heading2"/>
        <w:rPr>
          <w:rFonts w:hint="eastAsia"/>
        </w:rPr>
      </w:pPr>
      <w:bookmarkStart w:id="291" w:name="_Toc183786690"/>
      <w:bookmarkStart w:id="292" w:name="_Toc185503031"/>
      <w:r w:rsidRPr="00020288">
        <w:t xml:space="preserve">Outline </w:t>
      </w:r>
      <w:r w:rsidRPr="005D0844">
        <w:t>of</w:t>
      </w:r>
      <w:r w:rsidRPr="00020288">
        <w:t xml:space="preserve"> chapter</w:t>
      </w:r>
      <w:bookmarkEnd w:id="291"/>
      <w:bookmarkEnd w:id="292"/>
    </w:p>
    <w:p w14:paraId="7BD58D12" w14:textId="77777777" w:rsidR="00E5546C" w:rsidRPr="00334B4A" w:rsidRDefault="00E5546C" w:rsidP="00E5546C">
      <w:pPr>
        <w:pStyle w:val="Normalparatextwithnumbers"/>
        <w:numPr>
          <w:ilvl w:val="1"/>
          <w:numId w:val="18"/>
        </w:numPr>
      </w:pPr>
      <w:r w:rsidRPr="00334B4A">
        <w:t xml:space="preserve">Smaller MNE Groups will become subject to the GloBE Rules if they </w:t>
      </w:r>
      <w:r>
        <w:t>increase</w:t>
      </w:r>
      <w:r w:rsidRPr="00334B4A">
        <w:t xml:space="preserve"> their revenues above a threshold, either through growth or a merger or acquisition. A Constituent Entity could also become subject to the GloBE Rules when such </w:t>
      </w:r>
      <w:r>
        <w:t xml:space="preserve">a </w:t>
      </w:r>
      <w:r w:rsidRPr="00334B4A">
        <w:t xml:space="preserve">Constituent Entity is acquired by a MNE Group that is already subject to the GloBE Rules. </w:t>
      </w:r>
    </w:p>
    <w:p w14:paraId="4A91F1F6" w14:textId="48289F3F" w:rsidR="00E5546C" w:rsidRPr="00334B4A" w:rsidRDefault="00E5546C" w:rsidP="00E5546C">
      <w:pPr>
        <w:pStyle w:val="Normalparatextwithnumbers"/>
        <w:numPr>
          <w:ilvl w:val="1"/>
          <w:numId w:val="18"/>
        </w:numPr>
      </w:pPr>
      <w:r w:rsidRPr="00334B4A">
        <w:t>Failure to take appropriate account of operating losses that the MNE Group has incurred in the periods prior to becoming subject to the GloBE Rules could result in a distorted picture of the MNE Group’s tax position. Similarly, timing differences between the local tax rules and the GloBE Rules (such as rules allowing for the pre</w:t>
      </w:r>
      <w:r w:rsidRPr="00334B4A">
        <w:noBreakHyphen/>
        <w:t xml:space="preserve">payment or deferment of tax) could lead to an incorrect </w:t>
      </w:r>
      <w:r>
        <w:t>T</w:t>
      </w:r>
      <w:r w:rsidRPr="00334B4A">
        <w:t xml:space="preserve">op-up </w:t>
      </w:r>
      <w:r>
        <w:t>T</w:t>
      </w:r>
      <w:r w:rsidRPr="00334B4A">
        <w:t>ax calculation.</w:t>
      </w:r>
    </w:p>
    <w:p w14:paraId="5BFC3F1C" w14:textId="77777777" w:rsidR="00E5546C" w:rsidRDefault="00E5546C" w:rsidP="00E5546C">
      <w:pPr>
        <w:pStyle w:val="Normalparatextwithnumbers"/>
        <w:numPr>
          <w:ilvl w:val="1"/>
          <w:numId w:val="18"/>
        </w:numPr>
      </w:pPr>
      <w:r w:rsidRPr="00334B4A">
        <w:t xml:space="preserve">To address these issues, Chapter 9 of the Rules provides for transitional </w:t>
      </w:r>
      <w:r>
        <w:t xml:space="preserve">provisions that set out:  </w:t>
      </w:r>
    </w:p>
    <w:p w14:paraId="770DFFB8" w14:textId="77777777" w:rsidR="00E5546C" w:rsidRDefault="00E5546C" w:rsidP="00B07214">
      <w:pPr>
        <w:pStyle w:val="Dotpoint1"/>
      </w:pPr>
      <w:r>
        <w:t xml:space="preserve">rules for bringing existing tax attributes into GloBE calculations (Part 9-1); </w:t>
      </w:r>
    </w:p>
    <w:p w14:paraId="6F181AEB" w14:textId="77777777" w:rsidR="00E5546C" w:rsidRDefault="00E5546C" w:rsidP="00B07214">
      <w:pPr>
        <w:pStyle w:val="Dotpoint1"/>
      </w:pPr>
      <w:r>
        <w:t>transitional relief for the Substance-based Income Exclusion (Part 9-2); and</w:t>
      </w:r>
    </w:p>
    <w:p w14:paraId="0ACDAAED" w14:textId="77777777" w:rsidR="00E5546C" w:rsidRPr="00334B4A" w:rsidRDefault="00E5546C" w:rsidP="00B07214">
      <w:pPr>
        <w:pStyle w:val="Dotpoint1"/>
      </w:pPr>
      <w:r>
        <w:t xml:space="preserve">special treatment for MNE Groups in their initial phase of international activity (Part 9-3). </w:t>
      </w:r>
    </w:p>
    <w:p w14:paraId="32F2EB2C" w14:textId="77777777" w:rsidR="0025163B" w:rsidRPr="00020288" w:rsidRDefault="0025163B" w:rsidP="0025163B">
      <w:pPr>
        <w:pStyle w:val="Heading2"/>
        <w:numPr>
          <w:ilvl w:val="1"/>
          <w:numId w:val="2"/>
        </w:numPr>
        <w:tabs>
          <w:tab w:val="num" w:pos="567"/>
        </w:tabs>
        <w:ind w:left="567" w:hanging="567"/>
        <w:rPr>
          <w:rFonts w:hint="eastAsia"/>
        </w:rPr>
      </w:pPr>
      <w:bookmarkStart w:id="293" w:name="_Toc183786691"/>
      <w:bookmarkStart w:id="294" w:name="_Toc185503032"/>
      <w:r w:rsidRPr="00020288">
        <w:lastRenderedPageBreak/>
        <w:t>Detailed explanation of new law</w:t>
      </w:r>
      <w:bookmarkEnd w:id="293"/>
      <w:bookmarkEnd w:id="294"/>
    </w:p>
    <w:p w14:paraId="13C4C403" w14:textId="77777777" w:rsidR="001C2BD3" w:rsidRDefault="001C2BD3" w:rsidP="001C2BD3">
      <w:pPr>
        <w:pStyle w:val="Heading3"/>
        <w:rPr>
          <w:rFonts w:hint="eastAsia"/>
        </w:rPr>
      </w:pPr>
      <w:bookmarkStart w:id="295" w:name="_Toc159848511"/>
      <w:bookmarkStart w:id="296" w:name="_Toc180490681"/>
      <w:bookmarkStart w:id="297" w:name="_Toc183786692"/>
      <w:bookmarkStart w:id="298" w:name="_Toc185503033"/>
      <w:r>
        <w:t>Tax attributes upon transition</w:t>
      </w:r>
      <w:bookmarkEnd w:id="295"/>
      <w:bookmarkEnd w:id="296"/>
      <w:bookmarkEnd w:id="297"/>
      <w:bookmarkEnd w:id="298"/>
    </w:p>
    <w:p w14:paraId="7EA07264" w14:textId="562DDE83" w:rsidR="001C2BD3" w:rsidRPr="00E1471A" w:rsidRDefault="001C2BD3" w:rsidP="001C2BD3">
      <w:pPr>
        <w:pStyle w:val="Normalparatextwithnumbers"/>
        <w:numPr>
          <w:ilvl w:val="1"/>
          <w:numId w:val="18"/>
        </w:numPr>
      </w:pPr>
      <w:r w:rsidRPr="00E1471A">
        <w:t xml:space="preserve">Part 9-1 </w:t>
      </w:r>
      <w:r>
        <w:t xml:space="preserve">of the Rules </w:t>
      </w:r>
      <w:r w:rsidRPr="00E1471A">
        <w:t xml:space="preserve">provides rules for bringing existing tax </w:t>
      </w:r>
      <w:r w:rsidR="00553129">
        <w:t>attributes</w:t>
      </w:r>
      <w:r w:rsidR="00553129" w:rsidRPr="00E1471A">
        <w:t xml:space="preserve"> </w:t>
      </w:r>
      <w:r w:rsidRPr="00E1471A">
        <w:t>into relevant GloBE calculations. As the C</w:t>
      </w:r>
      <w:r>
        <w:t>onsolidated C</w:t>
      </w:r>
      <w:r w:rsidRPr="00E1471A">
        <w:t xml:space="preserve">ommentary explains, failing to account for pre-existing </w:t>
      </w:r>
      <w:r w:rsidR="00553129">
        <w:t>tax attributes</w:t>
      </w:r>
      <w:r w:rsidR="00553129" w:rsidRPr="00E1471A">
        <w:t xml:space="preserve"> </w:t>
      </w:r>
      <w:r w:rsidRPr="00E1471A">
        <w:t xml:space="preserve">could distort </w:t>
      </w:r>
      <w:r w:rsidR="00553129">
        <w:t>ETR</w:t>
      </w:r>
      <w:r w:rsidRPr="00E1471A">
        <w:t xml:space="preserve"> calculations</w:t>
      </w:r>
      <w:r>
        <w:t xml:space="preserve"> or lead to other unintended outcomes</w:t>
      </w:r>
      <w:r w:rsidRPr="00E1471A">
        <w:t xml:space="preserve"> (</w:t>
      </w:r>
      <w:r>
        <w:t xml:space="preserve">see </w:t>
      </w:r>
      <w:r w:rsidRPr="00E1471A">
        <w:t>paragraph 2</w:t>
      </w:r>
      <w:r w:rsidR="002E039A">
        <w:t>, page 224</w:t>
      </w:r>
      <w:r w:rsidRPr="00E1471A">
        <w:t xml:space="preserve"> of </w:t>
      </w:r>
      <w:r w:rsidR="002E039A">
        <w:t xml:space="preserve">Consolidated </w:t>
      </w:r>
      <w:r w:rsidRPr="00E1471A">
        <w:t>Commentary).</w:t>
      </w:r>
    </w:p>
    <w:p w14:paraId="6C515538" w14:textId="77777777" w:rsidR="001C2BD3" w:rsidRPr="00E1471A" w:rsidRDefault="001C2BD3" w:rsidP="001C2BD3">
      <w:pPr>
        <w:pStyle w:val="Normalparatextwithnumbers"/>
        <w:numPr>
          <w:ilvl w:val="1"/>
          <w:numId w:val="18"/>
        </w:numPr>
      </w:pPr>
      <w:r w:rsidRPr="00E1471A">
        <w:t xml:space="preserve">Broadly, the provisions in this Part: </w:t>
      </w:r>
    </w:p>
    <w:p w14:paraId="073F3EF5" w14:textId="77777777" w:rsidR="001C2BD3" w:rsidRPr="00623371" w:rsidRDefault="001C2BD3" w:rsidP="00B07214">
      <w:pPr>
        <w:pStyle w:val="Dotpoint1"/>
      </w:pPr>
      <w:r w:rsidRPr="00E1471A">
        <w:t>set out</w:t>
      </w:r>
      <w:r w:rsidRPr="00623371">
        <w:t xml:space="preserve"> how to compute the Total Deferred Tax Adjustment Amount</w:t>
      </w:r>
      <w:r>
        <w:t xml:space="preserve"> (for the purposes of Chapter 9)</w:t>
      </w:r>
      <w:r w:rsidRPr="00623371">
        <w:t xml:space="preserve"> using pre-existing deferred tax attributes</w:t>
      </w:r>
      <w:r>
        <w:t>;</w:t>
      </w:r>
      <w:r w:rsidRPr="00623371">
        <w:t xml:space="preserve"> </w:t>
      </w:r>
    </w:p>
    <w:p w14:paraId="205EE8FD" w14:textId="77777777" w:rsidR="001C2BD3" w:rsidRPr="00EC3781" w:rsidRDefault="001C2BD3" w:rsidP="00B07214">
      <w:pPr>
        <w:pStyle w:val="Dotpoint1"/>
      </w:pPr>
      <w:r w:rsidRPr="00623371">
        <w:t>prevent the recognition of certain deferred tax assets that arise from transactions immediately before the Rules apply</w:t>
      </w:r>
      <w:r>
        <w:t xml:space="preserve"> (</w:t>
      </w:r>
      <w:r w:rsidRPr="00623371">
        <w:t xml:space="preserve">particularly where these create </w:t>
      </w:r>
      <w:r w:rsidRPr="00EC3781">
        <w:t>permanent differences)</w:t>
      </w:r>
      <w:r>
        <w:t>;</w:t>
      </w:r>
      <w:r w:rsidRPr="00EC3781">
        <w:t xml:space="preserve"> and </w:t>
      </w:r>
    </w:p>
    <w:p w14:paraId="741CFD49" w14:textId="77777777" w:rsidR="001C2BD3" w:rsidRPr="00EC3781" w:rsidRDefault="001C2BD3" w:rsidP="00B07214">
      <w:pPr>
        <w:pStyle w:val="Dotpoint1"/>
      </w:pPr>
      <w:r w:rsidRPr="00EC3781">
        <w:t>provide special treatment for asset transfers between related entities to prevent inappropriate step-ups in asset values or creation of deferred tax assets.</w:t>
      </w:r>
    </w:p>
    <w:p w14:paraId="36B88A6D" w14:textId="32379A8E" w:rsidR="00F64E31" w:rsidRPr="00036407" w:rsidRDefault="00F64E31" w:rsidP="00F64E31">
      <w:pPr>
        <w:pStyle w:val="Heading4"/>
        <w:numPr>
          <w:ilvl w:val="3"/>
          <w:numId w:val="2"/>
        </w:numPr>
      </w:pPr>
      <w:r w:rsidRPr="00036407">
        <w:t xml:space="preserve">Meaning of Transition Year </w:t>
      </w:r>
    </w:p>
    <w:p w14:paraId="60A33A95" w14:textId="0579E794" w:rsidR="00F64E31" w:rsidRPr="00E1471A" w:rsidRDefault="00F64E31" w:rsidP="00F64E31">
      <w:pPr>
        <w:pStyle w:val="Normalparatextwithnumbers"/>
        <w:numPr>
          <w:ilvl w:val="1"/>
          <w:numId w:val="18"/>
        </w:numPr>
      </w:pPr>
      <w:r w:rsidRPr="00E1471A">
        <w:t>These transitional rules operate by reference to a Constituent Entity's Transition Year. For the purposes of Part 9-1</w:t>
      </w:r>
      <w:r w:rsidR="002E6173">
        <w:t xml:space="preserve"> of the Rules</w:t>
      </w:r>
      <w:r w:rsidRPr="00E1471A">
        <w:t xml:space="preserve">, the </w:t>
      </w:r>
      <w:r w:rsidRPr="00E1471A">
        <w:rPr>
          <w:b/>
          <w:bCs/>
          <w:i/>
          <w:iCs/>
        </w:rPr>
        <w:t>Transition Year</w:t>
      </w:r>
      <w:r w:rsidRPr="00E1471A">
        <w:t xml:space="preserve"> for a jurisdiction is the first Fiscal Year in which a MNE Group comes within the scope of the GloBE Rules in respect of that jurisdiction.</w:t>
      </w:r>
      <w:r w:rsidRPr="00E1471A">
        <w:br/>
      </w:r>
      <w:r w:rsidRPr="00E1471A">
        <w:rPr>
          <w:rStyle w:val="References"/>
        </w:rPr>
        <w:t>[Chapter 9, section 9-20 of the Rules]</w:t>
      </w:r>
    </w:p>
    <w:p w14:paraId="710B4ECD" w14:textId="31F147CF" w:rsidR="00F64E31" w:rsidRDefault="00F64E31" w:rsidP="00F64E31">
      <w:pPr>
        <w:pStyle w:val="Normalparatextwithnumbers"/>
        <w:numPr>
          <w:ilvl w:val="1"/>
          <w:numId w:val="18"/>
        </w:numPr>
      </w:pPr>
      <w:r w:rsidRPr="00E1471A">
        <w:t xml:space="preserve">This can occur when the GloBE Rules are introduced in a jurisdiction where the MNE Group operates, when a smaller MNE Group </w:t>
      </w:r>
      <w:r>
        <w:t>increases</w:t>
      </w:r>
      <w:r w:rsidRPr="00E1471A">
        <w:t xml:space="preserve"> its revenue above the threshold (either organically or as a result of a merger or acquisition), or when a Constituent Entity is acquired by an MNE Group already subject to the GloBE Rules (see paragraph 1 </w:t>
      </w:r>
      <w:r w:rsidR="00D816E4">
        <w:t xml:space="preserve">on page </w:t>
      </w:r>
      <w:r w:rsidR="00D97A42">
        <w:t xml:space="preserve">224 </w:t>
      </w:r>
      <w:r w:rsidRPr="00E1471A">
        <w:t xml:space="preserve">of </w:t>
      </w:r>
      <w:r w:rsidR="00D97A42">
        <w:t xml:space="preserve">the Consolidated </w:t>
      </w:r>
      <w:r w:rsidRPr="00E1471A">
        <w:t xml:space="preserve">Commentary).  </w:t>
      </w:r>
    </w:p>
    <w:p w14:paraId="13419B7A" w14:textId="77777777" w:rsidR="00F64E31" w:rsidRPr="00535E2F" w:rsidRDefault="00F64E31" w:rsidP="00F64E31">
      <w:pPr>
        <w:pStyle w:val="Heading4"/>
        <w:numPr>
          <w:ilvl w:val="3"/>
          <w:numId w:val="2"/>
        </w:numPr>
      </w:pPr>
      <w:r w:rsidRPr="00E51F68">
        <w:lastRenderedPageBreak/>
        <w:t>Bringing in pre-existing tax attributes</w:t>
      </w:r>
    </w:p>
    <w:p w14:paraId="56F64F97" w14:textId="77777777" w:rsidR="00F64E31" w:rsidRDefault="00F64E31" w:rsidP="00F64E31">
      <w:pPr>
        <w:pStyle w:val="Heading5"/>
        <w:numPr>
          <w:ilvl w:val="4"/>
          <w:numId w:val="2"/>
        </w:numPr>
      </w:pPr>
      <w:r>
        <w:t>T</w:t>
      </w:r>
      <w:r w:rsidRPr="00BC530B">
        <w:t xml:space="preserve">he </w:t>
      </w:r>
      <w:r>
        <w:t xml:space="preserve">simplified </w:t>
      </w:r>
      <w:r w:rsidRPr="00D94B92">
        <w:t>Total Deferred Tax Adjustment Amount</w:t>
      </w:r>
      <w:r>
        <w:t xml:space="preserve"> </w:t>
      </w:r>
    </w:p>
    <w:p w14:paraId="42583D81" w14:textId="77777777" w:rsidR="00F64E31" w:rsidRPr="00004282" w:rsidRDefault="00F64E31" w:rsidP="00F64E31">
      <w:pPr>
        <w:pStyle w:val="Heading6"/>
        <w:rPr>
          <w:rFonts w:hint="eastAsia"/>
        </w:rPr>
      </w:pPr>
      <w:r>
        <w:t>Application of Deferred Tax Adjustments</w:t>
      </w:r>
    </w:p>
    <w:p w14:paraId="4E3C5C0C" w14:textId="0FE64C05" w:rsidR="00F64E31" w:rsidRPr="00C46715" w:rsidRDefault="00F64E31" w:rsidP="00F64E31">
      <w:pPr>
        <w:pStyle w:val="Normalparatextwithnumbers"/>
        <w:numPr>
          <w:ilvl w:val="1"/>
          <w:numId w:val="18"/>
        </w:numPr>
      </w:pPr>
      <w:bookmarkStart w:id="299" w:name="_Ref180664836"/>
      <w:bookmarkStart w:id="300" w:name="_Ref180687272"/>
      <w:r>
        <w:t>The transitional rules</w:t>
      </w:r>
      <w:r w:rsidRPr="00F26F21">
        <w:t xml:space="preserve"> </w:t>
      </w:r>
      <w:r>
        <w:t xml:space="preserve">set out </w:t>
      </w:r>
      <w:r w:rsidRPr="00F26F21">
        <w:t>requirements for computing a Constituent Entity</w:t>
      </w:r>
      <w:r>
        <w:t xml:space="preserve">’s </w:t>
      </w:r>
      <w:r w:rsidRPr="00F26F21">
        <w:t xml:space="preserve">Total Deferred Tax Adjustment Amount in the period when it first becomes subject to the GloBE Rules and afterwards. </w:t>
      </w:r>
      <w:r>
        <w:t xml:space="preserve">These computation requirements apply for a </w:t>
      </w:r>
      <w:r w:rsidRPr="00E1471A">
        <w:rPr>
          <w:b/>
          <w:bCs/>
          <w:i/>
          <w:iCs/>
        </w:rPr>
        <w:t>current year</w:t>
      </w:r>
      <w:r w:rsidRPr="00C46715">
        <w:t xml:space="preserve"> that is either:</w:t>
      </w:r>
      <w:bookmarkEnd w:id="299"/>
      <w:bookmarkEnd w:id="300"/>
      <w:r w:rsidRPr="00C46715">
        <w:t xml:space="preserve"> </w:t>
      </w:r>
    </w:p>
    <w:p w14:paraId="7CA41E8F" w14:textId="77777777" w:rsidR="00F64E31" w:rsidRPr="00C46715" w:rsidRDefault="00F64E31" w:rsidP="00B07214">
      <w:pPr>
        <w:pStyle w:val="Dotpoint1"/>
      </w:pPr>
      <w:r w:rsidRPr="00C46715">
        <w:t>the MNE Group’s Transition Year for the jurisdiction, or</w:t>
      </w:r>
    </w:p>
    <w:p w14:paraId="3F354ADC" w14:textId="77777777" w:rsidR="00F64E31" w:rsidRPr="0065213D" w:rsidRDefault="00F64E31" w:rsidP="00B07214">
      <w:pPr>
        <w:pStyle w:val="Dotpoint1"/>
        <w:rPr>
          <w:rStyle w:val="References"/>
          <w:b w:val="0"/>
          <w:i w:val="0"/>
        </w:rPr>
      </w:pPr>
      <w:r w:rsidRPr="00C61D7A">
        <w:t>a subsequent Fiscal Year</w:t>
      </w:r>
      <w:r>
        <w:t>,</w:t>
      </w:r>
      <w:r w:rsidRPr="00C46715">
        <w:t xml:space="preserve"> if the Constituent Entity </w:t>
      </w:r>
      <w:r w:rsidRPr="00E41163">
        <w:t>has not ceased to be a Constituent Entity of the MNE Group in the intervening period</w:t>
      </w:r>
      <w:r>
        <w:t xml:space="preserve">. </w:t>
      </w:r>
      <w:r>
        <w:br/>
      </w:r>
      <w:r w:rsidRPr="00E1471A">
        <w:rPr>
          <w:rStyle w:val="References"/>
        </w:rPr>
        <w:t xml:space="preserve">[Chapter 9, </w:t>
      </w:r>
      <w:r w:rsidRPr="00C46715">
        <w:rPr>
          <w:b/>
          <w:bCs/>
          <w:i/>
          <w:iCs/>
        </w:rPr>
        <w:t>subsection 9-5(1) of the Rules</w:t>
      </w:r>
      <w:r w:rsidRPr="00E1471A">
        <w:rPr>
          <w:rStyle w:val="References"/>
        </w:rPr>
        <w:t>]</w:t>
      </w:r>
    </w:p>
    <w:p w14:paraId="7A85BDF3" w14:textId="59401BB0" w:rsidR="00F64E31" w:rsidRPr="00C46715" w:rsidRDefault="00F64E31" w:rsidP="00F64E31">
      <w:pPr>
        <w:pStyle w:val="Normalparatextwithnumbers"/>
        <w:numPr>
          <w:ilvl w:val="1"/>
          <w:numId w:val="18"/>
        </w:numPr>
      </w:pPr>
      <w:r>
        <w:t>Where the current year is a subsequent Fiscal Year, t</w:t>
      </w:r>
      <w:r w:rsidRPr="00B35029">
        <w:t xml:space="preserve">he </w:t>
      </w:r>
      <w:r>
        <w:t>‘</w:t>
      </w:r>
      <w:r w:rsidRPr="00B35029">
        <w:t>intervening period</w:t>
      </w:r>
      <w:r>
        <w:t xml:space="preserve">’ is </w:t>
      </w:r>
      <w:r w:rsidRPr="00B35029">
        <w:t>the time between the Transition Year and the current year being considered. For example, if an MNE Group</w:t>
      </w:r>
      <w:r>
        <w:t>’s</w:t>
      </w:r>
      <w:r w:rsidRPr="00B35029">
        <w:t xml:space="preserve"> Transition Year is Fiscal Year 1 and the current year is Fiscal Year 3, the Constituent Entity must have maintained its status within the MNE Group throughout Fiscal Years 1</w:t>
      </w:r>
      <w:r>
        <w:t xml:space="preserve"> to 3 </w:t>
      </w:r>
      <w:r w:rsidRPr="00B35029">
        <w:t>for thes</w:t>
      </w:r>
      <w:r>
        <w:t>e</w:t>
      </w:r>
      <w:r w:rsidRPr="00B35029">
        <w:t xml:space="preserve"> rules to apply. This ensures continuity in the treatment of deferred tax attributes while they reverse or are </w:t>
      </w:r>
      <w:r>
        <w:t xml:space="preserve">utilised. </w:t>
      </w:r>
    </w:p>
    <w:p w14:paraId="77D4FFEC" w14:textId="77777777" w:rsidR="00F64E31" w:rsidRDefault="00F64E31" w:rsidP="00F64E31">
      <w:pPr>
        <w:pStyle w:val="Heading6"/>
        <w:rPr>
          <w:rFonts w:hint="eastAsia"/>
        </w:rPr>
      </w:pPr>
      <w:r>
        <w:t xml:space="preserve">Scope of deferred tax attributes </w:t>
      </w:r>
    </w:p>
    <w:p w14:paraId="416AE942" w14:textId="6F8AEAB8" w:rsidR="00F64E31" w:rsidRDefault="00F64E31" w:rsidP="00F64E31">
      <w:pPr>
        <w:pStyle w:val="Normalparatextwithnumbers"/>
        <w:numPr>
          <w:ilvl w:val="1"/>
          <w:numId w:val="18"/>
        </w:numPr>
      </w:pPr>
      <w:r>
        <w:t xml:space="preserve">For </w:t>
      </w:r>
      <w:r w:rsidR="00C224B6">
        <w:t>the</w:t>
      </w:r>
      <w:r>
        <w:t xml:space="preserve"> </w:t>
      </w:r>
      <w:r w:rsidR="00726244">
        <w:t>intervening period</w:t>
      </w:r>
      <w:r w:rsidRPr="00F95A5E">
        <w:t>, a Constitue</w:t>
      </w:r>
      <w:r w:rsidRPr="00676F45">
        <w:t xml:space="preserve">nt Entity must take into account all deferred tax assets and deferred tax liabilities </w:t>
      </w:r>
      <w:r>
        <w:t xml:space="preserve">(collectively referred to as ‘deferred tax attributes’) </w:t>
      </w:r>
      <w:r w:rsidRPr="00676F45">
        <w:t xml:space="preserve">that are reflected or disclosed in its financial accounts at the beginning of the Transition Year. </w:t>
      </w:r>
    </w:p>
    <w:p w14:paraId="3D8371CD" w14:textId="7A21B9B1" w:rsidR="00F64E31" w:rsidRDefault="00F64E31" w:rsidP="00F64E31">
      <w:pPr>
        <w:pStyle w:val="Normalparatextwithnumbers"/>
        <w:numPr>
          <w:ilvl w:val="1"/>
          <w:numId w:val="18"/>
        </w:numPr>
      </w:pPr>
      <w:r w:rsidRPr="00676F45">
        <w:t xml:space="preserve">The amounts at which these attributes are considered are determined under specific calculation rules discussed </w:t>
      </w:r>
      <w:r>
        <w:t xml:space="preserve">from </w:t>
      </w:r>
      <w:r w:rsidRPr="00676F45">
        <w:t xml:space="preserve">paragraphs </w:t>
      </w:r>
      <w:r>
        <w:fldChar w:fldCharType="begin"/>
      </w:r>
      <w:r>
        <w:instrText xml:space="preserve"> REF _Ref180762149 \r \h </w:instrText>
      </w:r>
      <w:r>
        <w:fldChar w:fldCharType="separate"/>
      </w:r>
      <w:r w:rsidR="009D6D0D">
        <w:t>9.15</w:t>
      </w:r>
      <w:r>
        <w:fldChar w:fldCharType="end"/>
      </w:r>
      <w:r>
        <w:t xml:space="preserve"> to </w:t>
      </w:r>
      <w:r w:rsidR="00CB7770">
        <w:fldChar w:fldCharType="begin"/>
      </w:r>
      <w:r w:rsidR="00CB7770">
        <w:instrText xml:space="preserve"> REF _Ref183522877 \r \h </w:instrText>
      </w:r>
      <w:r w:rsidR="00CB7770">
        <w:fldChar w:fldCharType="separate"/>
      </w:r>
      <w:r w:rsidR="009D6D0D">
        <w:t>9.17</w:t>
      </w:r>
      <w:r w:rsidR="00CB7770">
        <w:fldChar w:fldCharType="end"/>
      </w:r>
      <w:r>
        <w:t xml:space="preserve"> below. </w:t>
      </w:r>
      <w:r>
        <w:br/>
      </w:r>
      <w:r w:rsidRPr="00E1471A">
        <w:rPr>
          <w:rStyle w:val="References"/>
        </w:rPr>
        <w:t xml:space="preserve">[Chapter 9, </w:t>
      </w:r>
      <w:r w:rsidRPr="00C46715">
        <w:rPr>
          <w:b/>
          <w:bCs/>
          <w:i/>
          <w:iCs/>
        </w:rPr>
        <w:t>subsection 9-5(</w:t>
      </w:r>
      <w:r>
        <w:rPr>
          <w:b/>
          <w:bCs/>
          <w:i/>
          <w:iCs/>
        </w:rPr>
        <w:t>2</w:t>
      </w:r>
      <w:r w:rsidRPr="00C46715">
        <w:rPr>
          <w:b/>
          <w:bCs/>
          <w:i/>
          <w:iCs/>
        </w:rPr>
        <w:t>) of the Rules</w:t>
      </w:r>
      <w:r w:rsidRPr="00E1471A">
        <w:rPr>
          <w:rStyle w:val="References"/>
        </w:rPr>
        <w:t>]</w:t>
      </w:r>
    </w:p>
    <w:p w14:paraId="76B1A3BB" w14:textId="3B195960" w:rsidR="00F64E31" w:rsidRDefault="00F64E31" w:rsidP="00F64E31">
      <w:pPr>
        <w:pStyle w:val="Normalparatextwithnumbers"/>
        <w:numPr>
          <w:ilvl w:val="1"/>
          <w:numId w:val="18"/>
        </w:numPr>
      </w:pPr>
      <w:r>
        <w:t xml:space="preserve">These </w:t>
      </w:r>
      <w:r w:rsidRPr="00380666">
        <w:t xml:space="preserve">rules provide a simplified approach for bringing existing deferred tax attributes into the GloBE Rules. For detailed examples of how this operates, including the treatment of tax losses and timing differences, see paragraphs 5 and 6 </w:t>
      </w:r>
      <w:r w:rsidR="00556C5C">
        <w:t xml:space="preserve">on page 225 </w:t>
      </w:r>
      <w:r w:rsidRPr="00380666">
        <w:t>of</w:t>
      </w:r>
      <w:r w:rsidR="00556C5C">
        <w:t xml:space="preserve"> the Consolidated</w:t>
      </w:r>
      <w:r w:rsidRPr="00380666">
        <w:t xml:space="preserve"> Commentary.</w:t>
      </w:r>
    </w:p>
    <w:p w14:paraId="17E32A1B" w14:textId="77777777" w:rsidR="00F64E31" w:rsidRPr="00E1471A" w:rsidRDefault="00F64E31" w:rsidP="00F64E31">
      <w:pPr>
        <w:pStyle w:val="Heading6"/>
        <w:rPr>
          <w:rFonts w:hint="eastAsia"/>
        </w:rPr>
      </w:pPr>
      <w:r w:rsidRPr="00893F19">
        <w:rPr>
          <w:rFonts w:ascii="Helvetica" w:hAnsi="Helvetica"/>
          <w:b/>
          <w:i w:val="0"/>
          <w:spacing w:val="-10"/>
          <w:kern w:val="28"/>
          <w:sz w:val="24"/>
          <w:szCs w:val="56"/>
        </w:rPr>
        <w:t>Special rules and other modifications</w:t>
      </w:r>
    </w:p>
    <w:p w14:paraId="00D31A51" w14:textId="77777777" w:rsidR="00F64E31" w:rsidRPr="00084812" w:rsidRDefault="00F64E31" w:rsidP="00F64E31">
      <w:pPr>
        <w:pStyle w:val="Heading6"/>
        <w:rPr>
          <w:rFonts w:hint="eastAsia"/>
        </w:rPr>
      </w:pPr>
      <w:r>
        <w:t>Limitations</w:t>
      </w:r>
      <w:r w:rsidRPr="00491548">
        <w:t xml:space="preserve"> on certain </w:t>
      </w:r>
      <w:r w:rsidRPr="00084812">
        <w:t xml:space="preserve">Pre-Transition Year </w:t>
      </w:r>
      <w:r w:rsidRPr="00491548">
        <w:t>deferred tax assets</w:t>
      </w:r>
      <w:r>
        <w:t xml:space="preserve"> </w:t>
      </w:r>
    </w:p>
    <w:p w14:paraId="3DA533FF" w14:textId="325D3B00" w:rsidR="00F64E31" w:rsidRDefault="00F64E31" w:rsidP="00F64E31">
      <w:pPr>
        <w:pStyle w:val="Normalparatextwithnumbers"/>
        <w:numPr>
          <w:ilvl w:val="1"/>
          <w:numId w:val="18"/>
        </w:numPr>
      </w:pPr>
      <w:r>
        <w:t xml:space="preserve">The simplified computation rules do not apply to a deferred tax asset that arises from a transaction that occurs between 1 December 2021 and the beginning of the Transition Year and relates to an amount that is: </w:t>
      </w:r>
    </w:p>
    <w:p w14:paraId="05C89BAD" w14:textId="77777777" w:rsidR="00F64E31" w:rsidRDefault="00F64E31" w:rsidP="00B07214">
      <w:pPr>
        <w:pStyle w:val="Dotpoint1"/>
      </w:pPr>
      <w:r w:rsidRPr="004C4D4B">
        <w:t>not included in the Constituent Entity</w:t>
      </w:r>
      <w:r>
        <w:t>’</w:t>
      </w:r>
      <w:r w:rsidRPr="004C4D4B">
        <w:t>s taxable income</w:t>
      </w:r>
      <w:r>
        <w:t xml:space="preserve"> for a Fiscal Year; and </w:t>
      </w:r>
    </w:p>
    <w:p w14:paraId="7C08F936" w14:textId="3DAD465E" w:rsidR="00F64E31" w:rsidRDefault="00F64E31" w:rsidP="00B07214">
      <w:pPr>
        <w:pStyle w:val="Dotpoint1"/>
      </w:pPr>
      <w:r w:rsidRPr="00A9653D">
        <w:lastRenderedPageBreak/>
        <w:t>would not have been considered in computing its GloBE Income or Loss for the Transition Year</w:t>
      </w:r>
      <w:r>
        <w:t xml:space="preserve">, if </w:t>
      </w:r>
      <w:r w:rsidRPr="00645DF0">
        <w:t>the amount arose in the Transition Year</w:t>
      </w:r>
      <w:r>
        <w:t>.</w:t>
      </w:r>
      <w:r>
        <w:br/>
      </w:r>
      <w:r w:rsidRPr="00D51391">
        <w:rPr>
          <w:rStyle w:val="References"/>
        </w:rPr>
        <w:t>[Chapter 9, subsection 9-5(3) of the Rules]</w:t>
      </w:r>
    </w:p>
    <w:p w14:paraId="7F4D83C0" w14:textId="2578D8EC" w:rsidR="00F64E31" w:rsidRDefault="00F64E31" w:rsidP="00F64E31">
      <w:pPr>
        <w:pStyle w:val="Normalparatextwithnumbers"/>
        <w:numPr>
          <w:ilvl w:val="1"/>
          <w:numId w:val="18"/>
        </w:numPr>
      </w:pPr>
      <w:r w:rsidRPr="0003100D">
        <w:t xml:space="preserve">This limitation prevents the recognition of deferred tax assets arising from permanent differences between taxable income and GloBE Income or Loss in the period before the Rules apply. The </w:t>
      </w:r>
      <w:r w:rsidR="008A231F">
        <w:t xml:space="preserve">Consolidated </w:t>
      </w:r>
      <w:r w:rsidRPr="0003100D">
        <w:t>Commentary provides examples of such situations, including where a Constituent Entity triggers a domestic tax loss with respect to an item not considered in calculating GloBE Income or Loss, such as depreciation deductions in excess of an asset's cost (</w:t>
      </w:r>
      <w:r w:rsidR="00F561CF">
        <w:t xml:space="preserve">see </w:t>
      </w:r>
      <w:r w:rsidRPr="0003100D">
        <w:t>paragraphs 8-9</w:t>
      </w:r>
      <w:r w:rsidR="00B91E47">
        <w:t xml:space="preserve"> </w:t>
      </w:r>
      <w:r w:rsidR="00787393">
        <w:t xml:space="preserve">on </w:t>
      </w:r>
      <w:r w:rsidR="00B91E47">
        <w:t>page 226</w:t>
      </w:r>
      <w:r w:rsidRPr="0003100D">
        <w:t xml:space="preserve"> of </w:t>
      </w:r>
      <w:r w:rsidR="00B91E47">
        <w:t>Consolidated</w:t>
      </w:r>
      <w:r w:rsidRPr="0003100D">
        <w:t xml:space="preserve"> Commentary).</w:t>
      </w:r>
      <w:r>
        <w:t xml:space="preserve"> </w:t>
      </w:r>
    </w:p>
    <w:p w14:paraId="486602CA" w14:textId="733DBF7B" w:rsidR="00F64E31" w:rsidRDefault="00F64E31" w:rsidP="00F64E31">
      <w:pPr>
        <w:pStyle w:val="Heading5"/>
        <w:numPr>
          <w:ilvl w:val="4"/>
          <w:numId w:val="2"/>
        </w:numPr>
      </w:pPr>
      <w:r>
        <w:t>Computing the amount</w:t>
      </w:r>
      <w:r w:rsidR="002B2CE2">
        <w:t>s</w:t>
      </w:r>
      <w:r>
        <w:t xml:space="preserve"> of</w:t>
      </w:r>
      <w:r w:rsidRPr="00DD115A">
        <w:rPr>
          <w:i/>
          <w:iCs/>
        </w:rPr>
        <w:t xml:space="preserve"> </w:t>
      </w:r>
      <w:r w:rsidRPr="00794844">
        <w:t>deferred tax attributes</w:t>
      </w:r>
    </w:p>
    <w:p w14:paraId="0C85EAAF" w14:textId="4405B349" w:rsidR="00F64E31" w:rsidRDefault="00F64E31" w:rsidP="00F64E31">
      <w:pPr>
        <w:pStyle w:val="Normalparatextwithnumbers"/>
        <w:numPr>
          <w:ilvl w:val="1"/>
          <w:numId w:val="18"/>
        </w:numPr>
      </w:pPr>
      <w:bookmarkStart w:id="301" w:name="_Ref180762149"/>
      <w:r w:rsidRPr="005B5B76">
        <w:t xml:space="preserve">Once </w:t>
      </w:r>
      <w:r>
        <w:t>the relevant</w:t>
      </w:r>
      <w:r w:rsidRPr="005B5B76">
        <w:t xml:space="preserve"> deferred tax attributes have been identified, </w:t>
      </w:r>
      <w:r>
        <w:t xml:space="preserve">there are </w:t>
      </w:r>
      <w:r w:rsidRPr="005B5B76">
        <w:t xml:space="preserve">specific </w:t>
      </w:r>
      <w:r>
        <w:t xml:space="preserve">calculation </w:t>
      </w:r>
      <w:r w:rsidRPr="005B5B76">
        <w:t xml:space="preserve">rules </w:t>
      </w:r>
      <w:r>
        <w:t>to determine</w:t>
      </w:r>
      <w:r w:rsidRPr="005B5B76">
        <w:t xml:space="preserve"> the </w:t>
      </w:r>
      <w:r w:rsidRPr="007C75DC">
        <w:t>amounts at which these attributes must be considered. These rules build on deferred tax accounting concepts but modify the amounts to ensure appropriate recognition at the lower of the Minimum Rate or applicable domestic tax rate (</w:t>
      </w:r>
      <w:r w:rsidR="00F561CF">
        <w:t xml:space="preserve">see </w:t>
      </w:r>
      <w:r w:rsidRPr="007C75DC">
        <w:t xml:space="preserve">paragraph 5 </w:t>
      </w:r>
      <w:r w:rsidR="00F561CF">
        <w:t xml:space="preserve">on page 225 </w:t>
      </w:r>
      <w:r w:rsidRPr="007C75DC">
        <w:t xml:space="preserve">of </w:t>
      </w:r>
      <w:r w:rsidR="00F561CF">
        <w:t xml:space="preserve">the Consolidated </w:t>
      </w:r>
      <w:r w:rsidRPr="007C75DC">
        <w:t>Commentary).</w:t>
      </w:r>
      <w:bookmarkEnd w:id="301"/>
      <w:r>
        <w:t xml:space="preserve"> </w:t>
      </w:r>
    </w:p>
    <w:p w14:paraId="0888F340" w14:textId="77777777" w:rsidR="00F64E31" w:rsidRDefault="00F64E31" w:rsidP="00F64E31">
      <w:pPr>
        <w:pStyle w:val="Normalparatextwithnumbers"/>
        <w:numPr>
          <w:ilvl w:val="1"/>
          <w:numId w:val="18"/>
        </w:numPr>
      </w:pPr>
      <w:r>
        <w:t>Specifically, the calculation provides different treatments for:</w:t>
      </w:r>
    </w:p>
    <w:p w14:paraId="08E89028" w14:textId="77777777" w:rsidR="00F64E31" w:rsidRDefault="00F64E31" w:rsidP="00B07214">
      <w:pPr>
        <w:pStyle w:val="Dotpoint1"/>
      </w:pPr>
      <w:r>
        <w:t xml:space="preserve">general deferred tax attributes (including those relating to losses); and </w:t>
      </w:r>
    </w:p>
    <w:p w14:paraId="5CEF00F5" w14:textId="77777777" w:rsidR="00F64E31" w:rsidRDefault="00F64E31" w:rsidP="00B07214">
      <w:pPr>
        <w:pStyle w:val="Dotpoint1"/>
      </w:pPr>
      <w:r>
        <w:t xml:space="preserve">deferred tax assets relating to tax credits. </w:t>
      </w:r>
    </w:p>
    <w:p w14:paraId="58049A35" w14:textId="259B87F4" w:rsidR="00F64E31" w:rsidRDefault="00F64E31" w:rsidP="00F64E31">
      <w:pPr>
        <w:pStyle w:val="Normalparatextwithnumbers"/>
        <w:numPr>
          <w:ilvl w:val="1"/>
          <w:numId w:val="18"/>
        </w:numPr>
      </w:pPr>
      <w:bookmarkStart w:id="302" w:name="_Ref183522877"/>
      <w:r>
        <w:t>The differentiated treatment ensures that certain attributes, particularly those relating to losses or timing differences that straddle the implementation of the GloBE Rules, prevent distortions upon entry into the GloBE regime (</w:t>
      </w:r>
      <w:r w:rsidR="00114D8F">
        <w:t xml:space="preserve">see </w:t>
      </w:r>
      <w:r>
        <w:t xml:space="preserve">paragraph 4 </w:t>
      </w:r>
      <w:r w:rsidR="00114D8F">
        <w:t xml:space="preserve">on page 225 </w:t>
      </w:r>
      <w:r>
        <w:t xml:space="preserve">of </w:t>
      </w:r>
      <w:r w:rsidR="00114D8F">
        <w:t xml:space="preserve">the Consolidated </w:t>
      </w:r>
      <w:r>
        <w:t>Commentary).</w:t>
      </w:r>
      <w:bookmarkEnd w:id="302"/>
      <w:r>
        <w:t xml:space="preserve"> </w:t>
      </w:r>
    </w:p>
    <w:p w14:paraId="439CCFFA" w14:textId="77777777" w:rsidR="00F64E31" w:rsidRDefault="00F64E31" w:rsidP="00F64E31">
      <w:pPr>
        <w:pStyle w:val="Heading6"/>
        <w:rPr>
          <w:rFonts w:hint="eastAsia"/>
        </w:rPr>
      </w:pPr>
      <w:r>
        <w:t xml:space="preserve">Valuation adjustment or accounting recognition </w:t>
      </w:r>
    </w:p>
    <w:p w14:paraId="71E372CC" w14:textId="77777777" w:rsidR="00F64E31" w:rsidRDefault="00F64E31" w:rsidP="00F64E31">
      <w:pPr>
        <w:pStyle w:val="Normalparatextwithnumbers"/>
        <w:numPr>
          <w:ilvl w:val="1"/>
          <w:numId w:val="18"/>
        </w:numPr>
      </w:pPr>
      <w:r>
        <w:t xml:space="preserve">However, for the purposes of these calculations, </w:t>
      </w:r>
      <w:r w:rsidRPr="002E0DF4">
        <w:t>the impact of any valuation adjustment or accounting recognition adjustment with respect to the amount of a deferred tax asset must be disregarded.</w:t>
      </w:r>
      <w:r>
        <w:br/>
      </w:r>
      <w:r w:rsidRPr="00E1471A">
        <w:rPr>
          <w:rStyle w:val="References"/>
        </w:rPr>
        <w:t>[Chapter 9, subsection 9-10(2) of the Rules]</w:t>
      </w:r>
    </w:p>
    <w:p w14:paraId="3DB7F92A" w14:textId="5B9481ED" w:rsidR="00F64E31" w:rsidRDefault="00F64E31" w:rsidP="00F64E31">
      <w:pPr>
        <w:pStyle w:val="Normalparatextwithnumbers"/>
        <w:numPr>
          <w:ilvl w:val="1"/>
          <w:numId w:val="18"/>
        </w:numPr>
      </w:pPr>
      <w:r w:rsidRPr="004E05D6">
        <w:t>This ensure</w:t>
      </w:r>
      <w:r>
        <w:t xml:space="preserve">s </w:t>
      </w:r>
      <w:r w:rsidRPr="004E05D6">
        <w:t>that deferred tax assets are appropriately recogni</w:t>
      </w:r>
      <w:r>
        <w:t>s</w:t>
      </w:r>
      <w:r w:rsidRPr="004E05D6">
        <w:t>ed for GloBE purposes regardless of any accounting restrictions that might otherwise limit their recognition</w:t>
      </w:r>
      <w:r>
        <w:t xml:space="preserve"> (see paragraph 5 </w:t>
      </w:r>
      <w:r w:rsidR="00DA3616">
        <w:t xml:space="preserve">on page 225 </w:t>
      </w:r>
      <w:r>
        <w:t xml:space="preserve">of </w:t>
      </w:r>
      <w:r w:rsidR="00DA3616">
        <w:t xml:space="preserve">the Consolidated </w:t>
      </w:r>
      <w:r>
        <w:t xml:space="preserve">Commentary). </w:t>
      </w:r>
    </w:p>
    <w:p w14:paraId="55DEA03D" w14:textId="77777777" w:rsidR="00F64E31" w:rsidRPr="00E1471A" w:rsidRDefault="00F64E31" w:rsidP="00F64E31">
      <w:pPr>
        <w:pStyle w:val="Heading6"/>
        <w:rPr>
          <w:rStyle w:val="Heading7Char"/>
        </w:rPr>
      </w:pPr>
      <w:r>
        <w:t xml:space="preserve">General </w:t>
      </w:r>
      <w:r w:rsidRPr="00D466FE">
        <w:t xml:space="preserve">deferred tax attributes  </w:t>
      </w:r>
    </w:p>
    <w:p w14:paraId="58B63826" w14:textId="7F390503" w:rsidR="00F64E31" w:rsidRDefault="00F64E31" w:rsidP="00F64E31">
      <w:pPr>
        <w:pStyle w:val="Normalparatextwithnumbers"/>
        <w:numPr>
          <w:ilvl w:val="1"/>
          <w:numId w:val="18"/>
        </w:numPr>
      </w:pPr>
      <w:r w:rsidRPr="003568C0">
        <w:t xml:space="preserve">For deferred tax attributes </w:t>
      </w:r>
      <w:r>
        <w:t>(</w:t>
      </w:r>
      <w:r w:rsidRPr="003568C0">
        <w:t>not relating to tax credits</w:t>
      </w:r>
      <w:r>
        <w:t>)</w:t>
      </w:r>
      <w:r w:rsidRPr="003568C0">
        <w:t xml:space="preserve">, the amount to be considered is determined under different rules depending on whether the </w:t>
      </w:r>
      <w:r w:rsidRPr="003568C0">
        <w:lastRenderedPageBreak/>
        <w:t>attribute relates to a GloBE Loss.</w:t>
      </w:r>
      <w:r>
        <w:t xml:space="preserve"> Generally, the amount of a deferred tax asset or deferred tax liability to be considered is the lesser of the following:</w:t>
      </w:r>
    </w:p>
    <w:p w14:paraId="6194EA89" w14:textId="77777777" w:rsidR="00F64E31" w:rsidRDefault="00F64E31" w:rsidP="00B07214">
      <w:pPr>
        <w:pStyle w:val="Dotpoint1"/>
      </w:pPr>
      <w:r>
        <w:t xml:space="preserve">the amount of the deferred tax asset or deferred tax liability reflected or disclosed in the financial accounts; or  </w:t>
      </w:r>
    </w:p>
    <w:p w14:paraId="28F676B8" w14:textId="77777777" w:rsidR="00F64E31" w:rsidRDefault="00F64E31" w:rsidP="00B07214">
      <w:pPr>
        <w:pStyle w:val="Dotpoint1"/>
      </w:pPr>
      <w:r>
        <w:t xml:space="preserve">that amount recast at the Minimum Rate. </w:t>
      </w:r>
      <w:r>
        <w:br/>
      </w:r>
      <w:r w:rsidRPr="009D29A6">
        <w:rPr>
          <w:rStyle w:val="References"/>
        </w:rPr>
        <w:t>[Chapter 9, paragraph</w:t>
      </w:r>
      <w:r>
        <w:rPr>
          <w:rStyle w:val="References"/>
        </w:rPr>
        <w:t xml:space="preserve">s 9-10(1)(b) and </w:t>
      </w:r>
      <w:r w:rsidRPr="009D29A6">
        <w:rPr>
          <w:rStyle w:val="References"/>
        </w:rPr>
        <w:t>9-10(4)(a) of the Rules]</w:t>
      </w:r>
    </w:p>
    <w:p w14:paraId="1235285E" w14:textId="77777777" w:rsidR="00F64E31" w:rsidRDefault="00F64E31" w:rsidP="00F64E31">
      <w:pPr>
        <w:pStyle w:val="Heading6"/>
        <w:rPr>
          <w:rFonts w:hint="eastAsia"/>
        </w:rPr>
      </w:pPr>
      <w:r>
        <w:t xml:space="preserve">Special rule for losses </w:t>
      </w:r>
    </w:p>
    <w:p w14:paraId="1C5A687B" w14:textId="77777777" w:rsidR="00F64E31" w:rsidRDefault="00F64E31" w:rsidP="00F64E31">
      <w:pPr>
        <w:pStyle w:val="Normalparatextwithnumbers"/>
        <w:numPr>
          <w:ilvl w:val="1"/>
          <w:numId w:val="18"/>
        </w:numPr>
      </w:pPr>
      <w:r>
        <w:t xml:space="preserve">However, a different treatment will apply to a deferred tax asset that is attributable to a tax loss in certain circumstances. Specifically, the amount of the deferred tax asset reflected in the financial accounts is recast at the Minimum Rate where: </w:t>
      </w:r>
    </w:p>
    <w:p w14:paraId="5366F15A" w14:textId="49823262" w:rsidR="00F64E31" w:rsidRDefault="00F64E31" w:rsidP="00B07214">
      <w:pPr>
        <w:pStyle w:val="Dotpoint1"/>
      </w:pPr>
      <w:r>
        <w:t xml:space="preserve">the deferred tax asset is attributable to a tax loss; and </w:t>
      </w:r>
    </w:p>
    <w:p w14:paraId="2F45EC27" w14:textId="22D3C1D4" w:rsidR="00F64E31" w:rsidRDefault="00F64E31" w:rsidP="00B07214">
      <w:pPr>
        <w:pStyle w:val="Dotpoint1"/>
      </w:pPr>
      <w:r>
        <w:t>th</w:t>
      </w:r>
      <w:r w:rsidRPr="001D67C3">
        <w:t>at loss would have been considered in computing the Constituent Entity</w:t>
      </w:r>
      <w:r>
        <w:t xml:space="preserve">’s </w:t>
      </w:r>
      <w:r w:rsidRPr="001D67C3">
        <w:t>GloBE Income or Loss for the Fiscal Year in which the loss arose (assuming such a computation was required in that year</w:t>
      </w:r>
      <w:r>
        <w:t xml:space="preserve">). </w:t>
      </w:r>
      <w:r>
        <w:br/>
      </w:r>
      <w:r w:rsidRPr="009D29A6">
        <w:rPr>
          <w:rStyle w:val="References"/>
        </w:rPr>
        <w:t>[Chapter 9, paragraph 9-10(4)(b) of the Rules]</w:t>
      </w:r>
    </w:p>
    <w:p w14:paraId="28816192" w14:textId="08EF0977" w:rsidR="00F64E31" w:rsidRDefault="00F64E31" w:rsidP="00F64E31">
      <w:pPr>
        <w:pStyle w:val="Normalparatextwithnumbers"/>
        <w:numPr>
          <w:ilvl w:val="1"/>
          <w:numId w:val="18"/>
        </w:numPr>
      </w:pPr>
      <w:r>
        <w:t>This rule ensures that losses incurred before the Rules apply are appropriately recognised when determining the</w:t>
      </w:r>
      <w:r w:rsidR="00827B65">
        <w:t xml:space="preserve"> ETR</w:t>
      </w:r>
      <w:r>
        <w:t xml:space="preserve">. </w:t>
      </w:r>
      <w:r w:rsidR="00827B65">
        <w:t>F</w:t>
      </w:r>
      <w:r>
        <w:t>ailure to take appropriate account of operating losses that the MNE Group has incurred in the periods prior to becoming subject to the GloBE Rules could result in a distorted picture of the MNE Group's tax position (paragraph 2 o</w:t>
      </w:r>
      <w:r w:rsidR="00C9541C">
        <w:t>n page 224 o</w:t>
      </w:r>
      <w:r>
        <w:t>f</w:t>
      </w:r>
      <w:r w:rsidR="00C9541C">
        <w:t xml:space="preserve"> the Consolidated</w:t>
      </w:r>
      <w:r>
        <w:t xml:space="preserve"> Commentary).</w:t>
      </w:r>
    </w:p>
    <w:p w14:paraId="0688E9DF" w14:textId="15AD3C40" w:rsidR="00F64E31" w:rsidRDefault="00F64E31" w:rsidP="00F64E31">
      <w:pPr>
        <w:pStyle w:val="Normalparatextwithnumbers"/>
        <w:numPr>
          <w:ilvl w:val="1"/>
          <w:numId w:val="18"/>
        </w:numPr>
      </w:pPr>
      <w:r>
        <w:t xml:space="preserve">For example, if a Constituent Entity incurred a tax loss before the GloBE Rules applied (and that loss would have qualified as a GloBE Loss), the deferred tax asset for that loss is recast at the Minimum Rate even if it was originally recorded at a lower rate, providing the appropriate shelter against future GloBE Income (paragraph 6 </w:t>
      </w:r>
      <w:r w:rsidR="00F561CF">
        <w:t xml:space="preserve">on page 225 </w:t>
      </w:r>
      <w:r>
        <w:t xml:space="preserve">of </w:t>
      </w:r>
      <w:r w:rsidR="00F561CF">
        <w:t xml:space="preserve">the Consolidated </w:t>
      </w:r>
      <w:r>
        <w:t>Commentary).</w:t>
      </w:r>
    </w:p>
    <w:p w14:paraId="4D80BC98" w14:textId="77777777" w:rsidR="00F64E31" w:rsidRDefault="00F64E31" w:rsidP="00F64E31">
      <w:pPr>
        <w:pStyle w:val="Heading6"/>
        <w:rPr>
          <w:rFonts w:hint="eastAsia"/>
        </w:rPr>
      </w:pPr>
      <w:r>
        <w:t xml:space="preserve">Tax credit amounts </w:t>
      </w:r>
    </w:p>
    <w:p w14:paraId="5ECFEFFA" w14:textId="7CDBC3D6" w:rsidR="00F64E31" w:rsidRDefault="00F64E31" w:rsidP="00F64E31">
      <w:pPr>
        <w:pStyle w:val="Normalparatextwithnumbers"/>
        <w:numPr>
          <w:ilvl w:val="1"/>
          <w:numId w:val="18"/>
        </w:numPr>
      </w:pPr>
      <w:r>
        <w:t xml:space="preserve">For deferred tax assets relating to tax credits, </w:t>
      </w:r>
      <w:r w:rsidRPr="00E74D0D">
        <w:t xml:space="preserve">the amount to be considered depends on </w:t>
      </w:r>
      <w:r>
        <w:t xml:space="preserve">what </w:t>
      </w:r>
      <w:r w:rsidRPr="00E74D0D">
        <w:t xml:space="preserve">the tax rate used to determine the deferred tax asset is </w:t>
      </w:r>
      <w:r>
        <w:t>relative to</w:t>
      </w:r>
      <w:r w:rsidR="00795540">
        <w:t xml:space="preserve"> the</w:t>
      </w:r>
      <w:r>
        <w:t xml:space="preserve"> 15 per cent</w:t>
      </w:r>
      <w:r w:rsidR="00795540">
        <w:t xml:space="preserve"> Minimum Rate</w:t>
      </w:r>
      <w:r>
        <w:t xml:space="preserve">. If the tax rate used to determine the asset is: </w:t>
      </w:r>
    </w:p>
    <w:p w14:paraId="6A364513" w14:textId="77777777" w:rsidR="00F64E31" w:rsidRDefault="00F64E31" w:rsidP="00B07214">
      <w:pPr>
        <w:pStyle w:val="Dotpoint1"/>
      </w:pPr>
      <w:r>
        <w:t xml:space="preserve">less than 15 per cent, then it is the amount reflected or disclosed in the financial accounts is used; or </w:t>
      </w:r>
    </w:p>
    <w:p w14:paraId="3F04E263" w14:textId="77777777" w:rsidR="00F64E31" w:rsidRDefault="00F64E31" w:rsidP="00B07214">
      <w:pPr>
        <w:pStyle w:val="Dotpoint1"/>
      </w:pPr>
      <w:r>
        <w:t>at least 15 per cent, then t</w:t>
      </w:r>
      <w:r w:rsidRPr="00B21A21">
        <w:t xml:space="preserve">he amount </w:t>
      </w:r>
      <w:r>
        <w:t xml:space="preserve">that is </w:t>
      </w:r>
      <w:r w:rsidRPr="00B21A21">
        <w:t>computed using the following formula</w:t>
      </w:r>
      <w:r>
        <w:t xml:space="preserve">: </w:t>
      </w:r>
    </w:p>
    <w:p w14:paraId="1E47DE53" w14:textId="2E3032B4" w:rsidR="0065541E" w:rsidRDefault="0065541E" w:rsidP="00F64E31">
      <w:pPr>
        <w:pStyle w:val="Normalparatextwithnumbers"/>
        <w:numPr>
          <w:ilvl w:val="0"/>
          <w:numId w:val="0"/>
        </w:numPr>
        <w:ind w:left="709"/>
      </w:pPr>
      <w:r w:rsidRPr="0065541E">
        <w:rPr>
          <w:noProof/>
        </w:rPr>
        <w:drawing>
          <wp:inline distT="0" distB="0" distL="0" distR="0" wp14:anchorId="0C47D8FB" wp14:editId="308DA5D5">
            <wp:extent cx="4895850" cy="495300"/>
            <wp:effectExtent l="0" t="0" r="0" b="0"/>
            <wp:docPr id="1605034277" name="Picture 34" descr="Formula if the tax rate used to determine the asset at least 15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34277" name="Picture 34" descr="Formula if the tax rate used to determine the asset at least 15 per cent"/>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895850" cy="495300"/>
                    </a:xfrm>
                    <a:prstGeom prst="rect">
                      <a:avLst/>
                    </a:prstGeom>
                    <a:noFill/>
                    <a:ln>
                      <a:noFill/>
                    </a:ln>
                  </pic:spPr>
                </pic:pic>
              </a:graphicData>
            </a:graphic>
          </wp:inline>
        </w:drawing>
      </w:r>
    </w:p>
    <w:p w14:paraId="4456B056" w14:textId="77777777" w:rsidR="00F64E31" w:rsidRPr="00D962D6" w:rsidRDefault="00F64E31" w:rsidP="00F64E31">
      <w:pPr>
        <w:pStyle w:val="Normalparatextwithnumbers"/>
        <w:numPr>
          <w:ilvl w:val="0"/>
          <w:numId w:val="0"/>
        </w:numPr>
        <w:ind w:left="709"/>
        <w:rPr>
          <w:b/>
          <w:bCs/>
          <w:i/>
          <w:iCs/>
        </w:rPr>
      </w:pPr>
      <w:r w:rsidRPr="00253EEC">
        <w:rPr>
          <w:rStyle w:val="References"/>
        </w:rPr>
        <w:lastRenderedPageBreak/>
        <w:t>[Chapter 9, paragraph 9-10(1)(a) and subsection 9-10(3) of the Rules]</w:t>
      </w:r>
    </w:p>
    <w:p w14:paraId="4CB7A13E" w14:textId="2B7541DA" w:rsidR="00F64E31" w:rsidRDefault="00F64E31" w:rsidP="00F64E31">
      <w:pPr>
        <w:pStyle w:val="Normalparatextwithnumbers"/>
        <w:numPr>
          <w:ilvl w:val="1"/>
          <w:numId w:val="18"/>
        </w:numPr>
      </w:pPr>
      <w:r w:rsidRPr="00611CE6">
        <w:t xml:space="preserve">For the purposes of this formula, </w:t>
      </w:r>
      <w:r w:rsidRPr="00E1471A">
        <w:rPr>
          <w:b/>
          <w:bCs/>
          <w:i/>
          <w:iCs/>
        </w:rPr>
        <w:t>deferred tax asset or liability</w:t>
      </w:r>
      <w:r w:rsidRPr="00CE4D8D">
        <w:t xml:space="preserve"> means the amount of the deferred tax asset or deferred tax liability reflected or disclosed in the financial accounts</w:t>
      </w:r>
      <w:r>
        <w:t>. T</w:t>
      </w:r>
      <w:r w:rsidRPr="00611CE6">
        <w:t xml:space="preserve">he </w:t>
      </w:r>
      <w:r w:rsidRPr="00CE4D8D">
        <w:rPr>
          <w:b/>
          <w:bCs/>
          <w:i/>
          <w:iCs/>
        </w:rPr>
        <w:t>applicable domestic tax rate</w:t>
      </w:r>
      <w:r w:rsidRPr="00611CE6">
        <w:t xml:space="preserve"> is the tax rate that applied in the Fiscal Year preceding the Transition Year. </w:t>
      </w:r>
    </w:p>
    <w:p w14:paraId="3BB1A4BC" w14:textId="77777777" w:rsidR="00F64E31" w:rsidRDefault="00F64E31" w:rsidP="00F64E31">
      <w:pPr>
        <w:pStyle w:val="Heading6"/>
        <w:rPr>
          <w:rFonts w:hint="eastAsia"/>
        </w:rPr>
      </w:pPr>
      <w:r>
        <w:t xml:space="preserve">Re-application year </w:t>
      </w:r>
    </w:p>
    <w:p w14:paraId="290998A4" w14:textId="7533B6AB" w:rsidR="00F64E31" w:rsidRDefault="00F64E31" w:rsidP="00F561CF">
      <w:pPr>
        <w:pStyle w:val="Normalparatextwithnumbers"/>
      </w:pPr>
      <w:r>
        <w:t>However, i</w:t>
      </w:r>
      <w:r w:rsidRPr="001F1B1F">
        <w:t xml:space="preserve">f the tax rate applicable to the Constituent Entity changes in a subsequent Fiscal Year (known as the re-application year), the formula must be reapplied to the outstanding balance of the tax credit reflected or disclosed in the financial accounts at the beginning of that year. </w:t>
      </w:r>
    </w:p>
    <w:p w14:paraId="703184F8" w14:textId="0F178C4D" w:rsidR="00F64E31" w:rsidRPr="004B34D0" w:rsidRDefault="00F64E31" w:rsidP="00F561CF">
      <w:pPr>
        <w:pStyle w:val="Normalparatextwithnumbers"/>
      </w:pPr>
      <w:r w:rsidRPr="00611CE6">
        <w:t xml:space="preserve">This ensures the recalculation is based on the rate at which the deferred tax asset was originally recorded (paragraph 6.1 </w:t>
      </w:r>
      <w:r>
        <w:t xml:space="preserve">on page 225 </w:t>
      </w:r>
      <w:r w:rsidRPr="00611CE6">
        <w:t xml:space="preserve">of </w:t>
      </w:r>
      <w:r>
        <w:t xml:space="preserve">the </w:t>
      </w:r>
      <w:r w:rsidR="00F561CF">
        <w:t xml:space="preserve">Consolidated </w:t>
      </w:r>
      <w:r w:rsidRPr="00611CE6">
        <w:t>Commentary).</w:t>
      </w:r>
      <w:r>
        <w:t xml:space="preserve"> </w:t>
      </w:r>
      <w:r w:rsidRPr="00AC1EC8">
        <w:t xml:space="preserve">Importantly, any change in the amount of the deferred tax asset resulting from this reapplication is not treated as </w:t>
      </w:r>
      <w:r w:rsidRPr="00E1471A">
        <w:t>deferred tax expense</w:t>
      </w:r>
      <w:r w:rsidRPr="00AC1EC8">
        <w:t xml:space="preserve"> in computing Adjusted Covered Taxes in the re-application year. Instead, the </w:t>
      </w:r>
      <w:r w:rsidRPr="00E1471A">
        <w:t>deferred tax expense</w:t>
      </w:r>
      <w:r w:rsidRPr="00AC1EC8">
        <w:t xml:space="preserve"> for the re-application year and subsequent years shall be determined by reference to the amount of the reversal of the </w:t>
      </w:r>
      <w:r w:rsidRPr="004B34D0">
        <w:t xml:space="preserve">deferred tax asset after re-application of the formula (paragraph 6.2 </w:t>
      </w:r>
      <w:r>
        <w:t xml:space="preserve">on page 225 </w:t>
      </w:r>
      <w:r w:rsidRPr="004B34D0">
        <w:t xml:space="preserve">of </w:t>
      </w:r>
      <w:r>
        <w:t xml:space="preserve">the </w:t>
      </w:r>
      <w:r w:rsidR="00F561CF">
        <w:t xml:space="preserve">Consolidated </w:t>
      </w:r>
      <w:r w:rsidRPr="004B34D0">
        <w:t>Commentary).</w:t>
      </w:r>
    </w:p>
    <w:p w14:paraId="36C7238B" w14:textId="77777777" w:rsidR="00F64E31" w:rsidRPr="004B34D0" w:rsidRDefault="00F64E31" w:rsidP="00F64E31">
      <w:pPr>
        <w:pStyle w:val="Heading4"/>
        <w:numPr>
          <w:ilvl w:val="3"/>
          <w:numId w:val="2"/>
        </w:numPr>
      </w:pPr>
      <w:r w:rsidRPr="004B34D0">
        <w:t>Pre-transition asset transfers</w:t>
      </w:r>
    </w:p>
    <w:p w14:paraId="10AB524E" w14:textId="75084DD2" w:rsidR="00F64E31" w:rsidRPr="004B34D0" w:rsidRDefault="00F64E31" w:rsidP="00F64E31">
      <w:pPr>
        <w:pStyle w:val="Normalparatextwithnumbers"/>
        <w:numPr>
          <w:ilvl w:val="1"/>
          <w:numId w:val="18"/>
        </w:numPr>
      </w:pPr>
      <w:r w:rsidRPr="004B34D0">
        <w:t xml:space="preserve">The transitional rules also provide a framework for dealing with asset transfers that occurred before an MNE Group became </w:t>
      </w:r>
      <w:r w:rsidR="00FE3D2E">
        <w:t xml:space="preserve">in scope of </w:t>
      </w:r>
      <w:r w:rsidRPr="004B34D0">
        <w:t xml:space="preserve">the GloBE Rules. These provisions address the risk of asset transfers between related entities in a way that could undermine the Rules, for example by inappropriately reducing future top-up tax liabilities. </w:t>
      </w:r>
    </w:p>
    <w:p w14:paraId="178146C4" w14:textId="77777777" w:rsidR="00F64E31" w:rsidRDefault="00F64E31" w:rsidP="00F64E31">
      <w:pPr>
        <w:pStyle w:val="Normalparatextwithnumbers"/>
        <w:numPr>
          <w:ilvl w:val="1"/>
          <w:numId w:val="18"/>
        </w:numPr>
      </w:pPr>
      <w:r w:rsidRPr="004B34D0">
        <w:t>The Rules therefore require certain pre-transition asset transfers to be recognised at their historic carrying value rather than any stepped-up amount, with the</w:t>
      </w:r>
      <w:r>
        <w:t xml:space="preserve"> broader intention of preserving the appropriate tax base. </w:t>
      </w:r>
    </w:p>
    <w:p w14:paraId="55848B2B" w14:textId="77777777" w:rsidR="00F64E31" w:rsidRDefault="00F64E31" w:rsidP="00F64E31">
      <w:pPr>
        <w:pStyle w:val="Heading5"/>
        <w:numPr>
          <w:ilvl w:val="4"/>
          <w:numId w:val="2"/>
        </w:numPr>
      </w:pPr>
      <w:r>
        <w:t>Purpose and scope</w:t>
      </w:r>
    </w:p>
    <w:p w14:paraId="58DBD2C7" w14:textId="77777777" w:rsidR="00F64E31" w:rsidRDefault="00F64E31" w:rsidP="00F64E31">
      <w:pPr>
        <w:pStyle w:val="Normalparatextwithnumbers"/>
        <w:numPr>
          <w:ilvl w:val="1"/>
          <w:numId w:val="18"/>
        </w:numPr>
      </w:pPr>
      <w:r w:rsidRPr="00F94184">
        <w:t>These rules apply to transactions (including any transfer of rights) that occur, or are deemed to occur, in relation to an asset (including any item of economic value) owned by an Entity (</w:t>
      </w:r>
      <w:r>
        <w:t xml:space="preserve">referred to as </w:t>
      </w:r>
      <w:r w:rsidRPr="00F94184">
        <w:t xml:space="preserve">the </w:t>
      </w:r>
      <w:r w:rsidRPr="00E1471A">
        <w:rPr>
          <w:b/>
          <w:bCs/>
          <w:i/>
          <w:iCs/>
        </w:rPr>
        <w:t>disposing Entity</w:t>
      </w:r>
      <w:r w:rsidRPr="00F94184">
        <w:t>). The transaction must occur in the period starting on 1 December 2021 and ending immediately before the disposing Entity</w:t>
      </w:r>
      <w:r>
        <w:t>’</w:t>
      </w:r>
      <w:r w:rsidRPr="00F94184">
        <w:t>s Transition Year.</w:t>
      </w:r>
      <w:r>
        <w:br/>
      </w:r>
      <w:r w:rsidRPr="00E1471A">
        <w:rPr>
          <w:rStyle w:val="References"/>
        </w:rPr>
        <w:t>[Chapter 9, paragraphs 9-15(1)(a) and (b) of the Rules]</w:t>
      </w:r>
    </w:p>
    <w:p w14:paraId="0431F430" w14:textId="77777777" w:rsidR="00F64E31" w:rsidRDefault="00F64E31" w:rsidP="00F64E31">
      <w:pPr>
        <w:pStyle w:val="Normalparatextwithnumbers"/>
        <w:numPr>
          <w:ilvl w:val="1"/>
          <w:numId w:val="18"/>
        </w:numPr>
      </w:pPr>
      <w:r>
        <w:t xml:space="preserve">The transaction is one in which another Entity (referred to as the </w:t>
      </w:r>
      <w:r w:rsidRPr="00E1471A">
        <w:rPr>
          <w:b/>
          <w:bCs/>
          <w:i/>
          <w:iCs/>
        </w:rPr>
        <w:t>acquiring Entity</w:t>
      </w:r>
      <w:r>
        <w:t xml:space="preserve">) either: </w:t>
      </w:r>
    </w:p>
    <w:p w14:paraId="0B718B64" w14:textId="69EAE948" w:rsidR="00F64E31" w:rsidRDefault="00F64E31" w:rsidP="00B07214">
      <w:pPr>
        <w:pStyle w:val="Dotpoint1"/>
      </w:pPr>
      <w:r>
        <w:lastRenderedPageBreak/>
        <w:t>creates or increases the carrying value of the asset in its financial accounts and the disposing Entity recognising the corresponding amount of income; or</w:t>
      </w:r>
    </w:p>
    <w:p w14:paraId="1DFD266A" w14:textId="77777777" w:rsidR="00F64E31" w:rsidRDefault="00F64E31" w:rsidP="00B07214">
      <w:pPr>
        <w:pStyle w:val="Dotpoint1"/>
      </w:pPr>
      <w:r>
        <w:t xml:space="preserve">records the carrying value of the asset in its financial accounts at cost and a deferred tax asset based on the difference between that carrying value and its tax basis. </w:t>
      </w:r>
      <w:r>
        <w:br/>
      </w:r>
      <w:r w:rsidRPr="00E1471A">
        <w:rPr>
          <w:rStyle w:val="References"/>
        </w:rPr>
        <w:t>[Chapter 9, subparagraphs 9-15(1)(a)(i) and (ii) of the Rules]</w:t>
      </w:r>
      <w:r>
        <w:t xml:space="preserve"> </w:t>
      </w:r>
    </w:p>
    <w:p w14:paraId="13B774FF" w14:textId="4D718551" w:rsidR="00F64E31" w:rsidRDefault="00F64E31" w:rsidP="00F64E31">
      <w:pPr>
        <w:pStyle w:val="Normalparatextwithnumbers"/>
        <w:numPr>
          <w:ilvl w:val="1"/>
          <w:numId w:val="18"/>
        </w:numPr>
      </w:pPr>
      <w:r>
        <w:t xml:space="preserve">Additionally, where the disposing Entity and the acquiring Entity are </w:t>
      </w:r>
      <w:r w:rsidR="00F41DB4">
        <w:t>different</w:t>
      </w:r>
      <w:r>
        <w:t xml:space="preserve">, they must be entities that would have been Constituent Entities of the same MNE Group had these Rules been in force immediately before the transaction. </w:t>
      </w:r>
      <w:r>
        <w:br/>
      </w:r>
      <w:r w:rsidRPr="00E1471A">
        <w:rPr>
          <w:rStyle w:val="References"/>
        </w:rPr>
        <w:t>[Chapter 9, paragraph 9-15(1)(d) of the Rules]</w:t>
      </w:r>
    </w:p>
    <w:p w14:paraId="00100EDE" w14:textId="77777777" w:rsidR="00F64E31" w:rsidRDefault="00F64E31" w:rsidP="00F64E31">
      <w:pPr>
        <w:pStyle w:val="Heading6"/>
        <w:rPr>
          <w:rFonts w:hint="eastAsia"/>
        </w:rPr>
      </w:pPr>
      <w:r>
        <w:t>Types of covered transactions</w:t>
      </w:r>
    </w:p>
    <w:p w14:paraId="0316FEEB" w14:textId="3420147A" w:rsidR="00F64E31" w:rsidRPr="00155B38" w:rsidRDefault="00F64E31" w:rsidP="00F64E31">
      <w:pPr>
        <w:pStyle w:val="Normalparatextwithnumbers"/>
        <w:numPr>
          <w:ilvl w:val="1"/>
          <w:numId w:val="18"/>
        </w:numPr>
      </w:pPr>
      <w:r>
        <w:t>For these purposes, t</w:t>
      </w:r>
      <w:r w:rsidRPr="00155B38">
        <w:t xml:space="preserve">he concept of a </w:t>
      </w:r>
      <w:r>
        <w:t>‘</w:t>
      </w:r>
      <w:r w:rsidRPr="00155B38">
        <w:t>transaction</w:t>
      </w:r>
      <w:r>
        <w:t>’</w:t>
      </w:r>
      <w:r w:rsidRPr="00155B38">
        <w:t xml:space="preserve"> in relation to an asset is interpreted broadly. </w:t>
      </w:r>
      <w:r w:rsidR="00697219">
        <w:t>T</w:t>
      </w:r>
      <w:r w:rsidRPr="00155B38">
        <w:t xml:space="preserve">his includes any transfer of rights to an item of economic value where the acquiring Entity creates or increases the carrying value of an asset in its financial accounts and the disposing Entity recognises the corresponding income (paragraph 10.2 </w:t>
      </w:r>
      <w:r>
        <w:t xml:space="preserve">on page 227 </w:t>
      </w:r>
      <w:r w:rsidRPr="00155B38">
        <w:t xml:space="preserve">of </w:t>
      </w:r>
      <w:r>
        <w:t xml:space="preserve">the </w:t>
      </w:r>
      <w:r w:rsidR="00BC29D6">
        <w:t xml:space="preserve">Consolidated </w:t>
      </w:r>
      <w:r w:rsidRPr="00155B38">
        <w:t>Commentary).</w:t>
      </w:r>
      <w:r>
        <w:t xml:space="preserve"> </w:t>
      </w:r>
      <w:r w:rsidRPr="00155B38">
        <w:t>Importantly, these rules apply to both</w:t>
      </w:r>
      <w:r>
        <w:t xml:space="preserve"> t</w:t>
      </w:r>
      <w:r w:rsidRPr="00155B38">
        <w:t>ransactions between different Entities</w:t>
      </w:r>
      <w:r>
        <w:t xml:space="preserve"> as well as t</w:t>
      </w:r>
      <w:r w:rsidRPr="00155B38">
        <w:t xml:space="preserve">ransfers </w:t>
      </w:r>
      <w:r>
        <w:t>(</w:t>
      </w:r>
      <w:r w:rsidRPr="00155B38">
        <w:t>or deemed transfers of assets</w:t>
      </w:r>
      <w:r>
        <w:t>) w</w:t>
      </w:r>
      <w:r w:rsidRPr="00155B38">
        <w:t>ithin the same Entity</w:t>
      </w:r>
      <w:r>
        <w:t xml:space="preserve">. </w:t>
      </w:r>
      <w:r>
        <w:br/>
      </w:r>
      <w:r w:rsidRPr="00E1471A">
        <w:rPr>
          <w:rStyle w:val="References"/>
        </w:rPr>
        <w:t>[Chapter 9, paragraph 9-15(1)(a) of the Rules]</w:t>
      </w:r>
    </w:p>
    <w:p w14:paraId="243E2D8E" w14:textId="5E5F00D1" w:rsidR="00F64E31" w:rsidRDefault="00F64E31" w:rsidP="00F64E31">
      <w:pPr>
        <w:pStyle w:val="Normalparatextwithnumbers"/>
        <w:numPr>
          <w:ilvl w:val="1"/>
          <w:numId w:val="18"/>
        </w:numPr>
      </w:pPr>
      <w:r w:rsidRPr="00C32D94">
        <w:t xml:space="preserve">A ‘transfer of assets’ </w:t>
      </w:r>
      <w:r>
        <w:t xml:space="preserve">has a </w:t>
      </w:r>
      <w:r w:rsidRPr="00C32D94">
        <w:t>broad</w:t>
      </w:r>
      <w:r>
        <w:t xml:space="preserve"> application </w:t>
      </w:r>
      <w:r w:rsidRPr="00C32D94">
        <w:t>to include cross-border and domestic transactions that are treated like a sale of assets from an accounting perspective</w:t>
      </w:r>
      <w:r>
        <w:t xml:space="preserve">. Transfer of assets under </w:t>
      </w:r>
      <w:r w:rsidRPr="00155B38">
        <w:t xml:space="preserve">paragraph 10.4 </w:t>
      </w:r>
      <w:r>
        <w:t xml:space="preserve">on page 228 </w:t>
      </w:r>
      <w:r w:rsidRPr="00155B38">
        <w:t xml:space="preserve">of </w:t>
      </w:r>
      <w:r>
        <w:t>the</w:t>
      </w:r>
      <w:r w:rsidR="00114D8F">
        <w:t xml:space="preserve"> Consolidated</w:t>
      </w:r>
      <w:r>
        <w:t xml:space="preserve"> </w:t>
      </w:r>
      <w:r w:rsidRPr="00155B38">
        <w:t>Commentary</w:t>
      </w:r>
      <w:r>
        <w:t xml:space="preserve">, may include, but are not limited to the following types of transactions or restructurings: </w:t>
      </w:r>
    </w:p>
    <w:p w14:paraId="006659DB" w14:textId="77777777" w:rsidR="00F64E31" w:rsidRDefault="00F64E31" w:rsidP="00B07214">
      <w:pPr>
        <w:pStyle w:val="Dotpoint1"/>
      </w:pPr>
      <w:r>
        <w:t xml:space="preserve">sale of an asset; </w:t>
      </w:r>
    </w:p>
    <w:p w14:paraId="7191C979" w14:textId="77777777" w:rsidR="00F64E31" w:rsidRDefault="00F64E31" w:rsidP="00B07214">
      <w:pPr>
        <w:pStyle w:val="Dotpoint1"/>
      </w:pPr>
      <w:r>
        <w:t xml:space="preserve">capital lease, which is accounted for in the same or similar manner as a purchase of an asset; </w:t>
      </w:r>
    </w:p>
    <w:p w14:paraId="00EB1987" w14:textId="77777777" w:rsidR="00F64E31" w:rsidRDefault="00F64E31" w:rsidP="00B07214">
      <w:pPr>
        <w:pStyle w:val="Dotpoint1"/>
      </w:pPr>
      <w:r>
        <w:t xml:space="preserve">a license that is effectively treated as a sale for accounting purposes; </w:t>
      </w:r>
    </w:p>
    <w:p w14:paraId="563F0790" w14:textId="77777777" w:rsidR="00F64E31" w:rsidRDefault="00F64E31" w:rsidP="00B07214">
      <w:pPr>
        <w:pStyle w:val="Dotpoint1"/>
      </w:pPr>
      <w:r>
        <w:t xml:space="preserve">a transfer of assets through a sale of a Controlling Interest; </w:t>
      </w:r>
    </w:p>
    <w:p w14:paraId="4B121001" w14:textId="77777777" w:rsidR="00F64E31" w:rsidRDefault="00F64E31" w:rsidP="00B07214">
      <w:pPr>
        <w:pStyle w:val="Dotpoint1"/>
      </w:pPr>
      <w:r>
        <w:t xml:space="preserve">a prepayment of royalty or rents, where the licensor/lessor records the prepayment as income and the licensee/lessee capitalizes and amortizes the asset in its financial accounts; </w:t>
      </w:r>
    </w:p>
    <w:p w14:paraId="0EFCE2DD" w14:textId="77777777" w:rsidR="00F64E31" w:rsidRDefault="00F64E31" w:rsidP="00B07214">
      <w:pPr>
        <w:pStyle w:val="Dotpoint1"/>
      </w:pPr>
      <w:r>
        <w:t xml:space="preserve">a total return swap where the underlying asset is transferred to the financial accounts of the Entity that acquired the rights to income and capital gains generated by an underlying asset; </w:t>
      </w:r>
    </w:p>
    <w:p w14:paraId="1697EC5D" w14:textId="3B2CFE9D" w:rsidR="00F64E31" w:rsidRDefault="00F64E31" w:rsidP="00B07214">
      <w:pPr>
        <w:pStyle w:val="Dotpoint1"/>
      </w:pPr>
      <w:r>
        <w:t>a migration of an Entity/Entities where an MNE Group receives a step</w:t>
      </w:r>
      <w:r w:rsidR="00BF1454">
        <w:noBreakHyphen/>
      </w:r>
      <w:r>
        <w:t xml:space="preserve">up in the tax basis or carrying value (e.g. based on fair value of assets) of the relocated assets; and </w:t>
      </w:r>
    </w:p>
    <w:p w14:paraId="5D53687A" w14:textId="77777777" w:rsidR="00F64E31" w:rsidRDefault="00F64E31" w:rsidP="00B07214">
      <w:pPr>
        <w:pStyle w:val="Dotpoint1"/>
      </w:pPr>
      <w:r>
        <w:lastRenderedPageBreak/>
        <w:t>a change to fair value accounting where the Entity records the relevant gains or losses from fair value changes of the underlying asset and corresponding adjustments to the carrying value of the asset.</w:t>
      </w:r>
    </w:p>
    <w:p w14:paraId="63DBEF1A" w14:textId="77777777" w:rsidR="00F64E31" w:rsidRPr="00885A00" w:rsidRDefault="00F64E31" w:rsidP="00F64E31">
      <w:pPr>
        <w:pStyle w:val="Heading5"/>
      </w:pPr>
      <w:r w:rsidRPr="00DB0ED7">
        <w:t xml:space="preserve">Treatment of qualifying transfers </w:t>
      </w:r>
    </w:p>
    <w:p w14:paraId="0770B009" w14:textId="77777777" w:rsidR="00F64E31" w:rsidRDefault="00F64E31" w:rsidP="00F64E31">
      <w:pPr>
        <w:pStyle w:val="Heading6"/>
        <w:rPr>
          <w:rFonts w:hint="eastAsia"/>
        </w:rPr>
      </w:pPr>
      <w:r>
        <w:t xml:space="preserve">General treatment of carrying values </w:t>
      </w:r>
    </w:p>
    <w:p w14:paraId="091DF8DA" w14:textId="77777777" w:rsidR="00F64E31" w:rsidRDefault="00F64E31" w:rsidP="00F64E31">
      <w:pPr>
        <w:pStyle w:val="Normalparatextwithnumbers"/>
        <w:numPr>
          <w:ilvl w:val="1"/>
          <w:numId w:val="18"/>
        </w:numPr>
      </w:pPr>
      <w:r>
        <w:t>For the purposes of applying these transitional provisions in relation to Constituent Entities of the MNE Group, t</w:t>
      </w:r>
      <w:r w:rsidRPr="00C92B64">
        <w:t xml:space="preserve">he relevant asset </w:t>
      </w:r>
      <w:r>
        <w:t>is</w:t>
      </w:r>
      <w:r w:rsidRPr="00C92B64">
        <w:t xml:space="preserve"> treated as having been acquired for an amount equal to the disposing Entity’s carrying value immediately before the transaction</w:t>
      </w:r>
      <w:r>
        <w:t>.</w:t>
      </w:r>
      <w:r>
        <w:br/>
      </w:r>
      <w:r w:rsidRPr="00E1471A">
        <w:rPr>
          <w:rStyle w:val="References"/>
        </w:rPr>
        <w:t>[Chapter 9, paragraph 9-15(2)(a) of the Rules]</w:t>
      </w:r>
    </w:p>
    <w:p w14:paraId="5DE083C8" w14:textId="77777777" w:rsidR="00F64E31" w:rsidRDefault="00F64E31" w:rsidP="00F64E31">
      <w:pPr>
        <w:pStyle w:val="Normalparatextwithnumbers"/>
        <w:numPr>
          <w:ilvl w:val="1"/>
          <w:numId w:val="18"/>
        </w:numPr>
      </w:pPr>
      <w:r>
        <w:t>The carrying value of the asset at the beginning of the Transition Year is treated as being that amount, adjusted for:</w:t>
      </w:r>
    </w:p>
    <w:p w14:paraId="092C7F87" w14:textId="77777777" w:rsidR="00F64E31" w:rsidRDefault="00F64E31" w:rsidP="00B07214">
      <w:pPr>
        <w:pStyle w:val="Dotpoint1"/>
      </w:pPr>
      <w:r>
        <w:t xml:space="preserve">subsequent capitalised expenditure incurred in respect of the asset after the transaction; and </w:t>
      </w:r>
    </w:p>
    <w:p w14:paraId="0B2518CA" w14:textId="38CF388D" w:rsidR="00F64E31" w:rsidRDefault="00F64E31" w:rsidP="00B07214">
      <w:pPr>
        <w:pStyle w:val="Dotpoint1"/>
      </w:pPr>
      <w:r>
        <w:t xml:space="preserve">amortisation and depreciation, assuming any increase in the carrying value resulting from the transaction had not occurred. </w:t>
      </w:r>
      <w:r>
        <w:br/>
      </w:r>
      <w:r w:rsidRPr="00594409">
        <w:rPr>
          <w:b/>
          <w:bCs/>
          <w:i/>
          <w:iCs/>
        </w:rPr>
        <w:t>[Chapter 9, paragraph 9-15(2)(b) of the Rules]</w:t>
      </w:r>
    </w:p>
    <w:p w14:paraId="2934C072" w14:textId="2C374B3E" w:rsidR="00F64E31" w:rsidRDefault="00F64E31" w:rsidP="00F64E31">
      <w:pPr>
        <w:pStyle w:val="Normalparatextwithnumbers"/>
        <w:numPr>
          <w:ilvl w:val="1"/>
          <w:numId w:val="18"/>
        </w:numPr>
      </w:pPr>
      <w:r w:rsidRPr="00E04F0C">
        <w:t>This treatment ensures that any step-up in the asset</w:t>
      </w:r>
      <w:r>
        <w:t xml:space="preserve">’s </w:t>
      </w:r>
      <w:r w:rsidRPr="00E04F0C">
        <w:t xml:space="preserve">value resulting from the transfer is disregarded for </w:t>
      </w:r>
      <w:r>
        <w:t xml:space="preserve">the </w:t>
      </w:r>
      <w:r w:rsidRPr="00E04F0C">
        <w:t>purposes</w:t>
      </w:r>
      <w:r>
        <w:t xml:space="preserve"> of the transitional rules and</w:t>
      </w:r>
      <w:r w:rsidRPr="00E04F0C">
        <w:t xml:space="preserve"> preserves the appropriate tax base by preventing artificial increases in asset values that could shield future income from </w:t>
      </w:r>
      <w:r w:rsidR="0045415B">
        <w:t>t</w:t>
      </w:r>
      <w:r w:rsidRPr="00E04F0C">
        <w:t xml:space="preserve">op-up </w:t>
      </w:r>
      <w:r w:rsidR="0045415B">
        <w:t>t</w:t>
      </w:r>
      <w:r w:rsidRPr="00E04F0C">
        <w:t xml:space="preserve">ax (paragraph 10.1 </w:t>
      </w:r>
      <w:r>
        <w:t xml:space="preserve">on page 227 </w:t>
      </w:r>
      <w:r w:rsidRPr="00E04F0C">
        <w:t xml:space="preserve">of </w:t>
      </w:r>
      <w:r>
        <w:t xml:space="preserve">the </w:t>
      </w:r>
      <w:r w:rsidR="0045415B">
        <w:t xml:space="preserve">Consolidated </w:t>
      </w:r>
      <w:r w:rsidRPr="00E04F0C">
        <w:t>Commentary).</w:t>
      </w:r>
      <w:r>
        <w:t xml:space="preserve"> </w:t>
      </w:r>
    </w:p>
    <w:p w14:paraId="67C79EB1" w14:textId="05BD659C" w:rsidR="00F64E31" w:rsidRDefault="00F64E31" w:rsidP="00F64E31">
      <w:pPr>
        <w:pStyle w:val="Normalparatextwithnumbers"/>
        <w:numPr>
          <w:ilvl w:val="1"/>
          <w:numId w:val="18"/>
        </w:numPr>
      </w:pPr>
      <w:r w:rsidRPr="00D65BA3">
        <w:t>The requirement to calculate amortisation and depreciation as if the transfer had not occurred means that any increased depreciation or amortization attributable to recording the asset at a higher value in the financial accounts must be excluded from GloBE calculations. Similarly, any gain or loss from a subsequent sale of the asset must be determined based on this adjusted carrying value (paragraph 10 o</w:t>
      </w:r>
      <w:r>
        <w:t>n page 226 o</w:t>
      </w:r>
      <w:r w:rsidRPr="00D65BA3">
        <w:t xml:space="preserve">f </w:t>
      </w:r>
      <w:r>
        <w:t>the</w:t>
      </w:r>
      <w:r w:rsidR="0045415B">
        <w:t xml:space="preserve"> Consolidated</w:t>
      </w:r>
      <w:r>
        <w:t xml:space="preserve"> </w:t>
      </w:r>
      <w:r w:rsidRPr="00D65BA3">
        <w:t>Commentary).</w:t>
      </w:r>
      <w:r>
        <w:t xml:space="preserve"> </w:t>
      </w:r>
    </w:p>
    <w:p w14:paraId="701FDEDD" w14:textId="77777777" w:rsidR="00F64E31" w:rsidRDefault="00F64E31" w:rsidP="00F64E31">
      <w:pPr>
        <w:pStyle w:val="Heading6"/>
        <w:rPr>
          <w:rFonts w:hint="eastAsia"/>
        </w:rPr>
      </w:pPr>
      <w:r>
        <w:t xml:space="preserve">Treatment of deferred tax attributes </w:t>
      </w:r>
    </w:p>
    <w:p w14:paraId="11B5BA13" w14:textId="77777777" w:rsidR="00F64E31" w:rsidRDefault="00F64E31" w:rsidP="00F64E31">
      <w:pPr>
        <w:pStyle w:val="Normalparatextwithnumbers"/>
        <w:numPr>
          <w:ilvl w:val="1"/>
          <w:numId w:val="18"/>
        </w:numPr>
      </w:pPr>
      <w:bookmarkStart w:id="303" w:name="_Ref180681021"/>
      <w:r>
        <w:t xml:space="preserve">Any deferred tax asset or deferred tax liability that arises as a result of the transaction must be disregarded, subject to specific exceptions discussed below. </w:t>
      </w:r>
      <w:r>
        <w:br/>
      </w:r>
      <w:r w:rsidRPr="00E1471A">
        <w:rPr>
          <w:b/>
          <w:bCs/>
          <w:i/>
          <w:iCs/>
        </w:rPr>
        <w:t>[Chapter 9, paragraph 9-15(2)(c) of the Rules]</w:t>
      </w:r>
      <w:bookmarkEnd w:id="303"/>
    </w:p>
    <w:p w14:paraId="03B03310" w14:textId="69700095" w:rsidR="00F64E31" w:rsidRDefault="00F64E31" w:rsidP="00F64E31">
      <w:pPr>
        <w:pStyle w:val="Normalparatextwithnumbers"/>
        <w:numPr>
          <w:ilvl w:val="1"/>
          <w:numId w:val="18"/>
        </w:numPr>
      </w:pPr>
      <w:bookmarkStart w:id="304" w:name="_Ref180681005"/>
      <w:r>
        <w:t xml:space="preserve">This limitation on recognising deferred tax attributes works together with the carrying value rules to prevent transactions from inappropriately affecting future GloBE calculations. </w:t>
      </w:r>
      <w:r w:rsidR="00813C9F">
        <w:t>A</w:t>
      </w:r>
      <w:r>
        <w:t>llowing such deferred tax attributes could effectively shield the same amount of income from top-up tax as a step</w:t>
      </w:r>
      <w:r w:rsidR="00F858FA">
        <w:noBreakHyphen/>
      </w:r>
      <w:r>
        <w:t xml:space="preserve">up in carrying value (paragraph 10.7 on page 228 of the </w:t>
      </w:r>
      <w:r w:rsidR="0045415B">
        <w:t xml:space="preserve">Consolidated </w:t>
      </w:r>
      <w:r>
        <w:t>Commentary).</w:t>
      </w:r>
      <w:bookmarkEnd w:id="304"/>
    </w:p>
    <w:p w14:paraId="19A39D38" w14:textId="68C2C683" w:rsidR="00F64E31" w:rsidRDefault="00F64E31" w:rsidP="00F64E31">
      <w:pPr>
        <w:pStyle w:val="Normalparatextwithnumbers"/>
        <w:numPr>
          <w:ilvl w:val="1"/>
          <w:numId w:val="18"/>
        </w:numPr>
      </w:pPr>
      <w:bookmarkStart w:id="305" w:name="_Ref180682877"/>
      <w:r>
        <w:lastRenderedPageBreak/>
        <w:t>There are instances where a deferred tax asset may be recognised despite the general limitation explained in paragraph</w:t>
      </w:r>
      <w:r w:rsidR="001F3A51">
        <w:t xml:space="preserve"> </w:t>
      </w:r>
      <w:r w:rsidR="0077013F">
        <w:fldChar w:fldCharType="begin"/>
      </w:r>
      <w:r w:rsidR="0077013F">
        <w:instrText xml:space="preserve"> REF _Ref180681005 \r \h </w:instrText>
      </w:r>
      <w:r w:rsidR="0077013F">
        <w:fldChar w:fldCharType="separate"/>
      </w:r>
      <w:r w:rsidR="0077013F">
        <w:t>9.40</w:t>
      </w:r>
      <w:r w:rsidR="0077013F">
        <w:fldChar w:fldCharType="end"/>
      </w:r>
      <w:r w:rsidR="00CB0ABA">
        <w:t xml:space="preserve"> above</w:t>
      </w:r>
      <w:r>
        <w:t>. The amount of any such deferred tax asset is limited to the lesser of the following amounts:</w:t>
      </w:r>
      <w:bookmarkEnd w:id="305"/>
      <w:r>
        <w:t xml:space="preserve"> </w:t>
      </w:r>
    </w:p>
    <w:p w14:paraId="34D32DDC" w14:textId="77777777" w:rsidR="00F64E31" w:rsidRDefault="00F64E31" w:rsidP="00B07214">
      <w:pPr>
        <w:pStyle w:val="Dotpoint1"/>
      </w:pPr>
      <w:r>
        <w:t xml:space="preserve">(Amount 1) The Minimum Rate multiplied by the difference between the tax basis in the asset and the carrying value of the asset (determined under the basic rules above); and </w:t>
      </w:r>
    </w:p>
    <w:p w14:paraId="24931376" w14:textId="77777777" w:rsidR="00F64E31" w:rsidRDefault="00F64E31" w:rsidP="00B07214">
      <w:pPr>
        <w:pStyle w:val="Dotpoint1"/>
      </w:pPr>
      <w:r>
        <w:t>(Amount 2) The sum of:</w:t>
      </w:r>
    </w:p>
    <w:p w14:paraId="395E54BC" w14:textId="77777777" w:rsidR="00F64E31" w:rsidRDefault="00F64E31" w:rsidP="00B7652D">
      <w:pPr>
        <w:pStyle w:val="dotpoint2"/>
        <w:tabs>
          <w:tab w:val="clear" w:pos="1513"/>
          <w:tab w:val="clear" w:pos="2127"/>
        </w:tabs>
        <w:ind w:left="2127" w:hanging="709"/>
      </w:pPr>
      <w:r>
        <w:t xml:space="preserve">tax paid by the disposing Entity in respect of the transaction; </w:t>
      </w:r>
    </w:p>
    <w:p w14:paraId="72E572FB" w14:textId="7AC42B5C" w:rsidR="00F64E31" w:rsidRDefault="00F64E31" w:rsidP="00B7652D">
      <w:pPr>
        <w:pStyle w:val="dotpoint2"/>
        <w:tabs>
          <w:tab w:val="clear" w:pos="1513"/>
          <w:tab w:val="clear" w:pos="2127"/>
        </w:tabs>
        <w:ind w:left="2127" w:hanging="709"/>
      </w:pPr>
      <w:r>
        <w:t>Covered Taxes that would have been allocated to the disposing Entity under Part 4-3</w:t>
      </w:r>
      <w:r w:rsidR="0045415B">
        <w:t xml:space="preserve"> of the Rules</w:t>
      </w:r>
      <w:r>
        <w:t xml:space="preserve">; </w:t>
      </w:r>
    </w:p>
    <w:p w14:paraId="6778FA59" w14:textId="77777777" w:rsidR="00F64E31" w:rsidRPr="00E1471A" w:rsidRDefault="00F64E31" w:rsidP="00B7652D">
      <w:pPr>
        <w:pStyle w:val="dotpoint2"/>
        <w:tabs>
          <w:tab w:val="clear" w:pos="1513"/>
          <w:tab w:val="clear" w:pos="2127"/>
        </w:tabs>
        <w:ind w:left="2127" w:hanging="709"/>
        <w:rPr>
          <w:b/>
          <w:i/>
        </w:rPr>
      </w:pPr>
      <w:r>
        <w:t xml:space="preserve">the amount of any deferred tax asset that would have been recognised under the general transitional rules but was reversed or not created because gain from the transaction was included in the disposing Entity's taxable income. </w:t>
      </w:r>
      <w:r>
        <w:br/>
      </w:r>
      <w:r w:rsidRPr="00E1471A">
        <w:rPr>
          <w:b/>
          <w:i/>
        </w:rPr>
        <w:t>[Chapter 9, subsection 9-15(3) of the Rules]</w:t>
      </w:r>
    </w:p>
    <w:p w14:paraId="27290937" w14:textId="77777777" w:rsidR="00F64E31" w:rsidRDefault="00F64E31" w:rsidP="00F64E31">
      <w:pPr>
        <w:pStyle w:val="Normalparatextwithnumbers"/>
        <w:numPr>
          <w:ilvl w:val="1"/>
          <w:numId w:val="18"/>
        </w:numPr>
      </w:pPr>
      <w:bookmarkStart w:id="306" w:name="_Ref180682881"/>
      <w:r>
        <w:t>In working out the sum for Amount 2 above, carrying values and deferred tax assets are adjusted to ensure that the amounts are appropriately updated to reflect changes after the transaction. Similarly, where group taxation regimes apply, adjustments are required to ensure that the rules operate appropriately. Specifically, the following adjustments are required:</w:t>
      </w:r>
      <w:bookmarkEnd w:id="306"/>
      <w:r>
        <w:t xml:space="preserve"> </w:t>
      </w:r>
    </w:p>
    <w:p w14:paraId="6C53577F" w14:textId="77777777" w:rsidR="00F64E31" w:rsidRDefault="00F64E31" w:rsidP="00B07214">
      <w:pPr>
        <w:pStyle w:val="Dotpoint1"/>
      </w:pPr>
      <w:r>
        <w:t xml:space="preserve">the carrying value of the asset and any deferred tax assets that arose in relation to the asset before the transaction must be adjusted for subsequent capitalised expenditure, amortisation and depreciation (only to the extent these items are incurred, or would have been recognised, in or after the Transition Year); and </w:t>
      </w:r>
    </w:p>
    <w:p w14:paraId="54509F24" w14:textId="424E45B2" w:rsidR="00F64E31" w:rsidRDefault="00F64E31" w:rsidP="00B07214">
      <w:pPr>
        <w:pStyle w:val="Dotpoint1"/>
      </w:pPr>
      <w:r>
        <w:t xml:space="preserve">treat the </w:t>
      </w:r>
      <w:r w:rsidRPr="007C75DC">
        <w:t>other Constituent Entities of the MNE Group that are included in the tax consolidation group as being part of the disposing Entity</w:t>
      </w:r>
      <w:r>
        <w:t>, only if</w:t>
      </w:r>
      <w:r w:rsidRPr="007C75DC">
        <w:t xml:space="preserve"> the disposing Entity is included in a </w:t>
      </w:r>
      <w:r w:rsidR="001B58B0">
        <w:t>TCG</w:t>
      </w:r>
      <w:r w:rsidRPr="007C75DC">
        <w:t xml:space="preserve"> </w:t>
      </w:r>
      <w:r>
        <w:t>by virtue of an election having been made under section 3</w:t>
      </w:r>
      <w:r w:rsidRPr="00EA7E52">
        <w:noBreakHyphen/>
        <w:t>185</w:t>
      </w:r>
      <w:r w:rsidRPr="007C75DC">
        <w:t xml:space="preserve"> </w:t>
      </w:r>
      <w:r>
        <w:t>of the Rules (paragraph 10.8 on page 229 of the</w:t>
      </w:r>
      <w:r w:rsidR="0045415B">
        <w:t xml:space="preserve"> Consolidated</w:t>
      </w:r>
      <w:r>
        <w:t xml:space="preserve"> Commentary).</w:t>
      </w:r>
      <w:r>
        <w:br/>
      </w:r>
      <w:r w:rsidRPr="00594409">
        <w:rPr>
          <w:b/>
          <w:bCs/>
          <w:i/>
          <w:iCs/>
        </w:rPr>
        <w:t>[Chapter 9, subsection 9-15(4) of the Rules]</w:t>
      </w:r>
    </w:p>
    <w:p w14:paraId="33F61998" w14:textId="77777777" w:rsidR="00F64E31" w:rsidRDefault="00F64E31" w:rsidP="00F64E31">
      <w:pPr>
        <w:pStyle w:val="Normalparatextwithnumbers"/>
        <w:numPr>
          <w:ilvl w:val="1"/>
          <w:numId w:val="18"/>
        </w:numPr>
      </w:pPr>
      <w:r>
        <w:t>As an example, of the first adjustment to carrying values and deferred tax assets for subsequent events, if the asset is depreciated after the transaction, both its carrying value and any related deferred tax assets must be adjusted accordingly.</w:t>
      </w:r>
    </w:p>
    <w:p w14:paraId="0340BD2E" w14:textId="77777777" w:rsidR="00F64E31" w:rsidRDefault="00F64E31" w:rsidP="00F64E31">
      <w:pPr>
        <w:pStyle w:val="Heading6"/>
        <w:rPr>
          <w:rFonts w:hint="eastAsia"/>
        </w:rPr>
      </w:pPr>
      <w:r>
        <w:t xml:space="preserve">Treatment of transactions recorded at fair value </w:t>
      </w:r>
    </w:p>
    <w:p w14:paraId="65A642D5" w14:textId="77777777" w:rsidR="00F64E31" w:rsidRDefault="00F64E31" w:rsidP="00F64E31">
      <w:pPr>
        <w:pStyle w:val="Normalparatextwithnumbers"/>
        <w:numPr>
          <w:ilvl w:val="1"/>
          <w:numId w:val="18"/>
        </w:numPr>
      </w:pPr>
      <w:r>
        <w:t>The Rules provide an alternative treatment for a Filing Constituent Entity to choose not to apply the basic carrying values for an asset where an acquiring Entity has recorded an asset at fair value in its financial accounts. This alternative is available if:</w:t>
      </w:r>
    </w:p>
    <w:p w14:paraId="365EDD44" w14:textId="77777777" w:rsidR="00F64E31" w:rsidRDefault="00F64E31" w:rsidP="00B07214">
      <w:pPr>
        <w:pStyle w:val="Dotpoint1"/>
      </w:pPr>
      <w:r>
        <w:lastRenderedPageBreak/>
        <w:t xml:space="preserve">after the transaction, the acquiring Entity records the asset at fair value in its financial accounts; and </w:t>
      </w:r>
    </w:p>
    <w:p w14:paraId="705B5C28" w14:textId="181B01D6" w:rsidR="00F64E31" w:rsidRDefault="00F64E31" w:rsidP="00B07214">
      <w:pPr>
        <w:pStyle w:val="Dotpoint1"/>
      </w:pPr>
      <w:r>
        <w:t>the amount computed under Amount 2 (see paragraph</w:t>
      </w:r>
      <w:r w:rsidR="00AC510D">
        <w:t xml:space="preserve"> </w:t>
      </w:r>
      <w:r w:rsidR="00C55E47">
        <w:t>9.58 above</w:t>
      </w:r>
      <w:r>
        <w:t xml:space="preserve">) is greater than Amount 1. </w:t>
      </w:r>
      <w:r>
        <w:br/>
      </w:r>
      <w:r w:rsidRPr="00594409">
        <w:rPr>
          <w:b/>
          <w:i/>
        </w:rPr>
        <w:t>[Chapter 9, subsection 9-15(5)</w:t>
      </w:r>
      <w:r>
        <w:rPr>
          <w:b/>
          <w:i/>
        </w:rPr>
        <w:t>, (6) and (7)</w:t>
      </w:r>
      <w:r w:rsidRPr="00594409">
        <w:rPr>
          <w:b/>
          <w:i/>
        </w:rPr>
        <w:t xml:space="preserve"> of the Rules]</w:t>
      </w:r>
    </w:p>
    <w:p w14:paraId="7BEB5E4B" w14:textId="65992FDE" w:rsidR="00F64E31" w:rsidRPr="00CA0236" w:rsidRDefault="00F64E31" w:rsidP="00F64E31">
      <w:pPr>
        <w:pStyle w:val="Normalparatextwithnumbers"/>
        <w:numPr>
          <w:ilvl w:val="1"/>
          <w:numId w:val="18"/>
        </w:numPr>
        <w:rPr>
          <w:b/>
          <w:i/>
        </w:rPr>
      </w:pPr>
      <w:r w:rsidRPr="008E76D3">
        <w:t xml:space="preserve">Where an acquiring Entity would otherwise be entitled to recognise a deferred tax asset (based on the tax paid by the disposing Entity), it may instead simply use the fair value recorded in its financial accounts. This alternative treatment recognises situations where sufficient tax has been paid on the transfer to justify using the fair value for GloBE purposes (paragraph 10.9 </w:t>
      </w:r>
      <w:r>
        <w:t xml:space="preserve">on page 229 </w:t>
      </w:r>
      <w:r w:rsidRPr="008E76D3">
        <w:t xml:space="preserve">of </w:t>
      </w:r>
      <w:r>
        <w:t xml:space="preserve">the </w:t>
      </w:r>
      <w:r w:rsidR="0045415B">
        <w:t xml:space="preserve">Consolidated </w:t>
      </w:r>
      <w:r w:rsidRPr="008E76D3">
        <w:t xml:space="preserve">Commentary). </w:t>
      </w:r>
    </w:p>
    <w:p w14:paraId="0F8D5584" w14:textId="77777777" w:rsidR="00F64E31" w:rsidRPr="00CA0236" w:rsidRDefault="00F64E31" w:rsidP="00F64E31">
      <w:pPr>
        <w:pStyle w:val="Normalparatextwithnumbers"/>
        <w:numPr>
          <w:ilvl w:val="1"/>
          <w:numId w:val="18"/>
        </w:numPr>
        <w:rPr>
          <w:b/>
          <w:i/>
        </w:rPr>
      </w:pPr>
      <w:r w:rsidRPr="008E76D3">
        <w:t>As an example,</w:t>
      </w:r>
      <w:r w:rsidRPr="00CA0236">
        <w:t xml:space="preserve"> </w:t>
      </w:r>
      <w:r w:rsidRPr="008E76D3">
        <w:t>the acquiring Entity can choose to use its recorded fair value rather than the historic carrying value for GloBE calculations if</w:t>
      </w:r>
      <w:r>
        <w:t xml:space="preserve"> all of the following are satisfied: </w:t>
      </w:r>
    </w:p>
    <w:p w14:paraId="3C165C94" w14:textId="77777777" w:rsidR="00F64E31" w:rsidRPr="00CA0236" w:rsidRDefault="00F64E31" w:rsidP="00B07214">
      <w:pPr>
        <w:pStyle w:val="Dotpoint1"/>
        <w:rPr>
          <w:b/>
          <w:i/>
        </w:rPr>
      </w:pPr>
      <w:r w:rsidRPr="008E76D3">
        <w:t>the acquiring Entity records an asset at its fair value</w:t>
      </w:r>
      <w:r>
        <w:t>;</w:t>
      </w:r>
      <w:r w:rsidRPr="008E76D3">
        <w:t xml:space="preserve"> </w:t>
      </w:r>
    </w:p>
    <w:p w14:paraId="40EA7960" w14:textId="77777777" w:rsidR="00F64E31" w:rsidRPr="00CA0236" w:rsidRDefault="00F64E31" w:rsidP="00B07214">
      <w:pPr>
        <w:pStyle w:val="Dotpoint1"/>
        <w:rPr>
          <w:b/>
          <w:i/>
        </w:rPr>
      </w:pPr>
      <w:r w:rsidRPr="008E76D3">
        <w:t>the disposing Entity has paid sufficient tax on the transfer gain</w:t>
      </w:r>
      <w:r>
        <w:t>;</w:t>
      </w:r>
      <w:r w:rsidRPr="008E76D3">
        <w:t xml:space="preserve"> and </w:t>
      </w:r>
    </w:p>
    <w:p w14:paraId="7E3F2905" w14:textId="77777777" w:rsidR="00F64E31" w:rsidRPr="008E76D3" w:rsidRDefault="00F64E31" w:rsidP="00B07214">
      <w:pPr>
        <w:pStyle w:val="Dotpoint1"/>
        <w:rPr>
          <w:b/>
          <w:i/>
        </w:rPr>
      </w:pPr>
      <w:r w:rsidRPr="008E76D3">
        <w:t>the tax paid amount exceeds what would be recognised through the normal carrying value rules.</w:t>
      </w:r>
    </w:p>
    <w:p w14:paraId="58159A27" w14:textId="77777777" w:rsidR="00F64E31" w:rsidRPr="008E76D3" w:rsidRDefault="00F64E31" w:rsidP="002D5E0B">
      <w:pPr>
        <w:pStyle w:val="Heading3"/>
        <w:rPr>
          <w:rFonts w:hint="eastAsia"/>
          <w:b/>
          <w:i/>
        </w:rPr>
      </w:pPr>
      <w:bookmarkStart w:id="307" w:name="_Toc183786693"/>
      <w:bookmarkStart w:id="308" w:name="_Toc185503034"/>
      <w:r w:rsidRPr="008E76D3">
        <w:t>Transitional relief for the Substance-based Income Exclusion</w:t>
      </w:r>
      <w:bookmarkEnd w:id="307"/>
      <w:bookmarkEnd w:id="308"/>
    </w:p>
    <w:p w14:paraId="4FC7B564" w14:textId="77777777" w:rsidR="00F64E31" w:rsidRPr="008E76D3" w:rsidRDefault="00F64E31" w:rsidP="00F64E31">
      <w:pPr>
        <w:pStyle w:val="Normalparatextwithnumbers"/>
        <w:numPr>
          <w:ilvl w:val="1"/>
          <w:numId w:val="18"/>
        </w:numPr>
        <w:rPr>
          <w:b/>
          <w:i/>
        </w:rPr>
      </w:pPr>
      <w:r w:rsidRPr="008E76D3">
        <w:t>Transitional rules apply when calculating the Substance-based Income Exclusion in Fiscal Years beginning from 1 January 2023 to 31 December 2032.</w:t>
      </w:r>
      <w:r>
        <w:br/>
      </w:r>
      <w:r w:rsidRPr="0066667B">
        <w:rPr>
          <w:rStyle w:val="References"/>
        </w:rPr>
        <w:t>[</w:t>
      </w:r>
      <w:r>
        <w:rPr>
          <w:rStyle w:val="References"/>
        </w:rPr>
        <w:t>Chapter 9, section 9-25 of the Rules</w:t>
      </w:r>
      <w:r w:rsidRPr="0066667B">
        <w:rPr>
          <w:rStyle w:val="References"/>
        </w:rPr>
        <w:t xml:space="preserve">] </w:t>
      </w:r>
      <w:bookmarkStart w:id="309" w:name="_Ref118110070"/>
    </w:p>
    <w:p w14:paraId="3B869465" w14:textId="77777777" w:rsidR="00F64E31" w:rsidRPr="00E1471A" w:rsidRDefault="00F64E31" w:rsidP="00B7652D">
      <w:pPr>
        <w:pStyle w:val="Normalparatextwithnumbers"/>
        <w:keepNext/>
        <w:keepLines/>
        <w:numPr>
          <w:ilvl w:val="1"/>
          <w:numId w:val="18"/>
        </w:numPr>
        <w:rPr>
          <w:b/>
          <w:i/>
        </w:rPr>
      </w:pPr>
      <w:r>
        <w:lastRenderedPageBreak/>
        <w:t>For the purposes of the payroll carve-out amount and the tangible asset carve</w:t>
      </w:r>
      <w:r>
        <w:noBreakHyphen/>
        <w:t>out amount, the reference to 5 per cent should be replaced with the percentage in the below table for each Fiscal Year beginning in each of the following calendar years</w:t>
      </w:r>
      <w:bookmarkEnd w:id="309"/>
      <w:r>
        <w:t>.</w:t>
      </w:r>
    </w:p>
    <w:tbl>
      <w:tblPr>
        <w:tblW w:w="7797" w:type="dxa"/>
        <w:tblInd w:w="-5" w:type="dxa"/>
        <w:tblLook w:val="04A0" w:firstRow="1" w:lastRow="0" w:firstColumn="1" w:lastColumn="0" w:noHBand="0" w:noVBand="1"/>
      </w:tblPr>
      <w:tblGrid>
        <w:gridCol w:w="1276"/>
        <w:gridCol w:w="1985"/>
        <w:gridCol w:w="850"/>
        <w:gridCol w:w="1275"/>
        <w:gridCol w:w="2411"/>
      </w:tblGrid>
      <w:tr w:rsidR="009C7EDF" w:rsidRPr="0097177E" w14:paraId="5A21F5CE" w14:textId="77777777" w:rsidTr="00B7652D">
        <w:trPr>
          <w:trHeight w:val="315"/>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4F7C314" w14:textId="77777777" w:rsidR="00F64E31" w:rsidRPr="0097177E" w:rsidRDefault="00F64E31" w:rsidP="00B7652D">
            <w:pPr>
              <w:keepNext/>
              <w:keepLines/>
              <w:spacing w:before="0" w:after="0"/>
              <w:rPr>
                <w:rFonts w:cs="Times New Roman"/>
                <w:b/>
                <w:color w:val="000000"/>
                <w:sz w:val="20"/>
                <w:szCs w:val="20"/>
              </w:rPr>
            </w:pPr>
            <w:r w:rsidRPr="0097177E">
              <w:rPr>
                <w:rFonts w:cs="Times New Roman"/>
                <w:b/>
                <w:color w:val="000000"/>
                <w:sz w:val="20"/>
                <w:szCs w:val="20"/>
              </w:rPr>
              <w:t xml:space="preserve">Fiscal Year </w:t>
            </w:r>
          </w:p>
        </w:tc>
        <w:tc>
          <w:tcPr>
            <w:tcW w:w="1985" w:type="dxa"/>
            <w:tcBorders>
              <w:top w:val="single" w:sz="4" w:space="0" w:color="auto"/>
              <w:left w:val="nil"/>
              <w:bottom w:val="single" w:sz="4" w:space="0" w:color="auto"/>
              <w:right w:val="single" w:sz="4" w:space="0" w:color="auto"/>
            </w:tcBorders>
            <w:shd w:val="clear" w:color="auto" w:fill="auto"/>
            <w:noWrap/>
            <w:hideMark/>
          </w:tcPr>
          <w:p w14:paraId="2003AEAF" w14:textId="77777777" w:rsidR="00F64E31" w:rsidRPr="0097177E" w:rsidRDefault="00F64E31" w:rsidP="00B7652D">
            <w:pPr>
              <w:keepNext/>
              <w:keepLines/>
              <w:spacing w:before="0" w:after="0"/>
              <w:rPr>
                <w:rFonts w:cs="Times New Roman"/>
                <w:b/>
                <w:color w:val="000000"/>
                <w:sz w:val="20"/>
                <w:szCs w:val="20"/>
              </w:rPr>
            </w:pPr>
            <w:r w:rsidRPr="0097177E">
              <w:rPr>
                <w:rFonts w:cs="Times New Roman"/>
                <w:b/>
                <w:color w:val="000000"/>
                <w:sz w:val="20"/>
                <w:szCs w:val="20"/>
              </w:rPr>
              <w:t xml:space="preserve">Payroll carve-out </w:t>
            </w:r>
          </w:p>
        </w:tc>
        <w:tc>
          <w:tcPr>
            <w:tcW w:w="850" w:type="dxa"/>
            <w:tcBorders>
              <w:left w:val="single" w:sz="4" w:space="0" w:color="auto"/>
              <w:right w:val="single" w:sz="4" w:space="0" w:color="auto"/>
            </w:tcBorders>
          </w:tcPr>
          <w:p w14:paraId="48512FF0" w14:textId="77777777" w:rsidR="00F64E31" w:rsidRPr="0097177E" w:rsidRDefault="00F64E31" w:rsidP="00B7652D">
            <w:pPr>
              <w:keepNext/>
              <w:keepLines/>
              <w:spacing w:before="0" w:after="0"/>
              <w:rPr>
                <w:rFonts w:cs="Times New Roman"/>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DA8E526"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b/>
                <w:color w:val="000000"/>
                <w:sz w:val="20"/>
                <w:szCs w:val="20"/>
              </w:rPr>
              <w:t>Fiscal Year</w:t>
            </w:r>
          </w:p>
        </w:tc>
        <w:tc>
          <w:tcPr>
            <w:tcW w:w="2411" w:type="dxa"/>
            <w:tcBorders>
              <w:top w:val="single" w:sz="4" w:space="0" w:color="auto"/>
              <w:left w:val="single" w:sz="4" w:space="0" w:color="auto"/>
              <w:bottom w:val="single" w:sz="4" w:space="0" w:color="auto"/>
              <w:right w:val="single" w:sz="4" w:space="0" w:color="auto"/>
            </w:tcBorders>
          </w:tcPr>
          <w:p w14:paraId="036BD047" w14:textId="22C02A74" w:rsidR="00F64E31" w:rsidRPr="0097177E" w:rsidRDefault="00F64E31" w:rsidP="00B7652D">
            <w:pPr>
              <w:keepNext/>
              <w:keepLines/>
              <w:spacing w:before="0" w:after="160" w:line="259" w:lineRule="auto"/>
              <w:rPr>
                <w:rFonts w:cs="Times New Roman"/>
                <w:sz w:val="20"/>
                <w:szCs w:val="20"/>
              </w:rPr>
            </w:pPr>
            <w:r w:rsidRPr="0097177E">
              <w:rPr>
                <w:rFonts w:cs="Times New Roman"/>
                <w:b/>
                <w:color w:val="000000"/>
                <w:sz w:val="20"/>
                <w:szCs w:val="20"/>
              </w:rPr>
              <w:t xml:space="preserve">Tangible </w:t>
            </w:r>
            <w:r w:rsidR="00264960">
              <w:rPr>
                <w:rFonts w:cs="Times New Roman"/>
                <w:b/>
                <w:color w:val="000000"/>
                <w:sz w:val="20"/>
                <w:szCs w:val="20"/>
              </w:rPr>
              <w:t>a</w:t>
            </w:r>
            <w:r w:rsidRPr="0097177E">
              <w:rPr>
                <w:rFonts w:cs="Times New Roman"/>
                <w:b/>
                <w:color w:val="000000"/>
                <w:sz w:val="20"/>
                <w:szCs w:val="20"/>
              </w:rPr>
              <w:t xml:space="preserve">sset carve-out </w:t>
            </w:r>
          </w:p>
        </w:tc>
      </w:tr>
      <w:tr w:rsidR="00817FD5" w:rsidRPr="0097177E" w14:paraId="6DA02BD1" w14:textId="77777777" w:rsidTr="00B7652D">
        <w:trPr>
          <w:trHeight w:val="315"/>
        </w:trPr>
        <w:tc>
          <w:tcPr>
            <w:tcW w:w="1276" w:type="dxa"/>
            <w:tcBorders>
              <w:top w:val="nil"/>
              <w:left w:val="single" w:sz="4" w:space="0" w:color="auto"/>
              <w:bottom w:val="single" w:sz="4" w:space="0" w:color="auto"/>
              <w:right w:val="single" w:sz="4" w:space="0" w:color="auto"/>
            </w:tcBorders>
            <w:shd w:val="clear" w:color="auto" w:fill="auto"/>
            <w:noWrap/>
            <w:hideMark/>
          </w:tcPr>
          <w:p w14:paraId="63DFBAA6"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2023</w:t>
            </w:r>
          </w:p>
        </w:tc>
        <w:tc>
          <w:tcPr>
            <w:tcW w:w="1985" w:type="dxa"/>
            <w:tcBorders>
              <w:top w:val="single" w:sz="4" w:space="0" w:color="auto"/>
              <w:left w:val="nil"/>
              <w:bottom w:val="single" w:sz="4" w:space="0" w:color="auto"/>
              <w:right w:val="single" w:sz="4" w:space="0" w:color="auto"/>
            </w:tcBorders>
            <w:shd w:val="clear" w:color="auto" w:fill="auto"/>
            <w:noWrap/>
            <w:hideMark/>
          </w:tcPr>
          <w:p w14:paraId="190851D7"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10.0%</w:t>
            </w:r>
          </w:p>
        </w:tc>
        <w:tc>
          <w:tcPr>
            <w:tcW w:w="850" w:type="dxa"/>
            <w:tcBorders>
              <w:top w:val="nil"/>
              <w:left w:val="single" w:sz="4" w:space="0" w:color="auto"/>
              <w:right w:val="single" w:sz="4" w:space="0" w:color="auto"/>
            </w:tcBorders>
          </w:tcPr>
          <w:p w14:paraId="6F386F48" w14:textId="77777777" w:rsidR="00F64E31" w:rsidRPr="0097177E" w:rsidRDefault="00F64E31" w:rsidP="00B7652D">
            <w:pPr>
              <w:keepNext/>
              <w:keepLines/>
              <w:spacing w:before="0" w:after="0"/>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312169D"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2023</w:t>
            </w:r>
          </w:p>
        </w:tc>
        <w:tc>
          <w:tcPr>
            <w:tcW w:w="2411" w:type="dxa"/>
            <w:tcBorders>
              <w:top w:val="single" w:sz="4" w:space="0" w:color="auto"/>
              <w:left w:val="single" w:sz="4" w:space="0" w:color="auto"/>
              <w:bottom w:val="single" w:sz="4" w:space="0" w:color="auto"/>
              <w:right w:val="single" w:sz="4" w:space="0" w:color="auto"/>
            </w:tcBorders>
          </w:tcPr>
          <w:p w14:paraId="47FA6FCF"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8.0%</w:t>
            </w:r>
          </w:p>
        </w:tc>
      </w:tr>
      <w:tr w:rsidR="00817FD5" w:rsidRPr="0097177E" w14:paraId="7BC5698D" w14:textId="77777777" w:rsidTr="00B7652D">
        <w:trPr>
          <w:trHeight w:val="315"/>
        </w:trPr>
        <w:tc>
          <w:tcPr>
            <w:tcW w:w="1276" w:type="dxa"/>
            <w:tcBorders>
              <w:top w:val="nil"/>
              <w:left w:val="single" w:sz="4" w:space="0" w:color="auto"/>
              <w:bottom w:val="single" w:sz="4" w:space="0" w:color="auto"/>
              <w:right w:val="single" w:sz="4" w:space="0" w:color="auto"/>
            </w:tcBorders>
            <w:shd w:val="clear" w:color="auto" w:fill="auto"/>
            <w:noWrap/>
            <w:hideMark/>
          </w:tcPr>
          <w:p w14:paraId="34BDE60A"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2024</w:t>
            </w:r>
          </w:p>
        </w:tc>
        <w:tc>
          <w:tcPr>
            <w:tcW w:w="1985" w:type="dxa"/>
            <w:tcBorders>
              <w:top w:val="single" w:sz="4" w:space="0" w:color="auto"/>
              <w:left w:val="nil"/>
              <w:bottom w:val="single" w:sz="4" w:space="0" w:color="auto"/>
              <w:right w:val="single" w:sz="4" w:space="0" w:color="auto"/>
            </w:tcBorders>
            <w:shd w:val="clear" w:color="auto" w:fill="auto"/>
            <w:noWrap/>
            <w:hideMark/>
          </w:tcPr>
          <w:p w14:paraId="742EE3DF"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9.8%</w:t>
            </w:r>
          </w:p>
        </w:tc>
        <w:tc>
          <w:tcPr>
            <w:tcW w:w="850" w:type="dxa"/>
            <w:tcBorders>
              <w:top w:val="nil"/>
              <w:left w:val="single" w:sz="4" w:space="0" w:color="auto"/>
              <w:right w:val="single" w:sz="4" w:space="0" w:color="auto"/>
            </w:tcBorders>
          </w:tcPr>
          <w:p w14:paraId="45E8E4D6" w14:textId="77777777" w:rsidR="00F64E31" w:rsidRPr="0097177E" w:rsidRDefault="00F64E31" w:rsidP="00B7652D">
            <w:pPr>
              <w:keepNext/>
              <w:keepLines/>
              <w:spacing w:before="0" w:after="0"/>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29FC547"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2024</w:t>
            </w:r>
          </w:p>
        </w:tc>
        <w:tc>
          <w:tcPr>
            <w:tcW w:w="2411" w:type="dxa"/>
            <w:tcBorders>
              <w:top w:val="single" w:sz="4" w:space="0" w:color="auto"/>
              <w:left w:val="single" w:sz="4" w:space="0" w:color="auto"/>
              <w:bottom w:val="single" w:sz="4" w:space="0" w:color="auto"/>
              <w:right w:val="single" w:sz="4" w:space="0" w:color="auto"/>
            </w:tcBorders>
          </w:tcPr>
          <w:p w14:paraId="165FFEFA"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7.8%</w:t>
            </w:r>
          </w:p>
        </w:tc>
      </w:tr>
      <w:tr w:rsidR="00817FD5" w:rsidRPr="0097177E" w14:paraId="4F8C11A3" w14:textId="77777777" w:rsidTr="00B7652D">
        <w:trPr>
          <w:trHeight w:val="315"/>
        </w:trPr>
        <w:tc>
          <w:tcPr>
            <w:tcW w:w="1276" w:type="dxa"/>
            <w:tcBorders>
              <w:top w:val="nil"/>
              <w:left w:val="single" w:sz="4" w:space="0" w:color="auto"/>
              <w:bottom w:val="single" w:sz="4" w:space="0" w:color="auto"/>
              <w:right w:val="single" w:sz="4" w:space="0" w:color="auto"/>
            </w:tcBorders>
            <w:shd w:val="clear" w:color="auto" w:fill="auto"/>
            <w:noWrap/>
            <w:hideMark/>
          </w:tcPr>
          <w:p w14:paraId="5F6F30EB"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2025</w:t>
            </w:r>
          </w:p>
        </w:tc>
        <w:tc>
          <w:tcPr>
            <w:tcW w:w="1985" w:type="dxa"/>
            <w:tcBorders>
              <w:top w:val="single" w:sz="4" w:space="0" w:color="auto"/>
              <w:left w:val="nil"/>
              <w:bottom w:val="single" w:sz="4" w:space="0" w:color="auto"/>
              <w:right w:val="single" w:sz="4" w:space="0" w:color="auto"/>
            </w:tcBorders>
            <w:shd w:val="clear" w:color="auto" w:fill="auto"/>
            <w:noWrap/>
            <w:hideMark/>
          </w:tcPr>
          <w:p w14:paraId="47B49A63"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9.6%</w:t>
            </w:r>
          </w:p>
        </w:tc>
        <w:tc>
          <w:tcPr>
            <w:tcW w:w="850" w:type="dxa"/>
            <w:tcBorders>
              <w:top w:val="nil"/>
              <w:left w:val="single" w:sz="4" w:space="0" w:color="auto"/>
              <w:right w:val="single" w:sz="4" w:space="0" w:color="auto"/>
            </w:tcBorders>
          </w:tcPr>
          <w:p w14:paraId="76939AD5" w14:textId="77777777" w:rsidR="00F64E31" w:rsidRPr="0097177E" w:rsidRDefault="00F64E31" w:rsidP="00B7652D">
            <w:pPr>
              <w:keepNext/>
              <w:keepLines/>
              <w:spacing w:before="0" w:after="0"/>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7A7D98A"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2025</w:t>
            </w:r>
          </w:p>
        </w:tc>
        <w:tc>
          <w:tcPr>
            <w:tcW w:w="2411" w:type="dxa"/>
            <w:tcBorders>
              <w:top w:val="single" w:sz="4" w:space="0" w:color="auto"/>
              <w:left w:val="single" w:sz="4" w:space="0" w:color="auto"/>
              <w:bottom w:val="single" w:sz="4" w:space="0" w:color="auto"/>
              <w:right w:val="single" w:sz="4" w:space="0" w:color="auto"/>
            </w:tcBorders>
          </w:tcPr>
          <w:p w14:paraId="1D5135DD"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7.6%</w:t>
            </w:r>
          </w:p>
        </w:tc>
      </w:tr>
      <w:tr w:rsidR="00817FD5" w:rsidRPr="0097177E" w14:paraId="2CD70AF9" w14:textId="77777777" w:rsidTr="00B7652D">
        <w:trPr>
          <w:trHeight w:val="315"/>
        </w:trPr>
        <w:tc>
          <w:tcPr>
            <w:tcW w:w="1276" w:type="dxa"/>
            <w:tcBorders>
              <w:top w:val="nil"/>
              <w:left w:val="single" w:sz="4" w:space="0" w:color="auto"/>
              <w:bottom w:val="single" w:sz="4" w:space="0" w:color="auto"/>
              <w:right w:val="single" w:sz="4" w:space="0" w:color="auto"/>
            </w:tcBorders>
            <w:shd w:val="clear" w:color="auto" w:fill="auto"/>
            <w:noWrap/>
            <w:hideMark/>
          </w:tcPr>
          <w:p w14:paraId="4B8D7674"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2026</w:t>
            </w:r>
          </w:p>
        </w:tc>
        <w:tc>
          <w:tcPr>
            <w:tcW w:w="1985" w:type="dxa"/>
            <w:tcBorders>
              <w:top w:val="single" w:sz="4" w:space="0" w:color="auto"/>
              <w:left w:val="nil"/>
              <w:bottom w:val="single" w:sz="4" w:space="0" w:color="auto"/>
              <w:right w:val="single" w:sz="4" w:space="0" w:color="auto"/>
            </w:tcBorders>
            <w:shd w:val="clear" w:color="auto" w:fill="auto"/>
            <w:noWrap/>
            <w:hideMark/>
          </w:tcPr>
          <w:p w14:paraId="0D060A9F"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9.4%</w:t>
            </w:r>
          </w:p>
        </w:tc>
        <w:tc>
          <w:tcPr>
            <w:tcW w:w="850" w:type="dxa"/>
            <w:tcBorders>
              <w:top w:val="nil"/>
              <w:left w:val="single" w:sz="4" w:space="0" w:color="auto"/>
              <w:right w:val="single" w:sz="4" w:space="0" w:color="auto"/>
            </w:tcBorders>
          </w:tcPr>
          <w:p w14:paraId="3BD23E5E" w14:textId="77777777" w:rsidR="00F64E31" w:rsidRPr="0097177E" w:rsidRDefault="00F64E31" w:rsidP="00B7652D">
            <w:pPr>
              <w:keepNext/>
              <w:keepLines/>
              <w:spacing w:before="0" w:after="0"/>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BAF765E"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2026</w:t>
            </w:r>
          </w:p>
        </w:tc>
        <w:tc>
          <w:tcPr>
            <w:tcW w:w="2411" w:type="dxa"/>
            <w:tcBorders>
              <w:top w:val="single" w:sz="4" w:space="0" w:color="auto"/>
              <w:left w:val="single" w:sz="4" w:space="0" w:color="auto"/>
              <w:bottom w:val="single" w:sz="4" w:space="0" w:color="auto"/>
              <w:right w:val="single" w:sz="4" w:space="0" w:color="auto"/>
            </w:tcBorders>
          </w:tcPr>
          <w:p w14:paraId="655C9BEF"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7.4%</w:t>
            </w:r>
          </w:p>
        </w:tc>
      </w:tr>
      <w:tr w:rsidR="00817FD5" w:rsidRPr="0097177E" w14:paraId="74B6ED86" w14:textId="77777777" w:rsidTr="00B7652D">
        <w:trPr>
          <w:trHeight w:val="315"/>
        </w:trPr>
        <w:tc>
          <w:tcPr>
            <w:tcW w:w="1276" w:type="dxa"/>
            <w:tcBorders>
              <w:top w:val="nil"/>
              <w:left w:val="single" w:sz="4" w:space="0" w:color="auto"/>
              <w:bottom w:val="single" w:sz="4" w:space="0" w:color="auto"/>
              <w:right w:val="single" w:sz="4" w:space="0" w:color="auto"/>
            </w:tcBorders>
            <w:shd w:val="clear" w:color="auto" w:fill="auto"/>
            <w:noWrap/>
            <w:hideMark/>
          </w:tcPr>
          <w:p w14:paraId="50CCC28E"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2027</w:t>
            </w:r>
          </w:p>
        </w:tc>
        <w:tc>
          <w:tcPr>
            <w:tcW w:w="1985" w:type="dxa"/>
            <w:tcBorders>
              <w:top w:val="single" w:sz="4" w:space="0" w:color="auto"/>
              <w:left w:val="nil"/>
              <w:bottom w:val="single" w:sz="4" w:space="0" w:color="auto"/>
              <w:right w:val="single" w:sz="4" w:space="0" w:color="auto"/>
            </w:tcBorders>
            <w:shd w:val="clear" w:color="auto" w:fill="auto"/>
            <w:noWrap/>
            <w:hideMark/>
          </w:tcPr>
          <w:p w14:paraId="5A50A218"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9.2%</w:t>
            </w:r>
          </w:p>
        </w:tc>
        <w:tc>
          <w:tcPr>
            <w:tcW w:w="850" w:type="dxa"/>
            <w:tcBorders>
              <w:top w:val="nil"/>
              <w:left w:val="single" w:sz="4" w:space="0" w:color="auto"/>
              <w:right w:val="single" w:sz="4" w:space="0" w:color="auto"/>
            </w:tcBorders>
          </w:tcPr>
          <w:p w14:paraId="62674AC2" w14:textId="77777777" w:rsidR="00F64E31" w:rsidRPr="0097177E" w:rsidRDefault="00F64E31" w:rsidP="00B7652D">
            <w:pPr>
              <w:keepNext/>
              <w:keepLines/>
              <w:spacing w:before="0" w:after="0"/>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FABDEBA"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2027</w:t>
            </w:r>
          </w:p>
        </w:tc>
        <w:tc>
          <w:tcPr>
            <w:tcW w:w="2411" w:type="dxa"/>
            <w:tcBorders>
              <w:top w:val="single" w:sz="4" w:space="0" w:color="auto"/>
              <w:left w:val="single" w:sz="4" w:space="0" w:color="auto"/>
              <w:bottom w:val="single" w:sz="4" w:space="0" w:color="auto"/>
              <w:right w:val="single" w:sz="4" w:space="0" w:color="auto"/>
            </w:tcBorders>
          </w:tcPr>
          <w:p w14:paraId="6F8C4EC6"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7.2%</w:t>
            </w:r>
          </w:p>
        </w:tc>
      </w:tr>
      <w:tr w:rsidR="00817FD5" w:rsidRPr="0097177E" w14:paraId="466E4A76" w14:textId="77777777" w:rsidTr="00B7652D">
        <w:trPr>
          <w:trHeight w:val="315"/>
        </w:trPr>
        <w:tc>
          <w:tcPr>
            <w:tcW w:w="1276" w:type="dxa"/>
            <w:tcBorders>
              <w:top w:val="nil"/>
              <w:left w:val="single" w:sz="4" w:space="0" w:color="auto"/>
              <w:bottom w:val="single" w:sz="4" w:space="0" w:color="auto"/>
              <w:right w:val="single" w:sz="4" w:space="0" w:color="auto"/>
            </w:tcBorders>
            <w:shd w:val="clear" w:color="auto" w:fill="auto"/>
            <w:noWrap/>
            <w:hideMark/>
          </w:tcPr>
          <w:p w14:paraId="28C32797"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2028</w:t>
            </w:r>
          </w:p>
        </w:tc>
        <w:tc>
          <w:tcPr>
            <w:tcW w:w="1985" w:type="dxa"/>
            <w:tcBorders>
              <w:top w:val="single" w:sz="4" w:space="0" w:color="auto"/>
              <w:left w:val="nil"/>
              <w:bottom w:val="single" w:sz="4" w:space="0" w:color="auto"/>
              <w:right w:val="single" w:sz="4" w:space="0" w:color="auto"/>
            </w:tcBorders>
            <w:shd w:val="clear" w:color="auto" w:fill="auto"/>
            <w:noWrap/>
            <w:hideMark/>
          </w:tcPr>
          <w:p w14:paraId="61D293B6"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9.0%</w:t>
            </w:r>
          </w:p>
        </w:tc>
        <w:tc>
          <w:tcPr>
            <w:tcW w:w="850" w:type="dxa"/>
            <w:tcBorders>
              <w:top w:val="nil"/>
              <w:left w:val="single" w:sz="4" w:space="0" w:color="auto"/>
              <w:right w:val="single" w:sz="4" w:space="0" w:color="auto"/>
            </w:tcBorders>
          </w:tcPr>
          <w:p w14:paraId="66798E5F" w14:textId="77777777" w:rsidR="00F64E31" w:rsidRPr="0097177E" w:rsidRDefault="00F64E31" w:rsidP="00B7652D">
            <w:pPr>
              <w:keepNext/>
              <w:keepLines/>
              <w:spacing w:before="0" w:after="0"/>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057C9DF"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2028</w:t>
            </w:r>
          </w:p>
        </w:tc>
        <w:tc>
          <w:tcPr>
            <w:tcW w:w="2411" w:type="dxa"/>
            <w:tcBorders>
              <w:top w:val="single" w:sz="4" w:space="0" w:color="auto"/>
              <w:left w:val="single" w:sz="4" w:space="0" w:color="auto"/>
              <w:bottom w:val="single" w:sz="4" w:space="0" w:color="auto"/>
              <w:right w:val="single" w:sz="4" w:space="0" w:color="auto"/>
            </w:tcBorders>
          </w:tcPr>
          <w:p w14:paraId="22E8576A"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7.0%</w:t>
            </w:r>
          </w:p>
        </w:tc>
      </w:tr>
      <w:tr w:rsidR="00817FD5" w:rsidRPr="0097177E" w14:paraId="4EDDC55F" w14:textId="77777777" w:rsidTr="00B7652D">
        <w:trPr>
          <w:trHeight w:val="315"/>
        </w:trPr>
        <w:tc>
          <w:tcPr>
            <w:tcW w:w="1276" w:type="dxa"/>
            <w:tcBorders>
              <w:top w:val="nil"/>
              <w:left w:val="single" w:sz="4" w:space="0" w:color="auto"/>
              <w:bottom w:val="single" w:sz="4" w:space="0" w:color="auto"/>
              <w:right w:val="single" w:sz="4" w:space="0" w:color="auto"/>
            </w:tcBorders>
            <w:shd w:val="clear" w:color="auto" w:fill="auto"/>
            <w:noWrap/>
            <w:hideMark/>
          </w:tcPr>
          <w:p w14:paraId="102B5940"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2029</w:t>
            </w:r>
          </w:p>
        </w:tc>
        <w:tc>
          <w:tcPr>
            <w:tcW w:w="1985" w:type="dxa"/>
            <w:tcBorders>
              <w:top w:val="single" w:sz="4" w:space="0" w:color="auto"/>
              <w:left w:val="nil"/>
              <w:bottom w:val="single" w:sz="4" w:space="0" w:color="auto"/>
              <w:right w:val="single" w:sz="4" w:space="0" w:color="auto"/>
            </w:tcBorders>
            <w:shd w:val="clear" w:color="auto" w:fill="auto"/>
            <w:noWrap/>
            <w:hideMark/>
          </w:tcPr>
          <w:p w14:paraId="6A0BB18E"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8.2%</w:t>
            </w:r>
          </w:p>
        </w:tc>
        <w:tc>
          <w:tcPr>
            <w:tcW w:w="850" w:type="dxa"/>
            <w:tcBorders>
              <w:top w:val="nil"/>
              <w:left w:val="single" w:sz="4" w:space="0" w:color="auto"/>
              <w:right w:val="single" w:sz="4" w:space="0" w:color="auto"/>
            </w:tcBorders>
          </w:tcPr>
          <w:p w14:paraId="5DA79576" w14:textId="77777777" w:rsidR="00F64E31" w:rsidRPr="0097177E" w:rsidRDefault="00F64E31" w:rsidP="00B7652D">
            <w:pPr>
              <w:keepNext/>
              <w:keepLines/>
              <w:spacing w:before="0" w:after="0"/>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11DB9E5"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2029</w:t>
            </w:r>
          </w:p>
        </w:tc>
        <w:tc>
          <w:tcPr>
            <w:tcW w:w="2411" w:type="dxa"/>
            <w:tcBorders>
              <w:top w:val="single" w:sz="4" w:space="0" w:color="auto"/>
              <w:left w:val="single" w:sz="4" w:space="0" w:color="auto"/>
              <w:bottom w:val="single" w:sz="4" w:space="0" w:color="auto"/>
              <w:right w:val="single" w:sz="4" w:space="0" w:color="auto"/>
            </w:tcBorders>
          </w:tcPr>
          <w:p w14:paraId="6C713A7D"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6.6%</w:t>
            </w:r>
          </w:p>
        </w:tc>
      </w:tr>
      <w:tr w:rsidR="00817FD5" w:rsidRPr="0097177E" w14:paraId="781C9E15" w14:textId="77777777" w:rsidTr="00B7652D">
        <w:trPr>
          <w:trHeight w:val="315"/>
        </w:trPr>
        <w:tc>
          <w:tcPr>
            <w:tcW w:w="1276" w:type="dxa"/>
            <w:tcBorders>
              <w:top w:val="nil"/>
              <w:left w:val="single" w:sz="4" w:space="0" w:color="auto"/>
              <w:bottom w:val="single" w:sz="4" w:space="0" w:color="auto"/>
              <w:right w:val="single" w:sz="4" w:space="0" w:color="auto"/>
            </w:tcBorders>
            <w:shd w:val="clear" w:color="auto" w:fill="auto"/>
            <w:noWrap/>
            <w:hideMark/>
          </w:tcPr>
          <w:p w14:paraId="2CE9AB8C"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2030</w:t>
            </w:r>
          </w:p>
        </w:tc>
        <w:tc>
          <w:tcPr>
            <w:tcW w:w="1985" w:type="dxa"/>
            <w:tcBorders>
              <w:top w:val="single" w:sz="4" w:space="0" w:color="auto"/>
              <w:left w:val="nil"/>
              <w:bottom w:val="single" w:sz="4" w:space="0" w:color="auto"/>
              <w:right w:val="single" w:sz="4" w:space="0" w:color="auto"/>
            </w:tcBorders>
            <w:shd w:val="clear" w:color="auto" w:fill="auto"/>
            <w:noWrap/>
            <w:hideMark/>
          </w:tcPr>
          <w:p w14:paraId="1B66F221"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7.4%</w:t>
            </w:r>
          </w:p>
        </w:tc>
        <w:tc>
          <w:tcPr>
            <w:tcW w:w="850" w:type="dxa"/>
            <w:tcBorders>
              <w:top w:val="nil"/>
              <w:left w:val="single" w:sz="4" w:space="0" w:color="auto"/>
              <w:right w:val="single" w:sz="4" w:space="0" w:color="auto"/>
            </w:tcBorders>
          </w:tcPr>
          <w:p w14:paraId="57638E6A" w14:textId="77777777" w:rsidR="00F64E31" w:rsidRPr="0097177E" w:rsidRDefault="00F64E31" w:rsidP="00B7652D">
            <w:pPr>
              <w:keepNext/>
              <w:keepLines/>
              <w:spacing w:before="0" w:after="0"/>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15B5BB7"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2030</w:t>
            </w:r>
          </w:p>
        </w:tc>
        <w:tc>
          <w:tcPr>
            <w:tcW w:w="2411" w:type="dxa"/>
            <w:tcBorders>
              <w:top w:val="single" w:sz="4" w:space="0" w:color="auto"/>
              <w:left w:val="single" w:sz="4" w:space="0" w:color="auto"/>
              <w:bottom w:val="single" w:sz="4" w:space="0" w:color="auto"/>
              <w:right w:val="single" w:sz="4" w:space="0" w:color="auto"/>
            </w:tcBorders>
          </w:tcPr>
          <w:p w14:paraId="48DA41D7"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6.2%</w:t>
            </w:r>
          </w:p>
        </w:tc>
      </w:tr>
      <w:tr w:rsidR="00817FD5" w:rsidRPr="0097177E" w14:paraId="4D2F02B2" w14:textId="77777777" w:rsidTr="00B7652D">
        <w:trPr>
          <w:trHeight w:val="315"/>
        </w:trPr>
        <w:tc>
          <w:tcPr>
            <w:tcW w:w="1276" w:type="dxa"/>
            <w:tcBorders>
              <w:top w:val="nil"/>
              <w:left w:val="single" w:sz="4" w:space="0" w:color="auto"/>
              <w:bottom w:val="single" w:sz="4" w:space="0" w:color="auto"/>
              <w:right w:val="single" w:sz="4" w:space="0" w:color="auto"/>
            </w:tcBorders>
            <w:shd w:val="clear" w:color="auto" w:fill="auto"/>
            <w:noWrap/>
            <w:hideMark/>
          </w:tcPr>
          <w:p w14:paraId="7CE988AE"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2031</w:t>
            </w:r>
          </w:p>
        </w:tc>
        <w:tc>
          <w:tcPr>
            <w:tcW w:w="1985" w:type="dxa"/>
            <w:tcBorders>
              <w:top w:val="single" w:sz="4" w:space="0" w:color="auto"/>
              <w:left w:val="nil"/>
              <w:bottom w:val="single" w:sz="4" w:space="0" w:color="auto"/>
              <w:right w:val="single" w:sz="4" w:space="0" w:color="auto"/>
            </w:tcBorders>
            <w:shd w:val="clear" w:color="auto" w:fill="auto"/>
            <w:noWrap/>
            <w:hideMark/>
          </w:tcPr>
          <w:p w14:paraId="262D818F"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6.6%</w:t>
            </w:r>
          </w:p>
        </w:tc>
        <w:tc>
          <w:tcPr>
            <w:tcW w:w="850" w:type="dxa"/>
            <w:tcBorders>
              <w:top w:val="nil"/>
              <w:left w:val="single" w:sz="4" w:space="0" w:color="auto"/>
              <w:right w:val="single" w:sz="4" w:space="0" w:color="auto"/>
            </w:tcBorders>
          </w:tcPr>
          <w:p w14:paraId="3AD018A7" w14:textId="77777777" w:rsidR="00F64E31" w:rsidRPr="0097177E" w:rsidRDefault="00F64E31" w:rsidP="00B7652D">
            <w:pPr>
              <w:keepNext/>
              <w:keepLines/>
              <w:spacing w:before="0" w:after="0"/>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C4E8001"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2031</w:t>
            </w:r>
          </w:p>
        </w:tc>
        <w:tc>
          <w:tcPr>
            <w:tcW w:w="2411" w:type="dxa"/>
            <w:tcBorders>
              <w:top w:val="single" w:sz="4" w:space="0" w:color="auto"/>
              <w:left w:val="single" w:sz="4" w:space="0" w:color="auto"/>
              <w:bottom w:val="single" w:sz="4" w:space="0" w:color="auto"/>
              <w:right w:val="single" w:sz="4" w:space="0" w:color="auto"/>
            </w:tcBorders>
          </w:tcPr>
          <w:p w14:paraId="4A918F30"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5.8%</w:t>
            </w:r>
          </w:p>
        </w:tc>
      </w:tr>
      <w:tr w:rsidR="00817FD5" w:rsidRPr="0097177E" w14:paraId="70AED64A" w14:textId="77777777" w:rsidTr="00B7652D">
        <w:trPr>
          <w:trHeight w:val="315"/>
        </w:trPr>
        <w:tc>
          <w:tcPr>
            <w:tcW w:w="1276" w:type="dxa"/>
            <w:tcBorders>
              <w:top w:val="nil"/>
              <w:left w:val="single" w:sz="4" w:space="0" w:color="auto"/>
              <w:bottom w:val="single" w:sz="4" w:space="0" w:color="auto"/>
              <w:right w:val="single" w:sz="4" w:space="0" w:color="auto"/>
            </w:tcBorders>
            <w:shd w:val="clear" w:color="auto" w:fill="auto"/>
            <w:noWrap/>
            <w:hideMark/>
          </w:tcPr>
          <w:p w14:paraId="1F8753D6"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2032</w:t>
            </w:r>
          </w:p>
        </w:tc>
        <w:tc>
          <w:tcPr>
            <w:tcW w:w="1985" w:type="dxa"/>
            <w:tcBorders>
              <w:top w:val="single" w:sz="4" w:space="0" w:color="auto"/>
              <w:left w:val="nil"/>
              <w:bottom w:val="single" w:sz="4" w:space="0" w:color="auto"/>
              <w:right w:val="single" w:sz="4" w:space="0" w:color="auto"/>
            </w:tcBorders>
            <w:shd w:val="clear" w:color="auto" w:fill="auto"/>
            <w:noWrap/>
            <w:hideMark/>
          </w:tcPr>
          <w:p w14:paraId="25A8052C" w14:textId="77777777" w:rsidR="00F64E31" w:rsidRPr="0097177E" w:rsidRDefault="00F64E31" w:rsidP="00B7652D">
            <w:pPr>
              <w:keepNext/>
              <w:keepLines/>
              <w:spacing w:before="0" w:after="0"/>
              <w:rPr>
                <w:rFonts w:cs="Times New Roman"/>
                <w:color w:val="000000"/>
                <w:sz w:val="20"/>
                <w:szCs w:val="20"/>
              </w:rPr>
            </w:pPr>
            <w:r w:rsidRPr="0097177E">
              <w:rPr>
                <w:rFonts w:cs="Times New Roman"/>
                <w:color w:val="000000"/>
                <w:sz w:val="20"/>
                <w:szCs w:val="20"/>
              </w:rPr>
              <w:t>5.8%</w:t>
            </w:r>
          </w:p>
        </w:tc>
        <w:tc>
          <w:tcPr>
            <w:tcW w:w="850" w:type="dxa"/>
            <w:tcBorders>
              <w:top w:val="nil"/>
              <w:left w:val="single" w:sz="4" w:space="0" w:color="auto"/>
              <w:right w:val="single" w:sz="4" w:space="0" w:color="auto"/>
            </w:tcBorders>
          </w:tcPr>
          <w:p w14:paraId="39DB26F3" w14:textId="77777777" w:rsidR="00F64E31" w:rsidRPr="0097177E" w:rsidRDefault="00F64E31" w:rsidP="00B7652D">
            <w:pPr>
              <w:keepNext/>
              <w:keepLines/>
              <w:spacing w:before="0" w:after="0"/>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7721A6F"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2032</w:t>
            </w:r>
          </w:p>
        </w:tc>
        <w:tc>
          <w:tcPr>
            <w:tcW w:w="2411" w:type="dxa"/>
            <w:tcBorders>
              <w:top w:val="single" w:sz="4" w:space="0" w:color="auto"/>
              <w:left w:val="single" w:sz="4" w:space="0" w:color="auto"/>
              <w:bottom w:val="single" w:sz="4" w:space="0" w:color="auto"/>
              <w:right w:val="single" w:sz="4" w:space="0" w:color="auto"/>
            </w:tcBorders>
          </w:tcPr>
          <w:p w14:paraId="5F6CEC37" w14:textId="77777777" w:rsidR="00F64E31" w:rsidRPr="0097177E" w:rsidRDefault="00F64E31" w:rsidP="00B7652D">
            <w:pPr>
              <w:keepNext/>
              <w:keepLines/>
              <w:spacing w:before="0" w:after="160" w:line="259" w:lineRule="auto"/>
              <w:rPr>
                <w:rFonts w:cs="Times New Roman"/>
                <w:sz w:val="20"/>
                <w:szCs w:val="20"/>
              </w:rPr>
            </w:pPr>
            <w:r w:rsidRPr="0097177E">
              <w:rPr>
                <w:rFonts w:cs="Times New Roman"/>
                <w:color w:val="000000"/>
                <w:sz w:val="20"/>
                <w:szCs w:val="20"/>
              </w:rPr>
              <w:t>5.4%</w:t>
            </w:r>
          </w:p>
        </w:tc>
      </w:tr>
    </w:tbl>
    <w:p w14:paraId="7E5FCCB1" w14:textId="77777777" w:rsidR="00F64E31" w:rsidRDefault="00F64E31" w:rsidP="00B7652D">
      <w:pPr>
        <w:keepNext/>
        <w:keepLines/>
        <w:spacing w:after="0" w:line="360" w:lineRule="auto"/>
        <w:ind w:firstLine="720"/>
        <w:contextualSpacing/>
        <w:rPr>
          <w:rStyle w:val="References"/>
        </w:rPr>
      </w:pPr>
      <w:r w:rsidRPr="00E8690A">
        <w:rPr>
          <w:lang w:val="en-US"/>
        </w:rPr>
        <w:t xml:space="preserve"> </w:t>
      </w:r>
      <w:r w:rsidRPr="0066667B">
        <w:rPr>
          <w:rStyle w:val="References"/>
        </w:rPr>
        <w:t>[</w:t>
      </w:r>
      <w:r>
        <w:rPr>
          <w:rStyle w:val="References"/>
        </w:rPr>
        <w:t>sections 9-30 and 9-35 of the Rules</w:t>
      </w:r>
      <w:r w:rsidRPr="0066667B">
        <w:rPr>
          <w:rStyle w:val="References"/>
        </w:rPr>
        <w:t xml:space="preserve">] </w:t>
      </w:r>
    </w:p>
    <w:p w14:paraId="3C3C8D39" w14:textId="4B4955B5" w:rsidR="00F64E31" w:rsidRDefault="00F64E31" w:rsidP="00F64E31">
      <w:pPr>
        <w:pStyle w:val="Heading3"/>
        <w:rPr>
          <w:rFonts w:hint="eastAsia"/>
        </w:rPr>
      </w:pPr>
      <w:bookmarkStart w:id="310" w:name="_Toc183786694"/>
      <w:bookmarkStart w:id="311" w:name="_Toc185503035"/>
      <w:r>
        <w:t xml:space="preserve">Transitional Exclusion from the UTPR for </w:t>
      </w:r>
      <w:r w:rsidR="00BF1454">
        <w:t xml:space="preserve">an </w:t>
      </w:r>
      <w:r>
        <w:t>MNE</w:t>
      </w:r>
      <w:r w:rsidR="00BF1454">
        <w:t xml:space="preserve"> Group</w:t>
      </w:r>
      <w:r>
        <w:t xml:space="preserve"> in the initial phase of activity</w:t>
      </w:r>
      <w:bookmarkEnd w:id="310"/>
      <w:bookmarkEnd w:id="311"/>
      <w:r>
        <w:t xml:space="preserve"> </w:t>
      </w:r>
    </w:p>
    <w:p w14:paraId="7A02A556" w14:textId="4A4BE890" w:rsidR="00F64E31" w:rsidRDefault="00F64E31" w:rsidP="00F64E31">
      <w:pPr>
        <w:pStyle w:val="Normalparatextwithnumbers"/>
        <w:numPr>
          <w:ilvl w:val="1"/>
          <w:numId w:val="18"/>
        </w:numPr>
      </w:pPr>
      <w:r>
        <w:t xml:space="preserve">The total UTPR </w:t>
      </w:r>
      <w:r w:rsidR="00BF1454">
        <w:t>T</w:t>
      </w:r>
      <w:r>
        <w:t xml:space="preserve">op-up </w:t>
      </w:r>
      <w:r w:rsidR="00BF1454">
        <w:t>T</w:t>
      </w:r>
      <w:r>
        <w:t xml:space="preserve">ax </w:t>
      </w:r>
      <w:r w:rsidR="00BF1454">
        <w:t>A</w:t>
      </w:r>
      <w:r>
        <w:t xml:space="preserve">mount for a </w:t>
      </w:r>
      <w:r w:rsidR="00BF104B">
        <w:t>Fiscal Year</w:t>
      </w:r>
      <w:r>
        <w:t xml:space="preserve"> is reduced to zero during the initial phase of an MNE Group’s international activity if:</w:t>
      </w:r>
    </w:p>
    <w:p w14:paraId="528DC815" w14:textId="77777777" w:rsidR="00F64E31" w:rsidRDefault="00F64E31" w:rsidP="00B07214">
      <w:pPr>
        <w:pStyle w:val="Dotpoint1"/>
      </w:pPr>
      <w:r>
        <w:t>the MNE Group has begun operations within five years after the first day of the first fiscal year the MNE Group originally came within the scope of the GloBE Rules;</w:t>
      </w:r>
    </w:p>
    <w:p w14:paraId="2441A094" w14:textId="1D1A3DCF" w:rsidR="00F64E31" w:rsidRDefault="00F64E31" w:rsidP="00B07214">
      <w:pPr>
        <w:pStyle w:val="Dotpoint1"/>
      </w:pPr>
      <w:r>
        <w:t>it has Constituent Entities in six jurisdictions</w:t>
      </w:r>
      <w:r w:rsidR="009F68A0">
        <w:t xml:space="preserve"> or less</w:t>
      </w:r>
      <w:r>
        <w:t>; and</w:t>
      </w:r>
    </w:p>
    <w:p w14:paraId="04BA042B" w14:textId="77777777" w:rsidR="00F64E31" w:rsidRDefault="00F64E31" w:rsidP="00B07214">
      <w:pPr>
        <w:pStyle w:val="Dotpoint1"/>
      </w:pPr>
      <w:r>
        <w:t xml:space="preserve">the sum of the Net Book Values of Tangible Assets of all Constituent Entities located in all jurisdictions other than the Reference Jurisdiction does not exceed 50 million Euros. </w:t>
      </w:r>
      <w:r>
        <w:br/>
      </w:r>
      <w:r w:rsidRPr="009E2C1B">
        <w:rPr>
          <w:rStyle w:val="References"/>
        </w:rPr>
        <w:t>[Chapter 9, section 9-40 of the Rules]</w:t>
      </w:r>
    </w:p>
    <w:p w14:paraId="6F3E9426" w14:textId="77777777" w:rsidR="00F64E31" w:rsidRDefault="00F64E31" w:rsidP="00B7652D">
      <w:pPr>
        <w:pStyle w:val="Normalparatextwithnumbers"/>
        <w:keepNext/>
        <w:keepLines/>
        <w:numPr>
          <w:ilvl w:val="1"/>
          <w:numId w:val="18"/>
        </w:numPr>
        <w:ind w:left="706" w:hanging="706"/>
      </w:pPr>
      <w:r>
        <w:lastRenderedPageBreak/>
        <w:t xml:space="preserve">For stateless entities, a tangible asset that is physically located in that reference jurisdiction throughout the Fiscal Year is treated as being part of the MNE Group located in the reference jurisdiction. In all other situations, the tangible asset of a Constituent Entity is treated as being in a jurisdiction that is not the reference jurisdiction.  </w:t>
      </w:r>
      <w:r>
        <w:br/>
      </w:r>
      <w:r w:rsidRPr="009E2C1B">
        <w:rPr>
          <w:rStyle w:val="References"/>
        </w:rPr>
        <w:t>[Chapter 9, section 9-40 of the Rules]</w:t>
      </w:r>
    </w:p>
    <w:p w14:paraId="4EC66E4A" w14:textId="77777777" w:rsidR="00F64E31" w:rsidRDefault="00F64E31" w:rsidP="00F64E31">
      <w:pPr>
        <w:pStyle w:val="Normalparatextwithnumbers"/>
        <w:numPr>
          <w:ilvl w:val="1"/>
          <w:numId w:val="18"/>
        </w:numPr>
      </w:pPr>
      <w:r>
        <w:t xml:space="preserve">The reference jurisdiction of an MNE Group is where the MNE Group has the highest total value of tangible assets for the first Fiscal Year for which the MNE Group is an Applicable MNE Group. </w:t>
      </w:r>
      <w:r>
        <w:br/>
      </w:r>
      <w:r>
        <w:rPr>
          <w:rStyle w:val="References"/>
        </w:rPr>
        <w:t>[Chapter 9, section 9-50 of the Rules]</w:t>
      </w:r>
    </w:p>
    <w:p w14:paraId="2D81E9B8" w14:textId="77777777" w:rsidR="00F64E31" w:rsidRDefault="00F64E31" w:rsidP="00F64E31">
      <w:pPr>
        <w:pStyle w:val="Heading5"/>
        <w:numPr>
          <w:ilvl w:val="4"/>
          <w:numId w:val="2"/>
        </w:numPr>
      </w:pPr>
      <w:r>
        <w:t xml:space="preserve">Carve outs </w:t>
      </w:r>
    </w:p>
    <w:p w14:paraId="6BF013B4" w14:textId="77777777" w:rsidR="00F64E31" w:rsidRDefault="00F64E31" w:rsidP="00F64E31">
      <w:pPr>
        <w:pStyle w:val="Normalparatextwithnumbers"/>
        <w:numPr>
          <w:ilvl w:val="1"/>
          <w:numId w:val="18"/>
        </w:numPr>
      </w:pPr>
      <w:r>
        <w:t xml:space="preserve">The exclusion does not apply to Investment Entities or Insurance Investment Entities. Therefore, the tangible assets of those entities are not included in the total value that counts towards determining the MNE Group’s reference jurisdiction.  </w:t>
      </w:r>
      <w:r>
        <w:br/>
      </w:r>
      <w:r w:rsidRPr="009E2C1B">
        <w:rPr>
          <w:rStyle w:val="References"/>
        </w:rPr>
        <w:t>[Chapter 9, subsection</w:t>
      </w:r>
      <w:r>
        <w:rPr>
          <w:rStyle w:val="References"/>
        </w:rPr>
        <w:t>s</w:t>
      </w:r>
      <w:r w:rsidRPr="009E2C1B">
        <w:rPr>
          <w:rStyle w:val="References"/>
        </w:rPr>
        <w:t xml:space="preserve"> 9-40(3)</w:t>
      </w:r>
      <w:r>
        <w:rPr>
          <w:rStyle w:val="References"/>
        </w:rPr>
        <w:t>, 9-40(3) and (4</w:t>
      </w:r>
      <w:r w:rsidRPr="009E2C1B">
        <w:rPr>
          <w:rStyle w:val="References"/>
        </w:rPr>
        <w:t>) of the Rules]</w:t>
      </w:r>
    </w:p>
    <w:p w14:paraId="701D68B2" w14:textId="697E3B71" w:rsidR="001C2BD3" w:rsidRPr="001C2BD3" w:rsidRDefault="00F64E31" w:rsidP="00F64E31">
      <w:pPr>
        <w:pStyle w:val="Normalparatextwithnumbers"/>
        <w:numPr>
          <w:ilvl w:val="1"/>
          <w:numId w:val="3"/>
        </w:numPr>
        <w:rPr>
          <w:rStyle w:val="References"/>
          <w:b w:val="0"/>
          <w:bCs w:val="0"/>
          <w:i w:val="0"/>
          <w:iCs w:val="0"/>
        </w:rPr>
      </w:pPr>
      <w:r>
        <w:t xml:space="preserve">If Australia is the Reference Jurisdiction of the MNE Group, then the transitional rule does not apply and any top-up tax calculated for a LTCE that would be taken into account in calculating the MNE Group’s total UTPR </w:t>
      </w:r>
      <w:r w:rsidR="00CD6558">
        <w:t>T</w:t>
      </w:r>
      <w:r>
        <w:t>op</w:t>
      </w:r>
      <w:r>
        <w:noBreakHyphen/>
        <w:t xml:space="preserve">up </w:t>
      </w:r>
      <w:r w:rsidR="00CD6558">
        <w:t>T</w:t>
      </w:r>
      <w:r>
        <w:t xml:space="preserve">ax </w:t>
      </w:r>
      <w:r w:rsidR="00CD6558">
        <w:t>A</w:t>
      </w:r>
      <w:r>
        <w:t xml:space="preserve">mount is reduced to zero if the LTCE is located in the Reference Jurisdiction. If the LTCE is located in another jurisdiction, the UTPR Percentage of those jurisdictions is reduced to zero, which has the effect of allocating the full amount of </w:t>
      </w:r>
      <w:r w:rsidR="00CD6558">
        <w:t>t</w:t>
      </w:r>
      <w:r>
        <w:t xml:space="preserve">op-up </w:t>
      </w:r>
      <w:r w:rsidR="00CD6558">
        <w:t>t</w:t>
      </w:r>
      <w:r>
        <w:t>ax arising in other jurisdictions to Australia.</w:t>
      </w:r>
      <w:r>
        <w:br/>
      </w:r>
      <w:r w:rsidRPr="009E2C1B">
        <w:rPr>
          <w:rStyle w:val="References"/>
        </w:rPr>
        <w:t>[Chapter 9, section 9-45 of the Rules]</w:t>
      </w:r>
      <w:bookmarkEnd w:id="290"/>
    </w:p>
    <w:p w14:paraId="6EF5C0FB" w14:textId="1AD544FB" w:rsidR="00D06CA4" w:rsidRPr="00D06CA4" w:rsidRDefault="00D06CA4" w:rsidP="00E5546C">
      <w:pPr>
        <w:pStyle w:val="Heading3"/>
        <w:rPr>
          <w:rFonts w:hint="eastAsia"/>
        </w:rPr>
        <w:sectPr w:rsidR="00D06CA4" w:rsidRPr="00D06CA4" w:rsidSect="0025163B">
          <w:headerReference w:type="even" r:id="rId105"/>
          <w:headerReference w:type="default" r:id="rId106"/>
          <w:footerReference w:type="even" r:id="rId107"/>
          <w:footerReference w:type="default" r:id="rId108"/>
          <w:headerReference w:type="first" r:id="rId109"/>
          <w:footerReference w:type="first" r:id="rId110"/>
          <w:type w:val="oddPage"/>
          <w:pgSz w:w="9979" w:h="14175" w:code="9"/>
          <w:pgMar w:top="567" w:right="1134" w:bottom="567" w:left="1134" w:header="709" w:footer="709" w:gutter="0"/>
          <w:cols w:space="708"/>
          <w:titlePg/>
          <w:docGrid w:linePitch="360"/>
        </w:sectPr>
      </w:pPr>
    </w:p>
    <w:p w14:paraId="64F941CF" w14:textId="090D5C92" w:rsidR="0025163B" w:rsidRPr="0073326A" w:rsidRDefault="000C23B6" w:rsidP="00777A92">
      <w:pPr>
        <w:pStyle w:val="Chapterheading"/>
        <w:rPr>
          <w:rFonts w:hint="eastAsia"/>
        </w:rPr>
      </w:pPr>
      <w:bookmarkStart w:id="312" w:name="_Toc183417107"/>
      <w:bookmarkStart w:id="313" w:name="_Toc183786695"/>
      <w:r>
        <w:lastRenderedPageBreak/>
        <w:t>Definitions</w:t>
      </w:r>
      <w:bookmarkEnd w:id="312"/>
      <w:bookmarkEnd w:id="313"/>
    </w:p>
    <w:p w14:paraId="538382A8" w14:textId="4FDD128B" w:rsidR="00372E04" w:rsidRDefault="00696F1E" w:rsidP="00696F1E">
      <w:pPr>
        <w:pStyle w:val="TOCHeading"/>
      </w:pPr>
      <w:bookmarkStart w:id="314" w:name="_Toc183786696"/>
      <w:bookmarkStart w:id="315" w:name="Chapter10"/>
      <w:r>
        <w:t xml:space="preserve">Table of Contents: </w:t>
      </w:r>
    </w:p>
    <w:p w14:paraId="6445B3B3" w14:textId="043308D3" w:rsidR="0096460F" w:rsidRDefault="00696F1E">
      <w:pPr>
        <w:pStyle w:val="TOC2"/>
        <w:rPr>
          <w:rFonts w:asciiTheme="minorHAnsi" w:eastAsiaTheme="minorEastAsia" w:hAnsiTheme="minorHAnsi"/>
          <w:kern w:val="2"/>
          <w:sz w:val="22"/>
          <w:lang w:eastAsia="en-AU"/>
          <w14:ligatures w14:val="standardContextual"/>
        </w:rPr>
      </w:pPr>
      <w:r>
        <w:fldChar w:fldCharType="begin"/>
      </w:r>
      <w:r>
        <w:instrText xml:space="preserve"> TOC \o "1-3" \z  \B Chapter10</w:instrText>
      </w:r>
      <w:r>
        <w:fldChar w:fldCharType="separate"/>
      </w:r>
      <w:r w:rsidR="0096460F">
        <w:t>Outline of chapter</w:t>
      </w:r>
      <w:r w:rsidR="0096460F">
        <w:rPr>
          <w:webHidden/>
        </w:rPr>
        <w:tab/>
      </w:r>
      <w:r w:rsidR="0096460F">
        <w:rPr>
          <w:webHidden/>
        </w:rPr>
        <w:fldChar w:fldCharType="begin"/>
      </w:r>
      <w:r w:rsidR="0096460F">
        <w:rPr>
          <w:webHidden/>
        </w:rPr>
        <w:instrText xml:space="preserve"> PAGEREF _Toc185503036 \h </w:instrText>
      </w:r>
      <w:r w:rsidR="0096460F">
        <w:rPr>
          <w:webHidden/>
        </w:rPr>
      </w:r>
      <w:r w:rsidR="0096460F">
        <w:rPr>
          <w:webHidden/>
        </w:rPr>
        <w:fldChar w:fldCharType="separate"/>
      </w:r>
      <w:r w:rsidR="009D6D0D">
        <w:rPr>
          <w:webHidden/>
        </w:rPr>
        <w:t>201</w:t>
      </w:r>
      <w:r w:rsidR="0096460F">
        <w:rPr>
          <w:webHidden/>
        </w:rPr>
        <w:fldChar w:fldCharType="end"/>
      </w:r>
    </w:p>
    <w:p w14:paraId="610BCD0A" w14:textId="7D2BDCBB" w:rsidR="0096460F" w:rsidRDefault="0096460F">
      <w:pPr>
        <w:pStyle w:val="TOC2"/>
        <w:rPr>
          <w:rFonts w:asciiTheme="minorHAnsi" w:eastAsiaTheme="minorEastAsia" w:hAnsiTheme="minorHAnsi"/>
          <w:kern w:val="2"/>
          <w:sz w:val="22"/>
          <w:lang w:eastAsia="en-AU"/>
          <w14:ligatures w14:val="standardContextual"/>
        </w:rPr>
      </w:pPr>
      <w:r>
        <w:t>Detailed explanation of new law</w:t>
      </w:r>
      <w:r>
        <w:rPr>
          <w:webHidden/>
        </w:rPr>
        <w:tab/>
      </w:r>
      <w:r>
        <w:rPr>
          <w:webHidden/>
        </w:rPr>
        <w:fldChar w:fldCharType="begin"/>
      </w:r>
      <w:r>
        <w:rPr>
          <w:webHidden/>
        </w:rPr>
        <w:instrText xml:space="preserve"> PAGEREF _Toc185503037 \h </w:instrText>
      </w:r>
      <w:r>
        <w:rPr>
          <w:webHidden/>
        </w:rPr>
      </w:r>
      <w:r>
        <w:rPr>
          <w:webHidden/>
        </w:rPr>
        <w:fldChar w:fldCharType="separate"/>
      </w:r>
      <w:r w:rsidR="009D6D0D">
        <w:rPr>
          <w:webHidden/>
        </w:rPr>
        <w:t>201</w:t>
      </w:r>
      <w:r>
        <w:rPr>
          <w:webHidden/>
        </w:rPr>
        <w:fldChar w:fldCharType="end"/>
      </w:r>
    </w:p>
    <w:p w14:paraId="3DCC00C5" w14:textId="1BF71937" w:rsidR="00696F1E" w:rsidRPr="00696F1E" w:rsidRDefault="00696F1E" w:rsidP="00B7652D">
      <w:r>
        <w:fldChar w:fldCharType="end"/>
      </w:r>
    </w:p>
    <w:p w14:paraId="303BACDD" w14:textId="28A4C0C1" w:rsidR="0025163B" w:rsidRPr="00020288" w:rsidRDefault="0025163B" w:rsidP="005D0844">
      <w:pPr>
        <w:pStyle w:val="Heading2"/>
        <w:rPr>
          <w:rFonts w:hint="eastAsia"/>
        </w:rPr>
      </w:pPr>
      <w:bookmarkStart w:id="316" w:name="_Toc185503036"/>
      <w:r w:rsidRPr="00020288">
        <w:t xml:space="preserve">Outline </w:t>
      </w:r>
      <w:r w:rsidRPr="005D0844">
        <w:t>of</w:t>
      </w:r>
      <w:r w:rsidRPr="00020288">
        <w:t xml:space="preserve"> chapter</w:t>
      </w:r>
      <w:bookmarkEnd w:id="314"/>
      <w:bookmarkEnd w:id="316"/>
    </w:p>
    <w:p w14:paraId="7C636BA7" w14:textId="25A59CB9" w:rsidR="0025163B" w:rsidRPr="000E521B" w:rsidRDefault="00BE4544" w:rsidP="000E521B">
      <w:pPr>
        <w:pStyle w:val="Normalparatextwithnumbers"/>
      </w:pPr>
      <w:r>
        <w:t xml:space="preserve">Chapter 10 contains essential terms that are defined throughout the Rules. </w:t>
      </w:r>
    </w:p>
    <w:p w14:paraId="51388258" w14:textId="77777777" w:rsidR="0025163B" w:rsidRPr="00020288" w:rsidRDefault="0025163B" w:rsidP="0025163B">
      <w:pPr>
        <w:pStyle w:val="Heading2"/>
        <w:numPr>
          <w:ilvl w:val="1"/>
          <w:numId w:val="2"/>
        </w:numPr>
        <w:tabs>
          <w:tab w:val="num" w:pos="567"/>
        </w:tabs>
        <w:ind w:left="567" w:hanging="567"/>
        <w:rPr>
          <w:rFonts w:hint="eastAsia"/>
        </w:rPr>
      </w:pPr>
      <w:bookmarkStart w:id="317" w:name="_Toc183786697"/>
      <w:bookmarkStart w:id="318" w:name="_Toc185503037"/>
      <w:r w:rsidRPr="00020288">
        <w:t>Detailed explanation of new law</w:t>
      </w:r>
      <w:bookmarkEnd w:id="317"/>
      <w:bookmarkEnd w:id="318"/>
    </w:p>
    <w:p w14:paraId="2228CCC9" w14:textId="48A17499" w:rsidR="00BE4544" w:rsidRDefault="00BE4544" w:rsidP="00BE4544">
      <w:pPr>
        <w:pStyle w:val="Heading6"/>
        <w:rPr>
          <w:rFonts w:hint="eastAsia"/>
        </w:rPr>
      </w:pPr>
      <w:r>
        <w:t xml:space="preserve">Qualified GloBE </w:t>
      </w:r>
      <w:r w:rsidR="00CB02BF">
        <w:t>t</w:t>
      </w:r>
      <w:r>
        <w:t xml:space="preserve">axes </w:t>
      </w:r>
    </w:p>
    <w:p w14:paraId="12450C9F" w14:textId="1F1DBAF3" w:rsidR="00BE4544" w:rsidRDefault="00BE4544" w:rsidP="00BE4544">
      <w:pPr>
        <w:pStyle w:val="Normalparatextwithnumbers"/>
        <w:numPr>
          <w:ilvl w:val="1"/>
          <w:numId w:val="3"/>
        </w:numPr>
      </w:pPr>
      <w:r>
        <w:t>Section 10-</w:t>
      </w:r>
      <w:r w:rsidR="00071445">
        <w:t>15</w:t>
      </w:r>
      <w:r>
        <w:t xml:space="preserve"> of the Rules allows the Minister to make a determination specifying a</w:t>
      </w:r>
      <w:r w:rsidR="006E4517">
        <w:t xml:space="preserve">n IIR, DMT or UTPR </w:t>
      </w:r>
      <w:r w:rsidR="005331C3">
        <w:t>as</w:t>
      </w:r>
      <w:r w:rsidR="006E4517">
        <w:t xml:space="preserve"> qualified, consistent with the OECD’s </w:t>
      </w:r>
      <w:r w:rsidR="00E643E4">
        <w:t xml:space="preserve">qualification </w:t>
      </w:r>
      <w:r w:rsidR="006E4517">
        <w:t xml:space="preserve">determination of a </w:t>
      </w:r>
      <w:r w:rsidR="003B615D">
        <w:t>jurisdiction implementing a</w:t>
      </w:r>
      <w:r w:rsidR="00960C06">
        <w:t>n IIR, UTPR or DMT</w:t>
      </w:r>
      <w:r w:rsidR="002263B4">
        <w:t>.</w:t>
      </w:r>
      <w:r w:rsidR="00960C06">
        <w:t xml:space="preserve"> </w:t>
      </w:r>
      <w:r w:rsidR="00071445">
        <w:br/>
      </w:r>
      <w:r w:rsidRPr="005C1418">
        <w:rPr>
          <w:rStyle w:val="References"/>
        </w:rPr>
        <w:t>[Chapter 10, section 10-</w:t>
      </w:r>
      <w:r w:rsidR="00623DE5">
        <w:rPr>
          <w:rStyle w:val="References"/>
        </w:rPr>
        <w:t>15</w:t>
      </w:r>
      <w:r w:rsidR="00623DE5" w:rsidRPr="005C1418">
        <w:rPr>
          <w:rStyle w:val="References"/>
        </w:rPr>
        <w:t xml:space="preserve"> </w:t>
      </w:r>
      <w:r w:rsidRPr="005C1418">
        <w:rPr>
          <w:rStyle w:val="References"/>
        </w:rPr>
        <w:t>of the Rules]</w:t>
      </w:r>
    </w:p>
    <w:p w14:paraId="285AD9A3" w14:textId="184181E3" w:rsidR="00BE4544" w:rsidRDefault="00BE4544" w:rsidP="00D20315">
      <w:pPr>
        <w:pStyle w:val="Normalparatextwithnumbers"/>
        <w:numPr>
          <w:ilvl w:val="1"/>
          <w:numId w:val="3"/>
        </w:numPr>
      </w:pPr>
      <w:r>
        <w:t>This power is to ensure there is appropriate oversight of the taxes the OECD deems qualified for certain jurisdictions. The alternative to a Ministerial Determination would be directly rely on the list produced by the OECD. This would limit the oversight Parliament has and would directly incorporate a list published on the OECD website. Allowing the Minister to specify qualified GloBE taxes in a Determination ensures there is adequate parliamentary oversight and removes the incorporation by reference of OECD materials. Th</w:t>
      </w:r>
      <w:r w:rsidR="00655A4F">
        <w:t xml:space="preserve">e Ministerial </w:t>
      </w:r>
      <w:r>
        <w:t xml:space="preserve">power </w:t>
      </w:r>
      <w:r w:rsidR="00DA52B9">
        <w:t xml:space="preserve">is </w:t>
      </w:r>
      <w:r>
        <w:t>limit</w:t>
      </w:r>
      <w:r w:rsidR="00DA52B9">
        <w:t>ed</w:t>
      </w:r>
      <w:r>
        <w:t xml:space="preserve"> to only be in effect for a specified fiscal year and can only apply to the extent that the Rules continue to remain functionally equivalent to the OECD's Agreed Administrative Guidance. </w:t>
      </w:r>
    </w:p>
    <w:p w14:paraId="30A646C0" w14:textId="48D6A887" w:rsidR="0026118A" w:rsidRPr="0026118A" w:rsidRDefault="00B97F56" w:rsidP="0034305D">
      <w:pPr>
        <w:pStyle w:val="Heading6"/>
        <w:rPr>
          <w:rFonts w:hint="eastAsia"/>
        </w:rPr>
      </w:pPr>
      <w:r>
        <w:t>D</w:t>
      </w:r>
      <w:r w:rsidR="0026118A">
        <w:t>irect ownership interest – interest differently classified</w:t>
      </w:r>
    </w:p>
    <w:p w14:paraId="46F16E3E" w14:textId="5C878885" w:rsidR="0034305D" w:rsidRDefault="001F202C" w:rsidP="0034305D">
      <w:pPr>
        <w:pStyle w:val="Normalparatextwithnumbers"/>
        <w:numPr>
          <w:ilvl w:val="1"/>
          <w:numId w:val="18"/>
        </w:numPr>
      </w:pPr>
      <w:r>
        <w:t xml:space="preserve">For the </w:t>
      </w:r>
      <w:r w:rsidR="00284E09">
        <w:t xml:space="preserve">purposes of subsection 38(8) of the </w:t>
      </w:r>
      <w:r w:rsidR="00071445">
        <w:t xml:space="preserve">Assessment </w:t>
      </w:r>
      <w:r w:rsidR="00284E09">
        <w:t>Act, there is not a Direct Ownership Interest in the issuer if:</w:t>
      </w:r>
    </w:p>
    <w:p w14:paraId="4A8B9F63" w14:textId="4E8D397F" w:rsidR="00284E09" w:rsidRDefault="00F0405E" w:rsidP="00B07214">
      <w:pPr>
        <w:pStyle w:val="Dotpoint1"/>
      </w:pPr>
      <w:r>
        <w:t xml:space="preserve">a Constituent Entity of an MNE Group (the </w:t>
      </w:r>
      <w:r>
        <w:rPr>
          <w:b/>
          <w:i/>
        </w:rPr>
        <w:t>holder</w:t>
      </w:r>
      <w:r>
        <w:t xml:space="preserve">) holds an interest in another Constituent Entity of the MNE Group (the </w:t>
      </w:r>
      <w:r>
        <w:rPr>
          <w:b/>
          <w:i/>
        </w:rPr>
        <w:t>issuer</w:t>
      </w:r>
      <w:r>
        <w:t>); and</w:t>
      </w:r>
    </w:p>
    <w:p w14:paraId="2B0E3C60" w14:textId="52F4AE43" w:rsidR="00F0405E" w:rsidRDefault="00720165" w:rsidP="00B07214">
      <w:pPr>
        <w:pStyle w:val="Dotpoint1"/>
      </w:pPr>
      <w:r>
        <w:lastRenderedPageBreak/>
        <w:t>the holder has classified the interest as debt under the financial accounting standard used in the preparation of the relevant Consolidated Financial Statements; and</w:t>
      </w:r>
    </w:p>
    <w:p w14:paraId="27073C53" w14:textId="26A3C1C2" w:rsidR="004B324F" w:rsidRPr="00C061CC" w:rsidRDefault="003544F1" w:rsidP="00B07214">
      <w:pPr>
        <w:pStyle w:val="Dotpoint1"/>
        <w:rPr>
          <w:rStyle w:val="References"/>
        </w:rPr>
      </w:pPr>
      <w:r>
        <w:t>the issuer has classified the interest as equity under that financial accounting standard.</w:t>
      </w:r>
      <w:r w:rsidR="00C061CC">
        <w:rPr>
          <w:rStyle w:val="References"/>
        </w:rPr>
        <w:br/>
      </w:r>
      <w:r w:rsidR="004B324F">
        <w:rPr>
          <w:rStyle w:val="References"/>
        </w:rPr>
        <w:t>[Chapter 10, section 10-</w:t>
      </w:r>
      <w:r w:rsidR="00623DE5">
        <w:rPr>
          <w:rStyle w:val="References"/>
        </w:rPr>
        <w:t xml:space="preserve">20 </w:t>
      </w:r>
      <w:r w:rsidR="004B324F">
        <w:rPr>
          <w:rStyle w:val="References"/>
        </w:rPr>
        <w:t>of the Rules]</w:t>
      </w:r>
    </w:p>
    <w:p w14:paraId="405C0DAB" w14:textId="77777777" w:rsidR="00BE4544" w:rsidRDefault="00BE4544" w:rsidP="00BE4544">
      <w:pPr>
        <w:pStyle w:val="Heading6"/>
        <w:rPr>
          <w:rFonts w:hint="eastAsia"/>
        </w:rPr>
      </w:pPr>
      <w:r w:rsidRPr="00136DB9">
        <w:t>Location of dual located entities</w:t>
      </w:r>
    </w:p>
    <w:p w14:paraId="26852F97" w14:textId="5A4CF3F5" w:rsidR="00BE4544" w:rsidRDefault="00BE4544" w:rsidP="00BE4544">
      <w:pPr>
        <w:pStyle w:val="Normalparatextwithnumbers"/>
        <w:numPr>
          <w:ilvl w:val="1"/>
          <w:numId w:val="18"/>
        </w:numPr>
      </w:pPr>
      <w:r>
        <w:t xml:space="preserve">The principle underlying the location of an entity is to follow the treatment prescribed under local law. In the Australian context, an entity would be considered to be an Australian entity if it falls within the meaning of </w:t>
      </w:r>
      <w:r w:rsidR="00A74157">
        <w:t xml:space="preserve">the ITAA </w:t>
      </w:r>
      <w:r w:rsidRPr="00A74157">
        <w:t>1997</w:t>
      </w:r>
      <w:r>
        <w:t xml:space="preserve"> (see section 40 of the </w:t>
      </w:r>
      <w:r w:rsidR="008165C9">
        <w:t xml:space="preserve">Assessment </w:t>
      </w:r>
      <w:r>
        <w:t>Act). In most cases, the entity will be a tax resident in the jurisdiction of its place of business,</w:t>
      </w:r>
      <w:r w:rsidR="00390B3D">
        <w:t xml:space="preserve"> which will </w:t>
      </w:r>
      <w:r>
        <w:t xml:space="preserve">be </w:t>
      </w:r>
      <w:r w:rsidR="00390B3D">
        <w:t xml:space="preserve">the </w:t>
      </w:r>
      <w:r>
        <w:t>jurisdiction for the purposes of the Rules. In the case where the application of a local law results in an entity being located in more than one jurisdiction, section 10-</w:t>
      </w:r>
      <w:r w:rsidR="00BD1EEB">
        <w:t>6</w:t>
      </w:r>
      <w:r>
        <w:t>0</w:t>
      </w:r>
      <w:r w:rsidR="00F731B5">
        <w:t>, relating to dual located entities</w:t>
      </w:r>
      <w:r>
        <w:t xml:space="preserve"> applies (as under s</w:t>
      </w:r>
      <w:r w:rsidR="001777B5">
        <w:t>ection</w:t>
      </w:r>
      <w:r>
        <w:t xml:space="preserve"> 43 of the </w:t>
      </w:r>
      <w:r w:rsidR="008165C9">
        <w:t xml:space="preserve">Assessment </w:t>
      </w:r>
      <w:r>
        <w:t>Act). If there is no resolution after consideration of Tax Treat</w:t>
      </w:r>
      <w:r w:rsidR="00906F41">
        <w:t>ies</w:t>
      </w:r>
      <w:r>
        <w:t xml:space="preserve">, the Entity will be deemed to be located in the place with the higher </w:t>
      </w:r>
      <w:r w:rsidR="00906F41">
        <w:t xml:space="preserve">total of </w:t>
      </w:r>
      <w:r>
        <w:t>Covered Taxes or Substance Substance-based Income. In the event that there is still no single outcome, the location will be the place of creation. In limited cases, the Entity may be stateless.</w:t>
      </w:r>
      <w:r w:rsidR="00AC0C5A">
        <w:t xml:space="preserve"> The location of a Flow</w:t>
      </w:r>
      <w:r w:rsidR="00AC0C5A">
        <w:noBreakHyphen/>
        <w:t xml:space="preserve">through Entity is not relevant as </w:t>
      </w:r>
      <w:r w:rsidR="00537FA5">
        <w:t xml:space="preserve">there are separate rules </w:t>
      </w:r>
      <w:r w:rsidR="000B3402">
        <w:t xml:space="preserve">for the </w:t>
      </w:r>
      <w:r w:rsidR="001E32A5">
        <w:t xml:space="preserve">ownership interests in </w:t>
      </w:r>
      <w:r w:rsidR="000B3402">
        <w:t>a Flow</w:t>
      </w:r>
      <w:r w:rsidR="000B3402">
        <w:noBreakHyphen/>
        <w:t>through Entity</w:t>
      </w:r>
      <w:r>
        <w:t>.</w:t>
      </w:r>
      <w:r>
        <w:br/>
        <w:t xml:space="preserve"> </w:t>
      </w:r>
      <w:r w:rsidRPr="005C1418">
        <w:rPr>
          <w:rStyle w:val="References"/>
        </w:rPr>
        <w:t>[Chapter 10, section 10-</w:t>
      </w:r>
      <w:r w:rsidR="00623DE5">
        <w:rPr>
          <w:rStyle w:val="References"/>
        </w:rPr>
        <w:t>60</w:t>
      </w:r>
      <w:r w:rsidR="00623DE5" w:rsidRPr="005C1418">
        <w:rPr>
          <w:rStyle w:val="References"/>
        </w:rPr>
        <w:t xml:space="preserve"> </w:t>
      </w:r>
      <w:r w:rsidRPr="005C1418">
        <w:rPr>
          <w:rStyle w:val="References"/>
        </w:rPr>
        <w:t>of the Rules]</w:t>
      </w:r>
    </w:p>
    <w:p w14:paraId="5E7F7EDB" w14:textId="48ED00CD" w:rsidR="00BE4544" w:rsidRDefault="00BE4544" w:rsidP="00BE4544">
      <w:pPr>
        <w:pStyle w:val="Normalparatextwithnumbers"/>
        <w:numPr>
          <w:ilvl w:val="1"/>
          <w:numId w:val="18"/>
        </w:numPr>
      </w:pPr>
      <w:r w:rsidRPr="00071445">
        <w:t>Section 10-</w:t>
      </w:r>
      <w:r w:rsidR="00704339" w:rsidRPr="00071445">
        <w:t>65</w:t>
      </w:r>
      <w:r w:rsidRPr="00071445">
        <w:t xml:space="preserve"> operates as an integrity provision</w:t>
      </w:r>
      <w:r w:rsidR="00CD4A20" w:rsidRPr="00071445">
        <w:t xml:space="preserve"> </w:t>
      </w:r>
      <w:r w:rsidR="00E50C3D" w:rsidRPr="00071445">
        <w:t>to ensure that the correct amount of top</w:t>
      </w:r>
      <w:r w:rsidR="00E50C3D" w:rsidRPr="00071445">
        <w:noBreakHyphen/>
        <w:t>up tax is collected and there is no under</w:t>
      </w:r>
      <w:r w:rsidR="00E50C3D" w:rsidRPr="00071445">
        <w:noBreakHyphen/>
        <w:t>taxation</w:t>
      </w:r>
      <w:r w:rsidR="002B2E49" w:rsidRPr="00071445">
        <w:t xml:space="preserve">. Where </w:t>
      </w:r>
      <w:r w:rsidR="00E253A4" w:rsidRPr="00071445">
        <w:t>a foreign Parent Entity</w:t>
      </w:r>
      <w:r w:rsidR="007123C0" w:rsidRPr="00071445">
        <w:t xml:space="preserve"> is required to apply an IIR, but it has not been correctly applied, </w:t>
      </w:r>
      <w:r w:rsidRPr="00071445">
        <w:t>Australia still has rights to tax the Parent Entity.</w:t>
      </w:r>
      <w:r w:rsidRPr="00071445">
        <w:br/>
      </w:r>
      <w:r w:rsidRPr="00071445">
        <w:rPr>
          <w:rStyle w:val="References"/>
        </w:rPr>
        <w:t>[Chapter 10, section 10-</w:t>
      </w:r>
      <w:r w:rsidR="00704339" w:rsidRPr="00071445">
        <w:rPr>
          <w:rStyle w:val="References"/>
        </w:rPr>
        <w:t>65</w:t>
      </w:r>
      <w:r w:rsidRPr="005C1418">
        <w:rPr>
          <w:rStyle w:val="References"/>
        </w:rPr>
        <w:t xml:space="preserve"> of the Rules]</w:t>
      </w:r>
    </w:p>
    <w:p w14:paraId="5C3290F1" w14:textId="77777777" w:rsidR="00BE4544" w:rsidRDefault="00BE4544" w:rsidP="00BE4544">
      <w:pPr>
        <w:pStyle w:val="Heading6"/>
        <w:rPr>
          <w:rFonts w:hint="eastAsia"/>
        </w:rPr>
      </w:pPr>
      <w:r>
        <w:t xml:space="preserve">Defined terms throughout the rules </w:t>
      </w:r>
    </w:p>
    <w:p w14:paraId="0F3A3931" w14:textId="54BD8568" w:rsidR="0025163B" w:rsidRPr="006479AC" w:rsidRDefault="00BE4544">
      <w:pPr>
        <w:pStyle w:val="Normalparatextwithnumbers"/>
        <w:numPr>
          <w:ilvl w:val="1"/>
          <w:numId w:val="3"/>
        </w:numPr>
      </w:pPr>
      <w:r>
        <w:t xml:space="preserve">Various defined terms that are used throughout the Rules are consolidated in section 10-5 to assist in finding the defined term. The table below consolidates meanings contained within section 10-5 and the remainder of the Rules. </w:t>
      </w:r>
    </w:p>
    <w:tbl>
      <w:tblPr>
        <w:tblStyle w:val="Tableindent12"/>
        <w:tblW w:w="0" w:type="auto"/>
        <w:tblInd w:w="0" w:type="dxa"/>
        <w:tblLook w:val="04A0" w:firstRow="1" w:lastRow="0" w:firstColumn="1" w:lastColumn="0" w:noHBand="0" w:noVBand="1"/>
      </w:tblPr>
      <w:tblGrid>
        <w:gridCol w:w="1768"/>
        <w:gridCol w:w="90"/>
        <w:gridCol w:w="5843"/>
      </w:tblGrid>
      <w:tr w:rsidR="00581411" w:rsidRPr="00020288" w14:paraId="0DF93887" w14:textId="77777777" w:rsidTr="00742D50">
        <w:trPr>
          <w:tblHeader/>
        </w:trPr>
        <w:tc>
          <w:tcPr>
            <w:tcW w:w="2334" w:type="dxa"/>
            <w:gridSpan w:val="2"/>
          </w:tcPr>
          <w:p w14:paraId="0DA6F32B" w14:textId="77777777" w:rsidR="00581411" w:rsidRPr="00A61FE9" w:rsidRDefault="00581411">
            <w:pPr>
              <w:pStyle w:val="Tableheaderrowtext"/>
              <w:numPr>
                <w:ilvl w:val="3"/>
                <w:numId w:val="2"/>
              </w:numPr>
              <w:ind w:left="1701" w:hanging="1701"/>
            </w:pPr>
            <w:r>
              <w:t>Defined term</w:t>
            </w:r>
          </w:p>
        </w:tc>
        <w:tc>
          <w:tcPr>
            <w:tcW w:w="5367" w:type="dxa"/>
          </w:tcPr>
          <w:p w14:paraId="58CB6547" w14:textId="77777777" w:rsidR="00581411" w:rsidRPr="00A61FE9" w:rsidRDefault="00581411">
            <w:pPr>
              <w:pStyle w:val="Tableheaderrowtext"/>
              <w:numPr>
                <w:ilvl w:val="3"/>
                <w:numId w:val="2"/>
              </w:numPr>
              <w:ind w:left="1701" w:hanging="1701"/>
            </w:pPr>
            <w:r>
              <w:t>Explanation</w:t>
            </w:r>
          </w:p>
        </w:tc>
      </w:tr>
      <w:tr w:rsidR="00581411" w:rsidRPr="00020288" w14:paraId="0AB59BAB" w14:textId="77777777" w:rsidTr="00AF7204">
        <w:tc>
          <w:tcPr>
            <w:tcW w:w="2334" w:type="dxa"/>
            <w:gridSpan w:val="2"/>
          </w:tcPr>
          <w:p w14:paraId="2CFA3D74" w14:textId="02FA8A6B" w:rsidR="00581411" w:rsidRDefault="00E532C2">
            <w:pPr>
              <w:pStyle w:val="Tabletext"/>
            </w:pPr>
            <w:r>
              <w:t>A</w:t>
            </w:r>
            <w:r w:rsidR="00581411">
              <w:t xml:space="preserve">ccounting </w:t>
            </w:r>
            <w:r w:rsidR="00D9433F">
              <w:t>f</w:t>
            </w:r>
            <w:r w:rsidR="00581411">
              <w:t xml:space="preserve">unctional </w:t>
            </w:r>
            <w:r>
              <w:t>c</w:t>
            </w:r>
            <w:r w:rsidR="00581411">
              <w:t>urrency</w:t>
            </w:r>
          </w:p>
          <w:p w14:paraId="17145DA4" w14:textId="790E1851" w:rsidR="00581411" w:rsidRPr="00020288" w:rsidRDefault="00581411">
            <w:pPr>
              <w:pStyle w:val="Tabletext"/>
            </w:pPr>
            <w:r>
              <w:t>3-</w:t>
            </w:r>
            <w:r w:rsidR="00BA45DD">
              <w:t>60</w:t>
            </w:r>
            <w:r>
              <w:t>(2)</w:t>
            </w:r>
          </w:p>
        </w:tc>
        <w:tc>
          <w:tcPr>
            <w:tcW w:w="5367" w:type="dxa"/>
          </w:tcPr>
          <w:p w14:paraId="03590F89" w14:textId="129D3242" w:rsidR="00581411" w:rsidRPr="00020288" w:rsidRDefault="00581411">
            <w:pPr>
              <w:pStyle w:val="Tabletext"/>
            </w:pPr>
            <w:r w:rsidRPr="00AE3E8A">
              <w:t xml:space="preserve">A Constituent Entity’s </w:t>
            </w:r>
            <w:r w:rsidR="00D9433F">
              <w:t>a</w:t>
            </w:r>
            <w:r w:rsidRPr="00AE3E8A">
              <w:t xml:space="preserve">ccounting </w:t>
            </w:r>
            <w:r w:rsidR="00D9433F">
              <w:t>f</w:t>
            </w:r>
            <w:r w:rsidRPr="00AE3E8A">
              <w:t xml:space="preserve">unctional </w:t>
            </w:r>
            <w:r w:rsidR="00D9433F">
              <w:t>c</w:t>
            </w:r>
            <w:r w:rsidRPr="00AE3E8A">
              <w:t xml:space="preserve">urrency for a Fiscal Year is the functional currency used to compute the Constituent Entity’s </w:t>
            </w:r>
            <w:r w:rsidR="00125D0E">
              <w:t>FANIL</w:t>
            </w:r>
            <w:r w:rsidRPr="00AE3E8A">
              <w:t xml:space="preserve"> for the Fiscal Year.</w:t>
            </w:r>
          </w:p>
        </w:tc>
      </w:tr>
      <w:tr w:rsidR="00581411" w:rsidRPr="00020288" w14:paraId="5B55257D" w14:textId="77777777" w:rsidTr="00AF7204">
        <w:tc>
          <w:tcPr>
            <w:tcW w:w="2334" w:type="dxa"/>
            <w:gridSpan w:val="2"/>
          </w:tcPr>
          <w:p w14:paraId="742198A1" w14:textId="77777777" w:rsidR="00581411" w:rsidRDefault="00581411" w:rsidP="00B7652D">
            <w:pPr>
              <w:pStyle w:val="Tabletext"/>
              <w:keepNext/>
            </w:pPr>
            <w:r>
              <w:lastRenderedPageBreak/>
              <w:t>Accrued Current Covered Tax Expense</w:t>
            </w:r>
          </w:p>
          <w:p w14:paraId="47E94A74" w14:textId="77777777" w:rsidR="00581411" w:rsidRPr="00020288" w:rsidRDefault="00581411" w:rsidP="00B7652D">
            <w:pPr>
              <w:pStyle w:val="Tabletext"/>
              <w:keepNext/>
            </w:pPr>
            <w:r>
              <w:t>4-10</w:t>
            </w:r>
          </w:p>
        </w:tc>
        <w:tc>
          <w:tcPr>
            <w:tcW w:w="5367" w:type="dxa"/>
          </w:tcPr>
          <w:p w14:paraId="5BDA289E" w14:textId="69FBC845" w:rsidR="00581411" w:rsidRPr="00020288" w:rsidRDefault="00581411" w:rsidP="00B7652D">
            <w:pPr>
              <w:pStyle w:val="Tabletext"/>
              <w:keepNext/>
            </w:pPr>
            <w:r w:rsidRPr="00B2524D">
              <w:t xml:space="preserve">The </w:t>
            </w:r>
            <w:r w:rsidRPr="00B2524D">
              <w:rPr>
                <w:b/>
                <w:i/>
              </w:rPr>
              <w:t>Accrued Current Covered Tax Expense</w:t>
            </w:r>
            <w:r w:rsidRPr="00B2524D">
              <w:t xml:space="preserve"> for a Fiscal Year of a Constituent Entity of an MNE Group is the amount (if any) of the Constituent Entity’s current tax expense accrued, in respect of Covered Taxes, in the Constituent Entity’s </w:t>
            </w:r>
            <w:r w:rsidR="00125D0E">
              <w:t>FANIL</w:t>
            </w:r>
            <w:r w:rsidRPr="00B2524D">
              <w:t xml:space="preserve"> for the Fiscal Year.</w:t>
            </w:r>
          </w:p>
        </w:tc>
      </w:tr>
      <w:tr w:rsidR="00581411" w:rsidRPr="00020288" w14:paraId="518E3C2A" w14:textId="77777777" w:rsidTr="00AF7204">
        <w:tc>
          <w:tcPr>
            <w:tcW w:w="2334" w:type="dxa"/>
            <w:gridSpan w:val="2"/>
          </w:tcPr>
          <w:p w14:paraId="6C8C226B" w14:textId="77777777" w:rsidR="00581411" w:rsidRPr="00020288" w:rsidRDefault="00581411">
            <w:pPr>
              <w:pStyle w:val="Tabletext"/>
            </w:pPr>
            <w:r>
              <w:t>Additional Current Top</w:t>
            </w:r>
            <w:r>
              <w:noBreakHyphen/>
              <w:t>up Tax</w:t>
            </w:r>
          </w:p>
        </w:tc>
        <w:tc>
          <w:tcPr>
            <w:tcW w:w="5367" w:type="dxa"/>
          </w:tcPr>
          <w:p w14:paraId="5711664B" w14:textId="77777777" w:rsidR="00581411" w:rsidRPr="00020288" w:rsidRDefault="00581411">
            <w:pPr>
              <w:pStyle w:val="Tabletext"/>
            </w:pPr>
            <w:r>
              <w:t>The amount of additional tax calculated under subsection 4</w:t>
            </w:r>
            <w:r>
              <w:noBreakHyphen/>
              <w:t>30(3), paragraph 5</w:t>
            </w:r>
            <w:r>
              <w:noBreakHyphen/>
              <w:t>90(3)(b), or paragraph 7</w:t>
            </w:r>
            <w:r>
              <w:noBreakHyphen/>
              <w:t>75(2)(c) as appropriate.</w:t>
            </w:r>
          </w:p>
        </w:tc>
      </w:tr>
      <w:tr w:rsidR="00581411" w:rsidRPr="00020288" w14:paraId="1D8F8D50" w14:textId="77777777" w:rsidTr="00AF7204">
        <w:tc>
          <w:tcPr>
            <w:tcW w:w="2334" w:type="dxa"/>
            <w:gridSpan w:val="2"/>
          </w:tcPr>
          <w:p w14:paraId="58A6E6D5" w14:textId="77777777" w:rsidR="00581411" w:rsidRDefault="00581411">
            <w:pPr>
              <w:pStyle w:val="Tabletext"/>
            </w:pPr>
            <w:r>
              <w:t>Additional Tier One Capital</w:t>
            </w:r>
          </w:p>
          <w:p w14:paraId="15F24F79" w14:textId="59DA1B08" w:rsidR="00581411" w:rsidRPr="00020288" w:rsidRDefault="00581411">
            <w:pPr>
              <w:pStyle w:val="Tabletext"/>
            </w:pPr>
            <w:r>
              <w:t>3-</w:t>
            </w:r>
            <w:r w:rsidR="00BA45DD">
              <w:t>210</w:t>
            </w:r>
            <w:r>
              <w:t>(2)</w:t>
            </w:r>
          </w:p>
        </w:tc>
        <w:tc>
          <w:tcPr>
            <w:tcW w:w="5367" w:type="dxa"/>
          </w:tcPr>
          <w:p w14:paraId="0BDFA37C" w14:textId="77777777" w:rsidR="00581411" w:rsidRPr="00020288" w:rsidRDefault="00581411">
            <w:pPr>
              <w:pStyle w:val="Tabletext"/>
            </w:pPr>
            <w:r>
              <w:t>A</w:t>
            </w:r>
            <w:r w:rsidRPr="00E267CD">
              <w:t>n instrument issued by a Constituent Entity of an MNE Group pursuant to prudential regulatory requirements applicable to the banking or insurance sector that is convertible to equity or written down if a pre</w:t>
            </w:r>
            <w:r w:rsidRPr="00E267CD">
              <w:noBreakHyphen/>
              <w:t>specified trigger event occurs and that has other features which are designed to aid loss absorbency in the event of a financial crisis.</w:t>
            </w:r>
          </w:p>
        </w:tc>
      </w:tr>
      <w:tr w:rsidR="00581411" w:rsidRPr="00020288" w14:paraId="7F066702" w14:textId="77777777" w:rsidTr="00AF7204">
        <w:tc>
          <w:tcPr>
            <w:tcW w:w="2334" w:type="dxa"/>
            <w:gridSpan w:val="2"/>
          </w:tcPr>
          <w:p w14:paraId="272CF18F" w14:textId="77777777" w:rsidR="00581411" w:rsidRDefault="00581411">
            <w:pPr>
              <w:pStyle w:val="Tabletext"/>
            </w:pPr>
            <w:r>
              <w:t>Additions to Covered Taxes</w:t>
            </w:r>
          </w:p>
          <w:p w14:paraId="023BB6F9" w14:textId="77777777" w:rsidR="00581411" w:rsidRDefault="00581411">
            <w:pPr>
              <w:pStyle w:val="Tabletext"/>
            </w:pPr>
            <w:r>
              <w:t>4-15</w:t>
            </w:r>
          </w:p>
        </w:tc>
        <w:tc>
          <w:tcPr>
            <w:tcW w:w="5367" w:type="dxa"/>
          </w:tcPr>
          <w:p w14:paraId="47E70E87" w14:textId="77777777" w:rsidR="00581411" w:rsidRPr="00010591" w:rsidRDefault="00581411">
            <w:pPr>
              <w:pStyle w:val="Tabletext"/>
            </w:pPr>
            <w:r w:rsidRPr="00010591">
              <w:t xml:space="preserve">The </w:t>
            </w:r>
            <w:r w:rsidRPr="00010591">
              <w:rPr>
                <w:b/>
                <w:i/>
              </w:rPr>
              <w:t>Additions to Covered Taxes</w:t>
            </w:r>
            <w:r w:rsidRPr="00010591">
              <w:t xml:space="preserve"> for a Fiscal Year of a Constituent Entity of an MNE Group is the sum of the following:</w:t>
            </w:r>
          </w:p>
          <w:p w14:paraId="062520FF" w14:textId="77777777" w:rsidR="00581411" w:rsidRPr="00010591" w:rsidRDefault="00581411">
            <w:pPr>
              <w:pStyle w:val="Tabledotpoint1"/>
            </w:pPr>
            <w:r w:rsidRPr="00010591">
              <w:t>the amount (if any) of Covered Taxes of the Constituent Entity for the Fiscal Year accrued as an expense in the profit before taxation in the Constituent Entity’s financial accounts for the Fiscal Year;</w:t>
            </w:r>
          </w:p>
          <w:p w14:paraId="596F99D9" w14:textId="77777777" w:rsidR="00581411" w:rsidRPr="003F0445" w:rsidRDefault="00581411">
            <w:pPr>
              <w:pStyle w:val="Tabledotpoint1"/>
            </w:pPr>
            <w:r>
              <w:t>t</w:t>
            </w:r>
            <w:r w:rsidRPr="00F25EA9">
              <w:t xml:space="preserve">he </w:t>
            </w:r>
            <w:r>
              <w:t xml:space="preserve">Constituent Entity’s share of the </w:t>
            </w:r>
            <w:r w:rsidRPr="00F25EA9">
              <w:t>amount of the GloBE Loss Deferred Tax Asset used in the Fiscal Year</w:t>
            </w:r>
            <w:r>
              <w:t xml:space="preserve"> </w:t>
            </w:r>
            <w:r w:rsidRPr="00F25EA9">
              <w:t>where</w:t>
            </w:r>
            <w:r>
              <w:t xml:space="preserve"> </w:t>
            </w:r>
            <w:r w:rsidRPr="00010591">
              <w:t xml:space="preserve">there is a GloBE Loss Deferred Tax Asset of the MNE Group for the jurisdiction in which the Constituent Entity is located; </w:t>
            </w:r>
          </w:p>
          <w:p w14:paraId="296DF10D" w14:textId="3C429C54" w:rsidR="00581411" w:rsidRPr="00010591" w:rsidRDefault="00581411">
            <w:pPr>
              <w:pStyle w:val="Tabledotpoint1"/>
            </w:pPr>
            <w:r>
              <w:t xml:space="preserve">the amount </w:t>
            </w:r>
            <w:r w:rsidRPr="00010591">
              <w:t xml:space="preserve">of </w:t>
            </w:r>
            <w:r>
              <w:t>the</w:t>
            </w:r>
            <w:r w:rsidRPr="00010591">
              <w:t xml:space="preserve"> GloBE Loss Deferred Tax Asset used</w:t>
            </w:r>
            <w:r>
              <w:t xml:space="preserve"> by the UPE</w:t>
            </w:r>
            <w:r w:rsidRPr="00010591">
              <w:t xml:space="preserve"> </w:t>
            </w:r>
            <w:r>
              <w:t xml:space="preserve">in </w:t>
            </w:r>
            <w:r w:rsidRPr="00010591">
              <w:t xml:space="preserve">the Fiscal Year </w:t>
            </w:r>
            <w:r>
              <w:t xml:space="preserve">where </w:t>
            </w:r>
            <w:r w:rsidRPr="00010591">
              <w:t xml:space="preserve">there is a GloBE Loss Deferred Tax Asset of the </w:t>
            </w:r>
            <w:r w:rsidR="001B58B0">
              <w:t>UPE</w:t>
            </w:r>
          </w:p>
          <w:p w14:paraId="79C543AE" w14:textId="77777777" w:rsidR="00581411" w:rsidRPr="00010591" w:rsidRDefault="00581411">
            <w:pPr>
              <w:pStyle w:val="Tabledotpoint1"/>
            </w:pPr>
            <w:r w:rsidRPr="00010591">
              <w:t>the amount (if any) of Covered Taxes of the Constituent Entity for the Fiscal Year that is paid in the Fiscal Year</w:t>
            </w:r>
            <w:r>
              <w:t xml:space="preserve"> and related to an uncertain tax position and </w:t>
            </w:r>
            <w:r w:rsidRPr="00010591">
              <w:t>was treated as a Reduction to Covered Taxes of the Constituent Entity for a previous Fiscal Year</w:t>
            </w:r>
            <w:r>
              <w:t xml:space="preserve">; </w:t>
            </w:r>
          </w:p>
          <w:p w14:paraId="1FC260C0" w14:textId="77777777" w:rsidR="00581411" w:rsidRDefault="00581411">
            <w:pPr>
              <w:pStyle w:val="Tabledotpoint1"/>
            </w:pPr>
            <w:r w:rsidRPr="00010591">
              <w:t>the amount (if any) of credit or refund, in respect of a Qualified Refundable Tax Credit or Marketable Transferable Tax Credit, that is recorded as a reduction, in respect of Covered Taxes, to its Accrued Current Covered Tax Expense for the Fiscal Year.</w:t>
            </w:r>
          </w:p>
        </w:tc>
      </w:tr>
      <w:tr w:rsidR="00581411" w:rsidRPr="00020288" w14:paraId="004AA752" w14:textId="77777777" w:rsidTr="00AF7204">
        <w:tc>
          <w:tcPr>
            <w:tcW w:w="2334" w:type="dxa"/>
            <w:gridSpan w:val="2"/>
          </w:tcPr>
          <w:p w14:paraId="33AABFF3" w14:textId="77777777" w:rsidR="00581411" w:rsidRDefault="00581411" w:rsidP="00B7652D">
            <w:pPr>
              <w:pStyle w:val="Tabletext"/>
              <w:keepNext/>
            </w:pPr>
            <w:r>
              <w:lastRenderedPageBreak/>
              <w:t>Adjusted Covered Taxes</w:t>
            </w:r>
          </w:p>
          <w:p w14:paraId="38928972" w14:textId="77777777" w:rsidR="00581411" w:rsidRDefault="00581411" w:rsidP="00B7652D">
            <w:pPr>
              <w:pStyle w:val="Tabletext"/>
              <w:keepNext/>
            </w:pPr>
            <w:r>
              <w:t>4-5</w:t>
            </w:r>
          </w:p>
        </w:tc>
        <w:tc>
          <w:tcPr>
            <w:tcW w:w="5367" w:type="dxa"/>
          </w:tcPr>
          <w:p w14:paraId="68AFAEC8" w14:textId="77777777" w:rsidR="00581411" w:rsidRPr="006D5A48" w:rsidRDefault="00581411" w:rsidP="00B7652D">
            <w:pPr>
              <w:pStyle w:val="Tabletext"/>
              <w:keepNext/>
            </w:pPr>
            <w:r w:rsidRPr="006D5A48">
              <w:t xml:space="preserve">The </w:t>
            </w:r>
            <w:r w:rsidRPr="006D5A48">
              <w:rPr>
                <w:b/>
                <w:i/>
              </w:rPr>
              <w:t>Adjusted Covered Taxes</w:t>
            </w:r>
            <w:r w:rsidRPr="006D5A48">
              <w:t xml:space="preserve"> for a Fiscal Year of a Constituent Entity of an MNE Group is the Constituent Entity’s</w:t>
            </w:r>
            <w:r w:rsidRPr="006D5A48">
              <w:rPr>
                <w:b/>
              </w:rPr>
              <w:t xml:space="preserve"> </w:t>
            </w:r>
            <w:r w:rsidRPr="006D5A48">
              <w:t>Accrued Current Covered Tax Expense for the Fiscal Year, adjusted by:</w:t>
            </w:r>
          </w:p>
          <w:p w14:paraId="36D11CBA" w14:textId="77777777" w:rsidR="00581411" w:rsidRPr="006D5A48" w:rsidRDefault="00581411" w:rsidP="00B7652D">
            <w:pPr>
              <w:pStyle w:val="Tabledotpoint1"/>
              <w:keepNext/>
            </w:pPr>
            <w:r w:rsidRPr="006D5A48">
              <w:t>its Additions to Covered Taxes for the Fiscal Year (see section 4</w:t>
            </w:r>
            <w:r w:rsidRPr="006D5A48">
              <w:noBreakHyphen/>
              <w:t>15) and subtracting its Reductions to Covered Taxes for the Fiscal Year (see section 4</w:t>
            </w:r>
            <w:r w:rsidRPr="006D5A48">
              <w:noBreakHyphen/>
              <w:t>20); and</w:t>
            </w:r>
          </w:p>
          <w:p w14:paraId="0F47DEE5" w14:textId="77777777" w:rsidR="00581411" w:rsidRPr="006D5A48" w:rsidRDefault="00581411" w:rsidP="00B7652D">
            <w:pPr>
              <w:pStyle w:val="Tabledotpoint1"/>
              <w:keepNext/>
            </w:pPr>
            <w:r w:rsidRPr="006D5A48">
              <w:t>the Total Deferred Tax Adjustment Amount for the Constituent Entity for the Fiscal Year (see Part 4</w:t>
            </w:r>
            <w:r w:rsidRPr="006D5A48">
              <w:noBreakHyphen/>
              <w:t>4); and</w:t>
            </w:r>
          </w:p>
          <w:p w14:paraId="533EAA11" w14:textId="77777777" w:rsidR="00581411" w:rsidRPr="006D5A48" w:rsidRDefault="00581411" w:rsidP="00B7652D">
            <w:pPr>
              <w:pStyle w:val="Tabledotpoint1"/>
              <w:keepNext/>
            </w:pPr>
            <w:r w:rsidRPr="006D5A48">
              <w:t>any increase in Covered Taxes, and subtracting any decrease in Covered Taxes, that:</w:t>
            </w:r>
          </w:p>
          <w:p w14:paraId="260F34D4" w14:textId="77777777" w:rsidR="00581411" w:rsidRPr="006D5A48" w:rsidRDefault="00581411" w:rsidP="00B7652D">
            <w:pPr>
              <w:pStyle w:val="Tabledotpoint2"/>
              <w:keepNext/>
              <w:ind w:left="817" w:hanging="426"/>
            </w:pPr>
            <w:r w:rsidRPr="006D5A48">
              <w:t>are recorded in equity or Other Comprehensive Income of the Constituent Entity for the Fiscal Year; and</w:t>
            </w:r>
          </w:p>
          <w:p w14:paraId="306A7D03" w14:textId="77777777" w:rsidR="00581411" w:rsidRDefault="00581411" w:rsidP="00B7652D">
            <w:pPr>
              <w:pStyle w:val="Tabledotpoint2"/>
              <w:keepNext/>
              <w:ind w:left="817" w:hanging="426"/>
            </w:pPr>
            <w:r w:rsidRPr="006D5A48">
              <w:t>relate to amounts included in the computation of GloBE Income or Loss of the Constituent Entity for the Fiscal Year that will be subject to tax under the law of any jurisdiction.</w:t>
            </w:r>
          </w:p>
        </w:tc>
      </w:tr>
      <w:tr w:rsidR="00581411" w:rsidRPr="00020288" w14:paraId="66E97237" w14:textId="77777777" w:rsidTr="00AF7204">
        <w:tc>
          <w:tcPr>
            <w:tcW w:w="2334" w:type="dxa"/>
            <w:gridSpan w:val="2"/>
          </w:tcPr>
          <w:p w14:paraId="4B01B65A" w14:textId="77777777" w:rsidR="00581411" w:rsidRDefault="00581411">
            <w:pPr>
              <w:pStyle w:val="Tabletext"/>
            </w:pPr>
            <w:r>
              <w:t>Allocable GloBE Income or Loss</w:t>
            </w:r>
          </w:p>
          <w:p w14:paraId="1BBD7211" w14:textId="7FECFC73" w:rsidR="00581411" w:rsidRDefault="00581411">
            <w:pPr>
              <w:pStyle w:val="Tabletext"/>
            </w:pPr>
            <w:r>
              <w:t>7-</w:t>
            </w:r>
            <w:r w:rsidR="00996187">
              <w:t>110</w:t>
            </w:r>
            <w:r>
              <w:t>(1)</w:t>
            </w:r>
          </w:p>
        </w:tc>
        <w:tc>
          <w:tcPr>
            <w:tcW w:w="5367" w:type="dxa"/>
          </w:tcPr>
          <w:p w14:paraId="4DCDB018" w14:textId="1BC11D1D" w:rsidR="00581411" w:rsidRDefault="00581411">
            <w:pPr>
              <w:pStyle w:val="Tabletext"/>
            </w:pPr>
            <w:r w:rsidRPr="002D0F13">
              <w:t xml:space="preserve">An MNE Group’s </w:t>
            </w:r>
            <w:r w:rsidRPr="002D0F13">
              <w:rPr>
                <w:b/>
                <w:i/>
              </w:rPr>
              <w:t>Allocable GloBE Income or Loss</w:t>
            </w:r>
            <w:r w:rsidRPr="002D0F13">
              <w:t xml:space="preserve"> for an Investment Entity for a Fiscal Year is</w:t>
            </w:r>
            <w:r>
              <w:t xml:space="preserve"> </w:t>
            </w:r>
            <w:r w:rsidRPr="002D0F13">
              <w:t>the Investment Entity’s GloBE Income or Loss for the Fiscal Year</w:t>
            </w:r>
            <w:r>
              <w:t xml:space="preserve"> </w:t>
            </w:r>
            <w:r w:rsidRPr="002D0F13">
              <w:t>multiplied by</w:t>
            </w:r>
            <w:r>
              <w:t xml:space="preserve"> </w:t>
            </w:r>
            <w:r w:rsidRPr="002D0F13">
              <w:t xml:space="preserve">the Inclusion Ratio of the </w:t>
            </w:r>
            <w:r w:rsidR="001B58B0">
              <w:t>UPE</w:t>
            </w:r>
            <w:r w:rsidRPr="002D0F13">
              <w:t xml:space="preserve"> of the MNE Group for the Investment Entity for the Fiscal Year.</w:t>
            </w:r>
          </w:p>
        </w:tc>
      </w:tr>
      <w:tr w:rsidR="00581411" w:rsidRPr="00020288" w14:paraId="76352290" w14:textId="77777777" w:rsidTr="00AF7204">
        <w:tc>
          <w:tcPr>
            <w:tcW w:w="2334" w:type="dxa"/>
            <w:gridSpan w:val="2"/>
          </w:tcPr>
          <w:p w14:paraId="24CF9E98" w14:textId="77777777" w:rsidR="00581411" w:rsidRDefault="00581411">
            <w:pPr>
              <w:pStyle w:val="Tabletext"/>
            </w:pPr>
            <w:r>
              <w:t>Allocable Share</w:t>
            </w:r>
          </w:p>
          <w:p w14:paraId="4C03F54D" w14:textId="77777777" w:rsidR="00581411" w:rsidRDefault="00581411">
            <w:pPr>
              <w:pStyle w:val="Tabletext"/>
            </w:pPr>
            <w:r>
              <w:t>2-10</w:t>
            </w:r>
          </w:p>
        </w:tc>
        <w:tc>
          <w:tcPr>
            <w:tcW w:w="5367" w:type="dxa"/>
          </w:tcPr>
          <w:p w14:paraId="4EE65AC5" w14:textId="724350C2" w:rsidR="00581411" w:rsidRDefault="00581411">
            <w:pPr>
              <w:pStyle w:val="Tabletext"/>
            </w:pPr>
            <w:r w:rsidRPr="00661E50">
              <w:t xml:space="preserve">A Parent Entity’s </w:t>
            </w:r>
            <w:r w:rsidRPr="00661E50">
              <w:rPr>
                <w:b/>
                <w:i/>
              </w:rPr>
              <w:t>Allocable Share</w:t>
            </w:r>
            <w:r w:rsidRPr="00661E50">
              <w:t xml:space="preserve"> of the Top</w:t>
            </w:r>
            <w:r w:rsidRPr="00661E50">
              <w:noBreakHyphen/>
              <w:t xml:space="preserve">up Tax of a </w:t>
            </w:r>
            <w:r w:rsidR="00125D0E">
              <w:t>LTCE</w:t>
            </w:r>
            <w:r w:rsidRPr="00661E50">
              <w:t xml:space="preserve"> for a Fiscal Year is an amount equal to</w:t>
            </w:r>
            <w:r>
              <w:t xml:space="preserve"> </w:t>
            </w:r>
            <w:r w:rsidRPr="00661E50">
              <w:t>the Top</w:t>
            </w:r>
            <w:r w:rsidRPr="00661E50">
              <w:noBreakHyphen/>
              <w:t xml:space="preserve">up Tax of the </w:t>
            </w:r>
            <w:r w:rsidR="00125D0E">
              <w:t>LTCE</w:t>
            </w:r>
            <w:r w:rsidRPr="00661E50">
              <w:t xml:space="preserve"> for the Fiscal Year</w:t>
            </w:r>
            <w:r>
              <w:t xml:space="preserve"> </w:t>
            </w:r>
            <w:r w:rsidRPr="00661E50">
              <w:t>multiplied by</w:t>
            </w:r>
            <w:r>
              <w:t xml:space="preserve"> </w:t>
            </w:r>
            <w:r w:rsidRPr="00661E50">
              <w:t xml:space="preserve">the Parent Entity’s Inclusion Ratio for the </w:t>
            </w:r>
            <w:r w:rsidR="00125D0E">
              <w:t>LTCE</w:t>
            </w:r>
            <w:r w:rsidRPr="00661E50">
              <w:t xml:space="preserve"> for the Fiscal Year.</w:t>
            </w:r>
          </w:p>
        </w:tc>
      </w:tr>
      <w:tr w:rsidR="00581411" w:rsidRPr="00020288" w14:paraId="68F2720B" w14:textId="77777777" w:rsidTr="00AF7204">
        <w:tc>
          <w:tcPr>
            <w:tcW w:w="2334" w:type="dxa"/>
            <w:gridSpan w:val="2"/>
          </w:tcPr>
          <w:p w14:paraId="6F7BD6D6" w14:textId="77777777" w:rsidR="00581411" w:rsidRDefault="00581411">
            <w:pPr>
              <w:pStyle w:val="Tabletext"/>
            </w:pPr>
            <w:r>
              <w:t>Ancillary International Shipping Activity</w:t>
            </w:r>
          </w:p>
          <w:p w14:paraId="7CEDB890" w14:textId="678F2595" w:rsidR="00581411" w:rsidRDefault="00581411">
            <w:pPr>
              <w:pStyle w:val="Tabletext"/>
            </w:pPr>
            <w:r>
              <w:t>3-</w:t>
            </w:r>
            <w:r w:rsidR="00BA45DD">
              <w:t>230</w:t>
            </w:r>
            <w:r>
              <w:t>(3)</w:t>
            </w:r>
          </w:p>
        </w:tc>
        <w:tc>
          <w:tcPr>
            <w:tcW w:w="5367" w:type="dxa"/>
          </w:tcPr>
          <w:p w14:paraId="46CE7103" w14:textId="32FA2BF4" w:rsidR="00581411" w:rsidRDefault="00581411">
            <w:pPr>
              <w:pStyle w:val="Tabletext"/>
              <w:ind w:left="0"/>
            </w:pPr>
            <w:r>
              <w:t>Any of the following activities:</w:t>
            </w:r>
          </w:p>
          <w:p w14:paraId="78D24DF0" w14:textId="77777777" w:rsidR="00581411" w:rsidRPr="00541865" w:rsidRDefault="00581411">
            <w:pPr>
              <w:pStyle w:val="Tabledotpoint1"/>
            </w:pPr>
            <w:r w:rsidRPr="00541865">
              <w:t>leasing a ship on a bareboat charter basis to another shipping enterprise that is not a Constituent Entity of the MNE Group, if the charter:</w:t>
            </w:r>
          </w:p>
          <w:p w14:paraId="3704E5D3" w14:textId="77777777" w:rsidR="00581411" w:rsidRPr="00541865" w:rsidRDefault="00581411" w:rsidP="00B7652D">
            <w:pPr>
              <w:pStyle w:val="Tabledotpoint2"/>
              <w:keepNext/>
              <w:ind w:left="817" w:hanging="426"/>
            </w:pPr>
            <w:r w:rsidRPr="00541865">
              <w:t>does not exceed three years; and</w:t>
            </w:r>
          </w:p>
          <w:p w14:paraId="51F1B062" w14:textId="77777777" w:rsidR="00581411" w:rsidRPr="00541865" w:rsidRDefault="00581411" w:rsidP="00B7652D">
            <w:pPr>
              <w:pStyle w:val="Tabledotpoint2"/>
              <w:keepNext/>
              <w:ind w:left="817" w:hanging="426"/>
            </w:pPr>
            <w:r w:rsidRPr="00541865">
              <w:t>is not part of a series of leases, or leases and other transactions, that result in the charter being in effect for an aggregate period exceeding three years;</w:t>
            </w:r>
          </w:p>
          <w:p w14:paraId="40088C8C" w14:textId="77777777" w:rsidR="00581411" w:rsidRPr="00541865" w:rsidRDefault="00581411">
            <w:pPr>
              <w:pStyle w:val="Tabledotpoint1"/>
            </w:pPr>
            <w:r w:rsidRPr="00541865">
              <w:t>selling tickets issued by other shipping enterprises for the domestic leg of an international voyage;</w:t>
            </w:r>
          </w:p>
          <w:p w14:paraId="2304B4BF" w14:textId="77777777" w:rsidR="00581411" w:rsidRPr="00541865" w:rsidRDefault="00581411">
            <w:pPr>
              <w:pStyle w:val="Tabledotpoint1"/>
            </w:pPr>
            <w:r w:rsidRPr="00541865">
              <w:t>leasing and short</w:t>
            </w:r>
            <w:r w:rsidRPr="00541865">
              <w:noBreakHyphen/>
              <w:t>term storage of a container (including levying detention charges for the late return of a container);</w:t>
            </w:r>
          </w:p>
          <w:p w14:paraId="0696CDB8" w14:textId="77777777" w:rsidR="00581411" w:rsidRPr="00541865" w:rsidRDefault="00581411">
            <w:pPr>
              <w:pStyle w:val="Tabledotpoint1"/>
            </w:pPr>
            <w:r w:rsidRPr="00541865">
              <w:lastRenderedPageBreak/>
              <w:t>providing services to other shipping enterprises by engineers, maintenance staff, cargo handlers, catering staff, and customer services personnel;</w:t>
            </w:r>
          </w:p>
          <w:p w14:paraId="625EC683" w14:textId="77777777" w:rsidR="00581411" w:rsidRDefault="00581411">
            <w:pPr>
              <w:pStyle w:val="Tabletext"/>
              <w:ind w:left="0"/>
            </w:pPr>
            <w:r w:rsidRPr="00541865">
              <w:t>investing, where the investment that generates the income is made as an integral part of the carrying on the business of operating the ships in international traffic.</w:t>
            </w:r>
          </w:p>
        </w:tc>
      </w:tr>
      <w:tr w:rsidR="00581411" w:rsidRPr="00020288" w14:paraId="05A862F1" w14:textId="77777777" w:rsidTr="00AF7204">
        <w:tc>
          <w:tcPr>
            <w:tcW w:w="2334" w:type="dxa"/>
            <w:gridSpan w:val="2"/>
          </w:tcPr>
          <w:p w14:paraId="380E03C3" w14:textId="77777777" w:rsidR="00581411" w:rsidRDefault="00581411">
            <w:pPr>
              <w:pStyle w:val="Tabletext"/>
            </w:pPr>
            <w:r>
              <w:lastRenderedPageBreak/>
              <w:t>Ancillary International Shipping Income</w:t>
            </w:r>
          </w:p>
          <w:p w14:paraId="0CB31BAC" w14:textId="44BDEB02" w:rsidR="00581411" w:rsidRDefault="00581411">
            <w:pPr>
              <w:pStyle w:val="Tabletext"/>
            </w:pPr>
            <w:r>
              <w:t>3-</w:t>
            </w:r>
            <w:r w:rsidR="00996187">
              <w:t>230</w:t>
            </w:r>
            <w:r>
              <w:t>(2)</w:t>
            </w:r>
          </w:p>
        </w:tc>
        <w:tc>
          <w:tcPr>
            <w:tcW w:w="5367" w:type="dxa"/>
          </w:tcPr>
          <w:p w14:paraId="4E394211" w14:textId="77777777" w:rsidR="00581411" w:rsidRDefault="00581411">
            <w:pPr>
              <w:pStyle w:val="Tabletext"/>
              <w:ind w:left="0"/>
            </w:pPr>
            <w:r w:rsidRPr="00702ACD">
              <w:t xml:space="preserve">The </w:t>
            </w:r>
            <w:r w:rsidRPr="00702ACD">
              <w:rPr>
                <w:b/>
                <w:i/>
              </w:rPr>
              <w:t>Ancillary International Shipping Income</w:t>
            </w:r>
            <w:r w:rsidRPr="00702ACD">
              <w:t xml:space="preserve"> of a Constituent Entity of an MNE Group for a Fiscal Year is</w:t>
            </w:r>
            <w:r>
              <w:t xml:space="preserve"> the Constituent Entity’s Ancillary International Shipping Income Revenue for the Fiscal Year, reduced by the Constituent Entity’s Ancillary International Shipping Income Costs for the Fiscal Year.</w:t>
            </w:r>
          </w:p>
        </w:tc>
      </w:tr>
      <w:tr w:rsidR="00581411" w:rsidRPr="00020288" w14:paraId="4A79E34D" w14:textId="77777777" w:rsidTr="00AF7204">
        <w:tc>
          <w:tcPr>
            <w:tcW w:w="2334" w:type="dxa"/>
            <w:gridSpan w:val="2"/>
          </w:tcPr>
          <w:p w14:paraId="27E86615" w14:textId="77777777" w:rsidR="00581411" w:rsidRDefault="00581411">
            <w:pPr>
              <w:pStyle w:val="Tabletext"/>
            </w:pPr>
            <w:r>
              <w:t>Ancillary International Shipping Income Costs</w:t>
            </w:r>
          </w:p>
          <w:p w14:paraId="19A105C1" w14:textId="3493A92E" w:rsidR="00581411" w:rsidRDefault="00581411">
            <w:pPr>
              <w:pStyle w:val="Tabletext"/>
            </w:pPr>
            <w:r>
              <w:t>3-</w:t>
            </w:r>
            <w:r w:rsidR="00996187">
              <w:t>230</w:t>
            </w:r>
            <w:r>
              <w:t>(4)</w:t>
            </w:r>
          </w:p>
        </w:tc>
        <w:tc>
          <w:tcPr>
            <w:tcW w:w="5367" w:type="dxa"/>
          </w:tcPr>
          <w:p w14:paraId="51667396" w14:textId="77777777" w:rsidR="00581411" w:rsidRDefault="00581411">
            <w:pPr>
              <w:pStyle w:val="Tabletext"/>
            </w:pPr>
            <w:r>
              <w:t xml:space="preserve">The </w:t>
            </w:r>
            <w:r w:rsidRPr="004D7B24">
              <w:rPr>
                <w:b/>
                <w:i/>
              </w:rPr>
              <w:t>Ancillary International Shipping Income Costs</w:t>
            </w:r>
            <w:r w:rsidRPr="004D7B24">
              <w:t xml:space="preserve">, of a Constituent Entity for a Fiscal Year, means the </w:t>
            </w:r>
            <w:r>
              <w:t>amount computed in accordance with the following formula:</w:t>
            </w:r>
          </w:p>
          <w:p w14:paraId="542F6DF1" w14:textId="091374EE" w:rsidR="0014707A" w:rsidRPr="006A66FB" w:rsidRDefault="0014707A" w:rsidP="00910D28">
            <w:pPr>
              <w:pStyle w:val="Tabletext"/>
            </w:pPr>
            <w:r w:rsidRPr="0014707A">
              <w:rPr>
                <w:noProof/>
              </w:rPr>
              <w:drawing>
                <wp:inline distT="0" distB="0" distL="0" distR="0" wp14:anchorId="5F92C9A1" wp14:editId="0EC5A807">
                  <wp:extent cx="4895850" cy="476250"/>
                  <wp:effectExtent l="0" t="0" r="0" b="0"/>
                  <wp:docPr id="408160293" name="Picture 44" descr="formula for the Ancillary International Shipping Income Costs, of a Constituent Entity for a Fisca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60293" name="Picture 44" descr="formula for the Ancillary International Shipping Income Costs, of a Constituent Entity for a Fiscal Year"/>
                          <pic:cNvPicPr>
                            <a:picLocks noChangeAspect="1" noChangeArrowheads="1"/>
                          </pic:cNvPicPr>
                        </pic:nvPicPr>
                        <pic:blipFill rotWithShape="1">
                          <a:blip r:embed="rId111" cstate="print">
                            <a:extLst>
                              <a:ext uri="{28A0092B-C50C-407E-A947-70E740481C1C}">
                                <a14:useLocalDpi xmlns:a14="http://schemas.microsoft.com/office/drawing/2010/main" val="0"/>
                              </a:ext>
                            </a:extLst>
                          </a:blip>
                          <a:srcRect l="13404" t="12000" r="-22767" b="-12000"/>
                          <a:stretch/>
                        </pic:blipFill>
                        <pic:spPr bwMode="auto">
                          <a:xfrm>
                            <a:off x="0" y="0"/>
                            <a:ext cx="4895850" cy="476250"/>
                          </a:xfrm>
                          <a:prstGeom prst="rect">
                            <a:avLst/>
                          </a:prstGeom>
                          <a:noFill/>
                          <a:ln>
                            <a:noFill/>
                          </a:ln>
                        </pic:spPr>
                      </pic:pic>
                    </a:graphicData>
                  </a:graphic>
                </wp:inline>
              </w:drawing>
            </w:r>
          </w:p>
          <w:p w14:paraId="5984EEA9" w14:textId="0A6798E1" w:rsidR="00581411" w:rsidRPr="008B0193" w:rsidRDefault="00581411">
            <w:pPr>
              <w:pStyle w:val="subsection2"/>
              <w:ind w:left="0"/>
              <w:rPr>
                <w:szCs w:val="18"/>
              </w:rPr>
            </w:pPr>
            <w:r w:rsidRPr="008B0193">
              <w:rPr>
                <w:szCs w:val="18"/>
              </w:rPr>
              <w:t>where:</w:t>
            </w:r>
          </w:p>
          <w:p w14:paraId="5BC4A1BC" w14:textId="77777777" w:rsidR="00581411" w:rsidRPr="008B0193" w:rsidRDefault="00581411">
            <w:pPr>
              <w:pStyle w:val="Tabledotpoint1"/>
            </w:pPr>
            <w:r w:rsidRPr="008B0193">
              <w:rPr>
                <w:b/>
                <w:i/>
              </w:rPr>
              <w:t>direct costs</w:t>
            </w:r>
            <w:r w:rsidRPr="008B0193">
              <w:t xml:space="preserve"> is the total costs incurred by the Constituent Entity for the Fiscal Year that are directly attributable to the Constituent Entity’s performance of Ancillary International Shipping Activities.</w:t>
            </w:r>
          </w:p>
          <w:p w14:paraId="217D890F" w14:textId="77777777" w:rsidR="00581411" w:rsidRPr="008B0193" w:rsidRDefault="00581411">
            <w:pPr>
              <w:pStyle w:val="Tabledotpoint1"/>
            </w:pPr>
            <w:r w:rsidRPr="008B0193">
              <w:rPr>
                <w:b/>
                <w:i/>
              </w:rPr>
              <w:t>indirect costs</w:t>
            </w:r>
            <w:r w:rsidRPr="008B0193">
              <w:t xml:space="preserve"> is the total costs incurred by the Constituent Entity for the Fiscal Year that are indirectly attributable to the Constituent Entity’s performance of Ancillary International Shipping Activities.</w:t>
            </w:r>
          </w:p>
          <w:p w14:paraId="67FFBD2B" w14:textId="77777777" w:rsidR="00581411" w:rsidRPr="008B0193" w:rsidRDefault="00581411">
            <w:pPr>
              <w:pStyle w:val="Tabledotpoint1"/>
            </w:pPr>
            <w:r w:rsidRPr="008B0193">
              <w:rPr>
                <w:b/>
                <w:i/>
              </w:rPr>
              <w:t>shipping revenue</w:t>
            </w:r>
            <w:r w:rsidRPr="008B0193">
              <w:t xml:space="preserve"> is the Constituent Entity’s Ancillary International Shipping Income Revenue for the Fiscal Year.</w:t>
            </w:r>
          </w:p>
          <w:p w14:paraId="590907B7" w14:textId="77777777" w:rsidR="00581411" w:rsidRDefault="00581411">
            <w:pPr>
              <w:pStyle w:val="Tabletext"/>
              <w:ind w:left="0"/>
            </w:pPr>
            <w:r w:rsidRPr="008B0193">
              <w:rPr>
                <w:b/>
                <w:i/>
              </w:rPr>
              <w:t>total revenue</w:t>
            </w:r>
            <w:r w:rsidRPr="008B0193">
              <w:t xml:space="preserve"> is the Constituent Entity’s total revenue for the Fiscal Year</w:t>
            </w:r>
            <w:r>
              <w:t xml:space="preserve">. </w:t>
            </w:r>
          </w:p>
        </w:tc>
      </w:tr>
      <w:tr w:rsidR="00581411" w:rsidRPr="00020288" w14:paraId="2B0A1934" w14:textId="77777777" w:rsidTr="00AF7204">
        <w:tc>
          <w:tcPr>
            <w:tcW w:w="2334" w:type="dxa"/>
            <w:gridSpan w:val="2"/>
          </w:tcPr>
          <w:p w14:paraId="4111E96C" w14:textId="77777777" w:rsidR="00581411" w:rsidRDefault="00581411">
            <w:pPr>
              <w:pStyle w:val="Tabletext"/>
            </w:pPr>
            <w:r>
              <w:t>Ancillary International Shipping Income Revenue</w:t>
            </w:r>
          </w:p>
          <w:p w14:paraId="6734B604" w14:textId="288FE742" w:rsidR="00581411" w:rsidRDefault="00581411">
            <w:pPr>
              <w:pStyle w:val="Tabletext"/>
            </w:pPr>
            <w:r>
              <w:t>3-</w:t>
            </w:r>
            <w:r w:rsidR="00996187">
              <w:t>230</w:t>
            </w:r>
            <w:r>
              <w:t>(3)</w:t>
            </w:r>
          </w:p>
        </w:tc>
        <w:tc>
          <w:tcPr>
            <w:tcW w:w="5367" w:type="dxa"/>
          </w:tcPr>
          <w:p w14:paraId="6C3792DD" w14:textId="77777777" w:rsidR="00581411" w:rsidRDefault="00581411">
            <w:pPr>
              <w:pStyle w:val="Tabletext"/>
            </w:pPr>
            <w:r w:rsidRPr="00676471">
              <w:t xml:space="preserve">The </w:t>
            </w:r>
            <w:r w:rsidRPr="00676471">
              <w:rPr>
                <w:b/>
                <w:i/>
              </w:rPr>
              <w:t>Ancillary International Shipping Income Revenue</w:t>
            </w:r>
            <w:r w:rsidRPr="00676471">
              <w:t xml:space="preserve"> of a Constituent Entity of an MNE Group for a Fiscal Year means the revenue obtained by the Constituent Entity for the Fiscal Year from </w:t>
            </w:r>
            <w:r>
              <w:t xml:space="preserve">an Ancillary International Shipping Activity, </w:t>
            </w:r>
            <w:r w:rsidRPr="000476A1">
              <w:t>to the extent they are performed primarily in connection with transporting passengers or cargo by ships in international traffic</w:t>
            </w:r>
            <w:r>
              <w:t>.</w:t>
            </w:r>
          </w:p>
        </w:tc>
      </w:tr>
      <w:tr w:rsidR="00581411" w:rsidRPr="00020288" w14:paraId="1B2A58AE" w14:textId="77777777" w:rsidTr="00AF7204">
        <w:tc>
          <w:tcPr>
            <w:tcW w:w="2334" w:type="dxa"/>
            <w:gridSpan w:val="2"/>
          </w:tcPr>
          <w:p w14:paraId="3D75AF8A" w14:textId="77777777" w:rsidR="00581411" w:rsidRDefault="00581411">
            <w:pPr>
              <w:pStyle w:val="Tabletext"/>
            </w:pPr>
            <w:r>
              <w:t>Arm’s Length Principle</w:t>
            </w:r>
          </w:p>
          <w:p w14:paraId="66DC1E31" w14:textId="25E9415F" w:rsidR="00581411" w:rsidRDefault="00581411">
            <w:pPr>
              <w:pStyle w:val="Tabletext"/>
            </w:pPr>
            <w:r>
              <w:t>3-</w:t>
            </w:r>
            <w:r w:rsidR="00996187">
              <w:t>105</w:t>
            </w:r>
          </w:p>
        </w:tc>
        <w:tc>
          <w:tcPr>
            <w:tcW w:w="5367" w:type="dxa"/>
          </w:tcPr>
          <w:p w14:paraId="257F2E92" w14:textId="77777777" w:rsidR="00581411" w:rsidRDefault="00581411">
            <w:pPr>
              <w:pStyle w:val="Tabletext"/>
            </w:pPr>
            <w:r>
              <w:t>T</w:t>
            </w:r>
            <w:r w:rsidRPr="00170E2D">
              <w:t>he principle under which transactions between Constituent Entities of the same MNE Group must be recorded by reference to the conditions that would have been obtained between independent enterprises in comparable transactions and under comparable circumstances.</w:t>
            </w:r>
          </w:p>
        </w:tc>
      </w:tr>
      <w:tr w:rsidR="00581411" w:rsidRPr="00020288" w14:paraId="29154148" w14:textId="77777777" w:rsidTr="00AF7204">
        <w:tc>
          <w:tcPr>
            <w:tcW w:w="2334" w:type="dxa"/>
            <w:gridSpan w:val="2"/>
          </w:tcPr>
          <w:p w14:paraId="4298C32F" w14:textId="77777777" w:rsidR="00581411" w:rsidRDefault="00581411">
            <w:pPr>
              <w:pStyle w:val="Tabletext"/>
            </w:pPr>
            <w:r>
              <w:lastRenderedPageBreak/>
              <w:t>Average GloBE Income or Loss</w:t>
            </w:r>
          </w:p>
          <w:p w14:paraId="7984AFD9" w14:textId="1286636E" w:rsidR="00581411" w:rsidRDefault="00581411">
            <w:pPr>
              <w:pStyle w:val="Tabletext"/>
            </w:pPr>
            <w:r>
              <w:t>5-</w:t>
            </w:r>
            <w:r w:rsidR="00996187">
              <w:t>110</w:t>
            </w:r>
            <w:r>
              <w:t>(1)(b)</w:t>
            </w:r>
          </w:p>
        </w:tc>
        <w:tc>
          <w:tcPr>
            <w:tcW w:w="5367" w:type="dxa"/>
          </w:tcPr>
          <w:p w14:paraId="725B0680" w14:textId="77777777" w:rsidR="00581411" w:rsidRDefault="00581411">
            <w:pPr>
              <w:pStyle w:val="Tabletext"/>
            </w:pPr>
            <w:r>
              <w:t>T</w:t>
            </w:r>
            <w:r w:rsidRPr="00FB1BE7">
              <w:t xml:space="preserve">he </w:t>
            </w:r>
            <w:r w:rsidRPr="00FB1BE7">
              <w:rPr>
                <w:b/>
                <w:i/>
              </w:rPr>
              <w:t>Average GloBE Income or Loss</w:t>
            </w:r>
            <w:r w:rsidRPr="00FB1BE7">
              <w:t xml:space="preserve"> of an MNE Group for a jurisdiction for a Fiscal Year is the average of the GloBE Income or Loss of the MNE Group for the jurisdiction for the Fiscal Year and the 2 preceding Fiscal Years.</w:t>
            </w:r>
          </w:p>
        </w:tc>
      </w:tr>
      <w:tr w:rsidR="00581411" w:rsidRPr="00020288" w14:paraId="1CE9D0CE" w14:textId="77777777" w:rsidTr="00AF7204">
        <w:tc>
          <w:tcPr>
            <w:tcW w:w="2334" w:type="dxa"/>
            <w:gridSpan w:val="2"/>
          </w:tcPr>
          <w:p w14:paraId="2F762679" w14:textId="77777777" w:rsidR="00581411" w:rsidRDefault="00581411">
            <w:pPr>
              <w:pStyle w:val="Tabletext"/>
            </w:pPr>
            <w:r>
              <w:t>Average GloBE Revenue</w:t>
            </w:r>
          </w:p>
          <w:p w14:paraId="62AEB617" w14:textId="0D5A43EC" w:rsidR="00581411" w:rsidRDefault="00581411">
            <w:pPr>
              <w:pStyle w:val="Tabletext"/>
            </w:pPr>
            <w:r>
              <w:t>5-</w:t>
            </w:r>
            <w:r w:rsidR="00996187">
              <w:t>110</w:t>
            </w:r>
            <w:r>
              <w:t>(1)(a)</w:t>
            </w:r>
          </w:p>
        </w:tc>
        <w:tc>
          <w:tcPr>
            <w:tcW w:w="5367" w:type="dxa"/>
          </w:tcPr>
          <w:p w14:paraId="638C6ACB" w14:textId="77777777" w:rsidR="00581411" w:rsidRDefault="00581411">
            <w:pPr>
              <w:pStyle w:val="Tabletext"/>
            </w:pPr>
            <w:r>
              <w:t>T</w:t>
            </w:r>
            <w:r w:rsidRPr="00050558">
              <w:t xml:space="preserve">he </w:t>
            </w:r>
            <w:r w:rsidRPr="00050558">
              <w:rPr>
                <w:b/>
                <w:i/>
              </w:rPr>
              <w:t>Average GloBE Revenue</w:t>
            </w:r>
            <w:r w:rsidRPr="00050558">
              <w:t xml:space="preserve"> of an MNE Group for a jurisdiction for a Fiscal Year is the average of the GloBE Revenue of the MNE Group for the jurisdiction for the Fiscal Year and the 2 preceding Fiscal Year</w:t>
            </w:r>
            <w:r>
              <w:t>s.</w:t>
            </w:r>
          </w:p>
        </w:tc>
      </w:tr>
      <w:tr w:rsidR="00581411" w:rsidRPr="00020288" w14:paraId="42893C75" w14:textId="77777777" w:rsidTr="00AF7204">
        <w:tc>
          <w:tcPr>
            <w:tcW w:w="2334" w:type="dxa"/>
            <w:gridSpan w:val="2"/>
          </w:tcPr>
          <w:p w14:paraId="50FC2742" w14:textId="77777777" w:rsidR="00581411" w:rsidRDefault="00581411">
            <w:pPr>
              <w:pStyle w:val="Tabletext"/>
            </w:pPr>
            <w:r>
              <w:t>Blended CFC Tax Regime</w:t>
            </w:r>
          </w:p>
          <w:p w14:paraId="747AE032" w14:textId="78B847BE" w:rsidR="00581411" w:rsidRDefault="00581411">
            <w:pPr>
              <w:pStyle w:val="Tabletext"/>
            </w:pPr>
            <w:r>
              <w:t>4-</w:t>
            </w:r>
            <w:r w:rsidR="00996187">
              <w:t>60</w:t>
            </w:r>
          </w:p>
        </w:tc>
        <w:tc>
          <w:tcPr>
            <w:tcW w:w="5367" w:type="dxa"/>
          </w:tcPr>
          <w:p w14:paraId="28F7DA79" w14:textId="77777777" w:rsidR="00581411" w:rsidRPr="00D83833" w:rsidRDefault="00581411">
            <w:pPr>
              <w:pStyle w:val="Tabletext"/>
              <w:rPr>
                <w:lang w:val="en-CA"/>
              </w:rPr>
            </w:pPr>
            <w:r w:rsidRPr="00D83833">
              <w:rPr>
                <w:bCs/>
                <w:iCs/>
                <w:lang w:val="en-CA"/>
              </w:rPr>
              <w:t>A</w:t>
            </w:r>
            <w:r w:rsidRPr="00D83833">
              <w:rPr>
                <w:b/>
                <w:bCs/>
                <w:i/>
                <w:iCs/>
                <w:lang w:val="en-CA"/>
              </w:rPr>
              <w:t xml:space="preserve"> Blended CFC Tax Regime</w:t>
            </w:r>
            <w:r w:rsidRPr="00D83833">
              <w:rPr>
                <w:lang w:val="en-CA"/>
              </w:rPr>
              <w:t xml:space="preserve"> of a jurisdiction means a </w:t>
            </w:r>
            <w:r w:rsidRPr="00D83833">
              <w:t>Controlled Foreign Company Tax Regime</w:t>
            </w:r>
            <w:r w:rsidRPr="00D83833">
              <w:rPr>
                <w:lang w:val="en-CA"/>
              </w:rPr>
              <w:t xml:space="preserve"> under which:</w:t>
            </w:r>
          </w:p>
          <w:p w14:paraId="4785149F" w14:textId="77777777" w:rsidR="00581411" w:rsidRPr="00D83833" w:rsidRDefault="00581411">
            <w:pPr>
              <w:pStyle w:val="Tabledotpoint1"/>
            </w:pPr>
            <w:r w:rsidRPr="00D83833">
              <w:t>the tax liability of an owner located in the jurisdiction is determined by reference to an aggregate of the income, losses and creditable taxes of other Entities, located in one or more other jurisdictions, in which the owner holds an Ownership Interest; and</w:t>
            </w:r>
          </w:p>
          <w:p w14:paraId="5774E83C" w14:textId="77777777" w:rsidR="00581411" w:rsidRDefault="00581411">
            <w:pPr>
              <w:pStyle w:val="Tabledotpoint1"/>
            </w:pPr>
            <w:r w:rsidRPr="00D83833">
              <w:t>the lowest rate that, if it were the corporate tax rate applicable in the one or more jurisdictions in which the other Entities are located, would result in the tax charge in those jurisdictions being sufficient to prevent a tax charge on the owner under the Controlled Foreign Company Tax Regime in respect of [its share of the income of] the other Entities for a Fiscal Year, is less than the Minimum Rate; and</w:t>
            </w:r>
          </w:p>
          <w:p w14:paraId="3AFE22C9" w14:textId="77777777" w:rsidR="00581411" w:rsidRDefault="00581411">
            <w:pPr>
              <w:pStyle w:val="Tabledotpoint1"/>
            </w:pPr>
            <w:r w:rsidRPr="00D83833">
              <w:t>income of Entities located in the jurisdiction in which the owner is located is not taken into account.</w:t>
            </w:r>
          </w:p>
        </w:tc>
      </w:tr>
      <w:tr w:rsidR="00581411" w:rsidRPr="00020288" w14:paraId="5E6BECFA" w14:textId="77777777" w:rsidTr="00AF7204">
        <w:tc>
          <w:tcPr>
            <w:tcW w:w="2334" w:type="dxa"/>
            <w:gridSpan w:val="2"/>
          </w:tcPr>
          <w:p w14:paraId="25E11A44" w14:textId="1268D8D1" w:rsidR="00581411" w:rsidRDefault="00581411">
            <w:pPr>
              <w:pStyle w:val="Tabletext"/>
            </w:pPr>
            <w:r>
              <w:t>CbC</w:t>
            </w:r>
            <w:r w:rsidR="002D5E0B">
              <w:t xml:space="preserve">R </w:t>
            </w:r>
            <w:r>
              <w:t>Resident</w:t>
            </w:r>
          </w:p>
          <w:p w14:paraId="47B95A4D" w14:textId="40F8905D" w:rsidR="00581411" w:rsidRDefault="00581411">
            <w:pPr>
              <w:pStyle w:val="Tabletext"/>
            </w:pPr>
            <w:r>
              <w:t>8-</w:t>
            </w:r>
            <w:r w:rsidR="00996187">
              <w:t>65</w:t>
            </w:r>
          </w:p>
        </w:tc>
        <w:tc>
          <w:tcPr>
            <w:tcW w:w="5367" w:type="dxa"/>
          </w:tcPr>
          <w:p w14:paraId="2CCA0D45" w14:textId="203D450A" w:rsidR="00581411" w:rsidRDefault="00581411">
            <w:pPr>
              <w:pStyle w:val="Tabletext"/>
            </w:pPr>
            <w:r w:rsidRPr="00814703">
              <w:t xml:space="preserve">A Constituent Entity of an MNE Group is a </w:t>
            </w:r>
            <w:r w:rsidRPr="00814703">
              <w:rPr>
                <w:b/>
                <w:i/>
              </w:rPr>
              <w:t>CbC</w:t>
            </w:r>
            <w:r w:rsidR="002D5E0B">
              <w:rPr>
                <w:b/>
                <w:i/>
              </w:rPr>
              <w:t xml:space="preserve">R </w:t>
            </w:r>
            <w:r w:rsidRPr="00814703">
              <w:rPr>
                <w:b/>
                <w:i/>
              </w:rPr>
              <w:t>Resident</w:t>
            </w:r>
            <w:r w:rsidRPr="00814703">
              <w:t xml:space="preserve"> of a jurisdiction for a Fiscal Year if it is recorded as a resident of the jurisdiction in the </w:t>
            </w:r>
            <w:r w:rsidR="006865F4">
              <w:t>CbC</w:t>
            </w:r>
            <w:r w:rsidRPr="00814703">
              <w:t xml:space="preserve"> Report of the MNE Group for the Fiscal Year</w:t>
            </w:r>
            <w:r>
              <w:t xml:space="preserve">. </w:t>
            </w:r>
          </w:p>
        </w:tc>
      </w:tr>
      <w:tr w:rsidR="00581411" w:rsidRPr="00020288" w14:paraId="2E76E599" w14:textId="77777777" w:rsidTr="00AF7204">
        <w:tc>
          <w:tcPr>
            <w:tcW w:w="2334" w:type="dxa"/>
            <w:gridSpan w:val="2"/>
          </w:tcPr>
          <w:p w14:paraId="6D6F15A6" w14:textId="77777777" w:rsidR="00581411" w:rsidRDefault="00581411">
            <w:pPr>
              <w:pStyle w:val="Tabletext"/>
            </w:pPr>
            <w:r>
              <w:t>Constituent Entity-owner</w:t>
            </w:r>
          </w:p>
        </w:tc>
        <w:tc>
          <w:tcPr>
            <w:tcW w:w="5367" w:type="dxa"/>
          </w:tcPr>
          <w:p w14:paraId="599E718C" w14:textId="77777777" w:rsidR="00581411" w:rsidRDefault="00581411">
            <w:pPr>
              <w:pStyle w:val="Tabletext"/>
            </w:pPr>
            <w:r>
              <w:t>I</w:t>
            </w:r>
            <w:r w:rsidRPr="00031D9C">
              <w:t xml:space="preserve">f a Constituent Entity of an MNE Group holds an Ownership Interest in another Constituent Entity of the MNE Group, the Constituent Entity is a </w:t>
            </w:r>
            <w:r w:rsidRPr="00031D9C">
              <w:rPr>
                <w:b/>
                <w:bCs/>
                <w:i/>
                <w:iCs/>
              </w:rPr>
              <w:t>Constituent Entity</w:t>
            </w:r>
            <w:r>
              <w:rPr>
                <w:b/>
                <w:bCs/>
                <w:i/>
                <w:iCs/>
              </w:rPr>
              <w:t>-</w:t>
            </w:r>
            <w:r w:rsidRPr="00031D9C">
              <w:rPr>
                <w:b/>
                <w:bCs/>
                <w:i/>
                <w:iCs/>
              </w:rPr>
              <w:t>owner</w:t>
            </w:r>
            <w:r w:rsidRPr="00031D9C">
              <w:t xml:space="preserve"> of the other Constituent Entity.</w:t>
            </w:r>
          </w:p>
        </w:tc>
      </w:tr>
      <w:tr w:rsidR="00581411" w:rsidRPr="00020288" w14:paraId="34DCC6A4" w14:textId="77777777" w:rsidTr="00AF7204">
        <w:tc>
          <w:tcPr>
            <w:tcW w:w="2334" w:type="dxa"/>
            <w:gridSpan w:val="2"/>
          </w:tcPr>
          <w:p w14:paraId="2252DAFA" w14:textId="77777777" w:rsidR="00581411" w:rsidRDefault="00581411">
            <w:pPr>
              <w:pStyle w:val="Tabletext"/>
            </w:pPr>
            <w:r>
              <w:t>Controlled Foreign Company Tax Regime</w:t>
            </w:r>
          </w:p>
        </w:tc>
        <w:tc>
          <w:tcPr>
            <w:tcW w:w="5367" w:type="dxa"/>
          </w:tcPr>
          <w:p w14:paraId="5FA76BBB" w14:textId="77777777" w:rsidR="00581411" w:rsidRDefault="00581411">
            <w:pPr>
              <w:pStyle w:val="Tabletext"/>
            </w:pPr>
            <w:r>
              <w:t>A</w:t>
            </w:r>
            <w:r w:rsidRPr="00031D9C">
              <w:t xml:space="preserve"> set of tax rules (other than an IIR or any Tax equivalent to an IIR) under which an Entity located in a jurisdiction (the </w:t>
            </w:r>
            <w:r w:rsidRPr="00031D9C">
              <w:rPr>
                <w:b/>
                <w:bCs/>
                <w:i/>
                <w:iCs/>
              </w:rPr>
              <w:t>owner</w:t>
            </w:r>
            <w:r w:rsidRPr="00031D9C">
              <w:t xml:space="preserve">) that holds an Ownership Interest in another Entity located in another jurisdiction (the </w:t>
            </w:r>
            <w:r w:rsidRPr="00031D9C">
              <w:rPr>
                <w:b/>
                <w:bCs/>
                <w:i/>
                <w:iCs/>
              </w:rPr>
              <w:t>CFC</w:t>
            </w:r>
            <w:r w:rsidRPr="00031D9C">
              <w:t>) is subject to current taxation on its share of part or all of the income earned by the CFC, irrespective of whether that income is distributed currently to the owner.</w:t>
            </w:r>
          </w:p>
        </w:tc>
      </w:tr>
      <w:tr w:rsidR="00581411" w:rsidRPr="00020288" w14:paraId="3158DA93" w14:textId="77777777" w:rsidTr="00AF7204">
        <w:tc>
          <w:tcPr>
            <w:tcW w:w="2334" w:type="dxa"/>
            <w:gridSpan w:val="2"/>
          </w:tcPr>
          <w:p w14:paraId="14BD5606" w14:textId="77777777" w:rsidR="00581411" w:rsidRDefault="00581411" w:rsidP="00B7652D">
            <w:pPr>
              <w:pStyle w:val="Tabletext"/>
              <w:keepNext/>
            </w:pPr>
            <w:r>
              <w:lastRenderedPageBreak/>
              <w:t>Cooperative</w:t>
            </w:r>
          </w:p>
        </w:tc>
        <w:tc>
          <w:tcPr>
            <w:tcW w:w="5367" w:type="dxa"/>
          </w:tcPr>
          <w:p w14:paraId="3E99F2DB" w14:textId="77777777" w:rsidR="00581411" w:rsidRDefault="00581411" w:rsidP="00B7652D">
            <w:pPr>
              <w:pStyle w:val="Tabletext"/>
              <w:keepNext/>
              <w:ind w:left="0"/>
            </w:pPr>
            <w:r>
              <w:t>An Entity that:</w:t>
            </w:r>
          </w:p>
          <w:p w14:paraId="33068AC2" w14:textId="77777777" w:rsidR="00581411" w:rsidRPr="00E40788" w:rsidRDefault="00581411" w:rsidP="00B7652D">
            <w:pPr>
              <w:pStyle w:val="Tabledotpoint1"/>
              <w:keepNext/>
            </w:pPr>
            <w:r w:rsidRPr="00E40788">
              <w:t>collectively markets or acquires goods or services on behalf of its members; and </w:t>
            </w:r>
          </w:p>
          <w:p w14:paraId="1D060E18" w14:textId="77777777" w:rsidR="00581411" w:rsidRPr="00E40788" w:rsidRDefault="00581411" w:rsidP="00B7652D">
            <w:pPr>
              <w:pStyle w:val="Tabledotpoint1"/>
              <w:keepNext/>
            </w:pPr>
            <w:r w:rsidRPr="00E40788">
              <w:t>is subject to a tax regime in the jurisdiction in which it is located that is designed to ensure tax neutrality in respect of: </w:t>
            </w:r>
          </w:p>
          <w:p w14:paraId="0C576B7D" w14:textId="77777777" w:rsidR="00581411" w:rsidRPr="00E40788" w:rsidRDefault="00581411" w:rsidP="00B7652D">
            <w:pPr>
              <w:pStyle w:val="Tabledotpoint2"/>
              <w:keepNext/>
              <w:ind w:left="817" w:hanging="426"/>
            </w:pPr>
            <w:r w:rsidRPr="00E40788">
              <w:t>members’ property or services sold through the cooperative; and </w:t>
            </w:r>
          </w:p>
          <w:p w14:paraId="10C359CD" w14:textId="77777777" w:rsidR="00581411" w:rsidRDefault="00581411" w:rsidP="00B7652D">
            <w:pPr>
              <w:pStyle w:val="Tabledotpoint2"/>
              <w:keepNext/>
              <w:ind w:left="817" w:hanging="426"/>
            </w:pPr>
            <w:r w:rsidRPr="00E40788">
              <w:t xml:space="preserve"> property or services acquired by members through the cooperative. </w:t>
            </w:r>
          </w:p>
        </w:tc>
      </w:tr>
      <w:tr w:rsidR="00581411" w:rsidRPr="00020288" w14:paraId="5A2B5248" w14:textId="77777777" w:rsidTr="00AF7204">
        <w:tc>
          <w:tcPr>
            <w:tcW w:w="2334" w:type="dxa"/>
            <w:gridSpan w:val="2"/>
          </w:tcPr>
          <w:p w14:paraId="38C60FB8" w14:textId="77777777" w:rsidR="00581411" w:rsidRDefault="00581411">
            <w:pPr>
              <w:pStyle w:val="Tabletext"/>
            </w:pPr>
            <w:r>
              <w:t>Country</w:t>
            </w:r>
            <w:r>
              <w:noBreakHyphen/>
              <w:t>by</w:t>
            </w:r>
            <w:r>
              <w:noBreakHyphen/>
              <w:t>Country Reporting regulations</w:t>
            </w:r>
          </w:p>
          <w:p w14:paraId="2155E947" w14:textId="5B2FA804" w:rsidR="00581411" w:rsidRDefault="00581411">
            <w:pPr>
              <w:pStyle w:val="Tabletext"/>
            </w:pPr>
            <w:r>
              <w:t>8-</w:t>
            </w:r>
            <w:r w:rsidR="00996187">
              <w:t>195</w:t>
            </w:r>
            <w:r>
              <w:t>(2)</w:t>
            </w:r>
          </w:p>
        </w:tc>
        <w:tc>
          <w:tcPr>
            <w:tcW w:w="5367" w:type="dxa"/>
          </w:tcPr>
          <w:p w14:paraId="77E2FDB0" w14:textId="1F55CDD9" w:rsidR="00581411" w:rsidRDefault="00581411">
            <w:pPr>
              <w:pStyle w:val="Tabletext"/>
            </w:pPr>
            <w:r w:rsidRPr="00814703">
              <w:t>Subdivision 815</w:t>
            </w:r>
            <w:r w:rsidRPr="00814703">
              <w:noBreakHyphen/>
              <w:t xml:space="preserve">E of the </w:t>
            </w:r>
            <w:r w:rsidRPr="00814703">
              <w:rPr>
                <w:i/>
              </w:rPr>
              <w:t>Income Tax Assessment Act 1997</w:t>
            </w:r>
            <w:r w:rsidRPr="00814703">
              <w:t xml:space="preserve"> (Reporting obligations for country</w:t>
            </w:r>
            <w:r w:rsidR="00EA4BD9" w:rsidRPr="00814703">
              <w:t>-</w:t>
            </w:r>
            <w:r w:rsidRPr="00814703">
              <w:t>by</w:t>
            </w:r>
            <w:r w:rsidR="00EA4BD9" w:rsidRPr="00814703">
              <w:t>-</w:t>
            </w:r>
            <w:r w:rsidRPr="00814703">
              <w:t>country reporting entities)</w:t>
            </w:r>
            <w:r>
              <w:t>, and/or a law of a non-Australian jurisdiction corresponding to that Subdivision.</w:t>
            </w:r>
          </w:p>
        </w:tc>
      </w:tr>
      <w:tr w:rsidR="00581411" w:rsidRPr="00020288" w14:paraId="771A4A45" w14:textId="77777777" w:rsidTr="00AF7204">
        <w:tc>
          <w:tcPr>
            <w:tcW w:w="2334" w:type="dxa"/>
            <w:gridSpan w:val="2"/>
          </w:tcPr>
          <w:p w14:paraId="4B006C0C" w14:textId="77777777" w:rsidR="00581411" w:rsidRDefault="00581411">
            <w:pPr>
              <w:pStyle w:val="Tabletext"/>
            </w:pPr>
            <w:r>
              <w:t>Covered Taxes</w:t>
            </w:r>
          </w:p>
          <w:p w14:paraId="6A3DE4AB" w14:textId="5862DD9A" w:rsidR="00581411" w:rsidRDefault="00581411">
            <w:pPr>
              <w:pStyle w:val="Tabletext"/>
            </w:pPr>
            <w:r>
              <w:t>4-</w:t>
            </w:r>
            <w:r w:rsidR="00996187">
              <w:t>40</w:t>
            </w:r>
          </w:p>
        </w:tc>
        <w:tc>
          <w:tcPr>
            <w:tcW w:w="5367" w:type="dxa"/>
          </w:tcPr>
          <w:p w14:paraId="637A6BEE" w14:textId="77777777" w:rsidR="00581411" w:rsidRPr="00D83833" w:rsidRDefault="00581411">
            <w:pPr>
              <w:pStyle w:val="Tabletext"/>
            </w:pPr>
            <w:r w:rsidRPr="00D83833">
              <w:t>The</w:t>
            </w:r>
            <w:r w:rsidRPr="00D83833">
              <w:rPr>
                <w:b/>
                <w:i/>
              </w:rPr>
              <w:t xml:space="preserve"> Covered Taxes</w:t>
            </w:r>
            <w:r w:rsidRPr="00D83833">
              <w:t xml:space="preserve"> of a Constituent Entity of a Group means:</w:t>
            </w:r>
          </w:p>
          <w:p w14:paraId="6A8B744E" w14:textId="77777777" w:rsidR="00581411" w:rsidRPr="00D83833" w:rsidRDefault="00581411">
            <w:pPr>
              <w:pStyle w:val="Tabledotpoint1"/>
            </w:pPr>
            <w:r w:rsidRPr="00D83833">
              <w:t>Taxes recorded in the financial accounts of the Constituent Entity in respect of:</w:t>
            </w:r>
          </w:p>
          <w:p w14:paraId="02F9D54B" w14:textId="42750A9B" w:rsidR="00581411" w:rsidRPr="00D83833" w:rsidRDefault="00581411" w:rsidP="00B7652D">
            <w:pPr>
              <w:pStyle w:val="Tabledotpoint2"/>
              <w:keepNext/>
              <w:ind w:left="817" w:hanging="426"/>
            </w:pPr>
            <w:r w:rsidRPr="00D83833">
              <w:t>its income or profits; or</w:t>
            </w:r>
          </w:p>
          <w:p w14:paraId="45784283" w14:textId="1F24A36B" w:rsidR="00581411" w:rsidRPr="00D83833" w:rsidRDefault="00581411" w:rsidP="00B7652D">
            <w:pPr>
              <w:pStyle w:val="Tabledotpoint2"/>
              <w:keepNext/>
              <w:ind w:left="817" w:hanging="426"/>
            </w:pPr>
            <w:r w:rsidRPr="00D83833">
              <w:t>its share of the income or profits of a Constituent Entity of the Group, in which it holds an Ownership Interest; and</w:t>
            </w:r>
          </w:p>
          <w:p w14:paraId="319C7223" w14:textId="77777777" w:rsidR="00581411" w:rsidRPr="00D83833" w:rsidRDefault="00581411">
            <w:pPr>
              <w:pStyle w:val="Tabledotpoint1"/>
            </w:pPr>
            <w:r w:rsidRPr="00D83833">
              <w:t>Taxes on distributed profits, deemed profit distributions and non</w:t>
            </w:r>
            <w:r w:rsidRPr="00D83833">
              <w:noBreakHyphen/>
              <w:t>business expenses imposed under an Eligible Distribution Tax System; and</w:t>
            </w:r>
          </w:p>
          <w:p w14:paraId="59D36B53" w14:textId="77777777" w:rsidR="00581411" w:rsidRPr="00D83833" w:rsidRDefault="00581411">
            <w:pPr>
              <w:pStyle w:val="Tabledotpoint1"/>
            </w:pPr>
            <w:r w:rsidRPr="00D83833">
              <w:t>Taxes imposed in lieu of a generally applicable corporate income tax; and</w:t>
            </w:r>
          </w:p>
          <w:p w14:paraId="1EC93B5A" w14:textId="77777777" w:rsidR="00581411" w:rsidRPr="00D83833" w:rsidRDefault="00581411">
            <w:pPr>
              <w:pStyle w:val="Tabledotpoint1"/>
            </w:pPr>
            <w:r w:rsidRPr="00D83833">
              <w:t>Taxes levied by reference to retained earnings and corporate equity, including a Tax on multiple components based on income and equity</w:t>
            </w:r>
            <w:r>
              <w:t>,</w:t>
            </w:r>
          </w:p>
          <w:p w14:paraId="28F6AA43" w14:textId="77777777" w:rsidR="00581411" w:rsidRDefault="00581411">
            <w:pPr>
              <w:pStyle w:val="Tabletext"/>
            </w:pPr>
            <w:r>
              <w:t>but does not include any amount of the following:</w:t>
            </w:r>
          </w:p>
          <w:p w14:paraId="19EE9985" w14:textId="77777777" w:rsidR="00581411" w:rsidRPr="00D83833" w:rsidRDefault="00581411">
            <w:pPr>
              <w:pStyle w:val="Tabledotpoint1"/>
            </w:pPr>
            <w:r w:rsidRPr="00D83833">
              <w:t>Top</w:t>
            </w:r>
            <w:r w:rsidRPr="00D83833">
              <w:noBreakHyphen/>
              <w:t>up Tax accrued by a Parent Entity under a Qualified IIR;</w:t>
            </w:r>
          </w:p>
          <w:p w14:paraId="71843A3C" w14:textId="4BFA7BA6" w:rsidR="00581411" w:rsidRPr="00D83833" w:rsidRDefault="00581411">
            <w:pPr>
              <w:pStyle w:val="Tabledotpoint1"/>
            </w:pPr>
            <w:r w:rsidRPr="00D83833">
              <w:t>Top</w:t>
            </w:r>
            <w:r w:rsidRPr="00D83833">
              <w:noBreakHyphen/>
              <w:t xml:space="preserve">up Tax accrued by a Constituent Entity under a </w:t>
            </w:r>
            <w:r w:rsidR="005D7D94">
              <w:t>QDMTT</w:t>
            </w:r>
            <w:r w:rsidRPr="00D83833">
              <w:t>;</w:t>
            </w:r>
          </w:p>
          <w:p w14:paraId="78BB1577" w14:textId="77777777" w:rsidR="00581411" w:rsidRPr="00D83833" w:rsidRDefault="00581411">
            <w:pPr>
              <w:pStyle w:val="Tabledotpoint1"/>
            </w:pPr>
            <w:r w:rsidRPr="00D83833">
              <w:t>any Tax under or as a result of the application of a Qualified UTPR;</w:t>
            </w:r>
          </w:p>
          <w:p w14:paraId="3C33783B" w14:textId="77777777" w:rsidR="00581411" w:rsidRDefault="00581411">
            <w:pPr>
              <w:pStyle w:val="Tabledotpoint1"/>
            </w:pPr>
            <w:r w:rsidRPr="00D83833">
              <w:t>a Disqualified Refundable Imputation Tax;</w:t>
            </w:r>
          </w:p>
          <w:p w14:paraId="1D984EF8" w14:textId="77777777" w:rsidR="00581411" w:rsidRDefault="00581411">
            <w:pPr>
              <w:pStyle w:val="Tabledotpoint1"/>
            </w:pPr>
            <w:r w:rsidRPr="00D83833">
              <w:t>Taxes paid or accrued by an insurance company in respect of returns to policyholders.</w:t>
            </w:r>
          </w:p>
        </w:tc>
      </w:tr>
      <w:tr w:rsidR="00581411" w:rsidRPr="00020288" w14:paraId="6E52F7AC" w14:textId="77777777" w:rsidTr="00AF7204">
        <w:tc>
          <w:tcPr>
            <w:tcW w:w="2334" w:type="dxa"/>
            <w:gridSpan w:val="2"/>
          </w:tcPr>
          <w:p w14:paraId="46A03286" w14:textId="77777777" w:rsidR="00581411" w:rsidRDefault="00581411">
            <w:pPr>
              <w:pStyle w:val="Tabletext"/>
            </w:pPr>
            <w:r>
              <w:lastRenderedPageBreak/>
              <w:t>Deductible Dividend</w:t>
            </w:r>
          </w:p>
          <w:p w14:paraId="0ABF2975" w14:textId="77777777" w:rsidR="00581411" w:rsidRDefault="00581411">
            <w:pPr>
              <w:pStyle w:val="Tabletext"/>
            </w:pPr>
            <w:r>
              <w:t>7-35</w:t>
            </w:r>
          </w:p>
        </w:tc>
        <w:tc>
          <w:tcPr>
            <w:tcW w:w="5367" w:type="dxa"/>
          </w:tcPr>
          <w:p w14:paraId="62A61AC2" w14:textId="77777777" w:rsidR="00581411" w:rsidRPr="00EE1A1B" w:rsidRDefault="00581411">
            <w:pPr>
              <w:pStyle w:val="Tabletext"/>
            </w:pPr>
            <w:r w:rsidRPr="00EE1A1B">
              <w:t xml:space="preserve">A distribution by a Constituent Entity of an MNE Group that is subject to a Deductible Dividend Regime is a </w:t>
            </w:r>
            <w:r w:rsidRPr="00EE1A1B">
              <w:rPr>
                <w:b/>
                <w:i/>
              </w:rPr>
              <w:t>Deductible Dividend</w:t>
            </w:r>
            <w:r w:rsidRPr="00EE1A1B">
              <w:t xml:space="preserve"> if either of the following apply:</w:t>
            </w:r>
          </w:p>
          <w:p w14:paraId="195D7998" w14:textId="77777777" w:rsidR="00581411" w:rsidRPr="00EE1A1B" w:rsidRDefault="00581411">
            <w:pPr>
              <w:pStyle w:val="Tabledotpoint1"/>
            </w:pPr>
            <w:r w:rsidRPr="00EE1A1B">
              <w:t>it is a distribution of profits to the holder of an Ownership Interest in the Constituent Entity that is deductible from the taxable income of the Constituent Entity under the laws of the jurisdiction in which it is located;</w:t>
            </w:r>
          </w:p>
          <w:p w14:paraId="320E6C06" w14:textId="77777777" w:rsidR="00581411" w:rsidRDefault="00581411">
            <w:pPr>
              <w:pStyle w:val="Tabledotpoint1"/>
            </w:pPr>
            <w:r w:rsidRPr="00EE1A1B">
              <w:t>if the Constituent Entity is a Cooperative—it is a patronage dividend to a member of the Cooperative.</w:t>
            </w:r>
          </w:p>
        </w:tc>
      </w:tr>
      <w:tr w:rsidR="00581411" w:rsidRPr="00020288" w14:paraId="08C432F4" w14:textId="77777777" w:rsidTr="00AF7204">
        <w:tc>
          <w:tcPr>
            <w:tcW w:w="2334" w:type="dxa"/>
            <w:gridSpan w:val="2"/>
          </w:tcPr>
          <w:p w14:paraId="7FF464FC" w14:textId="77777777" w:rsidR="00581411" w:rsidRDefault="00581411">
            <w:pPr>
              <w:pStyle w:val="Tabletext"/>
            </w:pPr>
            <w:r>
              <w:t>Deductible Dividend Regime</w:t>
            </w:r>
          </w:p>
          <w:p w14:paraId="5DD32024" w14:textId="77777777" w:rsidR="00581411" w:rsidRDefault="00581411">
            <w:pPr>
              <w:pStyle w:val="Tabletext"/>
            </w:pPr>
            <w:r>
              <w:t>7-30</w:t>
            </w:r>
          </w:p>
        </w:tc>
        <w:tc>
          <w:tcPr>
            <w:tcW w:w="5367" w:type="dxa"/>
          </w:tcPr>
          <w:p w14:paraId="0784E404" w14:textId="77777777" w:rsidR="00581411" w:rsidRPr="00EE1A1B" w:rsidRDefault="00581411">
            <w:pPr>
              <w:pStyle w:val="Tabletext"/>
            </w:pPr>
            <w:r w:rsidRPr="00EE1A1B">
              <w:rPr>
                <w:b/>
                <w:i/>
              </w:rPr>
              <w:t>Deductible Dividend Regime</w:t>
            </w:r>
            <w:r w:rsidRPr="00EE1A1B">
              <w:t xml:space="preserve"> means a tax regime designed to yield a single level of taxation on the holders of Ownership Interests in an Entity through a deduction from the income of the Entity for distributions of profits to the holders</w:t>
            </w:r>
            <w:r>
              <w:t>, treating</w:t>
            </w:r>
            <w:r w:rsidRPr="00EE1A1B">
              <w:t xml:space="preserve"> patronage dividends of a Cooperative as distributions to holders of Ownership Interests in the Cooperative.</w:t>
            </w:r>
          </w:p>
          <w:p w14:paraId="102C2641" w14:textId="77777777" w:rsidR="00581411" w:rsidRDefault="00581411">
            <w:pPr>
              <w:pStyle w:val="Tabletext"/>
            </w:pPr>
            <w:r>
              <w:t>A</w:t>
            </w:r>
            <w:r w:rsidRPr="00EE1A1B">
              <w:t xml:space="preserve"> Deductible Dividend Regime is taken to include a tax regime applicable to Cooperatives that exempts them from taxation.</w:t>
            </w:r>
          </w:p>
        </w:tc>
      </w:tr>
      <w:tr w:rsidR="00581411" w:rsidRPr="00020288" w14:paraId="74679B6D" w14:textId="77777777" w:rsidTr="00AF7204">
        <w:tc>
          <w:tcPr>
            <w:tcW w:w="2334" w:type="dxa"/>
            <w:gridSpan w:val="2"/>
          </w:tcPr>
          <w:p w14:paraId="69E37BFA" w14:textId="77777777" w:rsidR="00581411" w:rsidRDefault="00581411">
            <w:pPr>
              <w:pStyle w:val="Tabletext"/>
            </w:pPr>
            <w:r>
              <w:t>Deduction/Non</w:t>
            </w:r>
            <w:r>
              <w:noBreakHyphen/>
              <w:t>Inclusion Arrangement</w:t>
            </w:r>
          </w:p>
          <w:p w14:paraId="57180EA5" w14:textId="4FF6CBE7" w:rsidR="00581411" w:rsidRDefault="00581411">
            <w:pPr>
              <w:pStyle w:val="Tabletext"/>
            </w:pPr>
            <w:r>
              <w:t>8-</w:t>
            </w:r>
            <w:r w:rsidR="00996187">
              <w:t>120</w:t>
            </w:r>
          </w:p>
        </w:tc>
        <w:tc>
          <w:tcPr>
            <w:tcW w:w="5367" w:type="dxa"/>
          </w:tcPr>
          <w:p w14:paraId="50F6AE33" w14:textId="77777777" w:rsidR="00581411" w:rsidRPr="00E77086" w:rsidRDefault="00581411">
            <w:pPr>
              <w:pStyle w:val="Tabletext"/>
            </w:pPr>
            <w:r w:rsidRPr="00E77086">
              <w:t xml:space="preserve">A </w:t>
            </w:r>
            <w:r w:rsidRPr="00E77086">
              <w:rPr>
                <w:b/>
                <w:i/>
              </w:rPr>
              <w:t>deduction/non</w:t>
            </w:r>
            <w:r w:rsidRPr="00E77086">
              <w:rPr>
                <w:b/>
                <w:i/>
              </w:rPr>
              <w:noBreakHyphen/>
              <w:t>inclusion arrangement</w:t>
            </w:r>
            <w:r w:rsidRPr="00E77086">
              <w:t xml:space="preserve"> is an arrangement:</w:t>
            </w:r>
          </w:p>
          <w:p w14:paraId="2285C7B3" w14:textId="77777777" w:rsidR="00581411" w:rsidRPr="00E77086" w:rsidRDefault="00581411">
            <w:pPr>
              <w:pStyle w:val="Tabledotpoint1"/>
            </w:pPr>
            <w:r w:rsidRPr="00E77086">
              <w:t>under which a Constituent Entity of an MNE Group directly or indirectly provides credit or otherwise makes an investment in another Constituent Entity of the MNE Group; and</w:t>
            </w:r>
          </w:p>
          <w:p w14:paraId="014AEA75" w14:textId="77777777" w:rsidR="00581411" w:rsidRPr="00E77086" w:rsidRDefault="00581411">
            <w:pPr>
              <w:pStyle w:val="Tabledotpoint1"/>
            </w:pPr>
            <w:r w:rsidRPr="00E77086">
              <w:t>the provision of the credit or making of the investment results in an expense or loss in the financial statements of a Constituent Entity</w:t>
            </w:r>
            <w:r>
              <w:t>;</w:t>
            </w:r>
          </w:p>
          <w:p w14:paraId="32114879" w14:textId="77777777" w:rsidR="00581411" w:rsidRPr="00E77086" w:rsidRDefault="00581411">
            <w:pPr>
              <w:pStyle w:val="Tabletext"/>
            </w:pPr>
            <w:r w:rsidRPr="00E77086">
              <w:t xml:space="preserve">to the extent that: </w:t>
            </w:r>
          </w:p>
          <w:p w14:paraId="5C1605C0" w14:textId="12B567C7" w:rsidR="00581411" w:rsidRPr="00E77086" w:rsidRDefault="008240D8">
            <w:pPr>
              <w:pStyle w:val="Tabledotpoint1"/>
            </w:pPr>
            <w:r>
              <w:t>t</w:t>
            </w:r>
            <w:r w:rsidR="00581411" w:rsidRPr="00E77086">
              <w:t xml:space="preserve">here is no commensurate increase in the revenue or gain in the financial statements of the Constituent Entity counterparty; or </w:t>
            </w:r>
          </w:p>
          <w:p w14:paraId="53E77A24" w14:textId="77777777" w:rsidR="00581411" w:rsidRPr="00E77086" w:rsidRDefault="00581411">
            <w:pPr>
              <w:pStyle w:val="Tabledotpoint1"/>
            </w:pPr>
            <w:r w:rsidRPr="00E77086">
              <w:t xml:space="preserve">the Constituent Entity counterparty is not reasonably expected over the life of the arrangement to have a commensurate increase in its taxable income. </w:t>
            </w:r>
          </w:p>
          <w:p w14:paraId="7245A213" w14:textId="77777777" w:rsidR="00581411" w:rsidRDefault="00581411">
            <w:pPr>
              <w:pStyle w:val="Tabletext"/>
            </w:pPr>
            <w:r>
              <w:t>A</w:t>
            </w:r>
            <w:r w:rsidRPr="00E77086">
              <w:t xml:space="preserve">n arrangement is not a </w:t>
            </w:r>
            <w:r w:rsidRPr="00E77086">
              <w:rPr>
                <w:b/>
                <w:i/>
              </w:rPr>
              <w:t>deduction/non</w:t>
            </w:r>
            <w:r w:rsidRPr="00E77086">
              <w:rPr>
                <w:b/>
                <w:i/>
              </w:rPr>
              <w:noBreakHyphen/>
              <w:t>inclusion arrangement</w:t>
            </w:r>
            <w:r w:rsidRPr="00E77086">
              <w:t xml:space="preserve"> to the extent that the relevant expense or loss is solely with respect to Additional Tier One Capital.</w:t>
            </w:r>
          </w:p>
        </w:tc>
      </w:tr>
      <w:tr w:rsidR="00581411" w:rsidRPr="00020288" w14:paraId="080D363F" w14:textId="77777777" w:rsidTr="00AF7204">
        <w:tc>
          <w:tcPr>
            <w:tcW w:w="2334" w:type="dxa"/>
            <w:gridSpan w:val="2"/>
          </w:tcPr>
          <w:p w14:paraId="45C28D6C" w14:textId="77777777" w:rsidR="00581411" w:rsidRDefault="00581411">
            <w:pPr>
              <w:pStyle w:val="Tabletext"/>
            </w:pPr>
            <w:r>
              <w:t>Deemed Distribution Tax Recapture Account</w:t>
            </w:r>
          </w:p>
          <w:p w14:paraId="53B84691" w14:textId="77777777" w:rsidR="00581411" w:rsidRDefault="00581411">
            <w:pPr>
              <w:pStyle w:val="Tabletext"/>
            </w:pPr>
            <w:r>
              <w:t>7-50(4)</w:t>
            </w:r>
          </w:p>
        </w:tc>
        <w:tc>
          <w:tcPr>
            <w:tcW w:w="5367" w:type="dxa"/>
          </w:tcPr>
          <w:p w14:paraId="5F781CD0" w14:textId="77777777" w:rsidR="00581411" w:rsidRPr="00EE1A1B" w:rsidRDefault="00581411">
            <w:pPr>
              <w:pStyle w:val="Tabletext"/>
            </w:pPr>
            <w:r>
              <w:t>I</w:t>
            </w:r>
            <w:r w:rsidRPr="00EE1A1B">
              <w:t>f an election under subsection 7</w:t>
            </w:r>
            <w:r w:rsidRPr="00EE1A1B">
              <w:noBreakHyphen/>
              <w:t>40(1) applies to:</w:t>
            </w:r>
          </w:p>
          <w:p w14:paraId="1DF6463C" w14:textId="77777777" w:rsidR="00581411" w:rsidRPr="00EE1A1B" w:rsidRDefault="00581411">
            <w:pPr>
              <w:pStyle w:val="Tabledotpoint1"/>
            </w:pPr>
            <w:r w:rsidRPr="00EE1A1B">
              <w:t>a jurisdiction that has an Eligible Distribution Tax System; and</w:t>
            </w:r>
          </w:p>
          <w:p w14:paraId="0BF12A24" w14:textId="77777777" w:rsidR="00581411" w:rsidRPr="00EE1A1B" w:rsidRDefault="00581411">
            <w:pPr>
              <w:pStyle w:val="Tabledotpoint1"/>
            </w:pPr>
            <w:r w:rsidRPr="00EE1A1B">
              <w:t>Constituent Entities of an MNE Group that are located in the jurisdiction; and</w:t>
            </w:r>
          </w:p>
          <w:p w14:paraId="3DEA5F5A" w14:textId="77777777" w:rsidR="00581411" w:rsidRPr="00EE1A1B" w:rsidRDefault="00581411">
            <w:pPr>
              <w:pStyle w:val="Tabledotpoint1"/>
            </w:pPr>
            <w:r w:rsidRPr="00EE1A1B">
              <w:t>a Fiscal Year</w:t>
            </w:r>
            <w:r>
              <w:t>,</w:t>
            </w:r>
          </w:p>
          <w:p w14:paraId="6358C2FB" w14:textId="77777777" w:rsidR="00581411" w:rsidRPr="00EE1A1B" w:rsidRDefault="00581411">
            <w:pPr>
              <w:pStyle w:val="Tabletext"/>
            </w:pPr>
            <w:r>
              <w:t>then, a</w:t>
            </w:r>
            <w:r w:rsidRPr="00EE1A1B">
              <w:t>t the end of the Fiscal Year:</w:t>
            </w:r>
          </w:p>
          <w:p w14:paraId="5F3CF55E" w14:textId="77777777" w:rsidR="00581411" w:rsidRDefault="00581411">
            <w:pPr>
              <w:pStyle w:val="Tabledotpoint1"/>
            </w:pPr>
            <w:r w:rsidRPr="00EE1A1B">
              <w:lastRenderedPageBreak/>
              <w:t xml:space="preserve">a </w:t>
            </w:r>
            <w:r w:rsidRPr="00EE1A1B">
              <w:rPr>
                <w:b/>
                <w:i/>
              </w:rPr>
              <w:t>Deemed Distribution Tax Recapture Account</w:t>
            </w:r>
            <w:r w:rsidRPr="00EE1A1B">
              <w:t xml:space="preserve"> is established for the Fiscal Year for the jurisdiction for the MNE Group; and</w:t>
            </w:r>
          </w:p>
          <w:p w14:paraId="409DFD5A" w14:textId="77777777" w:rsidR="00581411" w:rsidRDefault="00581411">
            <w:pPr>
              <w:pStyle w:val="Tabledotpoint1"/>
            </w:pPr>
            <w:r w:rsidRPr="00EE1A1B">
              <w:t>the balance of the Deemed Distribution Tax Recapture Account is the amount covered by subsection (3) for the jurisdiction for the MNE Group.</w:t>
            </w:r>
          </w:p>
        </w:tc>
      </w:tr>
      <w:tr w:rsidR="00581411" w:rsidRPr="00020288" w14:paraId="357F2FD7" w14:textId="77777777" w:rsidTr="00AF7204">
        <w:tc>
          <w:tcPr>
            <w:tcW w:w="2334" w:type="dxa"/>
            <w:gridSpan w:val="2"/>
          </w:tcPr>
          <w:p w14:paraId="7DE6CC79" w14:textId="77777777" w:rsidR="00581411" w:rsidRDefault="00581411">
            <w:pPr>
              <w:pStyle w:val="Tabletext"/>
            </w:pPr>
            <w:r>
              <w:lastRenderedPageBreak/>
              <w:t>De minimis test</w:t>
            </w:r>
          </w:p>
          <w:p w14:paraId="1A3F4A00" w14:textId="72EBB7A1" w:rsidR="00581411" w:rsidRDefault="00581411">
            <w:pPr>
              <w:pStyle w:val="Tabletext"/>
            </w:pPr>
            <w:r>
              <w:t>8-</w:t>
            </w:r>
            <w:r w:rsidR="00D05D19">
              <w:t>20</w:t>
            </w:r>
          </w:p>
        </w:tc>
        <w:tc>
          <w:tcPr>
            <w:tcW w:w="5367" w:type="dxa"/>
          </w:tcPr>
          <w:p w14:paraId="0906A836" w14:textId="77777777" w:rsidR="00581411" w:rsidRPr="00814703" w:rsidRDefault="00581411">
            <w:pPr>
              <w:pStyle w:val="Tabletext"/>
            </w:pPr>
            <w:r w:rsidRPr="00814703">
              <w:t xml:space="preserve">An MNE Group meets the </w:t>
            </w:r>
            <w:r w:rsidRPr="00814703">
              <w:rPr>
                <w:b/>
                <w:i/>
              </w:rPr>
              <w:t>De minimis test</w:t>
            </w:r>
            <w:r w:rsidRPr="00814703">
              <w:t xml:space="preserve"> for a jurisdiction for a Fiscal Year if:</w:t>
            </w:r>
          </w:p>
          <w:p w14:paraId="5F6FDAA9" w14:textId="77777777" w:rsidR="00581411" w:rsidRPr="00814703" w:rsidRDefault="00581411">
            <w:pPr>
              <w:pStyle w:val="Tabledotpoint1"/>
            </w:pPr>
            <w:r w:rsidRPr="00814703">
              <w:t>the MNE Group’s Total Revenue for the jurisdiction for the Fiscal Year is less than 10 million Euros; and</w:t>
            </w:r>
          </w:p>
          <w:p w14:paraId="61246454" w14:textId="77777777" w:rsidR="00581411" w:rsidRPr="00814703" w:rsidRDefault="00581411">
            <w:pPr>
              <w:pStyle w:val="Tabledotpoint1"/>
            </w:pPr>
            <w:r w:rsidRPr="00814703">
              <w:t>the MNE Group’s Profit (Loss) before Income Tax for the jurisdiction for the Fiscal Year is less than 1 million Euros.</w:t>
            </w:r>
          </w:p>
          <w:p w14:paraId="4C29C9AD" w14:textId="77777777" w:rsidR="00581411" w:rsidRPr="00814703" w:rsidRDefault="00581411">
            <w:pPr>
              <w:pStyle w:val="Tabletext"/>
            </w:pPr>
            <w:r w:rsidRPr="00814703">
              <w:t xml:space="preserve">However, the MNE Group does not meet the </w:t>
            </w:r>
            <w:r w:rsidRPr="00814703">
              <w:rPr>
                <w:b/>
                <w:i/>
              </w:rPr>
              <w:t>De minimis test</w:t>
            </w:r>
            <w:r w:rsidRPr="00814703">
              <w:t xml:space="preserve"> for a jurisdiction for a Fiscal Year if the sum of the following exceeds 10 million Euros:</w:t>
            </w:r>
          </w:p>
          <w:p w14:paraId="7A2ABF8C" w14:textId="77777777" w:rsidR="00581411" w:rsidRPr="00814703" w:rsidRDefault="00581411">
            <w:pPr>
              <w:pStyle w:val="Tabledotpoint1"/>
            </w:pPr>
            <w:r w:rsidRPr="00814703">
              <w:t>the total Revenue for the Fiscal Year of each Constituent Entity of the MNE Group that:</w:t>
            </w:r>
          </w:p>
          <w:p w14:paraId="5503458F" w14:textId="77777777" w:rsidR="00581411" w:rsidRPr="00814703" w:rsidRDefault="00581411" w:rsidP="00B7652D">
            <w:pPr>
              <w:pStyle w:val="Tabledotpoint2"/>
              <w:keepNext/>
              <w:ind w:left="817" w:hanging="426"/>
            </w:pPr>
            <w:r w:rsidRPr="00814703">
              <w:t>is located in the jurisdiction; and</w:t>
            </w:r>
          </w:p>
          <w:p w14:paraId="799067C5" w14:textId="77777777" w:rsidR="00581411" w:rsidRPr="00814703" w:rsidRDefault="00581411" w:rsidP="00B7652D">
            <w:pPr>
              <w:pStyle w:val="Tabledotpoint2"/>
              <w:keepNext/>
              <w:ind w:left="817" w:hanging="426"/>
            </w:pPr>
            <w:r w:rsidRPr="00814703">
              <w:t>is covered by subsection </w:t>
            </w:r>
            <w:r>
              <w:t>8-10</w:t>
            </w:r>
            <w:r w:rsidRPr="00814703">
              <w:t>(3);</w:t>
            </w:r>
          </w:p>
          <w:p w14:paraId="33E9F531" w14:textId="77777777" w:rsidR="00581411" w:rsidRDefault="00581411">
            <w:pPr>
              <w:pStyle w:val="Tabledotpoint1"/>
            </w:pPr>
            <w:r w:rsidRPr="00814703">
              <w:t>the total CbCR Revenue for the MNE Group in the jurisdiction (as reported in the MNE Group’s Qualified CbC Report in relation to the jurisdiction).</w:t>
            </w:r>
          </w:p>
          <w:p w14:paraId="31701FC2" w14:textId="77F2A70D" w:rsidR="00581411" w:rsidRDefault="00581411">
            <w:pPr>
              <w:pStyle w:val="Tabletext"/>
            </w:pPr>
            <w:r>
              <w:t xml:space="preserve">Subsection 8-10(3) </w:t>
            </w:r>
            <w:r w:rsidRPr="00814703">
              <w:t xml:space="preserve">covers a Constituent Entity of the MNE Group if the Constituent Entity’s assets, liabilities, income, expenses and cash flows are excluded from the </w:t>
            </w:r>
            <w:r w:rsidR="0049664F">
              <w:t>CFS</w:t>
            </w:r>
            <w:r w:rsidRPr="00814703">
              <w:t xml:space="preserve"> of the </w:t>
            </w:r>
            <w:r w:rsidR="001B58B0">
              <w:t>UPE</w:t>
            </w:r>
            <w:r w:rsidRPr="00814703">
              <w:t xml:space="preserve"> of the MNE Group solely on size or materiality grounds, or on the grounds that the Constituent Entity is held for sale.</w:t>
            </w:r>
          </w:p>
        </w:tc>
      </w:tr>
      <w:tr w:rsidR="00581411" w:rsidRPr="00020288" w14:paraId="3A56B83D" w14:textId="77777777" w:rsidTr="00AF7204">
        <w:tc>
          <w:tcPr>
            <w:tcW w:w="2334" w:type="dxa"/>
            <w:gridSpan w:val="2"/>
          </w:tcPr>
          <w:p w14:paraId="6B5B2731" w14:textId="77777777" w:rsidR="00581411" w:rsidRDefault="00581411">
            <w:pPr>
              <w:pStyle w:val="Tabletext"/>
            </w:pPr>
            <w:r>
              <w:t>Disallowed Accrual</w:t>
            </w:r>
          </w:p>
          <w:p w14:paraId="22FB65B5" w14:textId="28CF71A5" w:rsidR="00581411" w:rsidRDefault="00581411">
            <w:pPr>
              <w:pStyle w:val="Tabletext"/>
            </w:pPr>
            <w:r>
              <w:t>4-</w:t>
            </w:r>
            <w:r w:rsidR="00D05D19">
              <w:t>115</w:t>
            </w:r>
            <w:r>
              <w:t>(1)</w:t>
            </w:r>
          </w:p>
        </w:tc>
        <w:tc>
          <w:tcPr>
            <w:tcW w:w="5367" w:type="dxa"/>
          </w:tcPr>
          <w:p w14:paraId="2179A19B" w14:textId="77777777" w:rsidR="00581411" w:rsidRPr="0058184C" w:rsidRDefault="00581411">
            <w:pPr>
              <w:pStyle w:val="Tabletext"/>
            </w:pPr>
            <w:r w:rsidRPr="0058184C">
              <w:t xml:space="preserve">A </w:t>
            </w:r>
            <w:r w:rsidRPr="0058184C">
              <w:rPr>
                <w:b/>
                <w:i/>
              </w:rPr>
              <w:t>Disallowed Accrual</w:t>
            </w:r>
            <w:r w:rsidRPr="0058184C">
              <w:t>, of a Constituent Entity of an MNE Group for a Fiscal Year, means a movement in deferred tax expense accrued in the financial accounts of the Constituent Entity for the Fiscal Year that relates to:</w:t>
            </w:r>
          </w:p>
          <w:p w14:paraId="52396A69" w14:textId="77777777" w:rsidR="00581411" w:rsidRDefault="00581411">
            <w:pPr>
              <w:pStyle w:val="Tabledotpoint1"/>
            </w:pPr>
            <w:r w:rsidRPr="0058184C">
              <w:t>an uncertain tax position; or</w:t>
            </w:r>
          </w:p>
          <w:p w14:paraId="7FB41356" w14:textId="77777777" w:rsidR="00581411" w:rsidRDefault="00581411">
            <w:pPr>
              <w:pStyle w:val="Tabledotpoint1"/>
            </w:pPr>
            <w:r w:rsidRPr="0058184C">
              <w:t>distributions from any Constituent Entity of the MNE Group (whether or not the Constituent Entity mentioned previously in this subsection).</w:t>
            </w:r>
          </w:p>
        </w:tc>
      </w:tr>
      <w:tr w:rsidR="00581411" w:rsidRPr="00020288" w14:paraId="68E9E4FD" w14:textId="77777777" w:rsidTr="00AF7204">
        <w:tc>
          <w:tcPr>
            <w:tcW w:w="2334" w:type="dxa"/>
            <w:gridSpan w:val="2"/>
          </w:tcPr>
          <w:p w14:paraId="2BE6C883" w14:textId="77777777" w:rsidR="00581411" w:rsidRDefault="00581411">
            <w:pPr>
              <w:pStyle w:val="Tabletext"/>
            </w:pPr>
            <w:r>
              <w:t>Disposition Recapture Ratio</w:t>
            </w:r>
          </w:p>
          <w:p w14:paraId="4FA726F3" w14:textId="77777777" w:rsidR="00581411" w:rsidRDefault="00581411">
            <w:pPr>
              <w:pStyle w:val="Tabletext"/>
            </w:pPr>
            <w:r>
              <w:t>7-75(3)</w:t>
            </w:r>
          </w:p>
        </w:tc>
        <w:tc>
          <w:tcPr>
            <w:tcW w:w="5367" w:type="dxa"/>
          </w:tcPr>
          <w:p w14:paraId="5A8E1E8E" w14:textId="77777777" w:rsidR="00581411" w:rsidRPr="00EE1A1B" w:rsidRDefault="00581411">
            <w:pPr>
              <w:pStyle w:val="Tabletext"/>
            </w:pPr>
            <w:r w:rsidRPr="00EE1A1B">
              <w:t xml:space="preserve">The </w:t>
            </w:r>
            <w:r w:rsidRPr="00EE1A1B">
              <w:rPr>
                <w:b/>
                <w:i/>
              </w:rPr>
              <w:t>Disposition Recapture Ratio</w:t>
            </w:r>
            <w:r w:rsidRPr="00EE1A1B">
              <w:t xml:space="preserve"> for the Constituent Entity is computed in according with the following formula:</w:t>
            </w:r>
          </w:p>
          <w:p w14:paraId="64462B7C" w14:textId="0C7C4AE1" w:rsidR="00D8432A" w:rsidRDefault="009A5E55">
            <w:pPr>
              <w:pStyle w:val="Tabletext"/>
              <w:ind w:left="0"/>
            </w:pPr>
            <w:r w:rsidRPr="009A5E55">
              <w:rPr>
                <w:noProof/>
              </w:rPr>
              <w:drawing>
                <wp:inline distT="0" distB="0" distL="0" distR="0" wp14:anchorId="5CD9DB7E" wp14:editId="67D2DECD">
                  <wp:extent cx="4895850" cy="504825"/>
                  <wp:effectExtent l="0" t="0" r="0" b="0"/>
                  <wp:docPr id="1917999154" name="Picture 45" descr="Formula for the Disposition Recapture Ratio for the Constituent Ent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99154" name="Picture 45" descr="Formula for the Disposition Recapture Ratio for the Constituent Entity "/>
                          <pic:cNvPicPr>
                            <a:picLocks noChangeAspect="1" noChangeArrowheads="1"/>
                          </pic:cNvPicPr>
                        </pic:nvPicPr>
                        <pic:blipFill rotWithShape="1">
                          <a:blip r:embed="rId112" cstate="print">
                            <a:extLst>
                              <a:ext uri="{28A0092B-C50C-407E-A947-70E740481C1C}">
                                <a14:useLocalDpi xmlns:a14="http://schemas.microsoft.com/office/drawing/2010/main" val="0"/>
                              </a:ext>
                            </a:extLst>
                          </a:blip>
                          <a:srcRect l="15833" t="-1887" r="-22916" b="1887"/>
                          <a:stretch/>
                        </pic:blipFill>
                        <pic:spPr bwMode="auto">
                          <a:xfrm>
                            <a:off x="0" y="0"/>
                            <a:ext cx="4895850" cy="504825"/>
                          </a:xfrm>
                          <a:prstGeom prst="rect">
                            <a:avLst/>
                          </a:prstGeom>
                          <a:noFill/>
                          <a:ln>
                            <a:noFill/>
                          </a:ln>
                        </pic:spPr>
                      </pic:pic>
                    </a:graphicData>
                  </a:graphic>
                </wp:inline>
              </w:drawing>
            </w:r>
          </w:p>
          <w:p w14:paraId="6ECB9647" w14:textId="191F63D9" w:rsidR="00581411" w:rsidRPr="00EE1A1B" w:rsidRDefault="00581411">
            <w:pPr>
              <w:pStyle w:val="Tabletext"/>
              <w:ind w:left="0"/>
            </w:pPr>
            <w:r w:rsidRPr="00EE1A1B">
              <w:lastRenderedPageBreak/>
              <w:t>where:</w:t>
            </w:r>
          </w:p>
          <w:p w14:paraId="135107D9" w14:textId="77777777" w:rsidR="00581411" w:rsidRPr="00EE1A1B" w:rsidRDefault="00581411">
            <w:pPr>
              <w:pStyle w:val="Tabledotpoint1"/>
            </w:pPr>
            <w:r w:rsidRPr="00EE1A1B">
              <w:rPr>
                <w:b/>
                <w:i/>
              </w:rPr>
              <w:t xml:space="preserve">GloBE Income of the CE </w:t>
            </w:r>
            <w:r w:rsidRPr="00EE1A1B">
              <w:t>is the sum of the GloBE Income of the Constituent Entity for each Fiscal Year corresponding to the Deemed Distribution Tax Recapture Accounts for the jurisdiction.</w:t>
            </w:r>
          </w:p>
          <w:p w14:paraId="26A6D298" w14:textId="77777777" w:rsidR="00581411" w:rsidRDefault="00581411">
            <w:pPr>
              <w:pStyle w:val="Tabletext"/>
            </w:pPr>
            <w:r w:rsidRPr="00EE1A1B">
              <w:rPr>
                <w:b/>
                <w:i/>
              </w:rPr>
              <w:t>Net Income of the jurisdiction</w:t>
            </w:r>
            <w:r w:rsidRPr="00EE1A1B">
              <w:t xml:space="preserve"> is the sum of the Net GloBE Income of the MNE Group for the jurisdiction for each Fiscal Year corresponding to the Deemed Distribution Tax Recapture Accounts for the jurisdiction.</w:t>
            </w:r>
          </w:p>
        </w:tc>
      </w:tr>
      <w:tr w:rsidR="00581411" w:rsidRPr="00020288" w14:paraId="71606A78" w14:textId="77777777" w:rsidTr="00AF7204">
        <w:tc>
          <w:tcPr>
            <w:tcW w:w="2334" w:type="dxa"/>
            <w:gridSpan w:val="2"/>
          </w:tcPr>
          <w:p w14:paraId="70029A98" w14:textId="77777777" w:rsidR="00581411" w:rsidRDefault="00581411">
            <w:pPr>
              <w:pStyle w:val="Tabletext"/>
            </w:pPr>
            <w:r>
              <w:lastRenderedPageBreak/>
              <w:t>Disqualified Refundable Imputation Tax</w:t>
            </w:r>
          </w:p>
        </w:tc>
        <w:tc>
          <w:tcPr>
            <w:tcW w:w="5367" w:type="dxa"/>
          </w:tcPr>
          <w:p w14:paraId="2EF1AD82" w14:textId="77777777" w:rsidR="00581411" w:rsidRPr="004C04F9" w:rsidRDefault="00581411">
            <w:pPr>
              <w:pStyle w:val="Tabletext"/>
              <w:ind w:left="0"/>
            </w:pPr>
            <w:r>
              <w:t>A</w:t>
            </w:r>
            <w:r w:rsidRPr="004C04F9">
              <w:t>n amount of Tax, other than a Qualified Imputation Tax, accrued or paid by a Constituent Entity that is: </w:t>
            </w:r>
          </w:p>
          <w:p w14:paraId="089A2A79" w14:textId="77777777" w:rsidR="00581411" w:rsidRDefault="00581411">
            <w:pPr>
              <w:pStyle w:val="Tabledotpoint1"/>
            </w:pPr>
            <w:r w:rsidRPr="004C04F9">
              <w:t>refundable to the beneficial owner of a dividend distributed by the Constituent Entity in respect of the dividend or creditable by the beneficial owner against a tax liability other than a tax liability in respect of such dividend; or </w:t>
            </w:r>
          </w:p>
          <w:p w14:paraId="1D5C1A0F" w14:textId="77777777" w:rsidR="00581411" w:rsidRDefault="00581411">
            <w:pPr>
              <w:pStyle w:val="Tabledotpoint1"/>
            </w:pPr>
            <w:r w:rsidRPr="004C04F9">
              <w:t>refundable to the distributing corporation upon distribution of a dividend. </w:t>
            </w:r>
          </w:p>
        </w:tc>
      </w:tr>
      <w:tr w:rsidR="00581411" w:rsidRPr="00020288" w14:paraId="3BC6BD91" w14:textId="77777777" w:rsidTr="00AF7204">
        <w:tc>
          <w:tcPr>
            <w:tcW w:w="2334" w:type="dxa"/>
            <w:gridSpan w:val="2"/>
          </w:tcPr>
          <w:p w14:paraId="1AE16034" w14:textId="77777777" w:rsidR="00581411" w:rsidRDefault="00581411">
            <w:pPr>
              <w:pStyle w:val="Tabletext"/>
            </w:pPr>
            <w:r>
              <w:t>Domestic Top</w:t>
            </w:r>
            <w:r>
              <w:noBreakHyphen/>
              <w:t>up Tax Amount</w:t>
            </w:r>
          </w:p>
          <w:p w14:paraId="53345FDD" w14:textId="16AE5A10" w:rsidR="00581411" w:rsidRDefault="00581411">
            <w:pPr>
              <w:pStyle w:val="Tabletext"/>
            </w:pPr>
            <w:r>
              <w:t>2</w:t>
            </w:r>
            <w:r>
              <w:noBreakHyphen/>
              <w:t>25, 2</w:t>
            </w:r>
            <w:r>
              <w:noBreakHyphen/>
            </w:r>
            <w:r w:rsidR="00A5025E">
              <w:t>30</w:t>
            </w:r>
          </w:p>
        </w:tc>
        <w:tc>
          <w:tcPr>
            <w:tcW w:w="5367" w:type="dxa"/>
          </w:tcPr>
          <w:p w14:paraId="1B4E8B3C" w14:textId="71531A07" w:rsidR="00581411" w:rsidRDefault="00581411">
            <w:pPr>
              <w:pStyle w:val="Tabletext"/>
            </w:pPr>
            <w:r>
              <w:t>T</w:t>
            </w:r>
            <w:r w:rsidRPr="00C93508">
              <w:t xml:space="preserve">he amount of the </w:t>
            </w:r>
            <w:r w:rsidRPr="00C93508">
              <w:rPr>
                <w:b/>
                <w:i/>
              </w:rPr>
              <w:t>Domestic Top</w:t>
            </w:r>
            <w:r w:rsidRPr="00C93508">
              <w:rPr>
                <w:b/>
                <w:i/>
              </w:rPr>
              <w:noBreakHyphen/>
              <w:t>up Tax Amount</w:t>
            </w:r>
            <w:r w:rsidRPr="00C93508">
              <w:t xml:space="preserve"> is equal to the amount of the Top</w:t>
            </w:r>
            <w:r w:rsidRPr="00C93508">
              <w:noBreakHyphen/>
              <w:t>up Tax mentioned in that subsection, computed in accordance with the principles set out in sections 2</w:t>
            </w:r>
            <w:r w:rsidRPr="00C93508">
              <w:noBreakHyphen/>
              <w:t>3</w:t>
            </w:r>
            <w:r w:rsidR="00BF6D93">
              <w:t>5</w:t>
            </w:r>
            <w:r w:rsidRPr="00C93508">
              <w:t xml:space="preserve"> and 6</w:t>
            </w:r>
            <w:r w:rsidRPr="00C93508">
              <w:noBreakHyphen/>
            </w:r>
            <w:r w:rsidR="00BF6D93">
              <w:t>75</w:t>
            </w:r>
            <w:r>
              <w:t>.</w:t>
            </w:r>
          </w:p>
          <w:p w14:paraId="2F40507E" w14:textId="77777777" w:rsidR="00581411" w:rsidRPr="00915074" w:rsidRDefault="00581411">
            <w:pPr>
              <w:pStyle w:val="Tableheaderrowtext"/>
              <w:numPr>
                <w:ilvl w:val="3"/>
                <w:numId w:val="2"/>
              </w:numPr>
            </w:pPr>
            <w:r w:rsidRPr="00B36572">
              <w:t>Constituent Entitie</w:t>
            </w:r>
            <w:r>
              <w:rPr>
                <w:i w:val="0"/>
                <w:iCs w:val="0"/>
              </w:rPr>
              <w:t>s generally</w:t>
            </w:r>
          </w:p>
          <w:p w14:paraId="515CC77E" w14:textId="50A94318" w:rsidR="00581411" w:rsidRPr="002F5804" w:rsidRDefault="00581411">
            <w:pPr>
              <w:pStyle w:val="Tabletext"/>
            </w:pPr>
            <w:r>
              <w:t>A</w:t>
            </w:r>
            <w:r w:rsidRPr="002F5804">
              <w:t xml:space="preserve"> </w:t>
            </w:r>
            <w:r w:rsidR="00125D0E">
              <w:t>LTCE</w:t>
            </w:r>
            <w:r w:rsidRPr="002F5804">
              <w:t xml:space="preserve"> of an Applicable MNE Group has a </w:t>
            </w:r>
            <w:r w:rsidRPr="002F5804">
              <w:rPr>
                <w:b/>
                <w:i/>
              </w:rPr>
              <w:t>Domestic Top</w:t>
            </w:r>
            <w:r w:rsidRPr="002F5804">
              <w:rPr>
                <w:b/>
                <w:i/>
              </w:rPr>
              <w:noBreakHyphen/>
              <w:t>up Tax Amount</w:t>
            </w:r>
            <w:r w:rsidRPr="002F5804">
              <w:t xml:space="preserve"> for the Fiscal Year if it has Top</w:t>
            </w:r>
            <w:r w:rsidRPr="002F5804">
              <w:noBreakHyphen/>
              <w:t xml:space="preserve">up Tax for the Fiscal Year </w:t>
            </w:r>
            <w:r>
              <w:t>and</w:t>
            </w:r>
            <w:r w:rsidRPr="002F5804">
              <w:t>:</w:t>
            </w:r>
          </w:p>
          <w:p w14:paraId="6F5DFED1" w14:textId="77777777" w:rsidR="00581411" w:rsidRPr="002F5804" w:rsidRDefault="00581411">
            <w:pPr>
              <w:pStyle w:val="Tabledotpoint1"/>
            </w:pPr>
            <w:r w:rsidRPr="002F5804">
              <w:t>is located in Australia for the Fiscal Year; or</w:t>
            </w:r>
          </w:p>
          <w:p w14:paraId="04059429" w14:textId="77777777" w:rsidR="00581411" w:rsidRPr="002F5804" w:rsidRDefault="00581411">
            <w:pPr>
              <w:pStyle w:val="Tabledotpoint1"/>
            </w:pPr>
            <w:r w:rsidRPr="002F5804">
              <w:t>is a Stateless Constituent Entity of the Applicable MNE Group that:</w:t>
            </w:r>
          </w:p>
          <w:p w14:paraId="6511A2AA" w14:textId="5B9E01CE" w:rsidR="00581411" w:rsidRPr="002F5804" w:rsidRDefault="00581411" w:rsidP="00B7652D">
            <w:pPr>
              <w:pStyle w:val="Tabledotpoint2"/>
              <w:keepNext/>
              <w:ind w:left="817" w:hanging="426"/>
            </w:pPr>
            <w:r w:rsidRPr="002F5804">
              <w:t>is created in Australia; or</w:t>
            </w:r>
          </w:p>
          <w:p w14:paraId="709A2F51" w14:textId="57B8360B" w:rsidR="00581411" w:rsidRPr="002F5804" w:rsidRDefault="00581411" w:rsidP="00B7652D">
            <w:pPr>
              <w:pStyle w:val="Tabledotpoint2"/>
              <w:keepNext/>
              <w:ind w:left="817" w:hanging="426"/>
            </w:pPr>
            <w:r w:rsidRPr="002F5804">
              <w:t xml:space="preserve">is a Permanent Establishment in relation to which paragraph 19(1)(d) of the </w:t>
            </w:r>
            <w:r w:rsidR="00AA07F6">
              <w:t xml:space="preserve">Assessment </w:t>
            </w:r>
            <w:r w:rsidRPr="002F5804">
              <w:t>Act applies that is a place of business in Australia</w:t>
            </w:r>
            <w:r w:rsidR="00AA07F6">
              <w:t>.</w:t>
            </w:r>
          </w:p>
          <w:p w14:paraId="66163547" w14:textId="77777777" w:rsidR="00581411" w:rsidRDefault="00581411">
            <w:pPr>
              <w:pStyle w:val="Tabletext"/>
            </w:pPr>
            <w:r>
              <w:t>However, if:</w:t>
            </w:r>
          </w:p>
          <w:p w14:paraId="7D06D28F" w14:textId="2CE23C67" w:rsidR="00581411" w:rsidRPr="008645D3" w:rsidRDefault="00581411">
            <w:pPr>
              <w:pStyle w:val="Tabledotpoint1"/>
            </w:pPr>
            <w:r w:rsidRPr="008645D3">
              <w:t xml:space="preserve">a </w:t>
            </w:r>
            <w:r w:rsidR="00125D0E">
              <w:t>LTCE</w:t>
            </w:r>
            <w:r w:rsidRPr="008645D3">
              <w:t xml:space="preserve"> for a Fiscal Year of an Applicable MNE Group for the Fiscal Year is a Permanent Establishment of a Main Entity; and</w:t>
            </w:r>
          </w:p>
          <w:p w14:paraId="09C8BC20" w14:textId="2CB65274" w:rsidR="00581411" w:rsidRPr="008645D3" w:rsidRDefault="00581411">
            <w:pPr>
              <w:pStyle w:val="Tabledotpoint1"/>
            </w:pPr>
            <w:r w:rsidRPr="008645D3">
              <w:t xml:space="preserve">the </w:t>
            </w:r>
            <w:r w:rsidR="00125D0E">
              <w:t>LTCE</w:t>
            </w:r>
            <w:r w:rsidRPr="008645D3">
              <w:t xml:space="preserve"> is located in Australia for the Fiscal Year; and</w:t>
            </w:r>
          </w:p>
          <w:p w14:paraId="74E5DAFC" w14:textId="77777777" w:rsidR="00581411" w:rsidRPr="008645D3" w:rsidRDefault="00581411">
            <w:pPr>
              <w:pStyle w:val="Tabledotpoint1"/>
            </w:pPr>
            <w:r w:rsidRPr="008645D3">
              <w:t>the Main Entity is not located in Australia for the Fiscal Year</w:t>
            </w:r>
            <w:r>
              <w:t>,</w:t>
            </w:r>
          </w:p>
          <w:p w14:paraId="310EDAB4" w14:textId="5D763A6C" w:rsidR="00581411" w:rsidRDefault="00581411">
            <w:pPr>
              <w:pStyle w:val="Tabletext"/>
            </w:pPr>
            <w:r w:rsidRPr="008645D3">
              <w:t xml:space="preserve">the </w:t>
            </w:r>
            <w:r w:rsidR="00125D0E">
              <w:t>LTCE</w:t>
            </w:r>
            <w:r w:rsidRPr="008645D3">
              <w:t xml:space="preserve"> does not have a </w:t>
            </w:r>
            <w:r w:rsidRPr="008645D3">
              <w:rPr>
                <w:b/>
                <w:i/>
              </w:rPr>
              <w:t>Domestic Top</w:t>
            </w:r>
            <w:r w:rsidRPr="008645D3">
              <w:rPr>
                <w:b/>
                <w:i/>
              </w:rPr>
              <w:noBreakHyphen/>
              <w:t>up Tax Amount</w:t>
            </w:r>
            <w:r w:rsidRPr="008645D3">
              <w:t xml:space="preserve"> for the Fiscal Year</w:t>
            </w:r>
            <w:r>
              <w:t xml:space="preserve"> if it has Top-up Tax for the Fiscal Year, and </w:t>
            </w:r>
            <w:r w:rsidRPr="00C93508">
              <w:t xml:space="preserve">the Main </w:t>
            </w:r>
            <w:r w:rsidRPr="00C93508">
              <w:lastRenderedPageBreak/>
              <w:t xml:space="preserve">Entity has a </w:t>
            </w:r>
            <w:r w:rsidRPr="00C93508">
              <w:rPr>
                <w:b/>
                <w:i/>
              </w:rPr>
              <w:t>Domestic Top</w:t>
            </w:r>
            <w:r w:rsidRPr="00C93508">
              <w:rPr>
                <w:b/>
                <w:i/>
              </w:rPr>
              <w:noBreakHyphen/>
              <w:t>up Tax Amount</w:t>
            </w:r>
            <w:r w:rsidRPr="00C93508">
              <w:t xml:space="preserve"> for the Fiscal Year in respect of the </w:t>
            </w:r>
            <w:r w:rsidR="00125D0E">
              <w:t>LTCE</w:t>
            </w:r>
            <w:r>
              <w:t>.</w:t>
            </w:r>
          </w:p>
          <w:p w14:paraId="21E8E743" w14:textId="3CC5AC7E" w:rsidR="00581411" w:rsidRDefault="00581411">
            <w:pPr>
              <w:pStyle w:val="Tabletext"/>
            </w:pPr>
            <w:r>
              <w:t>T</w:t>
            </w:r>
            <w:r w:rsidRPr="00C93508">
              <w:t xml:space="preserve">he amount of the </w:t>
            </w:r>
            <w:r w:rsidRPr="00C93508">
              <w:rPr>
                <w:b/>
                <w:i/>
              </w:rPr>
              <w:t>Domestic Top</w:t>
            </w:r>
            <w:r w:rsidRPr="00C93508">
              <w:rPr>
                <w:b/>
                <w:i/>
              </w:rPr>
              <w:noBreakHyphen/>
              <w:t>up Tax Amount</w:t>
            </w:r>
            <w:r w:rsidRPr="00C93508">
              <w:t xml:space="preserve"> is equal to the amount of the Top</w:t>
            </w:r>
            <w:r w:rsidRPr="00C93508">
              <w:noBreakHyphen/>
              <w:t>up Tax mentioned in that subsection, computed in accordance with the principles set out in section 2</w:t>
            </w:r>
            <w:r w:rsidRPr="00C93508">
              <w:noBreakHyphen/>
              <w:t>3</w:t>
            </w:r>
            <w:r w:rsidR="00BF6D93">
              <w:t>5</w:t>
            </w:r>
            <w:r w:rsidRPr="00C93508">
              <w:t>.</w:t>
            </w:r>
          </w:p>
          <w:p w14:paraId="7EFCADD5" w14:textId="77777777" w:rsidR="00581411" w:rsidRDefault="00581411">
            <w:pPr>
              <w:pStyle w:val="Tableheaderrowtext"/>
              <w:numPr>
                <w:ilvl w:val="3"/>
                <w:numId w:val="2"/>
              </w:numPr>
              <w:rPr>
                <w:i w:val="0"/>
                <w:iCs w:val="0"/>
              </w:rPr>
            </w:pPr>
            <w:r>
              <w:t>Joint Ventures and JV Subsidiaries</w:t>
            </w:r>
          </w:p>
          <w:p w14:paraId="3EA5C2EF" w14:textId="19F1576B" w:rsidR="00581411" w:rsidRDefault="00581411">
            <w:pPr>
              <w:pStyle w:val="Tabletext"/>
              <w:ind w:left="0"/>
            </w:pPr>
            <w:r>
              <w:t>T</w:t>
            </w:r>
            <w:r w:rsidRPr="00C93508">
              <w:t xml:space="preserve">he </w:t>
            </w:r>
            <w:r w:rsidR="0053425A">
              <w:t>JV</w:t>
            </w:r>
            <w:r w:rsidRPr="00C93508">
              <w:t xml:space="preserve">, or the JV Subsidiary, has a </w:t>
            </w:r>
            <w:r w:rsidRPr="00C93508">
              <w:rPr>
                <w:b/>
                <w:i/>
              </w:rPr>
              <w:t>Domestic Top</w:t>
            </w:r>
            <w:r w:rsidRPr="00C93508">
              <w:rPr>
                <w:b/>
                <w:i/>
              </w:rPr>
              <w:noBreakHyphen/>
              <w:t>up Tax Amount</w:t>
            </w:r>
            <w:r w:rsidRPr="00C93508">
              <w:t xml:space="preserve"> for the Fiscal Year if it has Top</w:t>
            </w:r>
            <w:r w:rsidRPr="00C93508">
              <w:noBreakHyphen/>
              <w:t>up Tax for the Fiscal Year</w:t>
            </w:r>
            <w:r>
              <w:t xml:space="preserve"> and:</w:t>
            </w:r>
          </w:p>
          <w:p w14:paraId="78341CB8" w14:textId="435E8E46" w:rsidR="00581411" w:rsidRPr="00C93508" w:rsidRDefault="00581411">
            <w:pPr>
              <w:pStyle w:val="Tabledotpoint1"/>
            </w:pPr>
            <w:r w:rsidRPr="00C93508">
              <w:t xml:space="preserve">a </w:t>
            </w:r>
            <w:r w:rsidR="0053425A">
              <w:t>JV</w:t>
            </w:r>
            <w:r w:rsidRPr="00C93508">
              <w:t xml:space="preserve"> of an MNE Group, or a JV Subsidiary of a </w:t>
            </w:r>
            <w:r w:rsidR="0053425A">
              <w:t>JV</w:t>
            </w:r>
            <w:r w:rsidRPr="00C93508">
              <w:t xml:space="preserve"> of an MNE Group, is located in Australia for a Fiscal Year; and</w:t>
            </w:r>
          </w:p>
          <w:p w14:paraId="023EAD24" w14:textId="77777777" w:rsidR="00581411" w:rsidRPr="00C93508" w:rsidRDefault="00581411">
            <w:pPr>
              <w:pStyle w:val="Tabledotpoint1"/>
            </w:pPr>
            <w:r w:rsidRPr="00C93508">
              <w:t>the MNE Group is an Applicable MNE Group for the Fiscal Year</w:t>
            </w:r>
            <w:r>
              <w:t>,</w:t>
            </w:r>
          </w:p>
          <w:p w14:paraId="3984FFF1" w14:textId="77777777" w:rsidR="00581411" w:rsidRDefault="00581411">
            <w:pPr>
              <w:pStyle w:val="Tabletext"/>
            </w:pPr>
            <w:r>
              <w:t>However, if:</w:t>
            </w:r>
          </w:p>
          <w:p w14:paraId="3E5B8D6E" w14:textId="2D63871B" w:rsidR="00581411" w:rsidRPr="00C93508" w:rsidRDefault="00581411">
            <w:pPr>
              <w:pStyle w:val="Tabledotpoint1"/>
            </w:pPr>
            <w:r w:rsidRPr="00C93508">
              <w:t xml:space="preserve">a JV Subsidiary of a </w:t>
            </w:r>
            <w:r w:rsidR="0053425A">
              <w:t>JV</w:t>
            </w:r>
            <w:r w:rsidRPr="00C93508">
              <w:t xml:space="preserve"> of an MNE Group is a Permanent Establishment of a Main Entity that is:</w:t>
            </w:r>
          </w:p>
          <w:p w14:paraId="594D8D60" w14:textId="50FE27A6" w:rsidR="00581411" w:rsidRPr="00C93508" w:rsidRDefault="00581411" w:rsidP="00B7652D">
            <w:pPr>
              <w:pStyle w:val="Tabledotpoint2"/>
              <w:keepNext/>
              <w:ind w:left="817" w:hanging="426"/>
            </w:pPr>
            <w:r w:rsidRPr="00C93508">
              <w:t xml:space="preserve">the </w:t>
            </w:r>
            <w:r w:rsidR="0053425A">
              <w:t>JV</w:t>
            </w:r>
            <w:r w:rsidRPr="00C93508">
              <w:t>, or</w:t>
            </w:r>
          </w:p>
          <w:p w14:paraId="0F35829B" w14:textId="4143FB79" w:rsidR="00581411" w:rsidRPr="00C93508" w:rsidRDefault="00581411" w:rsidP="00B7652D">
            <w:pPr>
              <w:pStyle w:val="Tabledotpoint2"/>
              <w:keepNext/>
              <w:ind w:left="817" w:hanging="426"/>
            </w:pPr>
            <w:r w:rsidRPr="00C93508">
              <w:t xml:space="preserve">another JV Subsidiary of the </w:t>
            </w:r>
            <w:r w:rsidR="0053425A">
              <w:t>JV</w:t>
            </w:r>
            <w:r w:rsidRPr="00C93508">
              <w:t>; and</w:t>
            </w:r>
          </w:p>
          <w:p w14:paraId="12E028E9" w14:textId="77777777" w:rsidR="00581411" w:rsidRPr="00C93508" w:rsidRDefault="00581411">
            <w:pPr>
              <w:pStyle w:val="Tabledotpoint1"/>
            </w:pPr>
            <w:r w:rsidRPr="00C93508">
              <w:t>the JV Subsidiary is located in Australia for the Fiscal Year; and</w:t>
            </w:r>
          </w:p>
          <w:p w14:paraId="3C8E39C1" w14:textId="77777777" w:rsidR="00581411" w:rsidRPr="00C93508" w:rsidRDefault="00581411">
            <w:pPr>
              <w:pStyle w:val="Tabledotpoint1"/>
            </w:pPr>
            <w:r w:rsidRPr="00C93508">
              <w:t>the Main Entity is not located in Australia for the Fiscal Year</w:t>
            </w:r>
            <w:r>
              <w:t>,</w:t>
            </w:r>
          </w:p>
          <w:p w14:paraId="374A630D" w14:textId="38015243" w:rsidR="00581411" w:rsidRDefault="00581411">
            <w:pPr>
              <w:pStyle w:val="Tabletext"/>
              <w:ind w:left="0"/>
            </w:pPr>
            <w:r w:rsidRPr="00C93508">
              <w:t xml:space="preserve">the JV Subsidiary does not have a </w:t>
            </w:r>
            <w:r w:rsidRPr="00C93508">
              <w:rPr>
                <w:b/>
                <w:i/>
              </w:rPr>
              <w:t>Domestic Top</w:t>
            </w:r>
            <w:r w:rsidRPr="00C93508">
              <w:rPr>
                <w:b/>
                <w:i/>
              </w:rPr>
              <w:noBreakHyphen/>
              <w:t>up Tax Amount</w:t>
            </w:r>
            <w:r w:rsidRPr="00C93508">
              <w:t xml:space="preserve"> for the Fiscal Year</w:t>
            </w:r>
            <w:r>
              <w:t xml:space="preserve"> if it has Top-up Tax for the Fiscal Year,</w:t>
            </w:r>
            <w:r w:rsidRPr="00C93508">
              <w:t xml:space="preserve"> and</w:t>
            </w:r>
            <w:r>
              <w:t xml:space="preserve"> </w:t>
            </w:r>
            <w:r w:rsidRPr="00C93508">
              <w:t xml:space="preserve">the Main Entity has a </w:t>
            </w:r>
            <w:r w:rsidRPr="00C93508">
              <w:rPr>
                <w:b/>
                <w:i/>
              </w:rPr>
              <w:t>Domestic Top</w:t>
            </w:r>
            <w:r w:rsidRPr="00C93508">
              <w:rPr>
                <w:b/>
                <w:i/>
              </w:rPr>
              <w:noBreakHyphen/>
              <w:t>up Tax Amount</w:t>
            </w:r>
            <w:r w:rsidRPr="00C93508">
              <w:t xml:space="preserve"> for the Fiscal Year in respect of the </w:t>
            </w:r>
            <w:r w:rsidR="00125D0E">
              <w:t>LTCE</w:t>
            </w:r>
            <w:r w:rsidRPr="00C93508">
              <w:t>.</w:t>
            </w:r>
          </w:p>
        </w:tc>
      </w:tr>
      <w:tr w:rsidR="00581411" w:rsidRPr="00020288" w14:paraId="7800F031" w14:textId="77777777" w:rsidTr="00AF7204">
        <w:tc>
          <w:tcPr>
            <w:tcW w:w="2334" w:type="dxa"/>
            <w:gridSpan w:val="2"/>
          </w:tcPr>
          <w:p w14:paraId="52634754" w14:textId="77777777" w:rsidR="00581411" w:rsidRDefault="00581411">
            <w:pPr>
              <w:pStyle w:val="Tabletext"/>
            </w:pPr>
            <w:r>
              <w:lastRenderedPageBreak/>
              <w:t>Dual</w:t>
            </w:r>
            <w:r>
              <w:noBreakHyphen/>
              <w:t>listed Arrangement</w:t>
            </w:r>
          </w:p>
          <w:p w14:paraId="45B451AF" w14:textId="6CB279FF" w:rsidR="00581411" w:rsidRDefault="00581411">
            <w:pPr>
              <w:pStyle w:val="Tabletext"/>
            </w:pPr>
            <w:r>
              <w:t>6-</w:t>
            </w:r>
            <w:r w:rsidR="00BF6D93">
              <w:t>85</w:t>
            </w:r>
            <w:r>
              <w:t>(4)</w:t>
            </w:r>
          </w:p>
        </w:tc>
        <w:tc>
          <w:tcPr>
            <w:tcW w:w="5367" w:type="dxa"/>
          </w:tcPr>
          <w:p w14:paraId="31AE7D31" w14:textId="77777777" w:rsidR="00581411" w:rsidRPr="00B56EFD" w:rsidRDefault="00581411">
            <w:pPr>
              <w:pStyle w:val="Tabletext"/>
            </w:pPr>
            <w:r w:rsidRPr="00B56EFD">
              <w:rPr>
                <w:b/>
                <w:i/>
              </w:rPr>
              <w:t>Dual</w:t>
            </w:r>
            <w:r w:rsidRPr="00B56EFD">
              <w:rPr>
                <w:b/>
                <w:i/>
              </w:rPr>
              <w:noBreakHyphen/>
              <w:t>listed Arrangement</w:t>
            </w:r>
            <w:r w:rsidRPr="00B56EFD">
              <w:t xml:space="preserve"> means an arrangement entered into by two or more Ultimate Parent Entities of separate Groups, under which all of the following apply:</w:t>
            </w:r>
          </w:p>
          <w:p w14:paraId="0E0599BE" w14:textId="77777777" w:rsidR="00581411" w:rsidRPr="00B56EFD" w:rsidRDefault="00581411">
            <w:pPr>
              <w:pStyle w:val="Tabledotpoint1"/>
            </w:pPr>
            <w:r w:rsidRPr="00B56EFD">
              <w:t>the Ultimate Parent Entities agree to combine their business by contract alone;</w:t>
            </w:r>
          </w:p>
          <w:p w14:paraId="07E7D8CE" w14:textId="77777777" w:rsidR="00581411" w:rsidRPr="00B56EFD" w:rsidRDefault="00581411">
            <w:pPr>
              <w:pStyle w:val="Tabledotpoint1"/>
            </w:pPr>
            <w:r w:rsidRPr="00B56EFD">
              <w:t>pursuant to contractual arrangements, the Ultimate Parent Entities will make distributions (with respect to dividends and in liquidation) to their owners based on a fixed ratio;</w:t>
            </w:r>
          </w:p>
          <w:p w14:paraId="647514F3" w14:textId="77777777" w:rsidR="00581411" w:rsidRPr="00B56EFD" w:rsidRDefault="00581411">
            <w:pPr>
              <w:pStyle w:val="Tabledotpoint1"/>
            </w:pPr>
            <w:r w:rsidRPr="00B56EFD">
              <w:t>the Ultimate Parent Entities’ activities are managed as a single economic entity under contractual arrangements while retaining their separate legal identities;</w:t>
            </w:r>
          </w:p>
          <w:p w14:paraId="7AB19E5E" w14:textId="77777777" w:rsidR="00581411" w:rsidRPr="00B56EFD" w:rsidRDefault="00581411">
            <w:pPr>
              <w:pStyle w:val="Tabledotpoint1"/>
            </w:pPr>
            <w:r w:rsidRPr="00B56EFD">
              <w:t>the Ownership Interests in each of the Ultimate Parent Entities are quoted, traded or transferred [independently] in different capital markets;</w:t>
            </w:r>
          </w:p>
          <w:p w14:paraId="0B15722A" w14:textId="753A981A" w:rsidR="00581411" w:rsidRPr="00B56EFD" w:rsidRDefault="00581411">
            <w:pPr>
              <w:pStyle w:val="Tabledotpoint1"/>
            </w:pPr>
            <w:r w:rsidRPr="00B56EFD">
              <w:t xml:space="preserve">the Ultimate Parent Entities prepare </w:t>
            </w:r>
            <w:r w:rsidR="0049664F">
              <w:t>CFS</w:t>
            </w:r>
            <w:r w:rsidRPr="00B56EFD">
              <w:t>:</w:t>
            </w:r>
          </w:p>
          <w:p w14:paraId="50C96C08" w14:textId="77777777" w:rsidR="00581411" w:rsidRPr="00B56EFD" w:rsidRDefault="00581411" w:rsidP="00B7652D">
            <w:pPr>
              <w:pStyle w:val="Tabledotpoint2"/>
              <w:keepNext/>
              <w:ind w:left="817" w:hanging="426"/>
            </w:pPr>
            <w:r w:rsidRPr="00B56EFD">
              <w:lastRenderedPageBreak/>
              <w:t>in which the assets, liabilities, income, expenses and cash flows of all the Entities that comprise the Groups are presented together as those of a single economic unit; and</w:t>
            </w:r>
          </w:p>
          <w:p w14:paraId="3AA8C7AC" w14:textId="78DA436F" w:rsidR="00581411" w:rsidRDefault="00581411" w:rsidP="00B7652D">
            <w:pPr>
              <w:pStyle w:val="Tabledotpoint2"/>
              <w:keepNext/>
              <w:ind w:left="817" w:hanging="426"/>
            </w:pPr>
            <w:r w:rsidRPr="00B56EFD">
              <w:t>that are required by a regulatory regime to be externally audited.</w:t>
            </w:r>
          </w:p>
        </w:tc>
      </w:tr>
      <w:tr w:rsidR="00581411" w:rsidRPr="00020288" w14:paraId="127D4720" w14:textId="77777777" w:rsidTr="00AF7204">
        <w:tc>
          <w:tcPr>
            <w:tcW w:w="2334" w:type="dxa"/>
            <w:gridSpan w:val="2"/>
          </w:tcPr>
          <w:p w14:paraId="570B786B" w14:textId="77777777" w:rsidR="00581411" w:rsidRDefault="00581411">
            <w:pPr>
              <w:pStyle w:val="Tabletext"/>
            </w:pPr>
            <w:r>
              <w:lastRenderedPageBreak/>
              <w:t>Duplicate loss arrangement</w:t>
            </w:r>
          </w:p>
          <w:p w14:paraId="6E177B02" w14:textId="48396D29" w:rsidR="00581411" w:rsidRDefault="00581411">
            <w:pPr>
              <w:pStyle w:val="Tabletext"/>
            </w:pPr>
            <w:r>
              <w:t>8-</w:t>
            </w:r>
            <w:r w:rsidR="00121D9D">
              <w:t>125</w:t>
            </w:r>
          </w:p>
        </w:tc>
        <w:tc>
          <w:tcPr>
            <w:tcW w:w="5367" w:type="dxa"/>
          </w:tcPr>
          <w:p w14:paraId="15D6E946" w14:textId="77777777" w:rsidR="00581411" w:rsidRPr="005A776A" w:rsidRDefault="00581411">
            <w:pPr>
              <w:pStyle w:val="Tabletext"/>
            </w:pPr>
            <w:r w:rsidRPr="005A776A">
              <w:t xml:space="preserve">A </w:t>
            </w:r>
            <w:r w:rsidRPr="005A776A">
              <w:rPr>
                <w:b/>
                <w:i/>
              </w:rPr>
              <w:t>duplicate loss arrangement</w:t>
            </w:r>
            <w:r w:rsidRPr="005A776A">
              <w:t xml:space="preserve"> is an arrangement that results in an expense or loss being included in the financial statement of a Constituent Entity of an MNE Group located in a jurisdiction to the extent that: </w:t>
            </w:r>
          </w:p>
          <w:p w14:paraId="70BFEB7B" w14:textId="30C07BA2" w:rsidR="00581411" w:rsidRPr="005A776A" w:rsidRDefault="00E8519A">
            <w:pPr>
              <w:pStyle w:val="Tabledotpoint1"/>
            </w:pPr>
            <w:r>
              <w:t xml:space="preserve">(a) </w:t>
            </w:r>
            <w:r w:rsidR="00581411" w:rsidRPr="005A776A">
              <w:t>the expense or loss is also included as an expense or loss in the financial statements of another Constituent Entity of the MNE Group; or</w:t>
            </w:r>
          </w:p>
          <w:p w14:paraId="0DB9D1B6" w14:textId="039C1AF7" w:rsidR="00581411" w:rsidRPr="005A776A" w:rsidRDefault="00E8519A">
            <w:pPr>
              <w:pStyle w:val="Tabledotpoint1"/>
            </w:pPr>
            <w:r>
              <w:t xml:space="preserve">(b) </w:t>
            </w:r>
            <w:r w:rsidR="00581411" w:rsidRPr="005A776A">
              <w:t xml:space="preserve">the arrangement also gives rise to a duplicate amount that is deductible for purposes of determining the taxable income of another Constituent Entity of the MNE Group </w:t>
            </w:r>
            <w:r w:rsidR="006B0B38">
              <w:t>l</w:t>
            </w:r>
            <w:r w:rsidR="00581411" w:rsidRPr="005A776A">
              <w:t>ocated in another jurisdiction.</w:t>
            </w:r>
          </w:p>
          <w:p w14:paraId="2CAEE8B1" w14:textId="77777777" w:rsidR="00581411" w:rsidRPr="005A776A" w:rsidRDefault="00581411">
            <w:pPr>
              <w:pStyle w:val="Tabletext"/>
            </w:pPr>
            <w:r>
              <w:t>A</w:t>
            </w:r>
            <w:r w:rsidRPr="005A776A">
              <w:t xml:space="preserve">n arrangement is not a </w:t>
            </w:r>
            <w:r w:rsidRPr="005A776A">
              <w:rPr>
                <w:b/>
                <w:i/>
              </w:rPr>
              <w:t>duplicate loss arrangement</w:t>
            </w:r>
            <w:r w:rsidRPr="005A776A">
              <w:t xml:space="preserve"> to the extent that the amount of the expense </w:t>
            </w:r>
            <w:r w:rsidRPr="00B36572">
              <w:t>or loss</w:t>
            </w:r>
            <w:r w:rsidRPr="005A776A">
              <w:t xml:space="preserve"> is offset against revenue which is included in the financial statements of both Constituent Entities.</w:t>
            </w:r>
          </w:p>
          <w:p w14:paraId="4D21A345" w14:textId="77777777" w:rsidR="00581411" w:rsidRPr="005A776A" w:rsidRDefault="00581411">
            <w:pPr>
              <w:pStyle w:val="Tabletext"/>
            </w:pPr>
            <w:r>
              <w:t>A</w:t>
            </w:r>
            <w:r w:rsidRPr="005A776A">
              <w:t xml:space="preserve">n arrangement is not a </w:t>
            </w:r>
            <w:r w:rsidRPr="005A776A">
              <w:rPr>
                <w:b/>
                <w:i/>
              </w:rPr>
              <w:t>duplicate loss arrangement</w:t>
            </w:r>
            <w:r w:rsidRPr="005A776A">
              <w:t xml:space="preserve"> to the extent that the amount of the expense </w:t>
            </w:r>
            <w:r w:rsidRPr="00B36572">
              <w:t>or loss</w:t>
            </w:r>
            <w:r w:rsidRPr="005A776A">
              <w:t xml:space="preserve"> is offset against revenue or income which is included in both:</w:t>
            </w:r>
          </w:p>
          <w:p w14:paraId="1E816729" w14:textId="4FBC9B1D" w:rsidR="00581411" w:rsidRPr="005A776A" w:rsidRDefault="00581411">
            <w:pPr>
              <w:pStyle w:val="Tabledotpoint1"/>
            </w:pPr>
            <w:r w:rsidRPr="005A776A">
              <w:t>if paragraph</w:t>
            </w:r>
            <w:r>
              <w:t xml:space="preserve"> </w:t>
            </w:r>
            <w:r w:rsidRPr="005A776A">
              <w:t>(a) applies—</w:t>
            </w:r>
            <w:r>
              <w:t xml:space="preserve"> </w:t>
            </w:r>
            <w:r w:rsidRPr="005A776A">
              <w:t>the financial statements of the Constituent Entity including the expense or loss in its financial statements; and</w:t>
            </w:r>
          </w:p>
          <w:p w14:paraId="655F423F" w14:textId="04D2110D" w:rsidR="00581411" w:rsidRDefault="00581411">
            <w:pPr>
              <w:pStyle w:val="Tabledotpoint1"/>
            </w:pPr>
            <w:r w:rsidRPr="005A776A">
              <w:t>if paragraph</w:t>
            </w:r>
            <w:r>
              <w:t xml:space="preserve"> </w:t>
            </w:r>
            <w:r w:rsidRPr="005A776A">
              <w:t>(b) applies—</w:t>
            </w:r>
            <w:r>
              <w:t xml:space="preserve"> </w:t>
            </w:r>
            <w:r w:rsidRPr="005A776A">
              <w:t>the taxable income of the Constituent Entity claiming the deduction for the relevant expense or loss.</w:t>
            </w:r>
          </w:p>
        </w:tc>
      </w:tr>
      <w:tr w:rsidR="00581411" w:rsidRPr="00020288" w14:paraId="579E0C3A" w14:textId="77777777" w:rsidTr="00AF7204">
        <w:tc>
          <w:tcPr>
            <w:tcW w:w="2334" w:type="dxa"/>
            <w:gridSpan w:val="2"/>
          </w:tcPr>
          <w:p w14:paraId="6B1E611A" w14:textId="77777777" w:rsidR="00581411" w:rsidRDefault="00581411">
            <w:pPr>
              <w:pStyle w:val="Tabletext"/>
            </w:pPr>
            <w:r>
              <w:t>Duplicate tax recognition arrangement</w:t>
            </w:r>
          </w:p>
          <w:p w14:paraId="0780116B" w14:textId="6B9E1073" w:rsidR="00581411" w:rsidRDefault="00581411">
            <w:pPr>
              <w:pStyle w:val="Tabletext"/>
            </w:pPr>
            <w:r>
              <w:t>8-</w:t>
            </w:r>
            <w:r w:rsidR="00634353">
              <w:t>130</w:t>
            </w:r>
          </w:p>
        </w:tc>
        <w:tc>
          <w:tcPr>
            <w:tcW w:w="5367" w:type="dxa"/>
          </w:tcPr>
          <w:p w14:paraId="5728E9CC" w14:textId="77777777" w:rsidR="00581411" w:rsidRDefault="00581411">
            <w:pPr>
              <w:pStyle w:val="Tabletext"/>
            </w:pPr>
            <w:r w:rsidRPr="005A776A">
              <w:t xml:space="preserve">A </w:t>
            </w:r>
            <w:r w:rsidRPr="005A776A">
              <w:rPr>
                <w:b/>
                <w:i/>
              </w:rPr>
              <w:t>duplicate tax recognition arrangement</w:t>
            </w:r>
            <w:r w:rsidRPr="005A776A">
              <w:t xml:space="preserve"> is an arrangement that results in more than one Constituent Entity of an MNE Group (the </w:t>
            </w:r>
            <w:r w:rsidRPr="005A776A">
              <w:rPr>
                <w:b/>
                <w:i/>
              </w:rPr>
              <w:t>relevant Constituent Entities</w:t>
            </w:r>
            <w:r w:rsidRPr="005A776A">
              <w:t>) including part or all of the same income tax expense in its</w:t>
            </w:r>
            <w:r>
              <w:t xml:space="preserve"> </w:t>
            </w:r>
            <w:r w:rsidRPr="005A776A">
              <w:t>Adjusted Covered Taxes or</w:t>
            </w:r>
            <w:r>
              <w:t xml:space="preserve"> </w:t>
            </w:r>
            <w:r w:rsidRPr="005A776A">
              <w:t>Simplified ETR</w:t>
            </w:r>
            <w:r>
              <w:t>.</w:t>
            </w:r>
          </w:p>
        </w:tc>
      </w:tr>
      <w:tr w:rsidR="00581411" w:rsidRPr="00020288" w14:paraId="12FC76C3" w14:textId="77777777" w:rsidTr="00AF7204">
        <w:tc>
          <w:tcPr>
            <w:tcW w:w="2334" w:type="dxa"/>
            <w:gridSpan w:val="2"/>
          </w:tcPr>
          <w:p w14:paraId="6547F418" w14:textId="77777777" w:rsidR="00581411" w:rsidRDefault="00581411">
            <w:pPr>
              <w:pStyle w:val="Tabletext"/>
            </w:pPr>
            <w:r>
              <w:t>Effective Tax Rate</w:t>
            </w:r>
          </w:p>
          <w:p w14:paraId="146C338F" w14:textId="77777777" w:rsidR="00581411" w:rsidRDefault="00581411">
            <w:pPr>
              <w:pStyle w:val="Tabletext"/>
            </w:pPr>
            <w:r>
              <w:t>5-5</w:t>
            </w:r>
          </w:p>
        </w:tc>
        <w:tc>
          <w:tcPr>
            <w:tcW w:w="5367" w:type="dxa"/>
          </w:tcPr>
          <w:p w14:paraId="1602AB93" w14:textId="77777777" w:rsidR="00581411" w:rsidRDefault="00581411">
            <w:pPr>
              <w:pStyle w:val="Tabletext"/>
            </w:pPr>
            <w:r>
              <w:t xml:space="preserve">If </w:t>
            </w:r>
            <w:r w:rsidRPr="002D3144">
              <w:t>an MNE Group for a jurisdiction for a Fiscal Year has Net GloBE Income for the jurisdiction for the Fiscal Year</w:t>
            </w:r>
            <w:r>
              <w:t>, t</w:t>
            </w:r>
            <w:r w:rsidRPr="002D3144">
              <w:t xml:space="preserve">he </w:t>
            </w:r>
            <w:r w:rsidRPr="002D3144">
              <w:rPr>
                <w:b/>
                <w:i/>
              </w:rPr>
              <w:t>Effective Tax Rate</w:t>
            </w:r>
            <w:r w:rsidRPr="002D3144">
              <w:t xml:space="preserve"> of the MNE Group for the jurisdiction for the Fiscal Year is equal to:</w:t>
            </w:r>
          </w:p>
          <w:p w14:paraId="01B41EBD" w14:textId="74BFFB3C" w:rsidR="00607C42" w:rsidRPr="002D3144" w:rsidRDefault="00607C42">
            <w:pPr>
              <w:pStyle w:val="Tabletext"/>
            </w:pPr>
            <w:r w:rsidRPr="00607C42">
              <w:rPr>
                <w:noProof/>
              </w:rPr>
              <w:drawing>
                <wp:inline distT="0" distB="0" distL="0" distR="0" wp14:anchorId="022149F9" wp14:editId="4FB8DE76">
                  <wp:extent cx="4895850" cy="628650"/>
                  <wp:effectExtent l="0" t="0" r="0" b="0"/>
                  <wp:docPr id="1472230814" name="Picture 46" descr="If an MNE Group for a jurisdiction for a Fiscal Year has Net GloBE Income for the jurisdiction for the Fiscal Year, the Effective Tax Rate of the MNE Group for the jurisdiction for the Fiscal Year is equal to th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30814" name="Picture 46" descr="If an MNE Group for a jurisdiction for a Fiscal Year has Net GloBE Income for the jurisdiction for the Fiscal Year, the Effective Tax Rate of the MNE Group for the jurisdiction for the Fiscal Year is equal to the picture"/>
                          <pic:cNvPicPr>
                            <a:picLocks noChangeAspect="1" noChangeArrowheads="1"/>
                          </pic:cNvPicPr>
                        </pic:nvPicPr>
                        <pic:blipFill rotWithShape="1">
                          <a:blip r:embed="rId113" cstate="print">
                            <a:extLst>
                              <a:ext uri="{28A0092B-C50C-407E-A947-70E740481C1C}">
                                <a14:useLocalDpi xmlns:a14="http://schemas.microsoft.com/office/drawing/2010/main" val="0"/>
                              </a:ext>
                            </a:extLst>
                          </a:blip>
                          <a:srcRect l="13814" t="3030" r="-13814" b="-3030"/>
                          <a:stretch/>
                        </pic:blipFill>
                        <pic:spPr bwMode="auto">
                          <a:xfrm>
                            <a:off x="0" y="0"/>
                            <a:ext cx="4895850" cy="628650"/>
                          </a:xfrm>
                          <a:prstGeom prst="rect">
                            <a:avLst/>
                          </a:prstGeom>
                          <a:noFill/>
                          <a:ln>
                            <a:noFill/>
                          </a:ln>
                        </pic:spPr>
                      </pic:pic>
                    </a:graphicData>
                  </a:graphic>
                </wp:inline>
              </w:drawing>
            </w:r>
          </w:p>
          <w:p w14:paraId="7623A2DC" w14:textId="77777777" w:rsidR="00581411" w:rsidRDefault="00581411">
            <w:pPr>
              <w:pStyle w:val="Tabletext"/>
            </w:pPr>
          </w:p>
          <w:p w14:paraId="502BD652" w14:textId="77777777" w:rsidR="00581411" w:rsidRPr="002D3144" w:rsidRDefault="00581411">
            <w:pPr>
              <w:pStyle w:val="Tabletext"/>
            </w:pPr>
            <w:r w:rsidRPr="002D3144">
              <w:lastRenderedPageBreak/>
              <w:t xml:space="preserve">The </w:t>
            </w:r>
            <w:r w:rsidRPr="002D3144">
              <w:rPr>
                <w:b/>
                <w:i/>
              </w:rPr>
              <w:t>Effective Tax Rate</w:t>
            </w:r>
            <w:r w:rsidRPr="002D3144">
              <w:t xml:space="preserve"> of an MNE Group for a jurisdiction may be modified by the following provisions:</w:t>
            </w:r>
          </w:p>
          <w:p w14:paraId="3CC9E021" w14:textId="77777777" w:rsidR="00581411" w:rsidRPr="002D3144" w:rsidRDefault="00581411">
            <w:pPr>
              <w:pStyle w:val="Tabledotpoint1"/>
            </w:pPr>
            <w:r w:rsidRPr="002D3144">
              <w:t>section 5</w:t>
            </w:r>
            <w:r w:rsidRPr="002D3144">
              <w:noBreakHyphen/>
              <w:t>45 (Stateless entities);</w:t>
            </w:r>
          </w:p>
          <w:p w14:paraId="27A831C0" w14:textId="77777777" w:rsidR="00581411" w:rsidRPr="002D3144" w:rsidRDefault="00581411">
            <w:pPr>
              <w:pStyle w:val="Tabledotpoint1"/>
            </w:pPr>
            <w:r w:rsidRPr="002D3144">
              <w:t>section 5</w:t>
            </w:r>
            <w:r w:rsidRPr="002D3144">
              <w:noBreakHyphen/>
              <w:t>105 (Minority owned entities);</w:t>
            </w:r>
          </w:p>
          <w:p w14:paraId="7A894B78" w14:textId="77777777" w:rsidR="00581411" w:rsidRPr="002D3144" w:rsidRDefault="00581411">
            <w:pPr>
              <w:pStyle w:val="Tabledotpoint1"/>
            </w:pPr>
            <w:r w:rsidRPr="002D3144">
              <w:t>Part 6</w:t>
            </w:r>
            <w:r w:rsidRPr="002D3144">
              <w:noBreakHyphen/>
              <w:t>4 (Joint ventures);</w:t>
            </w:r>
          </w:p>
          <w:p w14:paraId="002127B2" w14:textId="77777777" w:rsidR="00581411" w:rsidRDefault="00581411">
            <w:pPr>
              <w:pStyle w:val="Tabledotpoint1"/>
            </w:pPr>
            <w:r w:rsidRPr="002D3144">
              <w:t>Parts 7</w:t>
            </w:r>
            <w:r w:rsidRPr="002D3144">
              <w:noBreakHyphen/>
              <w:t>4 and 7</w:t>
            </w:r>
            <w:r w:rsidRPr="002D3144">
              <w:noBreakHyphen/>
              <w:t>6 (Investment entities).</w:t>
            </w:r>
          </w:p>
        </w:tc>
      </w:tr>
      <w:tr w:rsidR="00581411" w:rsidRPr="00020288" w14:paraId="037601E6" w14:textId="77777777" w:rsidTr="00AF7204">
        <w:tc>
          <w:tcPr>
            <w:tcW w:w="2334" w:type="dxa"/>
            <w:gridSpan w:val="2"/>
          </w:tcPr>
          <w:p w14:paraId="7A64D8ED" w14:textId="77777777" w:rsidR="00581411" w:rsidRDefault="00581411">
            <w:pPr>
              <w:pStyle w:val="Tabletext"/>
            </w:pPr>
            <w:r>
              <w:lastRenderedPageBreak/>
              <w:t>Eligible Distribution Tax System</w:t>
            </w:r>
          </w:p>
          <w:p w14:paraId="09E2EC40" w14:textId="77777777" w:rsidR="00581411" w:rsidRDefault="00581411">
            <w:pPr>
              <w:pStyle w:val="Tabletext"/>
            </w:pPr>
            <w:r>
              <w:t>7-45</w:t>
            </w:r>
          </w:p>
        </w:tc>
        <w:tc>
          <w:tcPr>
            <w:tcW w:w="5367" w:type="dxa"/>
          </w:tcPr>
          <w:p w14:paraId="618E0B5F" w14:textId="77777777" w:rsidR="00581411" w:rsidRPr="00EE1A1B" w:rsidRDefault="00581411">
            <w:pPr>
              <w:pStyle w:val="Tabletext"/>
            </w:pPr>
            <w:r w:rsidRPr="00EE1A1B">
              <w:t xml:space="preserve">An </w:t>
            </w:r>
            <w:r w:rsidRPr="00EE1A1B">
              <w:rPr>
                <w:b/>
                <w:i/>
              </w:rPr>
              <w:t>Eligible Distribution Tax System</w:t>
            </w:r>
            <w:r w:rsidRPr="00EE1A1B">
              <w:t xml:space="preserve"> is a corporate income tax system that:</w:t>
            </w:r>
          </w:p>
          <w:p w14:paraId="2157173A" w14:textId="77777777" w:rsidR="00581411" w:rsidRPr="00EE1A1B" w:rsidRDefault="00581411">
            <w:pPr>
              <w:pStyle w:val="Tabledotpoint1"/>
            </w:pPr>
            <w:r w:rsidRPr="00EE1A1B">
              <w:t>generally, imposes an income tax on the amount of the profits, or certain non</w:t>
            </w:r>
            <w:r w:rsidRPr="00EE1A1B">
              <w:noBreakHyphen/>
              <w:t>business expenses, of a corporation only on or after the time that the corporation:</w:t>
            </w:r>
          </w:p>
          <w:p w14:paraId="2522CC23" w14:textId="77777777" w:rsidR="00581411" w:rsidRPr="00EE1A1B" w:rsidRDefault="00581411">
            <w:pPr>
              <w:pStyle w:val="Tabledotpoint1"/>
            </w:pPr>
            <w:r w:rsidRPr="00EE1A1B">
              <w:t>distributes those profits to its shareholders; or</w:t>
            </w:r>
          </w:p>
          <w:p w14:paraId="42FE19CE" w14:textId="77777777" w:rsidR="00581411" w:rsidRPr="00EE1A1B" w:rsidRDefault="00581411" w:rsidP="00B7652D">
            <w:pPr>
              <w:pStyle w:val="Tabledotpoint2"/>
              <w:keepNext/>
              <w:ind w:left="817" w:hanging="426"/>
            </w:pPr>
            <w:r w:rsidRPr="00EE1A1B">
              <w:t>is deemed to distribute those profits to its shareholders; or</w:t>
            </w:r>
          </w:p>
          <w:p w14:paraId="2930CB6E" w14:textId="77777777" w:rsidR="00581411" w:rsidRPr="00EE1A1B" w:rsidRDefault="00581411" w:rsidP="00B7652D">
            <w:pPr>
              <w:pStyle w:val="Tabledotpoint2"/>
              <w:keepNext/>
              <w:ind w:left="817" w:hanging="426"/>
            </w:pPr>
            <w:r w:rsidRPr="00EE1A1B">
              <w:t>incurs those expenses; and</w:t>
            </w:r>
          </w:p>
          <w:p w14:paraId="4FF8FB66" w14:textId="77777777" w:rsidR="00581411" w:rsidRPr="00EE1A1B" w:rsidRDefault="00581411" w:rsidP="00B7652D">
            <w:pPr>
              <w:pStyle w:val="Tabledotpoint2"/>
              <w:keepNext/>
              <w:ind w:left="817" w:hanging="426"/>
            </w:pPr>
            <w:r w:rsidRPr="00EE1A1B">
              <w:t>imposes Tax at a rate equal to or in excess of the Minimum Rate;</w:t>
            </w:r>
            <w:r w:rsidRPr="00B7652D">
              <w:t xml:space="preserve"> </w:t>
            </w:r>
            <w:r w:rsidRPr="00EE1A1B">
              <w:t>and</w:t>
            </w:r>
          </w:p>
          <w:p w14:paraId="1DD159FD" w14:textId="77777777" w:rsidR="00581411" w:rsidRDefault="00581411" w:rsidP="00B7652D">
            <w:pPr>
              <w:pStyle w:val="Tabledotpoint2"/>
              <w:keepNext/>
              <w:ind w:left="817" w:hanging="426"/>
            </w:pPr>
            <w:r w:rsidRPr="00EE1A1B">
              <w:t>was in force on or before 1 July 2021.</w:t>
            </w:r>
          </w:p>
        </w:tc>
      </w:tr>
      <w:tr w:rsidR="00581411" w:rsidRPr="00020288" w14:paraId="2E7E83E3" w14:textId="77777777" w:rsidTr="00AF7204">
        <w:tc>
          <w:tcPr>
            <w:tcW w:w="2334" w:type="dxa"/>
            <w:gridSpan w:val="2"/>
          </w:tcPr>
          <w:p w14:paraId="613396DD" w14:textId="77777777" w:rsidR="00581411" w:rsidRDefault="00581411">
            <w:pPr>
              <w:pStyle w:val="Tabletext"/>
            </w:pPr>
            <w:r>
              <w:t>Eligible Employee</w:t>
            </w:r>
          </w:p>
          <w:p w14:paraId="132F92FA" w14:textId="77777777" w:rsidR="00581411" w:rsidRDefault="00581411">
            <w:pPr>
              <w:pStyle w:val="Tabletext"/>
            </w:pPr>
            <w:r>
              <w:t>5-60(2)</w:t>
            </w:r>
          </w:p>
        </w:tc>
        <w:tc>
          <w:tcPr>
            <w:tcW w:w="5367" w:type="dxa"/>
          </w:tcPr>
          <w:p w14:paraId="23262982" w14:textId="77777777" w:rsidR="00581411" w:rsidRPr="007E2547" w:rsidRDefault="00581411">
            <w:pPr>
              <w:pStyle w:val="Tabletext"/>
            </w:pPr>
            <w:r w:rsidRPr="007E2547">
              <w:rPr>
                <w:b/>
                <w:i/>
              </w:rPr>
              <w:t>Eligible Employee</w:t>
            </w:r>
            <w:r w:rsidRPr="007E2547">
              <w:t xml:space="preserve"> of a Constituent Entity of an MNE Group means an individual who is:</w:t>
            </w:r>
          </w:p>
          <w:p w14:paraId="0A132BE8" w14:textId="77777777" w:rsidR="00581411" w:rsidRPr="007E2547" w:rsidRDefault="00581411">
            <w:pPr>
              <w:pStyle w:val="Tabledotpoint1"/>
            </w:pPr>
            <w:r w:rsidRPr="007E2547">
              <w:t>an employee (including a part</w:t>
            </w:r>
            <w:r w:rsidRPr="007E2547">
              <w:noBreakHyphen/>
              <w:t>time employee) of the Constituent Entity; or</w:t>
            </w:r>
          </w:p>
          <w:p w14:paraId="1C88284B" w14:textId="77777777" w:rsidR="00581411" w:rsidRDefault="00581411">
            <w:pPr>
              <w:pStyle w:val="Tabledotpoint1"/>
            </w:pPr>
            <w:r w:rsidRPr="007E2547">
              <w:t>an independent contractor participating in the ordinary operating activities of the MNE Group under the direction and control of one or more Constituent Entities of the MNE Group.</w:t>
            </w:r>
          </w:p>
        </w:tc>
      </w:tr>
      <w:tr w:rsidR="00581411" w:rsidRPr="00020288" w14:paraId="5F30D146" w14:textId="77777777" w:rsidTr="00AF7204">
        <w:tc>
          <w:tcPr>
            <w:tcW w:w="2334" w:type="dxa"/>
            <w:gridSpan w:val="2"/>
          </w:tcPr>
          <w:p w14:paraId="46966F9C" w14:textId="77777777" w:rsidR="00581411" w:rsidRDefault="00581411">
            <w:pPr>
              <w:pStyle w:val="Tabletext"/>
            </w:pPr>
            <w:r>
              <w:t>Eligible Payroll Costs</w:t>
            </w:r>
          </w:p>
          <w:p w14:paraId="14448CD7" w14:textId="77777777" w:rsidR="00581411" w:rsidRDefault="00581411">
            <w:pPr>
              <w:pStyle w:val="Tabletext"/>
            </w:pPr>
            <w:r>
              <w:t>5-60(1)</w:t>
            </w:r>
          </w:p>
        </w:tc>
        <w:tc>
          <w:tcPr>
            <w:tcW w:w="5367" w:type="dxa"/>
          </w:tcPr>
          <w:p w14:paraId="24DBCD6D" w14:textId="77777777" w:rsidR="00581411" w:rsidRDefault="00581411">
            <w:pPr>
              <w:pStyle w:val="Tabletext"/>
            </w:pPr>
            <w:r>
              <w:t>The following amounts, as recorded in financial accounts:</w:t>
            </w:r>
          </w:p>
          <w:p w14:paraId="1F64A6B7" w14:textId="77777777" w:rsidR="00581411" w:rsidRPr="007E2547" w:rsidRDefault="00581411">
            <w:pPr>
              <w:pStyle w:val="Tabledotpoint1"/>
            </w:pPr>
            <w:r w:rsidRPr="007E2547">
              <w:t>employee compensation expenditures, including salaries, wages and other expenditures that provide a direct and separate personal benefit to the employee (such as health insurance and pension contributions);</w:t>
            </w:r>
          </w:p>
          <w:p w14:paraId="735C8555" w14:textId="77777777" w:rsidR="00581411" w:rsidRPr="007E2547" w:rsidRDefault="00581411">
            <w:pPr>
              <w:pStyle w:val="Tabledotpoint1"/>
            </w:pPr>
            <w:r w:rsidRPr="007E2547">
              <w:t>payroll and employment taxes;</w:t>
            </w:r>
          </w:p>
          <w:p w14:paraId="3F73F954" w14:textId="77777777" w:rsidR="00581411" w:rsidRDefault="00581411">
            <w:pPr>
              <w:pStyle w:val="Tabledotpoint1"/>
            </w:pPr>
            <w:r w:rsidRPr="007E2547">
              <w:t>employer social security contributions.</w:t>
            </w:r>
          </w:p>
        </w:tc>
      </w:tr>
      <w:tr w:rsidR="00581411" w:rsidRPr="00020288" w14:paraId="479C5B22" w14:textId="77777777" w:rsidTr="00AF7204">
        <w:tc>
          <w:tcPr>
            <w:tcW w:w="2334" w:type="dxa"/>
            <w:gridSpan w:val="2"/>
          </w:tcPr>
          <w:p w14:paraId="6ED94863" w14:textId="77777777" w:rsidR="00581411" w:rsidRDefault="00581411">
            <w:pPr>
              <w:pStyle w:val="Tabletext"/>
            </w:pPr>
            <w:r>
              <w:t>Eligible Tangible Asset</w:t>
            </w:r>
          </w:p>
          <w:p w14:paraId="20BAF5A1" w14:textId="77777777" w:rsidR="00581411" w:rsidRDefault="00581411">
            <w:pPr>
              <w:pStyle w:val="Tabletext"/>
            </w:pPr>
            <w:r>
              <w:t>5-75</w:t>
            </w:r>
          </w:p>
        </w:tc>
        <w:tc>
          <w:tcPr>
            <w:tcW w:w="5367" w:type="dxa"/>
          </w:tcPr>
          <w:p w14:paraId="3F6DD81D" w14:textId="77777777" w:rsidR="00581411" w:rsidRDefault="00581411">
            <w:pPr>
              <w:pStyle w:val="Tabletext"/>
            </w:pPr>
            <w:r>
              <w:t>Any of the following:</w:t>
            </w:r>
          </w:p>
          <w:p w14:paraId="740893F8" w14:textId="77777777" w:rsidR="00581411" w:rsidRPr="00E8039B" w:rsidRDefault="00581411">
            <w:pPr>
              <w:pStyle w:val="Tabledotpoint1"/>
            </w:pPr>
            <w:r w:rsidRPr="00E8039B">
              <w:t>property (including plant and equipment) located in the jurisdiction that are owned by the Constituent Entity;</w:t>
            </w:r>
          </w:p>
          <w:p w14:paraId="08217D38" w14:textId="77777777" w:rsidR="00581411" w:rsidRPr="00E8039B" w:rsidRDefault="00581411">
            <w:pPr>
              <w:pStyle w:val="Tabledotpoint1"/>
            </w:pPr>
            <w:r w:rsidRPr="00E8039B">
              <w:lastRenderedPageBreak/>
              <w:t>natural resources located in the jurisdiction that are owned by the Constituent Entity;</w:t>
            </w:r>
          </w:p>
          <w:p w14:paraId="07CD8505" w14:textId="77777777" w:rsidR="00581411" w:rsidRPr="00E8039B" w:rsidRDefault="00581411">
            <w:pPr>
              <w:pStyle w:val="Tabledotpoint1"/>
            </w:pPr>
            <w:r w:rsidRPr="00E8039B">
              <w:t>the Constituent Entity’s right of use, as a lessee, of tangible assets located in the jurisdiction;</w:t>
            </w:r>
          </w:p>
          <w:p w14:paraId="7274C2B7" w14:textId="77777777" w:rsidR="00581411" w:rsidRPr="00E8039B" w:rsidRDefault="00581411">
            <w:pPr>
              <w:pStyle w:val="Tabledotpoint1"/>
            </w:pPr>
            <w:r w:rsidRPr="00E8039B">
              <w:t>a licence or similar arrangement from a government for the use by the Constituent Entity of immovable property in the jurisdiction, or exploitation of natural resources in the jurisdiction, that entails significant investment in tangible assets.</w:t>
            </w:r>
          </w:p>
          <w:p w14:paraId="045EE5A3" w14:textId="77777777" w:rsidR="00581411" w:rsidRDefault="00581411">
            <w:pPr>
              <w:pStyle w:val="Tabletext"/>
            </w:pPr>
            <w:r w:rsidRPr="009274E0">
              <w:t xml:space="preserve">However, an asset is not an </w:t>
            </w:r>
            <w:r w:rsidRPr="00B36572">
              <w:rPr>
                <w:b/>
                <w:i/>
              </w:rPr>
              <w:t>Eligible Tangible Asset</w:t>
            </w:r>
            <w:r w:rsidRPr="009274E0">
              <w:t xml:space="preserve"> at any time during a Fiscal Year if it is used in the generation of a Constituent Entity’s International Shipping Income for the Fiscal Year.</w:t>
            </w:r>
          </w:p>
        </w:tc>
      </w:tr>
      <w:tr w:rsidR="00581411" w:rsidRPr="00020288" w14:paraId="659B37B1" w14:textId="77777777" w:rsidTr="00AF7204">
        <w:tc>
          <w:tcPr>
            <w:tcW w:w="2334" w:type="dxa"/>
            <w:gridSpan w:val="2"/>
          </w:tcPr>
          <w:p w14:paraId="5460F4AD" w14:textId="77777777" w:rsidR="00581411" w:rsidRDefault="00581411">
            <w:pPr>
              <w:pStyle w:val="Tabletext"/>
            </w:pPr>
            <w:r>
              <w:lastRenderedPageBreak/>
              <w:t>ETR Adjustment Provision</w:t>
            </w:r>
          </w:p>
          <w:p w14:paraId="26977C12" w14:textId="038FF6B7" w:rsidR="00581411" w:rsidRDefault="00581411">
            <w:pPr>
              <w:pStyle w:val="Tabletext"/>
            </w:pPr>
            <w:r>
              <w:t>5-</w:t>
            </w:r>
            <w:r w:rsidR="00996187">
              <w:t>95</w:t>
            </w:r>
            <w:r>
              <w:t>(6)</w:t>
            </w:r>
          </w:p>
        </w:tc>
        <w:tc>
          <w:tcPr>
            <w:tcW w:w="5367" w:type="dxa"/>
          </w:tcPr>
          <w:p w14:paraId="1C7F959C" w14:textId="2A9AB9A6" w:rsidR="00581411" w:rsidRDefault="00E50342">
            <w:pPr>
              <w:pStyle w:val="Tabletext"/>
            </w:pPr>
            <w:r>
              <w:t>T</w:t>
            </w:r>
            <w:r w:rsidRPr="00E50342">
              <w:t xml:space="preserve">he </w:t>
            </w:r>
            <w:r>
              <w:t xml:space="preserve">ETR </w:t>
            </w:r>
            <w:r w:rsidRPr="00E50342">
              <w:t>and Jurisdictional Top</w:t>
            </w:r>
            <w:r>
              <w:noBreakHyphen/>
            </w:r>
            <w:r w:rsidRPr="00E50342">
              <w:t xml:space="preserve">up Tax of an MNE Group for a jurisdiction for a prior Fiscal Year are required or permitted to be recalculated </w:t>
            </w:r>
            <w:r>
              <w:t>under s</w:t>
            </w:r>
            <w:r w:rsidR="00581411">
              <w:t>ection</w:t>
            </w:r>
            <w:r>
              <w:t xml:space="preserve">s </w:t>
            </w:r>
            <w:r w:rsidR="00581411">
              <w:t>3</w:t>
            </w:r>
            <w:r w:rsidR="00581411">
              <w:softHyphen/>
            </w:r>
            <w:r w:rsidR="00581411">
              <w:noBreakHyphen/>
              <w:t>1</w:t>
            </w:r>
            <w:r>
              <w:t>60</w:t>
            </w:r>
            <w:r w:rsidR="00581411">
              <w:t>, 4</w:t>
            </w:r>
            <w:r w:rsidR="00581411">
              <w:noBreakHyphen/>
            </w:r>
            <w:r>
              <w:t>100</w:t>
            </w:r>
            <w:r w:rsidR="00581411">
              <w:t>, 4</w:t>
            </w:r>
            <w:r w:rsidR="00581411">
              <w:noBreakHyphen/>
              <w:t>1</w:t>
            </w:r>
            <w:r>
              <w:t>4</w:t>
            </w:r>
            <w:r w:rsidR="00581411">
              <w:t>0, 4</w:t>
            </w:r>
            <w:r w:rsidR="00581411">
              <w:noBreakHyphen/>
              <w:t>1</w:t>
            </w:r>
            <w:r>
              <w:t>4</w:t>
            </w:r>
            <w:r w:rsidR="00581411">
              <w:t>5</w:t>
            </w:r>
            <w:r>
              <w:t>, 7</w:t>
            </w:r>
            <w:r>
              <w:noBreakHyphen/>
              <w:t>65</w:t>
            </w:r>
            <w:r w:rsidR="00581411">
              <w:t xml:space="preserve"> or 7</w:t>
            </w:r>
            <w:r w:rsidR="00581411">
              <w:noBreakHyphen/>
              <w:t>75.</w:t>
            </w:r>
          </w:p>
        </w:tc>
      </w:tr>
      <w:tr w:rsidR="00581411" w:rsidRPr="00020288" w14:paraId="70A99E35" w14:textId="77777777" w:rsidTr="00AF7204">
        <w:tc>
          <w:tcPr>
            <w:tcW w:w="2334" w:type="dxa"/>
            <w:gridSpan w:val="2"/>
          </w:tcPr>
          <w:p w14:paraId="0EB48015" w14:textId="77777777" w:rsidR="00581411" w:rsidRDefault="00581411">
            <w:pPr>
              <w:pStyle w:val="Tabletext"/>
            </w:pPr>
            <w:r>
              <w:t>Excess Negative Tax Expense Carry</w:t>
            </w:r>
            <w:r>
              <w:noBreakHyphen/>
              <w:t>forward</w:t>
            </w:r>
          </w:p>
          <w:p w14:paraId="3DA265FE" w14:textId="26375E2B" w:rsidR="00581411" w:rsidRDefault="00581411">
            <w:pPr>
              <w:pStyle w:val="Tabletext"/>
            </w:pPr>
            <w:r>
              <w:t>5</w:t>
            </w:r>
            <w:r>
              <w:noBreakHyphen/>
            </w:r>
            <w:r w:rsidR="00996187">
              <w:t>10</w:t>
            </w:r>
            <w:r>
              <w:t>(3)(a)(i)</w:t>
            </w:r>
          </w:p>
        </w:tc>
        <w:tc>
          <w:tcPr>
            <w:tcW w:w="5367" w:type="dxa"/>
          </w:tcPr>
          <w:p w14:paraId="1A2F9C3D" w14:textId="77777777" w:rsidR="00581411" w:rsidRDefault="00581411">
            <w:pPr>
              <w:pStyle w:val="Tabletext"/>
            </w:pPr>
            <w:r>
              <w:t xml:space="preserve">An </w:t>
            </w:r>
            <w:r>
              <w:rPr>
                <w:b/>
                <w:bCs/>
                <w:i/>
                <w:iCs/>
              </w:rPr>
              <w:t>Excess Negative Tax Expense Cary-forward</w:t>
            </w:r>
            <w:r>
              <w:t xml:space="preserve"> is established for the MNE Group for the jurisdiction and its balance is increased by the absolute value of the sum in paragraph (a), if: </w:t>
            </w:r>
          </w:p>
          <w:p w14:paraId="2F899745" w14:textId="77777777" w:rsidR="00581411" w:rsidRDefault="00581411">
            <w:pPr>
              <w:pStyle w:val="Tabledotpoint1"/>
            </w:pPr>
            <w:r>
              <w:t xml:space="preserve">the </w:t>
            </w:r>
            <w:r w:rsidRPr="006A2ECE">
              <w:t xml:space="preserve">sum of the Adjusted Covered Taxes for the Fiscal Year of each Constituent Entity of the MNE Group located in the jurisdiction </w:t>
            </w:r>
            <w:r>
              <w:t>of the MNE Group is less than zero, and</w:t>
            </w:r>
          </w:p>
          <w:p w14:paraId="4C7CF401" w14:textId="77777777" w:rsidR="00581411" w:rsidRDefault="00581411">
            <w:pPr>
              <w:pStyle w:val="Tabledotpoint1"/>
            </w:pPr>
            <w:r>
              <w:t>an Excess Negative Tax Expense Carry-forward has not already been established for the MNE Group for the jurisdiction.</w:t>
            </w:r>
          </w:p>
        </w:tc>
      </w:tr>
      <w:tr w:rsidR="00581411" w:rsidRPr="00020288" w14:paraId="267F797C" w14:textId="77777777" w:rsidTr="00AF7204">
        <w:tc>
          <w:tcPr>
            <w:tcW w:w="2334" w:type="dxa"/>
            <w:gridSpan w:val="2"/>
          </w:tcPr>
          <w:p w14:paraId="36273AE9" w14:textId="77777777" w:rsidR="00581411" w:rsidRDefault="00581411">
            <w:pPr>
              <w:pStyle w:val="Tabletext"/>
            </w:pPr>
            <w:r>
              <w:t>Excess Profit</w:t>
            </w:r>
          </w:p>
          <w:p w14:paraId="1A0BC69A" w14:textId="77777777" w:rsidR="00581411" w:rsidRDefault="00581411">
            <w:pPr>
              <w:pStyle w:val="Tabletext"/>
            </w:pPr>
            <w:r>
              <w:t>5</w:t>
            </w:r>
            <w:r>
              <w:softHyphen/>
            </w:r>
            <w:r>
              <w:noBreakHyphen/>
              <w:t>25</w:t>
            </w:r>
          </w:p>
        </w:tc>
        <w:tc>
          <w:tcPr>
            <w:tcW w:w="5367" w:type="dxa"/>
          </w:tcPr>
          <w:p w14:paraId="50CEC023" w14:textId="77777777" w:rsidR="00581411" w:rsidRDefault="00581411">
            <w:pPr>
              <w:pStyle w:val="Tabletext"/>
            </w:pPr>
            <w:r w:rsidRPr="002D3144">
              <w:t xml:space="preserve">The </w:t>
            </w:r>
            <w:r w:rsidRPr="002D3144">
              <w:rPr>
                <w:b/>
                <w:i/>
              </w:rPr>
              <w:t>Excess Profit</w:t>
            </w:r>
            <w:r w:rsidRPr="002D3144">
              <w:t xml:space="preserve"> of an MNE Group for a jurisdiction for a Fiscal Year is the amount computed in accordance with the following formula (but not less than zero):</w:t>
            </w:r>
          </w:p>
          <w:p w14:paraId="26ADCF6A" w14:textId="77777777" w:rsidR="00581411" w:rsidRPr="002D3144" w:rsidRDefault="00581411">
            <w:pPr>
              <w:pStyle w:val="Tabletext"/>
            </w:pPr>
            <m:oMathPara>
              <m:oMath>
                <m:r>
                  <w:rPr>
                    <w:rFonts w:ascii="Cambria Math" w:hAnsi="Cambria Math"/>
                    <w:sz w:val="18"/>
                    <w:szCs w:val="18"/>
                  </w:rPr>
                  <m:t>Net GloBE Income-Substance</m:t>
                </m:r>
                <m:r>
                  <m:rPr>
                    <m:sty m:val="p"/>
                  </m:rPr>
                  <w:rPr>
                    <w:rFonts w:ascii="Cambria Math" w:hAnsi="Cambria Math"/>
                    <w:sz w:val="18"/>
                    <w:szCs w:val="18"/>
                  </w:rPr>
                  <w:noBreakHyphen/>
                </m:r>
                <m:r>
                  <w:rPr>
                    <w:rFonts w:ascii="Cambria Math" w:hAnsi="Cambria Math"/>
                    <w:sz w:val="18"/>
                    <w:szCs w:val="18"/>
                  </w:rPr>
                  <m:t>based Income Exclusion amount</m:t>
                </m:r>
              </m:oMath>
            </m:oMathPara>
          </w:p>
          <w:p w14:paraId="74FAE108" w14:textId="77777777" w:rsidR="00581411" w:rsidRPr="002D3144" w:rsidRDefault="00581411">
            <w:pPr>
              <w:pStyle w:val="Tabletext"/>
            </w:pPr>
            <w:r w:rsidRPr="002D3144">
              <w:t>where:</w:t>
            </w:r>
          </w:p>
          <w:p w14:paraId="5797F3B4" w14:textId="77777777" w:rsidR="00581411" w:rsidRPr="002D3144" w:rsidRDefault="00581411">
            <w:pPr>
              <w:pStyle w:val="Tabledotpoint1"/>
            </w:pPr>
            <w:r w:rsidRPr="002D3144">
              <w:rPr>
                <w:b/>
                <w:i/>
              </w:rPr>
              <w:t>Net GloBE Income</w:t>
            </w:r>
            <w:r w:rsidRPr="002D3144">
              <w:t xml:space="preserve"> is the Net GloBE Income of the MNE Group for the jurisdiction for the Fiscal Year.</w:t>
            </w:r>
          </w:p>
          <w:p w14:paraId="7B6D2DB5" w14:textId="77777777" w:rsidR="00581411" w:rsidRDefault="00581411">
            <w:pPr>
              <w:pStyle w:val="Tabledotpoint1"/>
            </w:pPr>
            <w:r w:rsidRPr="002D3144">
              <w:rPr>
                <w:b/>
                <w:i/>
              </w:rPr>
              <w:t>Substance</w:t>
            </w:r>
            <w:r w:rsidRPr="002D3144">
              <w:rPr>
                <w:b/>
                <w:i/>
              </w:rPr>
              <w:noBreakHyphen/>
              <w:t>based Income Exclusion Amount</w:t>
            </w:r>
            <w:r w:rsidRPr="002D3144">
              <w:t xml:space="preserve"> is the Substance</w:t>
            </w:r>
            <w:r w:rsidRPr="002D3144">
              <w:noBreakHyphen/>
              <w:t>based Income Exclusion Amount of the MNE Group for the jurisdiction for the Fiscal Year.</w:t>
            </w:r>
          </w:p>
        </w:tc>
      </w:tr>
      <w:tr w:rsidR="00581411" w:rsidRPr="00020288" w14:paraId="2B1B30F1" w14:textId="77777777" w:rsidTr="00AF7204">
        <w:tc>
          <w:tcPr>
            <w:tcW w:w="2334" w:type="dxa"/>
            <w:gridSpan w:val="2"/>
          </w:tcPr>
          <w:p w14:paraId="03643FED" w14:textId="77777777" w:rsidR="00581411" w:rsidRDefault="00581411">
            <w:pPr>
              <w:pStyle w:val="Tabletext"/>
            </w:pPr>
            <w:r>
              <w:t>Excluded Dividends</w:t>
            </w:r>
          </w:p>
          <w:p w14:paraId="37F50B37" w14:textId="408D35BC" w:rsidR="00581411" w:rsidRDefault="00581411">
            <w:pPr>
              <w:pStyle w:val="Tabletext"/>
            </w:pPr>
            <w:r>
              <w:t>3-</w:t>
            </w:r>
            <w:r w:rsidR="00B65F6E">
              <w:t>25</w:t>
            </w:r>
            <w:r>
              <w:t>(1) and (</w:t>
            </w:r>
            <w:r w:rsidR="00F65DC2">
              <w:t>2</w:t>
            </w:r>
            <w:r>
              <w:t>)</w:t>
            </w:r>
          </w:p>
        </w:tc>
        <w:tc>
          <w:tcPr>
            <w:tcW w:w="5367" w:type="dxa"/>
          </w:tcPr>
          <w:p w14:paraId="4EBC0596" w14:textId="77777777" w:rsidR="00581411" w:rsidRDefault="00581411">
            <w:pPr>
              <w:pStyle w:val="Tabletext"/>
            </w:pPr>
            <w:r>
              <w:t>Dividends or other distributions received or accrued in respect of an Ownership Interest, except for a Short-term Portfolio Shareholding in respect of the distributions or an Ownership Interest in an Investment Entity, or Insurance Investment Entity, to which an election under Part 7-6 applies.</w:t>
            </w:r>
          </w:p>
          <w:p w14:paraId="1E2F25B5" w14:textId="77777777" w:rsidR="00581411" w:rsidRPr="007E3946" w:rsidRDefault="00581411">
            <w:pPr>
              <w:pStyle w:val="Tabletext"/>
            </w:pPr>
            <w:r w:rsidRPr="007E3946">
              <w:t>However, if:</w:t>
            </w:r>
          </w:p>
          <w:p w14:paraId="11C65EE8" w14:textId="77777777" w:rsidR="00581411" w:rsidRPr="007E3946" w:rsidRDefault="00581411">
            <w:pPr>
              <w:pStyle w:val="Tabledotpoint1"/>
            </w:pPr>
            <w:r w:rsidRPr="007E3946">
              <w:lastRenderedPageBreak/>
              <w:t>dividends or other distributions are received or accrued in respect of an Ownership Interest in an Entity; and</w:t>
            </w:r>
          </w:p>
          <w:p w14:paraId="0233AF12" w14:textId="77777777" w:rsidR="00581411" w:rsidRDefault="00581411">
            <w:pPr>
              <w:pStyle w:val="Tabledotpoint1"/>
            </w:pPr>
            <w:r w:rsidRPr="007E3946">
              <w:t xml:space="preserve">the Ownership Interest is a compound financial instrument having both equity and liability components under the Acceptable Financial Accounting Standard used in the preparation of the </w:t>
            </w:r>
            <w:r w:rsidRPr="007E3946">
              <w:rPr>
                <w:iCs/>
              </w:rPr>
              <w:t>financial accounts</w:t>
            </w:r>
            <w:r w:rsidRPr="007E3946">
              <w:t xml:space="preserve"> of the Entity</w:t>
            </w:r>
            <w:r>
              <w:t>;</w:t>
            </w:r>
          </w:p>
          <w:p w14:paraId="13CFEF47" w14:textId="29875B6A" w:rsidR="00581411" w:rsidRDefault="00581411">
            <w:pPr>
              <w:pStyle w:val="Tabletext"/>
            </w:pPr>
            <w:r w:rsidRPr="007E3946">
              <w:t xml:space="preserve">the dividends or other distributions are </w:t>
            </w:r>
            <w:r w:rsidRPr="007E3946">
              <w:rPr>
                <w:b/>
                <w:i/>
              </w:rPr>
              <w:t>Excluded Dividends</w:t>
            </w:r>
            <w:r w:rsidRPr="007E3946">
              <w:t xml:space="preserve"> only to the extent that they are received or accrued in respect of the equity component of the Ownership Interest (as determined in accordance with that Acceptable </w:t>
            </w:r>
            <w:r w:rsidR="00F65DC2">
              <w:t>FAS</w:t>
            </w:r>
            <w:r w:rsidRPr="007E3946">
              <w:t>).</w:t>
            </w:r>
          </w:p>
        </w:tc>
      </w:tr>
      <w:tr w:rsidR="00581411" w:rsidRPr="00020288" w14:paraId="47F76B29" w14:textId="77777777" w:rsidTr="00AF7204">
        <w:tc>
          <w:tcPr>
            <w:tcW w:w="2334" w:type="dxa"/>
            <w:gridSpan w:val="2"/>
          </w:tcPr>
          <w:p w14:paraId="4D31563B" w14:textId="77777777" w:rsidR="00581411" w:rsidRDefault="00581411">
            <w:pPr>
              <w:pStyle w:val="Tabletext"/>
            </w:pPr>
            <w:r>
              <w:lastRenderedPageBreak/>
              <w:t>Excluded Equity Gain or Loss</w:t>
            </w:r>
          </w:p>
          <w:p w14:paraId="78C5F69D" w14:textId="6A02B57B" w:rsidR="00581411" w:rsidRDefault="00581411">
            <w:pPr>
              <w:pStyle w:val="Tabletext"/>
            </w:pPr>
            <w:r>
              <w:t>3-</w:t>
            </w:r>
            <w:r w:rsidR="00B65F6E">
              <w:t>35</w:t>
            </w:r>
            <w:r>
              <w:t>(1)</w:t>
            </w:r>
          </w:p>
        </w:tc>
        <w:tc>
          <w:tcPr>
            <w:tcW w:w="5367" w:type="dxa"/>
          </w:tcPr>
          <w:p w14:paraId="5D92D56D" w14:textId="385B6831" w:rsidR="00581411" w:rsidRPr="00A04983" w:rsidRDefault="00581411">
            <w:pPr>
              <w:pStyle w:val="Tabletext"/>
            </w:pPr>
            <w:r w:rsidRPr="00A04983">
              <w:rPr>
                <w:b/>
                <w:i/>
              </w:rPr>
              <w:t>Excluded Equity Gain or Loss</w:t>
            </w:r>
            <w:r w:rsidRPr="00A04983">
              <w:t xml:space="preserve"> of a Constituent Entity of an MNE Group for a Fiscal Year means the gain, profit or loss included in the </w:t>
            </w:r>
            <w:r w:rsidR="00125D0E">
              <w:t>FANIL</w:t>
            </w:r>
            <w:r w:rsidRPr="00A04983">
              <w:t xml:space="preserve"> of the Constituent Entity for the Fiscal Year arising from any of the following:</w:t>
            </w:r>
          </w:p>
          <w:p w14:paraId="6512A21E" w14:textId="77777777" w:rsidR="00581411" w:rsidRPr="00A04983" w:rsidRDefault="00581411">
            <w:pPr>
              <w:pStyle w:val="Tabledotpoint1"/>
            </w:pPr>
            <w:r w:rsidRPr="00A04983">
              <w:t>gains and losses from changes in fair value of an Ownership Interest, except for a Portfolio Shareholding;</w:t>
            </w:r>
          </w:p>
          <w:p w14:paraId="16E24BD7" w14:textId="77777777" w:rsidR="00581411" w:rsidRPr="00A04983" w:rsidRDefault="00581411">
            <w:pPr>
              <w:pStyle w:val="Tabledotpoint1"/>
            </w:pPr>
            <w:r w:rsidRPr="00A04983">
              <w:t>profit or loss in respect of an Ownership Interest included under the equity method of accounting;</w:t>
            </w:r>
          </w:p>
          <w:p w14:paraId="02844303" w14:textId="77777777" w:rsidR="00581411" w:rsidRPr="00A04983" w:rsidRDefault="00581411">
            <w:pPr>
              <w:pStyle w:val="Tabledotpoint1"/>
            </w:pPr>
            <w:r w:rsidRPr="00A04983">
              <w:t>gains and losses from disposition of an Ownership Interest, except for a disposition of an Ownership Interest that is a Portfolio Shareholding [at the date of the disposition];</w:t>
            </w:r>
          </w:p>
          <w:p w14:paraId="270B7DA4" w14:textId="77777777" w:rsidR="00581411" w:rsidRPr="00A04983" w:rsidRDefault="00581411">
            <w:pPr>
              <w:pStyle w:val="Tabledotpoint1"/>
            </w:pPr>
            <w:r w:rsidRPr="00A04983">
              <w:t>if an election under subsection </w:t>
            </w:r>
            <w:r>
              <w:t>3</w:t>
            </w:r>
            <w:r>
              <w:noBreakHyphen/>
              <w:t>50</w:t>
            </w:r>
            <w:r w:rsidRPr="00A04983">
              <w:t>(3) applies to the Constituent Entity and the Fiscal Year—foreign exchange gains and losses, to the extent that they are covered by subsection </w:t>
            </w:r>
            <w:r>
              <w:t>3</w:t>
            </w:r>
            <w:r>
              <w:noBreakHyphen/>
              <w:t>50</w:t>
            </w:r>
            <w:r w:rsidRPr="00A04983">
              <w:t>(4).</w:t>
            </w:r>
          </w:p>
          <w:p w14:paraId="7EDFD538" w14:textId="77777777" w:rsidR="00581411" w:rsidRPr="008523ED" w:rsidRDefault="00581411">
            <w:pPr>
              <w:pStyle w:val="Tabletext"/>
            </w:pPr>
            <w:r>
              <w:t xml:space="preserve">For the purposes of paragraph (d), </w:t>
            </w:r>
            <w:r w:rsidRPr="008523ED">
              <w:t>th</w:t>
            </w:r>
            <w:r>
              <w:t>e</w:t>
            </w:r>
            <w:r w:rsidRPr="008523ED">
              <w:t xml:space="preserve"> subsection covers a foreign exchange gain or loss to the extent that:</w:t>
            </w:r>
          </w:p>
          <w:p w14:paraId="6C03B19D" w14:textId="77777777" w:rsidR="00581411" w:rsidRPr="008523ED" w:rsidRDefault="00581411">
            <w:pPr>
              <w:pStyle w:val="Tabledotpoint1"/>
            </w:pPr>
            <w:r w:rsidRPr="008523ED">
              <w:t>the foreign exchange gain or loss is attributable to hedging instruments that hedge the currency risk in Ownership Interests (other than Portfolio Shareholdings); and</w:t>
            </w:r>
          </w:p>
          <w:p w14:paraId="64C1C001" w14:textId="13B65AB6" w:rsidR="00581411" w:rsidRPr="008523ED" w:rsidRDefault="00581411">
            <w:pPr>
              <w:pStyle w:val="Tabledotpoint1"/>
            </w:pPr>
            <w:r w:rsidRPr="008523ED">
              <w:t xml:space="preserve">the gain or loss is recognised in other comprehensive income at the level of the </w:t>
            </w:r>
            <w:r w:rsidR="0049664F">
              <w:t>CFS</w:t>
            </w:r>
            <w:r w:rsidRPr="008523ED">
              <w:t xml:space="preserve"> of the </w:t>
            </w:r>
            <w:r w:rsidR="001B58B0">
              <w:t>UPE</w:t>
            </w:r>
            <w:r w:rsidRPr="008523ED">
              <w:t xml:space="preserve"> of the MNE Group; and</w:t>
            </w:r>
          </w:p>
          <w:p w14:paraId="77EFDCD2" w14:textId="6C07D00B" w:rsidR="00581411" w:rsidRDefault="00581411">
            <w:pPr>
              <w:pStyle w:val="Tabledotpoint1"/>
            </w:pPr>
            <w:r w:rsidRPr="008523ED">
              <w:t xml:space="preserve">the hedging instrument is considered an effective hedge under the Authorised Financial Accounting Standard used in the preparation of those </w:t>
            </w:r>
            <w:r w:rsidR="0049664F">
              <w:t>CFS</w:t>
            </w:r>
            <w:r w:rsidRPr="008523ED">
              <w:t>.</w:t>
            </w:r>
          </w:p>
        </w:tc>
      </w:tr>
      <w:tr w:rsidR="00581411" w:rsidRPr="00020288" w14:paraId="2851B17D" w14:textId="77777777" w:rsidTr="00AF7204">
        <w:tc>
          <w:tcPr>
            <w:tcW w:w="2334" w:type="dxa"/>
            <w:gridSpan w:val="2"/>
          </w:tcPr>
          <w:p w14:paraId="79D6DBEF" w14:textId="77777777" w:rsidR="00581411" w:rsidRDefault="00581411">
            <w:pPr>
              <w:pStyle w:val="Tabletext"/>
            </w:pPr>
            <w:r>
              <w:t>Excluded Exempt Income Entity</w:t>
            </w:r>
          </w:p>
          <w:p w14:paraId="42C04A13" w14:textId="77777777" w:rsidR="00581411" w:rsidRDefault="00581411">
            <w:pPr>
              <w:pStyle w:val="Tabletext"/>
            </w:pPr>
            <w:r>
              <w:t>1-20(2)</w:t>
            </w:r>
          </w:p>
        </w:tc>
        <w:tc>
          <w:tcPr>
            <w:tcW w:w="5367" w:type="dxa"/>
          </w:tcPr>
          <w:p w14:paraId="65E68441" w14:textId="77777777" w:rsidR="00581411" w:rsidRPr="003F7924" w:rsidRDefault="00581411">
            <w:pPr>
              <w:pStyle w:val="Tabletext"/>
            </w:pPr>
            <w:r w:rsidRPr="003F7924">
              <w:t xml:space="preserve">An Entity is an </w:t>
            </w:r>
            <w:r w:rsidRPr="003F7924">
              <w:rPr>
                <w:b/>
                <w:i/>
              </w:rPr>
              <w:t>Excluded Exempt Income Entity</w:t>
            </w:r>
            <w:r w:rsidRPr="003F7924">
              <w:t xml:space="preserve"> if:</w:t>
            </w:r>
          </w:p>
          <w:p w14:paraId="576CAB25" w14:textId="28A092C8" w:rsidR="00581411" w:rsidRPr="003F7924" w:rsidRDefault="00581411">
            <w:pPr>
              <w:pStyle w:val="Tabledotpoint1"/>
            </w:pPr>
            <w:r w:rsidRPr="003F7924">
              <w:t>at least 85</w:t>
            </w:r>
            <w:r w:rsidR="00F65DC2">
              <w:t xml:space="preserve"> per cent</w:t>
            </w:r>
            <w:r w:rsidRPr="003F7924">
              <w:t xml:space="preserve"> of the value of the Entity is owned (directly or through a chain of Excluded Entities) by one or more of the following (other than a Pension Services Entity):</w:t>
            </w:r>
          </w:p>
          <w:p w14:paraId="7EEE9C1B" w14:textId="68132792" w:rsidR="00581411" w:rsidRPr="003F7924" w:rsidRDefault="00581411" w:rsidP="00B7652D">
            <w:pPr>
              <w:pStyle w:val="Tabledotpoint2"/>
              <w:keepNext/>
              <w:ind w:left="817" w:hanging="426"/>
            </w:pPr>
            <w:r w:rsidRPr="003F7924">
              <w:lastRenderedPageBreak/>
              <w:t xml:space="preserve">an Excluded Entity under paragraph 20(1)(a), (b), (c), (d), (e) or (f) of the </w:t>
            </w:r>
            <w:r w:rsidR="00F65DC2">
              <w:t xml:space="preserve">Assessment </w:t>
            </w:r>
            <w:r w:rsidRPr="003F7924">
              <w:t>Act;</w:t>
            </w:r>
          </w:p>
          <w:p w14:paraId="22E7A6B4" w14:textId="41E20B58" w:rsidR="00581411" w:rsidRPr="003F7924" w:rsidRDefault="00581411" w:rsidP="00B7652D">
            <w:pPr>
              <w:pStyle w:val="Tabledotpoint2"/>
              <w:keepNext/>
              <w:ind w:left="817" w:hanging="426"/>
            </w:pPr>
            <w:r w:rsidRPr="003F7924">
              <w:t xml:space="preserve">if the Entity is an </w:t>
            </w:r>
            <w:r w:rsidR="001B58B0">
              <w:t>UPE</w:t>
            </w:r>
            <w:r w:rsidRPr="003F7924">
              <w:t>—an Investment Fund or a Real Estate Investment Vehicle; and</w:t>
            </w:r>
          </w:p>
          <w:p w14:paraId="2BF31AA3" w14:textId="695B6ECB" w:rsidR="00581411" w:rsidRDefault="00581411">
            <w:pPr>
              <w:pStyle w:val="Tabledotpoint1"/>
            </w:pPr>
            <w:r w:rsidRPr="003F7924">
              <w:t>substantially all of the Entity’s income is Excluded Dividends or Excluded Equity Gain or Loss that is excluded from the computation of GloBE Income or Loss in accordance with section 3</w:t>
            </w:r>
            <w:r w:rsidRPr="003F7924">
              <w:noBreakHyphen/>
            </w:r>
            <w:r w:rsidR="00F65DC2">
              <w:t>2</w:t>
            </w:r>
            <w:r w:rsidRPr="003F7924">
              <w:t>0 or 3</w:t>
            </w:r>
            <w:r w:rsidRPr="003F7924">
              <w:noBreakHyphen/>
            </w:r>
            <w:r w:rsidR="00F65DC2">
              <w:t>30</w:t>
            </w:r>
            <w:r w:rsidRPr="003F7924">
              <w:t xml:space="preserve"> of the Rules.</w:t>
            </w:r>
          </w:p>
        </w:tc>
      </w:tr>
      <w:tr w:rsidR="00581411" w:rsidRPr="00020288" w14:paraId="28CB4CA6" w14:textId="77777777" w:rsidTr="00AF7204">
        <w:tc>
          <w:tcPr>
            <w:tcW w:w="2334" w:type="dxa"/>
            <w:gridSpan w:val="2"/>
          </w:tcPr>
          <w:p w14:paraId="6112CCD1" w14:textId="77777777" w:rsidR="00581411" w:rsidRDefault="00581411">
            <w:pPr>
              <w:pStyle w:val="Tabletext"/>
            </w:pPr>
            <w:r>
              <w:lastRenderedPageBreak/>
              <w:t>Excluded Non</w:t>
            </w:r>
            <w:r>
              <w:noBreakHyphen/>
              <w:t>Profit Subsidiary</w:t>
            </w:r>
          </w:p>
          <w:p w14:paraId="294867E9" w14:textId="77777777" w:rsidR="00581411" w:rsidRDefault="00581411">
            <w:pPr>
              <w:pStyle w:val="Tabletext"/>
            </w:pPr>
            <w:r>
              <w:t>1-20(3)</w:t>
            </w:r>
          </w:p>
        </w:tc>
        <w:tc>
          <w:tcPr>
            <w:tcW w:w="5367" w:type="dxa"/>
          </w:tcPr>
          <w:p w14:paraId="59C72465" w14:textId="77777777" w:rsidR="00581411" w:rsidRPr="003F7924" w:rsidRDefault="00581411">
            <w:pPr>
              <w:pStyle w:val="Tabletext"/>
            </w:pPr>
            <w:r w:rsidRPr="003F7924">
              <w:t xml:space="preserve">An Entity is an </w:t>
            </w:r>
            <w:r w:rsidRPr="003F7924">
              <w:rPr>
                <w:b/>
                <w:i/>
              </w:rPr>
              <w:t>Excluded Non</w:t>
            </w:r>
            <w:r w:rsidRPr="003F7924">
              <w:rPr>
                <w:b/>
                <w:i/>
              </w:rPr>
              <w:noBreakHyphen/>
              <w:t>Profit Subsidiary</w:t>
            </w:r>
            <w:r w:rsidRPr="003F7924">
              <w:t xml:space="preserve"> if:</w:t>
            </w:r>
          </w:p>
          <w:p w14:paraId="47CC0CDC" w14:textId="6EF7FE57" w:rsidR="00581411" w:rsidRPr="003F7924" w:rsidRDefault="00581411">
            <w:pPr>
              <w:pStyle w:val="Tabledotpoint1"/>
            </w:pPr>
            <w:r w:rsidRPr="003F7924">
              <w:t>100</w:t>
            </w:r>
            <w:r w:rsidR="00F65DC2">
              <w:t xml:space="preserve"> per cent</w:t>
            </w:r>
            <w:r w:rsidRPr="003F7924">
              <w:t xml:space="preserve"> of the value of the Entity is owned (directly or indirectly) by one or more Non</w:t>
            </w:r>
            <w:r w:rsidRPr="003F7924">
              <w:noBreakHyphen/>
              <w:t>profit Organisations; and</w:t>
            </w:r>
          </w:p>
          <w:p w14:paraId="7A162969" w14:textId="77777777" w:rsidR="00581411" w:rsidRPr="003F7924" w:rsidRDefault="00581411">
            <w:pPr>
              <w:pStyle w:val="Tabledotpoint1"/>
            </w:pPr>
            <w:r w:rsidRPr="003F7924">
              <w:t>the sum of the revenue of all Group Entities of the MNE Group of which the Entity is a Group Entity (other than such revenue as is attributable to a Group Entity of the MNE Group that is a Non</w:t>
            </w:r>
            <w:r w:rsidRPr="003F7924">
              <w:noBreakHyphen/>
              <w:t>profit Organisation, an Excluded Service Entity or an Excluded Exempt Income Entity):</w:t>
            </w:r>
          </w:p>
          <w:p w14:paraId="3F3FAB03" w14:textId="17D9F9C0" w:rsidR="00581411" w:rsidRPr="003F7924" w:rsidRDefault="00581411" w:rsidP="00B7652D">
            <w:pPr>
              <w:pStyle w:val="Tabledotpoint2"/>
              <w:keepNext/>
              <w:ind w:left="817" w:hanging="426"/>
            </w:pPr>
            <w:r w:rsidRPr="003F7924">
              <w:t>does not exceed the MNE Group’s GloBE Threshold for the Fiscal Year; and</w:t>
            </w:r>
          </w:p>
          <w:p w14:paraId="08907453" w14:textId="204EF8DE" w:rsidR="00581411" w:rsidRDefault="00581411" w:rsidP="00B7652D">
            <w:pPr>
              <w:pStyle w:val="Tabledotpoint2"/>
              <w:keepNext/>
              <w:ind w:left="817" w:hanging="426"/>
            </w:pPr>
            <w:r w:rsidRPr="003F7924">
              <w:t>is less than 25</w:t>
            </w:r>
            <w:r w:rsidR="00F65DC2">
              <w:t xml:space="preserve"> per cent</w:t>
            </w:r>
            <w:r w:rsidRPr="003F7924">
              <w:t xml:space="preserve"> of the total revenue of the MNE Group.</w:t>
            </w:r>
          </w:p>
        </w:tc>
      </w:tr>
      <w:tr w:rsidR="00581411" w:rsidRPr="00020288" w14:paraId="4DA138CB" w14:textId="77777777" w:rsidTr="00AF7204">
        <w:tc>
          <w:tcPr>
            <w:tcW w:w="2334" w:type="dxa"/>
            <w:gridSpan w:val="2"/>
          </w:tcPr>
          <w:p w14:paraId="1A48547F" w14:textId="4225F315" w:rsidR="00581411" w:rsidRDefault="00125D0E">
            <w:pPr>
              <w:pStyle w:val="Tabletext"/>
            </w:pPr>
            <w:r>
              <w:t>FANIL</w:t>
            </w:r>
          </w:p>
          <w:p w14:paraId="63DE5DF5" w14:textId="347CF3E9" w:rsidR="00581411" w:rsidRDefault="00581411">
            <w:pPr>
              <w:pStyle w:val="Tabletext"/>
            </w:pPr>
            <w:r>
              <w:t>3-10 and 3-</w:t>
            </w:r>
            <w:r w:rsidR="00B65F6E">
              <w:t>240</w:t>
            </w:r>
          </w:p>
        </w:tc>
        <w:tc>
          <w:tcPr>
            <w:tcW w:w="5367" w:type="dxa"/>
          </w:tcPr>
          <w:p w14:paraId="64C76754" w14:textId="637A69CA" w:rsidR="00581411" w:rsidRDefault="00581411">
            <w:pPr>
              <w:pStyle w:val="Tabletext"/>
            </w:pPr>
            <w:r w:rsidRPr="0087264D">
              <w:t xml:space="preserve">The </w:t>
            </w:r>
            <w:r w:rsidR="00125D0E">
              <w:rPr>
                <w:b/>
                <w:i/>
              </w:rPr>
              <w:t>FANIL</w:t>
            </w:r>
            <w:r w:rsidRPr="0087264D">
              <w:t xml:space="preserve"> for a Constituent Entity of an MNE Group for a Fiscal Year is the net income or loss determined for the Constituent Entity (before any consolidation adjustments eliminating intra</w:t>
            </w:r>
            <w:r w:rsidRPr="0087264D">
              <w:noBreakHyphen/>
              <w:t xml:space="preserve">group transactions) in preparing </w:t>
            </w:r>
            <w:r w:rsidR="0049664F">
              <w:t>CFS</w:t>
            </w:r>
            <w:r w:rsidRPr="0087264D">
              <w:t xml:space="preserve"> of the </w:t>
            </w:r>
            <w:r w:rsidR="001B58B0">
              <w:t>UPE</w:t>
            </w:r>
            <w:r w:rsidRPr="0087264D">
              <w:t xml:space="preserve"> of the MNE Group for the Fiscal Year.</w:t>
            </w:r>
          </w:p>
          <w:p w14:paraId="50D3EDDC" w14:textId="25B553CC" w:rsidR="00581411" w:rsidRPr="00EC6968" w:rsidRDefault="00581411">
            <w:pPr>
              <w:pStyle w:val="Tabletext"/>
            </w:pPr>
            <w:r w:rsidRPr="00EC6968">
              <w:t xml:space="preserve">However, the </w:t>
            </w:r>
            <w:r w:rsidR="00125D0E">
              <w:rPr>
                <w:b/>
                <w:i/>
              </w:rPr>
              <w:t>FANIL</w:t>
            </w:r>
            <w:r w:rsidRPr="00EC6968">
              <w:rPr>
                <w:b/>
                <w:i/>
              </w:rPr>
              <w:t xml:space="preserve"> </w:t>
            </w:r>
            <w:r w:rsidRPr="00EC6968">
              <w:t>for the Constituent Entity for a Fiscal Year does not include any amount attributable to any purchase accounting adjustment that:</w:t>
            </w:r>
          </w:p>
          <w:p w14:paraId="6D5903C9" w14:textId="77777777" w:rsidR="00581411" w:rsidRPr="00EC6968" w:rsidRDefault="00581411">
            <w:pPr>
              <w:pStyle w:val="Tabledotpoint1"/>
            </w:pPr>
            <w:r w:rsidRPr="00EC6968">
              <w:t>is reflected in:</w:t>
            </w:r>
          </w:p>
          <w:p w14:paraId="0AF32152" w14:textId="10AE2662" w:rsidR="00581411" w:rsidRPr="00EC6968" w:rsidRDefault="00581411" w:rsidP="00B7652D">
            <w:pPr>
              <w:pStyle w:val="Tabledotpoint2"/>
              <w:keepNext/>
              <w:ind w:left="817" w:hanging="426"/>
            </w:pPr>
            <w:r w:rsidRPr="00EC6968">
              <w:t xml:space="preserve">the </w:t>
            </w:r>
            <w:r w:rsidR="0049664F">
              <w:t>CFS</w:t>
            </w:r>
            <w:r w:rsidRPr="00EC6968">
              <w:t xml:space="preserve"> of the </w:t>
            </w:r>
            <w:r w:rsidR="001B58B0">
              <w:t>UPE</w:t>
            </w:r>
            <w:r w:rsidRPr="00EC6968">
              <w:t xml:space="preserve"> of the MNE Group for the Fiscal Year; or</w:t>
            </w:r>
          </w:p>
          <w:p w14:paraId="2C51FE76" w14:textId="040326E4" w:rsidR="00581411" w:rsidRPr="00EC6968" w:rsidRDefault="00581411" w:rsidP="00B7652D">
            <w:pPr>
              <w:pStyle w:val="Tabledotpoint2"/>
              <w:keepNext/>
              <w:ind w:left="817" w:hanging="426"/>
            </w:pPr>
            <w:r w:rsidRPr="00EC6968">
              <w:t>the Constituent Entity’s financial accounts for the Fiscal Year; and</w:t>
            </w:r>
          </w:p>
          <w:p w14:paraId="609BCD22" w14:textId="77777777" w:rsidR="00581411" w:rsidRPr="00EC6968" w:rsidRDefault="00581411">
            <w:pPr>
              <w:pStyle w:val="Tabledotpoint1"/>
            </w:pPr>
            <w:r w:rsidRPr="00EC6968">
              <w:t>arises as a result of an Entity becoming a Constituent Entity of the MNE Group as a result of the acquisition of Ownership Interests in that Entity by an existing Constituent Entity.</w:t>
            </w:r>
          </w:p>
          <w:p w14:paraId="54196A24" w14:textId="617C8A4D" w:rsidR="00581411" w:rsidRPr="00570716" w:rsidRDefault="00581411">
            <w:pPr>
              <w:pStyle w:val="Tabletext"/>
            </w:pPr>
            <w:r>
              <w:t>I</w:t>
            </w:r>
            <w:r w:rsidRPr="00570716">
              <w:t xml:space="preserve">f a Constituent Entity is a Permanent Establishment because of paragraph 19(1)(a), (b) or (c) of the </w:t>
            </w:r>
            <w:r w:rsidR="002359E2">
              <w:t xml:space="preserve">Assessment </w:t>
            </w:r>
            <w:r w:rsidRPr="00570716">
              <w:t xml:space="preserve">Act, the </w:t>
            </w:r>
            <w:r w:rsidR="00125D0E">
              <w:rPr>
                <w:b/>
                <w:i/>
              </w:rPr>
              <w:t>FANIL</w:t>
            </w:r>
            <w:r w:rsidRPr="00570716">
              <w:t xml:space="preserve"> for a Fiscal Year of the Constituent Entity is:</w:t>
            </w:r>
          </w:p>
          <w:p w14:paraId="6E09CA48" w14:textId="77777777" w:rsidR="00581411" w:rsidRPr="00570716" w:rsidRDefault="00581411">
            <w:pPr>
              <w:pStyle w:val="Tabledotpoint1"/>
            </w:pPr>
            <w:r w:rsidRPr="00570716">
              <w:lastRenderedPageBreak/>
              <w:t>the net income or loss reflected in the separate financial accounts of the Permanent Establishment, if those financial accounts are prepared in accordance with an Acceptable Financial Accounting Standard, or in accordance with an Authorised Financial Accounting Standard and subject to adjustments to prevent any Material Competitive Distortions; or</w:t>
            </w:r>
          </w:p>
          <w:p w14:paraId="08A218E2" w14:textId="6E789E68" w:rsidR="00581411" w:rsidRDefault="00581411">
            <w:pPr>
              <w:pStyle w:val="Tabledotpoint1"/>
            </w:pPr>
            <w:r w:rsidRPr="00570716">
              <w:t xml:space="preserve">if the Permanent Establishment does not have separate financial accounts described in paragraph (a) of this subsection—the amount that would be the net income or loss of that Permanent Establishment reflected in separate financial accounts prepared on a standalone basis in accordance with the accounting standard used in the preparation of the Consolidated Financial Accounts of the </w:t>
            </w:r>
            <w:r w:rsidR="001B58B0">
              <w:t>UPE</w:t>
            </w:r>
            <w:r w:rsidRPr="00570716">
              <w:t>.</w:t>
            </w:r>
          </w:p>
        </w:tc>
      </w:tr>
      <w:tr w:rsidR="00581411" w:rsidRPr="00020288" w14:paraId="121D67DC" w14:textId="77777777" w:rsidTr="00AF7204">
        <w:tc>
          <w:tcPr>
            <w:tcW w:w="2334" w:type="dxa"/>
            <w:gridSpan w:val="2"/>
          </w:tcPr>
          <w:p w14:paraId="3D0CA168" w14:textId="2D2C7D5C" w:rsidR="00581411" w:rsidRDefault="00581411">
            <w:pPr>
              <w:pStyle w:val="Tabletext"/>
            </w:pPr>
            <w:r w:rsidRPr="005C22A1">
              <w:lastRenderedPageBreak/>
              <w:t>Flow</w:t>
            </w:r>
            <w:r w:rsidRPr="005C22A1">
              <w:noBreakHyphen/>
            </w:r>
            <w:r w:rsidR="002330EF">
              <w:t>t</w:t>
            </w:r>
            <w:r w:rsidRPr="005C22A1">
              <w:t>hrough</w:t>
            </w:r>
            <w:r>
              <w:t xml:space="preserve"> Entity</w:t>
            </w:r>
            <w:r w:rsidRPr="005C22A1">
              <w:t xml:space="preserve"> </w:t>
            </w:r>
          </w:p>
          <w:p w14:paraId="2898EE92" w14:textId="34B50F76" w:rsidR="00581411" w:rsidRDefault="00581411">
            <w:pPr>
              <w:pStyle w:val="Tabletext"/>
            </w:pPr>
            <w:r>
              <w:t>10-</w:t>
            </w:r>
            <w:r w:rsidR="00B65F6E">
              <w:t xml:space="preserve">30 </w:t>
            </w:r>
          </w:p>
        </w:tc>
        <w:tc>
          <w:tcPr>
            <w:tcW w:w="5367" w:type="dxa"/>
          </w:tcPr>
          <w:p w14:paraId="0E051E13" w14:textId="77777777" w:rsidR="00581411" w:rsidRDefault="00581411">
            <w:pPr>
              <w:pStyle w:val="Tabletext"/>
            </w:pPr>
            <w:r w:rsidRPr="005C22A1">
              <w:t xml:space="preserve">An Entity is a </w:t>
            </w:r>
            <w:r w:rsidRPr="005C22A1">
              <w:rPr>
                <w:b/>
                <w:i/>
              </w:rPr>
              <w:t>Flow</w:t>
            </w:r>
            <w:r w:rsidRPr="005C22A1">
              <w:rPr>
                <w:b/>
                <w:i/>
              </w:rPr>
              <w:noBreakHyphen/>
              <w:t>through Entity</w:t>
            </w:r>
            <w:r w:rsidRPr="005C22A1">
              <w:t xml:space="preserve"> to the extent it is fiscally transparent with respect to its income, expenditure, profit or loss in the jurisdiction where it was created unless it is tax resident and subject to a Covered Tax on its income or profit in another jurisdiction.</w:t>
            </w:r>
          </w:p>
          <w:p w14:paraId="755F79DE" w14:textId="77777777" w:rsidR="00581411" w:rsidRPr="005C22A1" w:rsidRDefault="00581411">
            <w:pPr>
              <w:pStyle w:val="Tabletext"/>
            </w:pPr>
            <w:r>
              <w:t>I</w:t>
            </w:r>
            <w:r w:rsidRPr="005C22A1">
              <w:t>f a Constituent Entity:</w:t>
            </w:r>
          </w:p>
          <w:p w14:paraId="6AD337FA" w14:textId="77777777" w:rsidR="00581411" w:rsidRPr="005C22A1" w:rsidRDefault="00581411">
            <w:pPr>
              <w:pStyle w:val="Tabledotpoint1"/>
            </w:pPr>
            <w:r w:rsidRPr="005C22A1">
              <w:t>is not a tax resident of any jurisdiction; and</w:t>
            </w:r>
          </w:p>
          <w:p w14:paraId="44175540" w14:textId="60841EB6" w:rsidR="00581411" w:rsidRPr="005C22A1" w:rsidRDefault="00581411">
            <w:pPr>
              <w:pStyle w:val="Tabledotpoint1"/>
            </w:pPr>
            <w:r w:rsidRPr="005C22A1">
              <w:t xml:space="preserve">is not subject to a Covered Tax or a </w:t>
            </w:r>
            <w:r w:rsidR="005D7D94">
              <w:t xml:space="preserve">QDMTT </w:t>
            </w:r>
            <w:r w:rsidRPr="005C22A1">
              <w:t>based on its place of management, place of creation, or similar criteria</w:t>
            </w:r>
            <w:r>
              <w:t>;</w:t>
            </w:r>
          </w:p>
          <w:p w14:paraId="4E2E5396" w14:textId="5FADCC29" w:rsidR="00581411" w:rsidRPr="005C22A1" w:rsidRDefault="00581411">
            <w:pPr>
              <w:pStyle w:val="Tabletext"/>
            </w:pPr>
            <w:r w:rsidRPr="005C22A1">
              <w:t xml:space="preserve">treat the Constituent Entity as a </w:t>
            </w:r>
            <w:r w:rsidRPr="002A546C">
              <w:rPr>
                <w:b/>
                <w:i/>
              </w:rPr>
              <w:t>Flow</w:t>
            </w:r>
            <w:r w:rsidRPr="002A546C">
              <w:rPr>
                <w:b/>
                <w:i/>
              </w:rPr>
              <w:noBreakHyphen/>
            </w:r>
            <w:r w:rsidR="002330EF">
              <w:rPr>
                <w:b/>
                <w:i/>
              </w:rPr>
              <w:t>t</w:t>
            </w:r>
            <w:r w:rsidRPr="002A546C">
              <w:rPr>
                <w:b/>
                <w:i/>
              </w:rPr>
              <w:t>hrough Entity</w:t>
            </w:r>
            <w:r w:rsidRPr="005C22A1">
              <w:t xml:space="preserve"> and a Tax Transparent Entity in respect of its income, expenditure, profit or loss to the extent that:</w:t>
            </w:r>
          </w:p>
          <w:p w14:paraId="62498B70" w14:textId="77777777" w:rsidR="00581411" w:rsidRPr="005C22A1" w:rsidRDefault="00581411">
            <w:pPr>
              <w:pStyle w:val="Tabledotpoint1"/>
            </w:pPr>
            <w:r w:rsidRPr="005C22A1">
              <w:t>its owners are located in a jurisdiction that treats the Entity as fiscally transparent; and</w:t>
            </w:r>
          </w:p>
          <w:p w14:paraId="3A7741BF" w14:textId="77777777" w:rsidR="00581411" w:rsidRPr="005C22A1" w:rsidRDefault="00581411">
            <w:pPr>
              <w:pStyle w:val="Tabledotpoint1"/>
            </w:pPr>
            <w:r w:rsidRPr="005C22A1">
              <w:t>it does not have a place of business in the jurisdiction where it was created; and</w:t>
            </w:r>
          </w:p>
          <w:p w14:paraId="0C22121C" w14:textId="77777777" w:rsidR="00581411" w:rsidRDefault="00581411">
            <w:pPr>
              <w:pStyle w:val="Tabledotpoint1"/>
            </w:pPr>
            <w:r w:rsidRPr="005C22A1">
              <w:t>the income, expenditure, profit or loss is not attributable to a Permanent Establishment in respect of which it is the Main Entity.</w:t>
            </w:r>
          </w:p>
        </w:tc>
      </w:tr>
      <w:tr w:rsidR="00EF097D" w:rsidRPr="00020288" w14:paraId="178C689C" w14:textId="77777777" w:rsidTr="00AF7204">
        <w:tc>
          <w:tcPr>
            <w:tcW w:w="2334" w:type="dxa"/>
            <w:gridSpan w:val="2"/>
          </w:tcPr>
          <w:p w14:paraId="76A110B9" w14:textId="327BEFC4" w:rsidR="00EF097D" w:rsidRDefault="00EF097D">
            <w:pPr>
              <w:pStyle w:val="Tabletext"/>
            </w:pPr>
            <w:r>
              <w:t>Glo</w:t>
            </w:r>
            <w:r w:rsidR="00EA5A76">
              <w:t>BE</w:t>
            </w:r>
            <w:r>
              <w:t xml:space="preserve"> Implementation Framework </w:t>
            </w:r>
          </w:p>
          <w:p w14:paraId="63F426D0" w14:textId="025E9491" w:rsidR="00EF097D" w:rsidRPr="005C22A1" w:rsidRDefault="00EF097D">
            <w:pPr>
              <w:pStyle w:val="Tabletext"/>
            </w:pPr>
            <w:r>
              <w:t>10-</w:t>
            </w:r>
            <w:r w:rsidR="00B65F6E">
              <w:t>10</w:t>
            </w:r>
          </w:p>
        </w:tc>
        <w:tc>
          <w:tcPr>
            <w:tcW w:w="5367" w:type="dxa"/>
          </w:tcPr>
          <w:p w14:paraId="2881D31B" w14:textId="2B7E4416" w:rsidR="00EF097D" w:rsidRPr="00EA5A76" w:rsidRDefault="00EA5A76">
            <w:pPr>
              <w:pStyle w:val="Tabletext"/>
            </w:pPr>
            <w:r>
              <w:rPr>
                <w:b/>
                <w:bCs/>
                <w:i/>
                <w:iCs/>
              </w:rPr>
              <w:t xml:space="preserve">GloBE Implementation Framework </w:t>
            </w:r>
            <w:r>
              <w:t xml:space="preserve">means the procedures </w:t>
            </w:r>
            <w:r w:rsidR="00407A6A">
              <w:t>mentioned</w:t>
            </w:r>
            <w:r>
              <w:t xml:space="preserve"> in the definition of </w:t>
            </w:r>
            <w:r w:rsidR="007A4BFD">
              <w:t>GloBE Implementation Framework in the GloBE Rules, as those procedures exist from time to time.</w:t>
            </w:r>
          </w:p>
        </w:tc>
      </w:tr>
      <w:tr w:rsidR="00581411" w:rsidRPr="00020288" w14:paraId="26CB84C2" w14:textId="77777777" w:rsidTr="00AF7204">
        <w:tc>
          <w:tcPr>
            <w:tcW w:w="2334" w:type="dxa"/>
            <w:gridSpan w:val="2"/>
          </w:tcPr>
          <w:p w14:paraId="0D26126E" w14:textId="77777777" w:rsidR="00581411" w:rsidRDefault="00581411">
            <w:pPr>
              <w:pStyle w:val="Tabletext"/>
            </w:pPr>
            <w:r>
              <w:t>GloBE Income</w:t>
            </w:r>
          </w:p>
        </w:tc>
        <w:tc>
          <w:tcPr>
            <w:tcW w:w="5367" w:type="dxa"/>
          </w:tcPr>
          <w:p w14:paraId="089DBF96" w14:textId="77777777" w:rsidR="00581411" w:rsidRDefault="00581411">
            <w:pPr>
              <w:pStyle w:val="Tabletext"/>
            </w:pPr>
            <w:r>
              <w:t>I</w:t>
            </w:r>
            <w:r w:rsidRPr="000326EF">
              <w:t xml:space="preserve">f the GloBE Income or Loss of a Constituent Entity of an MNE Group for a Fiscal Year is a positive amount, the Constituent Entity’s </w:t>
            </w:r>
            <w:r w:rsidRPr="000326EF">
              <w:rPr>
                <w:b/>
                <w:bCs/>
                <w:i/>
                <w:iCs/>
              </w:rPr>
              <w:t>GloBE Income</w:t>
            </w:r>
            <w:r w:rsidRPr="000326EF">
              <w:t xml:space="preserve"> for the Fiscal Year is that amount.</w:t>
            </w:r>
          </w:p>
        </w:tc>
      </w:tr>
      <w:tr w:rsidR="00581411" w:rsidRPr="00020288" w14:paraId="56705005" w14:textId="77777777" w:rsidTr="00AF7204">
        <w:tc>
          <w:tcPr>
            <w:tcW w:w="2334" w:type="dxa"/>
            <w:gridSpan w:val="2"/>
          </w:tcPr>
          <w:p w14:paraId="68B0C0D8" w14:textId="77777777" w:rsidR="00581411" w:rsidRDefault="00581411">
            <w:pPr>
              <w:pStyle w:val="Tabletext"/>
            </w:pPr>
            <w:r>
              <w:lastRenderedPageBreak/>
              <w:t>GloBE Income or Loss</w:t>
            </w:r>
          </w:p>
          <w:p w14:paraId="5FE30B6A" w14:textId="77777777" w:rsidR="00581411" w:rsidRDefault="00581411">
            <w:pPr>
              <w:pStyle w:val="Tabletext"/>
            </w:pPr>
            <w:r>
              <w:t>3-5</w:t>
            </w:r>
          </w:p>
        </w:tc>
        <w:tc>
          <w:tcPr>
            <w:tcW w:w="5367" w:type="dxa"/>
          </w:tcPr>
          <w:p w14:paraId="2439BF65" w14:textId="01DC3E7B" w:rsidR="00581411" w:rsidRDefault="00581411">
            <w:pPr>
              <w:pStyle w:val="Tabletext"/>
            </w:pPr>
            <w:r w:rsidRPr="005941A8">
              <w:t xml:space="preserve">The </w:t>
            </w:r>
            <w:r w:rsidRPr="005941A8">
              <w:rPr>
                <w:b/>
                <w:i/>
              </w:rPr>
              <w:t>GloBE Income or Loss</w:t>
            </w:r>
            <w:r w:rsidRPr="005941A8">
              <w:t xml:space="preserve"> of a Constituent Entity of an MNE Group for a Fiscal Year is the </w:t>
            </w:r>
            <w:r w:rsidR="00125D0E">
              <w:t>FANIL</w:t>
            </w:r>
            <w:r w:rsidRPr="005941A8">
              <w:t xml:space="preserve"> for the Constituent Entity for the Fiscal Year, adjusted as provided in Parts 3</w:t>
            </w:r>
            <w:r w:rsidRPr="005941A8">
              <w:noBreakHyphen/>
              <w:t>2 to 3</w:t>
            </w:r>
            <w:r w:rsidRPr="005941A8">
              <w:noBreakHyphen/>
              <w:t>5.</w:t>
            </w:r>
          </w:p>
        </w:tc>
      </w:tr>
      <w:tr w:rsidR="00581411" w:rsidRPr="00020288" w14:paraId="43647F49" w14:textId="77777777" w:rsidTr="00AF7204">
        <w:tc>
          <w:tcPr>
            <w:tcW w:w="2334" w:type="dxa"/>
            <w:gridSpan w:val="2"/>
          </w:tcPr>
          <w:p w14:paraId="2DBAB0DA" w14:textId="77777777" w:rsidR="00581411" w:rsidRDefault="00581411">
            <w:pPr>
              <w:pStyle w:val="Tabletext"/>
            </w:pPr>
            <w:r>
              <w:t>GloBE Loss</w:t>
            </w:r>
          </w:p>
        </w:tc>
        <w:tc>
          <w:tcPr>
            <w:tcW w:w="5367" w:type="dxa"/>
          </w:tcPr>
          <w:p w14:paraId="6E1F5749" w14:textId="77777777" w:rsidR="00581411" w:rsidRDefault="00581411">
            <w:pPr>
              <w:pStyle w:val="Tabletext"/>
            </w:pPr>
            <w:r>
              <w:t>I</w:t>
            </w:r>
            <w:r w:rsidRPr="000476A1">
              <w:t xml:space="preserve">f the GloBE Income or Loss of a Constituent Entity of an MNE Group for a Fiscal Year is a negative amount, the Constituent Entity’s </w:t>
            </w:r>
            <w:r w:rsidRPr="000476A1">
              <w:rPr>
                <w:b/>
                <w:bCs/>
                <w:i/>
                <w:iCs/>
              </w:rPr>
              <w:t>GloBE Loss</w:t>
            </w:r>
            <w:r w:rsidRPr="000476A1">
              <w:t xml:space="preserve"> for the Fiscal Year is the absolute value of that amount.</w:t>
            </w:r>
          </w:p>
        </w:tc>
      </w:tr>
      <w:tr w:rsidR="00581411" w:rsidRPr="00020288" w14:paraId="564EF000" w14:textId="77777777" w:rsidTr="00AF7204">
        <w:tc>
          <w:tcPr>
            <w:tcW w:w="2334" w:type="dxa"/>
            <w:gridSpan w:val="2"/>
          </w:tcPr>
          <w:p w14:paraId="0173DF6D" w14:textId="77777777" w:rsidR="00581411" w:rsidRDefault="00581411">
            <w:pPr>
              <w:pStyle w:val="Tabletext"/>
            </w:pPr>
            <w:r>
              <w:t>GloBE Loss Deferred Tax Asset</w:t>
            </w:r>
          </w:p>
          <w:p w14:paraId="554F0C26" w14:textId="69B7D695" w:rsidR="00581411" w:rsidRDefault="00581411">
            <w:pPr>
              <w:pStyle w:val="Tabletext"/>
            </w:pPr>
            <w:r>
              <w:t>4-</w:t>
            </w:r>
            <w:r w:rsidR="00B65F6E">
              <w:t>125</w:t>
            </w:r>
            <w:r>
              <w:t>(1)</w:t>
            </w:r>
            <w:r w:rsidR="0010127D">
              <w:t xml:space="preserve"> and 4-</w:t>
            </w:r>
            <w:r w:rsidR="00B65F6E">
              <w:t>135</w:t>
            </w:r>
            <w:r w:rsidR="0010127D">
              <w:t>(1)</w:t>
            </w:r>
          </w:p>
        </w:tc>
        <w:tc>
          <w:tcPr>
            <w:tcW w:w="5367" w:type="dxa"/>
          </w:tcPr>
          <w:p w14:paraId="5491E672" w14:textId="77777777" w:rsidR="00581411" w:rsidRPr="0058184C" w:rsidRDefault="00581411">
            <w:pPr>
              <w:pStyle w:val="Tabletext"/>
            </w:pPr>
            <w:r>
              <w:t>I</w:t>
            </w:r>
            <w:r w:rsidRPr="0058184C">
              <w:t xml:space="preserve">f there is a Net GloBE Loss of the MNE Group for the jurisdiction for the Fiscal Year and a GloBE Loss Deferred Tax Asset of the MNE Group for the jurisdiction has </w:t>
            </w:r>
            <w:r w:rsidRPr="0058184C">
              <w:rPr>
                <w:i/>
              </w:rPr>
              <w:t>not</w:t>
            </w:r>
            <w:r w:rsidRPr="0058184C">
              <w:t xml:space="preserve"> been established:</w:t>
            </w:r>
          </w:p>
          <w:p w14:paraId="7C428425" w14:textId="77777777" w:rsidR="00581411" w:rsidRPr="0058184C" w:rsidRDefault="00581411">
            <w:pPr>
              <w:pStyle w:val="Tabledotpoint1"/>
            </w:pPr>
            <w:r w:rsidRPr="0058184C">
              <w:t>a GloBE Loss Deferred Tax Asset of the MNE Group for the jurisdiction is established; and</w:t>
            </w:r>
          </w:p>
          <w:p w14:paraId="6C444E87" w14:textId="77777777" w:rsidR="00EC3E75" w:rsidRDefault="00581411" w:rsidP="00156BF7">
            <w:pPr>
              <w:pStyle w:val="Tabledotpoint1"/>
            </w:pPr>
            <w:r w:rsidRPr="0058184C">
              <w:t>the amount of that GloBE Loss Deferred Tax Asset is the Net GloBE Loss multiplied by the Minimum Rate</w:t>
            </w:r>
            <w:r>
              <w:t>.</w:t>
            </w:r>
          </w:p>
          <w:p w14:paraId="3433DA6F" w14:textId="00FE2963" w:rsidR="00156BF7" w:rsidRDefault="00156BF7" w:rsidP="00156BF7">
            <w:pPr>
              <w:pStyle w:val="Tabledotpoint1"/>
              <w:numPr>
                <w:ilvl w:val="0"/>
                <w:numId w:val="0"/>
              </w:numPr>
            </w:pPr>
            <w:r>
              <w:t xml:space="preserve">If </w:t>
            </w:r>
            <w:r w:rsidR="00CB3C29">
              <w:t xml:space="preserve">the UPE has a GloBE </w:t>
            </w:r>
            <w:r w:rsidR="00122217">
              <w:t xml:space="preserve">Loss for the Fiscal Year and a </w:t>
            </w:r>
            <w:r w:rsidR="00122217" w:rsidRPr="0058184C">
              <w:t>GloBE Loss Deferred Tax Asset of the</w:t>
            </w:r>
            <w:r w:rsidR="00122217">
              <w:t xml:space="preserve"> UPE has </w:t>
            </w:r>
            <w:r w:rsidR="00A77DF4">
              <w:rPr>
                <w:i/>
                <w:iCs/>
              </w:rPr>
              <w:t xml:space="preserve">not </w:t>
            </w:r>
            <w:r w:rsidR="00122217">
              <w:t>been established</w:t>
            </w:r>
            <w:r w:rsidR="00206099">
              <w:t>:</w:t>
            </w:r>
          </w:p>
          <w:p w14:paraId="79A0C56A" w14:textId="34292200" w:rsidR="00206099" w:rsidRDefault="002929A5" w:rsidP="00AF7204">
            <w:pPr>
              <w:pStyle w:val="Tabledotpoint1"/>
            </w:pPr>
            <w:r>
              <w:t xml:space="preserve">a </w:t>
            </w:r>
            <w:r w:rsidR="002E4299" w:rsidRPr="00AF7204">
              <w:t>GloBE Loss Deferred Tax Asset of the</w:t>
            </w:r>
            <w:r w:rsidRPr="00AF7204">
              <w:t xml:space="preserve"> UPE is established; and</w:t>
            </w:r>
            <w:r>
              <w:t xml:space="preserve"> </w:t>
            </w:r>
          </w:p>
          <w:p w14:paraId="1ED46C64" w14:textId="76EE7702" w:rsidR="00581411" w:rsidRDefault="00A13CB7" w:rsidP="00AF7204">
            <w:pPr>
              <w:pStyle w:val="Tabledotpoint1"/>
            </w:pPr>
            <w:r>
              <w:t>the amount of that GloBE Loss Deferred Tax Asset is the GloBE Loss multiplied by the Minimum Rate.</w:t>
            </w:r>
          </w:p>
        </w:tc>
      </w:tr>
      <w:tr w:rsidR="00581411" w:rsidRPr="00020288" w14:paraId="4FAF7829" w14:textId="77777777" w:rsidTr="00AF7204">
        <w:tc>
          <w:tcPr>
            <w:tcW w:w="2334" w:type="dxa"/>
            <w:gridSpan w:val="2"/>
          </w:tcPr>
          <w:p w14:paraId="2D5A0844" w14:textId="77777777" w:rsidR="00581411" w:rsidRDefault="00581411">
            <w:pPr>
              <w:pStyle w:val="Tabletext"/>
            </w:pPr>
            <w:r>
              <w:t>GloBE Loss Election</w:t>
            </w:r>
          </w:p>
          <w:p w14:paraId="71FBF17E" w14:textId="05093B12" w:rsidR="00581411" w:rsidRDefault="00581411">
            <w:pPr>
              <w:pStyle w:val="Tabletext"/>
            </w:pPr>
            <w:r>
              <w:t>4-</w:t>
            </w:r>
            <w:r w:rsidR="005D6F14">
              <w:t>120</w:t>
            </w:r>
            <w:r>
              <w:t>(1)</w:t>
            </w:r>
          </w:p>
        </w:tc>
        <w:tc>
          <w:tcPr>
            <w:tcW w:w="5367" w:type="dxa"/>
          </w:tcPr>
          <w:p w14:paraId="696C51FA" w14:textId="77777777" w:rsidR="00581411" w:rsidRPr="001270A8" w:rsidRDefault="00581411">
            <w:pPr>
              <w:pStyle w:val="Tabletext"/>
            </w:pPr>
            <w:r w:rsidRPr="001270A8">
              <w:t xml:space="preserve">A </w:t>
            </w:r>
            <w:r w:rsidRPr="001270A8">
              <w:rPr>
                <w:b/>
                <w:i/>
              </w:rPr>
              <w:t>GloBE Loss Election</w:t>
            </w:r>
            <w:r w:rsidRPr="001270A8">
              <w:t xml:space="preserve"> is:</w:t>
            </w:r>
          </w:p>
          <w:p w14:paraId="7B91D08A" w14:textId="7B1A0B10" w:rsidR="00581411" w:rsidRPr="001270A8" w:rsidRDefault="00F65DC2">
            <w:pPr>
              <w:pStyle w:val="Tabledotpoint1"/>
            </w:pPr>
            <w:r w:rsidRPr="001270A8">
              <w:t xml:space="preserve">a GloBE Loss Election for an MNE Group </w:t>
            </w:r>
            <w:r w:rsidR="00581411" w:rsidRPr="001270A8">
              <w:t>under subsection </w:t>
            </w:r>
            <w:r w:rsidR="00581411">
              <w:t>4</w:t>
            </w:r>
            <w:r w:rsidR="00581411">
              <w:noBreakHyphen/>
              <w:t>1</w:t>
            </w:r>
            <w:r>
              <w:t>2</w:t>
            </w:r>
            <w:r w:rsidR="00581411">
              <w:t>5</w:t>
            </w:r>
            <w:r w:rsidR="00581411" w:rsidRPr="001270A8">
              <w:t>(2); or</w:t>
            </w:r>
          </w:p>
          <w:p w14:paraId="23FA2D7A" w14:textId="2A9F046A" w:rsidR="00581411" w:rsidRDefault="00F65DC2">
            <w:pPr>
              <w:pStyle w:val="Tabledotpoint1"/>
            </w:pPr>
            <w:r w:rsidRPr="001270A8">
              <w:t xml:space="preserve">a GloBE Loss Election for an </w:t>
            </w:r>
            <w:r>
              <w:t>UPE</w:t>
            </w:r>
            <w:r w:rsidRPr="001270A8">
              <w:t xml:space="preserve"> </w:t>
            </w:r>
            <w:r w:rsidR="00581411" w:rsidRPr="001270A8">
              <w:t>under subsection 4</w:t>
            </w:r>
            <w:r w:rsidR="00581411" w:rsidRPr="001270A8">
              <w:noBreakHyphen/>
              <w:t>1</w:t>
            </w:r>
            <w:r>
              <w:t>30</w:t>
            </w:r>
            <w:r w:rsidR="00581411" w:rsidRPr="001270A8">
              <w:t>(1).</w:t>
            </w:r>
          </w:p>
        </w:tc>
      </w:tr>
      <w:tr w:rsidR="00581411" w:rsidRPr="00020288" w14:paraId="2DBA7041" w14:textId="77777777" w:rsidTr="00AF7204">
        <w:tc>
          <w:tcPr>
            <w:tcW w:w="2334" w:type="dxa"/>
            <w:gridSpan w:val="2"/>
          </w:tcPr>
          <w:p w14:paraId="19A1AABE" w14:textId="77777777" w:rsidR="00581411" w:rsidRDefault="00581411">
            <w:pPr>
              <w:pStyle w:val="Tabletext"/>
            </w:pPr>
            <w:r>
              <w:t>GloBE Reorganisation</w:t>
            </w:r>
          </w:p>
          <w:p w14:paraId="6A1FF970" w14:textId="07B76489" w:rsidR="00581411" w:rsidRDefault="00581411">
            <w:pPr>
              <w:pStyle w:val="Tabletext"/>
            </w:pPr>
            <w:r>
              <w:t>6-</w:t>
            </w:r>
            <w:r w:rsidR="008A285B">
              <w:t>65</w:t>
            </w:r>
            <w:r>
              <w:t>(</w:t>
            </w:r>
            <w:r w:rsidR="00DA5F78">
              <w:t>1</w:t>
            </w:r>
            <w:r>
              <w:t>)</w:t>
            </w:r>
          </w:p>
        </w:tc>
        <w:tc>
          <w:tcPr>
            <w:tcW w:w="5367" w:type="dxa"/>
          </w:tcPr>
          <w:p w14:paraId="67B1234A" w14:textId="77777777" w:rsidR="00581411" w:rsidRPr="00B56EFD" w:rsidRDefault="00581411">
            <w:pPr>
              <w:pStyle w:val="Tabletext"/>
            </w:pPr>
            <w:r w:rsidRPr="00B56EFD">
              <w:t xml:space="preserve">A transformation or transfer of assets and liabilities (such as a merger, demerger, liquidation or other similar transaction), is a </w:t>
            </w:r>
            <w:r w:rsidRPr="00B56EFD">
              <w:rPr>
                <w:b/>
                <w:i/>
              </w:rPr>
              <w:t>GloBE Reorganisation</w:t>
            </w:r>
            <w:r w:rsidRPr="00B56EFD">
              <w:t xml:space="preserve"> if all of the following apply:</w:t>
            </w:r>
          </w:p>
          <w:p w14:paraId="11A3B36A" w14:textId="6B838111" w:rsidR="00581411" w:rsidRPr="00B56EFD" w:rsidRDefault="00046CD7">
            <w:pPr>
              <w:pStyle w:val="Tabledotpoint1"/>
            </w:pPr>
            <w:r>
              <w:t>t</w:t>
            </w:r>
            <w:r w:rsidR="00581411" w:rsidRPr="00B56EFD">
              <w:t>he transformation or transfer involves the disposal or acquisition of assets or liabilities by a Constituent Entity of an MNE Group;</w:t>
            </w:r>
          </w:p>
          <w:p w14:paraId="5026A1B4" w14:textId="77777777" w:rsidR="00581411" w:rsidRPr="00B56EFD" w:rsidRDefault="00581411">
            <w:pPr>
              <w:pStyle w:val="Tabledotpoint1"/>
            </w:pPr>
            <w:r w:rsidRPr="00B56EFD">
              <w:t>if no consideration is provided for the transformation or transfer—the issuance of an equity interest as consideration for the transformation or transfer would have no economic significance;</w:t>
            </w:r>
          </w:p>
          <w:p w14:paraId="75165911" w14:textId="77777777" w:rsidR="00581411" w:rsidRPr="00B56EFD" w:rsidRDefault="00581411">
            <w:pPr>
              <w:pStyle w:val="Tabledotpoint1"/>
            </w:pPr>
            <w:r w:rsidRPr="00B56EFD">
              <w:t>if consideration is provided for the transfer—the consideration is, in whole or in significant part:</w:t>
            </w:r>
          </w:p>
          <w:p w14:paraId="7563E9D8" w14:textId="07F7AF88" w:rsidR="00581411" w:rsidRPr="00B56EFD" w:rsidRDefault="00581411" w:rsidP="00B7652D">
            <w:pPr>
              <w:pStyle w:val="Tabledotpoint2"/>
              <w:keepNext/>
              <w:ind w:left="817" w:hanging="426"/>
            </w:pPr>
            <w:r w:rsidRPr="00B56EFD">
              <w:lastRenderedPageBreak/>
              <w:t>where the transfer is a liquidation—the cancellation of equity interests of the Entity that is the subject of the liquidation;</w:t>
            </w:r>
          </w:p>
          <w:p w14:paraId="150EE94D" w14:textId="44159872" w:rsidR="00581411" w:rsidRPr="00B56EFD" w:rsidRDefault="00581411" w:rsidP="00B7652D">
            <w:pPr>
              <w:pStyle w:val="Tabledotpoint2"/>
              <w:keepNext/>
              <w:ind w:left="817" w:hanging="426"/>
            </w:pPr>
            <w:r w:rsidRPr="00B56EFD">
              <w:t xml:space="preserve">otherwise—equity interests issued by the Entity acquiring the assets or liabilities (the </w:t>
            </w:r>
            <w:r w:rsidRPr="00B7652D">
              <w:t>acquiror</w:t>
            </w:r>
            <w:r w:rsidRPr="00B56EFD">
              <w:t>) or by a person connected with that Entity;</w:t>
            </w:r>
          </w:p>
          <w:p w14:paraId="7818DCC0" w14:textId="77777777" w:rsidR="00581411" w:rsidRPr="00B56EFD" w:rsidRDefault="00581411">
            <w:pPr>
              <w:pStyle w:val="Tabledotpoint1"/>
            </w:pPr>
            <w:r w:rsidRPr="00B56EFD">
              <w:t xml:space="preserve">the gain or loss on the disposed assets or liabilities by the Entity disposing the assets or liabilities (the </w:t>
            </w:r>
            <w:r w:rsidRPr="00B56EFD">
              <w:rPr>
                <w:b/>
                <w:i/>
              </w:rPr>
              <w:t>transferor</w:t>
            </w:r>
            <w:r w:rsidRPr="00B56EFD">
              <w:t>) is not subject to Tax, in whole or in part;</w:t>
            </w:r>
          </w:p>
          <w:p w14:paraId="6CD9B147" w14:textId="7FE76462" w:rsidR="00581411" w:rsidRPr="00B56EFD" w:rsidRDefault="00581411">
            <w:pPr>
              <w:pStyle w:val="Tabledotpoint1"/>
            </w:pPr>
            <w:r w:rsidRPr="00B56EFD">
              <w:t>the tax laws of the jurisdiction in which the acquiror is located require the acquiror to compute taxable income arising from the acquisition using the transferor’s tax basis in the assets or liabilities, adjusted for the amount covered by subsection (4).</w:t>
            </w:r>
          </w:p>
          <w:p w14:paraId="7672D0A0" w14:textId="77777777" w:rsidR="00581411" w:rsidRDefault="00581411">
            <w:pPr>
              <w:pStyle w:val="Tabletext"/>
            </w:pPr>
            <w:r>
              <w:t xml:space="preserve">For the purposes of this definition, a transformation is </w:t>
            </w:r>
            <w:r w:rsidRPr="00B56EFD">
              <w:t>a change in the form of a business in which the transferor or acquiror is involved, such as a change from a partnership to a corporation</w:t>
            </w:r>
            <w:r>
              <w:t>.</w:t>
            </w:r>
          </w:p>
        </w:tc>
      </w:tr>
      <w:tr w:rsidR="00162ED0" w:rsidRPr="00020288" w14:paraId="050DEE9C" w14:textId="77777777" w:rsidTr="00AF7204">
        <w:tc>
          <w:tcPr>
            <w:tcW w:w="2334" w:type="dxa"/>
            <w:gridSpan w:val="2"/>
          </w:tcPr>
          <w:p w14:paraId="64713744" w14:textId="77777777" w:rsidR="00162ED0" w:rsidRDefault="00162ED0" w:rsidP="00162ED0">
            <w:pPr>
              <w:pStyle w:val="Tabletext"/>
            </w:pPr>
            <w:r>
              <w:lastRenderedPageBreak/>
              <w:t>High</w:t>
            </w:r>
            <w:r>
              <w:noBreakHyphen/>
              <w:t>Tax Counterparty</w:t>
            </w:r>
          </w:p>
          <w:p w14:paraId="66621ABF" w14:textId="5D86576C" w:rsidR="00162ED0" w:rsidRDefault="00162ED0" w:rsidP="00162ED0">
            <w:pPr>
              <w:pStyle w:val="Tabletext"/>
            </w:pPr>
            <w:r>
              <w:t>3-</w:t>
            </w:r>
            <w:r w:rsidR="008A285B">
              <w:t>190</w:t>
            </w:r>
          </w:p>
        </w:tc>
        <w:tc>
          <w:tcPr>
            <w:tcW w:w="5367" w:type="dxa"/>
          </w:tcPr>
          <w:p w14:paraId="5CA8F291" w14:textId="77777777" w:rsidR="00162ED0" w:rsidRPr="00215D8A" w:rsidRDefault="00162ED0" w:rsidP="00162ED0">
            <w:pPr>
              <w:pStyle w:val="Tabletext"/>
            </w:pPr>
            <w:r w:rsidRPr="00215D8A">
              <w:t xml:space="preserve">A Constituent Entity of an MNE Group is a </w:t>
            </w:r>
            <w:r w:rsidRPr="00215D8A">
              <w:rPr>
                <w:b/>
                <w:i/>
              </w:rPr>
              <w:t>High</w:t>
            </w:r>
            <w:r w:rsidRPr="00215D8A">
              <w:rPr>
                <w:b/>
                <w:i/>
              </w:rPr>
              <w:noBreakHyphen/>
              <w:t xml:space="preserve">Tax Counterparty </w:t>
            </w:r>
            <w:r w:rsidRPr="00215D8A">
              <w:t>for a Fiscal Year if:</w:t>
            </w:r>
          </w:p>
          <w:p w14:paraId="586E9511" w14:textId="77777777" w:rsidR="00162ED0" w:rsidRPr="00215D8A" w:rsidRDefault="00162ED0" w:rsidP="00162ED0">
            <w:pPr>
              <w:pStyle w:val="Tabledotpoint1"/>
            </w:pPr>
            <w:r w:rsidRPr="00215D8A">
              <w:t>the Constituent Entity is located in a jurisdiction for the Fiscal Year; and</w:t>
            </w:r>
          </w:p>
          <w:p w14:paraId="255998B3" w14:textId="77777777" w:rsidR="00162ED0" w:rsidRPr="00215D8A" w:rsidRDefault="00162ED0" w:rsidP="00162ED0">
            <w:pPr>
              <w:pStyle w:val="Tabledotpoint1"/>
            </w:pPr>
            <w:r w:rsidRPr="00215D8A">
              <w:t>the jurisdiction:</w:t>
            </w:r>
          </w:p>
          <w:p w14:paraId="7943D79A" w14:textId="0B86356B" w:rsidR="00162ED0" w:rsidRPr="00215D8A" w:rsidRDefault="00162ED0" w:rsidP="00B7652D">
            <w:pPr>
              <w:pStyle w:val="Tabledotpoint2"/>
              <w:keepNext/>
              <w:ind w:left="817" w:hanging="426"/>
            </w:pPr>
            <w:r w:rsidRPr="00215D8A">
              <w:t>is not a Low</w:t>
            </w:r>
            <w:r w:rsidRPr="00215D8A">
              <w:noBreakHyphen/>
              <w:t>Tax Jurisdiction in respect of the MNE Group for the Fiscal Year; or</w:t>
            </w:r>
          </w:p>
          <w:p w14:paraId="3AB32136" w14:textId="36BC01D8" w:rsidR="00162ED0" w:rsidRDefault="00162ED0" w:rsidP="00B7652D">
            <w:pPr>
              <w:pStyle w:val="Tabledotpoint2"/>
              <w:keepNext/>
              <w:ind w:left="817" w:hanging="426"/>
            </w:pPr>
            <w:r w:rsidRPr="00215D8A">
              <w:t>would not be a Low</w:t>
            </w:r>
            <w:r w:rsidRPr="00215D8A">
              <w:noBreakHyphen/>
              <w:t>Tax Jurisdiction in respect of the MNE Group for the Fiscal Year if the Effective Tax Rate of the MNE Group for the jurisdiction for the Fiscal Year were determined without regard to any income or expense accrued by the Constituent Entity in respect of an Intragroup Financing Arrangement.</w:t>
            </w:r>
          </w:p>
        </w:tc>
      </w:tr>
      <w:tr w:rsidR="00162ED0" w:rsidRPr="00020288" w14:paraId="12CE601A" w14:textId="77777777" w:rsidTr="00AF7204">
        <w:tc>
          <w:tcPr>
            <w:tcW w:w="2334" w:type="dxa"/>
            <w:gridSpan w:val="2"/>
          </w:tcPr>
          <w:p w14:paraId="02878FEC" w14:textId="77777777" w:rsidR="00162ED0" w:rsidRDefault="00162ED0" w:rsidP="00162ED0">
            <w:pPr>
              <w:pStyle w:val="Tabletext"/>
            </w:pPr>
            <w:r>
              <w:t>Hybrid Arbitrage Arrangement</w:t>
            </w:r>
          </w:p>
          <w:p w14:paraId="25A8FB85" w14:textId="54465651" w:rsidR="00162ED0" w:rsidRDefault="00162ED0" w:rsidP="00162ED0">
            <w:pPr>
              <w:pStyle w:val="Tabletext"/>
            </w:pPr>
            <w:r>
              <w:t>8-</w:t>
            </w:r>
            <w:r w:rsidR="008A285B">
              <w:t>115</w:t>
            </w:r>
          </w:p>
        </w:tc>
        <w:tc>
          <w:tcPr>
            <w:tcW w:w="5367" w:type="dxa"/>
          </w:tcPr>
          <w:p w14:paraId="5EC5EC4B" w14:textId="77777777" w:rsidR="00162ED0" w:rsidRDefault="00162ED0" w:rsidP="00162ED0">
            <w:pPr>
              <w:pStyle w:val="Tabletext"/>
            </w:pPr>
            <w:r>
              <w:t>Any of the following:</w:t>
            </w:r>
          </w:p>
          <w:p w14:paraId="6A06D4F5" w14:textId="77777777" w:rsidR="00162ED0" w:rsidRPr="00E77086" w:rsidRDefault="00162ED0" w:rsidP="00162ED0">
            <w:pPr>
              <w:pStyle w:val="Tabledotpoint1"/>
            </w:pPr>
            <w:r w:rsidRPr="00E77086">
              <w:t>a deduction/non</w:t>
            </w:r>
            <w:r w:rsidRPr="00E77086">
              <w:noBreakHyphen/>
              <w:t>inclusion arrangement;</w:t>
            </w:r>
          </w:p>
          <w:p w14:paraId="2324A16F" w14:textId="77777777" w:rsidR="00162ED0" w:rsidRPr="00E77086" w:rsidRDefault="00162ED0" w:rsidP="00162ED0">
            <w:pPr>
              <w:pStyle w:val="Tabledotpoint1"/>
            </w:pPr>
            <w:r w:rsidRPr="00E77086">
              <w:t>a duplicate loss arrangement;</w:t>
            </w:r>
          </w:p>
          <w:p w14:paraId="4F51DE6A" w14:textId="77777777" w:rsidR="00162ED0" w:rsidRDefault="00162ED0" w:rsidP="00162ED0">
            <w:pPr>
              <w:pStyle w:val="Tabledotpoint1"/>
            </w:pPr>
            <w:r w:rsidRPr="00E77086">
              <w:t>a duplicate tax recognition arrangement.</w:t>
            </w:r>
          </w:p>
        </w:tc>
      </w:tr>
      <w:tr w:rsidR="00162ED0" w:rsidRPr="00020288" w14:paraId="0D2B2B4B" w14:textId="77777777" w:rsidTr="00AF7204">
        <w:tc>
          <w:tcPr>
            <w:tcW w:w="2334" w:type="dxa"/>
            <w:gridSpan w:val="2"/>
          </w:tcPr>
          <w:p w14:paraId="124985E3" w14:textId="77777777" w:rsidR="00162ED0" w:rsidRDefault="00162ED0" w:rsidP="00162ED0">
            <w:pPr>
              <w:pStyle w:val="Tabletext"/>
            </w:pPr>
            <w:r>
              <w:t>Hybrid Entity</w:t>
            </w:r>
          </w:p>
          <w:p w14:paraId="29A21109" w14:textId="39BFD384" w:rsidR="00162ED0" w:rsidRDefault="00162ED0" w:rsidP="00162ED0">
            <w:pPr>
              <w:pStyle w:val="Tabletext"/>
            </w:pPr>
            <w:r>
              <w:t>10-</w:t>
            </w:r>
            <w:r w:rsidR="008A285B">
              <w:t>55</w:t>
            </w:r>
          </w:p>
        </w:tc>
        <w:tc>
          <w:tcPr>
            <w:tcW w:w="5367" w:type="dxa"/>
          </w:tcPr>
          <w:p w14:paraId="49744941" w14:textId="77777777" w:rsidR="00162ED0" w:rsidRDefault="00162ED0" w:rsidP="00162ED0">
            <w:pPr>
              <w:pStyle w:val="Tabletext"/>
            </w:pPr>
            <w:r w:rsidRPr="00EE1A1B">
              <w:t xml:space="preserve">An Entity that is treated as a separate taxable person for income tax purposes in the jurisdiction where it is located is a </w:t>
            </w:r>
            <w:r w:rsidRPr="00EE1A1B">
              <w:rPr>
                <w:b/>
                <w:i/>
              </w:rPr>
              <w:t>Hybrid Entity</w:t>
            </w:r>
            <w:r w:rsidRPr="00EE1A1B">
              <w:t xml:space="preserve"> with respect to its income, expenditure, profit or loss, to the extent that it is fiscally transparent in the jurisdiction in which its owner is located.</w:t>
            </w:r>
          </w:p>
        </w:tc>
      </w:tr>
      <w:tr w:rsidR="00162ED0" w:rsidRPr="00020288" w14:paraId="36E17204" w14:textId="77777777" w:rsidTr="00AF7204">
        <w:tc>
          <w:tcPr>
            <w:tcW w:w="2334" w:type="dxa"/>
            <w:gridSpan w:val="2"/>
          </w:tcPr>
          <w:p w14:paraId="4C288635" w14:textId="77777777" w:rsidR="00162ED0" w:rsidRDefault="00162ED0" w:rsidP="00162ED0">
            <w:pPr>
              <w:pStyle w:val="Tabletext"/>
            </w:pPr>
            <w:r>
              <w:lastRenderedPageBreak/>
              <w:t>IIR</w:t>
            </w:r>
          </w:p>
        </w:tc>
        <w:tc>
          <w:tcPr>
            <w:tcW w:w="5367" w:type="dxa"/>
          </w:tcPr>
          <w:p w14:paraId="49B16E4E" w14:textId="77777777" w:rsidR="00162ED0" w:rsidRDefault="00162ED0" w:rsidP="00162ED0">
            <w:pPr>
              <w:pStyle w:val="Tabletext"/>
            </w:pPr>
            <w:r>
              <w:t>A</w:t>
            </w:r>
            <w:r w:rsidRPr="008E5B67">
              <w:t>ny law of a jurisdiction that may reasonably be considered to have been enacted with the intention of implementing, in whole or in part, Articles 2.1 to 2.3 of the GloBE Rules</w:t>
            </w:r>
            <w:r>
              <w:t>.</w:t>
            </w:r>
          </w:p>
        </w:tc>
      </w:tr>
      <w:tr w:rsidR="00162ED0" w:rsidRPr="00020288" w14:paraId="3ED570D2" w14:textId="77777777" w:rsidTr="00AF7204">
        <w:tc>
          <w:tcPr>
            <w:tcW w:w="2334" w:type="dxa"/>
            <w:gridSpan w:val="2"/>
          </w:tcPr>
          <w:p w14:paraId="01DFC877" w14:textId="77777777" w:rsidR="00162ED0" w:rsidRDefault="00162ED0" w:rsidP="00162ED0">
            <w:pPr>
              <w:pStyle w:val="Tabletext"/>
            </w:pPr>
            <w:r>
              <w:t>IIR Top</w:t>
            </w:r>
            <w:r>
              <w:noBreakHyphen/>
              <w:t>up Tax Amount</w:t>
            </w:r>
          </w:p>
          <w:p w14:paraId="011A3BE0" w14:textId="77777777" w:rsidR="00162ED0" w:rsidRDefault="00162ED0" w:rsidP="00162ED0">
            <w:pPr>
              <w:pStyle w:val="Tabletext"/>
            </w:pPr>
            <w:r>
              <w:t>2-5</w:t>
            </w:r>
          </w:p>
        </w:tc>
        <w:tc>
          <w:tcPr>
            <w:tcW w:w="5367" w:type="dxa"/>
          </w:tcPr>
          <w:p w14:paraId="6677AE28" w14:textId="77777777" w:rsidR="00162ED0" w:rsidRDefault="00162ED0" w:rsidP="00162ED0">
            <w:pPr>
              <w:pStyle w:val="Tabletext"/>
            </w:pPr>
            <w:r w:rsidRPr="002F0956">
              <w:rPr>
                <w:rFonts w:ascii="Helvetica" w:hAnsi="Helvetica" w:cs="Helvetica"/>
                <w:b/>
                <w:i/>
                <w:sz w:val="22"/>
                <w:szCs w:val="22"/>
                <w:lang w:eastAsia="en-US"/>
              </w:rPr>
              <w:t>Constituent Entities</w:t>
            </w:r>
            <w:r>
              <w:t xml:space="preserve"> </w:t>
            </w:r>
          </w:p>
          <w:p w14:paraId="186124B2" w14:textId="74F8D89C" w:rsidR="00162ED0" w:rsidRPr="003F7924" w:rsidRDefault="00162ED0" w:rsidP="00162ED0">
            <w:pPr>
              <w:pStyle w:val="Tabletext"/>
            </w:pPr>
            <w:r w:rsidRPr="003F7924">
              <w:t xml:space="preserve">A Parent Entity of an Applicable MNE Group for a Fiscal Year has an </w:t>
            </w:r>
            <w:r w:rsidRPr="003F7924">
              <w:rPr>
                <w:b/>
                <w:i/>
              </w:rPr>
              <w:t>IIR Top</w:t>
            </w:r>
            <w:r w:rsidRPr="003F7924">
              <w:rPr>
                <w:b/>
                <w:i/>
              </w:rPr>
              <w:noBreakHyphen/>
              <w:t>up Tax Amount</w:t>
            </w:r>
            <w:r w:rsidRPr="003F7924">
              <w:t xml:space="preserve"> for the Fiscal Year in respect of a </w:t>
            </w:r>
            <w:r>
              <w:t>LTCE</w:t>
            </w:r>
            <w:r w:rsidRPr="003F7924">
              <w:t xml:space="preserve"> for the Fiscal Year of the Applicable MNE Group if:</w:t>
            </w:r>
          </w:p>
          <w:p w14:paraId="61C9842C" w14:textId="77777777" w:rsidR="00162ED0" w:rsidRPr="003F7924" w:rsidRDefault="00162ED0" w:rsidP="00162ED0">
            <w:pPr>
              <w:pStyle w:val="Tabledotpoint1"/>
            </w:pPr>
            <w:r w:rsidRPr="003F7924">
              <w:t>the Parent Entity is located in Australia; and</w:t>
            </w:r>
          </w:p>
          <w:p w14:paraId="0AE07F14" w14:textId="12EC6D3B" w:rsidR="00162ED0" w:rsidRPr="003F7924" w:rsidRDefault="00162ED0" w:rsidP="00162ED0">
            <w:pPr>
              <w:pStyle w:val="Tabledotpoint1"/>
            </w:pPr>
            <w:r w:rsidRPr="003F7924">
              <w:t xml:space="preserve">the Parent Entity holds an Ownership Interest in the </w:t>
            </w:r>
            <w:r>
              <w:t>LTCE</w:t>
            </w:r>
            <w:r w:rsidRPr="003F7924">
              <w:t xml:space="preserve"> at any time during the Fiscal Year; and</w:t>
            </w:r>
          </w:p>
          <w:p w14:paraId="6177D5BD" w14:textId="60CD057A" w:rsidR="00162ED0" w:rsidRPr="003F7924" w:rsidRDefault="00162ED0" w:rsidP="00162ED0">
            <w:pPr>
              <w:pStyle w:val="Tabledotpoint1"/>
            </w:pPr>
            <w:r w:rsidRPr="003F7924">
              <w:t xml:space="preserve">the </w:t>
            </w:r>
            <w:r>
              <w:t>LTCE</w:t>
            </w:r>
            <w:r w:rsidRPr="003F7924">
              <w:t xml:space="preserve"> is not located in Australia</w:t>
            </w:r>
            <w:r>
              <w:t>.</w:t>
            </w:r>
          </w:p>
          <w:p w14:paraId="4D4FABB2" w14:textId="2FEF7CD9" w:rsidR="00162ED0" w:rsidRDefault="00162ED0" w:rsidP="00162ED0">
            <w:pPr>
              <w:pStyle w:val="Tabletext"/>
            </w:pPr>
            <w:r>
              <w:t>T</w:t>
            </w:r>
            <w:r w:rsidRPr="003F7924">
              <w:t xml:space="preserve">he </w:t>
            </w:r>
            <w:r w:rsidRPr="003F7924">
              <w:rPr>
                <w:b/>
                <w:i/>
              </w:rPr>
              <w:t>IIR Top</w:t>
            </w:r>
            <w:r w:rsidRPr="003F7924">
              <w:rPr>
                <w:b/>
                <w:i/>
              </w:rPr>
              <w:noBreakHyphen/>
              <w:t>up Tax Amount</w:t>
            </w:r>
            <w:r w:rsidRPr="003F7924">
              <w:t xml:space="preserve"> is</w:t>
            </w:r>
            <w:r>
              <w:t xml:space="preserve"> then</w:t>
            </w:r>
            <w:r w:rsidRPr="003F7924">
              <w:t xml:space="preserve"> equal to the Parent Entity’s Allocable Share of the Top</w:t>
            </w:r>
            <w:r w:rsidRPr="003F7924">
              <w:noBreakHyphen/>
              <w:t xml:space="preserve">up Tax of the </w:t>
            </w:r>
            <w:r>
              <w:t>LTCE</w:t>
            </w:r>
            <w:r w:rsidRPr="003F7924">
              <w:t xml:space="preserve"> for the Fiscal Year.</w:t>
            </w:r>
          </w:p>
          <w:p w14:paraId="047AA50F" w14:textId="77777777" w:rsidR="00162ED0" w:rsidRDefault="00162ED0" w:rsidP="00162ED0">
            <w:pPr>
              <w:pStyle w:val="Tableheaderrowtext"/>
              <w:numPr>
                <w:ilvl w:val="0"/>
                <w:numId w:val="0"/>
              </w:numPr>
            </w:pPr>
            <w:r>
              <w:t xml:space="preserve">Joint ventures </w:t>
            </w:r>
          </w:p>
          <w:p w14:paraId="701AD84F" w14:textId="0C317E59" w:rsidR="00162ED0" w:rsidRPr="003F7924" w:rsidRDefault="00162ED0" w:rsidP="00162ED0">
            <w:pPr>
              <w:pStyle w:val="Tabletext"/>
            </w:pPr>
            <w:r>
              <w:t>In respect of JVs and JV Subsidiaries, a</w:t>
            </w:r>
            <w:r w:rsidRPr="003F7924">
              <w:t xml:space="preserve"> Parent Entity of an Applicable MNE Group for a Fiscal Year has an IIR Top</w:t>
            </w:r>
            <w:r w:rsidRPr="003F7924">
              <w:noBreakHyphen/>
              <w:t xml:space="preserve">up Tax Amount for the Fiscal Year in respect of a </w:t>
            </w:r>
            <w:r>
              <w:t>JV</w:t>
            </w:r>
            <w:r w:rsidRPr="003F7924">
              <w:t xml:space="preserve"> of the Applicable MNE Group, or a JV Subsidiary of a </w:t>
            </w:r>
            <w:r>
              <w:t>JV</w:t>
            </w:r>
            <w:r w:rsidRPr="003F7924">
              <w:t xml:space="preserve"> of the Applicable MNE Group, for the Fiscal Year if:</w:t>
            </w:r>
          </w:p>
          <w:p w14:paraId="50E940D0" w14:textId="77777777" w:rsidR="00162ED0" w:rsidRPr="003F7924" w:rsidRDefault="00162ED0" w:rsidP="00162ED0">
            <w:pPr>
              <w:pStyle w:val="Tabledotpoint1"/>
            </w:pPr>
            <w:r w:rsidRPr="003F7924">
              <w:t>the Parent Entity is located in Australia; and</w:t>
            </w:r>
          </w:p>
          <w:p w14:paraId="1F685DFB" w14:textId="2E6D75F9" w:rsidR="00162ED0" w:rsidRPr="003F7924" w:rsidRDefault="00162ED0" w:rsidP="00162ED0">
            <w:pPr>
              <w:pStyle w:val="Tabledotpoint1"/>
            </w:pPr>
            <w:r w:rsidRPr="003F7924">
              <w:t xml:space="preserve">the Parent Entity holds an Ownership Interest in the </w:t>
            </w:r>
            <w:r>
              <w:t>JV</w:t>
            </w:r>
            <w:r w:rsidRPr="003F7924">
              <w:t xml:space="preserve"> or JV Subsidiary at any time during the Fiscal Year; and</w:t>
            </w:r>
          </w:p>
          <w:p w14:paraId="01EA27AD" w14:textId="79CD2049" w:rsidR="00162ED0" w:rsidRPr="003F7924" w:rsidRDefault="00162ED0" w:rsidP="00162ED0">
            <w:pPr>
              <w:pStyle w:val="Tabledotpoint1"/>
            </w:pPr>
            <w:r w:rsidRPr="003F7924">
              <w:t xml:space="preserve">the </w:t>
            </w:r>
            <w:r>
              <w:t>JV</w:t>
            </w:r>
            <w:r w:rsidRPr="003F7924">
              <w:t xml:space="preserve"> or JV Subsidiary is not located in Australia; and</w:t>
            </w:r>
          </w:p>
          <w:p w14:paraId="0F00C1E3" w14:textId="5740C90C" w:rsidR="00162ED0" w:rsidRPr="003F7924" w:rsidRDefault="00162ED0" w:rsidP="00162ED0">
            <w:pPr>
              <w:pStyle w:val="Tabledotpoint1"/>
            </w:pPr>
            <w:r w:rsidRPr="003F7924">
              <w:t xml:space="preserve">the </w:t>
            </w:r>
            <w:r>
              <w:t>JV</w:t>
            </w:r>
            <w:r w:rsidRPr="003F7924">
              <w:t xml:space="preserve"> or JV Subsidiary is a </w:t>
            </w:r>
            <w:r>
              <w:t>LTCE</w:t>
            </w:r>
            <w:r w:rsidRPr="003F7924">
              <w:t xml:space="preserve"> for the Fiscal Year (in accordance with </w:t>
            </w:r>
            <w:r w:rsidR="00F65DC2">
              <w:t xml:space="preserve">section </w:t>
            </w:r>
            <w:r w:rsidRPr="003F7924">
              <w:t>6</w:t>
            </w:r>
            <w:r w:rsidRPr="003F7924">
              <w:noBreakHyphen/>
            </w:r>
            <w:r w:rsidR="002359E2">
              <w:t>75</w:t>
            </w:r>
            <w:r w:rsidR="00F65DC2">
              <w:t xml:space="preserve"> of the Rules)</w:t>
            </w:r>
          </w:p>
          <w:p w14:paraId="2B1AD120" w14:textId="346C224A" w:rsidR="00162ED0" w:rsidRDefault="00162ED0" w:rsidP="00162ED0">
            <w:pPr>
              <w:pStyle w:val="Tabletext"/>
            </w:pPr>
            <w:r>
              <w:t>T</w:t>
            </w:r>
            <w:r w:rsidRPr="003F7924">
              <w:t xml:space="preserve">he </w:t>
            </w:r>
            <w:r w:rsidRPr="003F7924">
              <w:rPr>
                <w:b/>
                <w:i/>
              </w:rPr>
              <w:t>IIR Top</w:t>
            </w:r>
            <w:r w:rsidRPr="003F7924">
              <w:rPr>
                <w:b/>
                <w:i/>
              </w:rPr>
              <w:noBreakHyphen/>
              <w:t>up Tax Amount</w:t>
            </w:r>
            <w:r w:rsidRPr="003F7924">
              <w:t xml:space="preserve"> is</w:t>
            </w:r>
            <w:r>
              <w:t xml:space="preserve"> then</w:t>
            </w:r>
            <w:r w:rsidRPr="003F7924">
              <w:t xml:space="preserve"> equal to the Parent Entity’s Allocable Share of the Top</w:t>
            </w:r>
            <w:r w:rsidRPr="003F7924">
              <w:noBreakHyphen/>
              <w:t xml:space="preserve">up Tax of the </w:t>
            </w:r>
            <w:r>
              <w:t>JV</w:t>
            </w:r>
            <w:r w:rsidRPr="003F7924">
              <w:t xml:space="preserve"> or JV Subsidiary for the Fiscal Year, computed in accordance with section 6</w:t>
            </w:r>
            <w:r w:rsidRPr="003F7924">
              <w:noBreakHyphen/>
            </w:r>
            <w:r w:rsidR="002359E2">
              <w:t>75</w:t>
            </w:r>
            <w:r w:rsidR="00F65DC2">
              <w:t xml:space="preserve"> of the Rules</w:t>
            </w:r>
            <w:r w:rsidRPr="003F7924">
              <w:t>.</w:t>
            </w:r>
          </w:p>
        </w:tc>
      </w:tr>
      <w:tr w:rsidR="00162ED0" w:rsidRPr="00020288" w14:paraId="6A395358" w14:textId="77777777" w:rsidTr="00AF7204">
        <w:tc>
          <w:tcPr>
            <w:tcW w:w="2334" w:type="dxa"/>
            <w:gridSpan w:val="2"/>
          </w:tcPr>
          <w:p w14:paraId="1D560AF9" w14:textId="77777777" w:rsidR="00162ED0" w:rsidRDefault="00162ED0" w:rsidP="00162ED0">
            <w:pPr>
              <w:pStyle w:val="Tabletext"/>
            </w:pPr>
            <w:r>
              <w:t>Included Revaluation Method Gain or Loss</w:t>
            </w:r>
          </w:p>
          <w:p w14:paraId="08EFAE67" w14:textId="5E660DF2" w:rsidR="00162ED0" w:rsidRDefault="00162ED0" w:rsidP="00162ED0">
            <w:pPr>
              <w:pStyle w:val="Tabletext"/>
            </w:pPr>
            <w:r>
              <w:t>3</w:t>
            </w:r>
            <w:r>
              <w:noBreakHyphen/>
            </w:r>
            <w:r w:rsidR="008A285B">
              <w:t>50</w:t>
            </w:r>
            <w:r>
              <w:t>(1)</w:t>
            </w:r>
          </w:p>
        </w:tc>
        <w:tc>
          <w:tcPr>
            <w:tcW w:w="5367" w:type="dxa"/>
          </w:tcPr>
          <w:p w14:paraId="6E0264E1" w14:textId="77777777" w:rsidR="00162ED0" w:rsidRPr="006A2ECE" w:rsidRDefault="00162ED0" w:rsidP="00162ED0">
            <w:pPr>
              <w:pStyle w:val="Tabletext"/>
            </w:pPr>
            <w:r w:rsidRPr="006A2ECE">
              <w:rPr>
                <w:b/>
                <w:i/>
              </w:rPr>
              <w:t>Included Revaluation Method Gain or Loss</w:t>
            </w:r>
            <w:r w:rsidRPr="006A2ECE">
              <w:t xml:space="preserve"> for a Fiscal Year means the net gain or loss, increased or decreased by any associated Covered Taxes, for the Fiscal Year in respect of all property, plant and equipment that arises under an accounting method or practice that:</w:t>
            </w:r>
          </w:p>
          <w:p w14:paraId="6CE5062B" w14:textId="77777777" w:rsidR="00162ED0" w:rsidRPr="006A2ECE" w:rsidRDefault="00162ED0" w:rsidP="00162ED0">
            <w:pPr>
              <w:pStyle w:val="Tabledotpoint1"/>
            </w:pPr>
            <w:r w:rsidRPr="006A2ECE">
              <w:t>periodically adjusts the carrying value of such property to its fair value; and</w:t>
            </w:r>
          </w:p>
          <w:p w14:paraId="292A9855" w14:textId="77777777" w:rsidR="00162ED0" w:rsidRPr="006A2ECE" w:rsidRDefault="00162ED0" w:rsidP="00162ED0">
            <w:pPr>
              <w:pStyle w:val="Tabledotpoint1"/>
            </w:pPr>
            <w:r w:rsidRPr="006A2ECE">
              <w:t>records the changes in value in Other Comprehensive Income; and</w:t>
            </w:r>
          </w:p>
          <w:p w14:paraId="6222C054" w14:textId="77777777" w:rsidR="00162ED0" w:rsidRDefault="00162ED0" w:rsidP="00162ED0">
            <w:pPr>
              <w:pStyle w:val="Tabledotpoint1"/>
            </w:pPr>
            <w:r w:rsidRPr="006A2ECE">
              <w:lastRenderedPageBreak/>
              <w:t>does not subsequently report the gains or losses recorded in Other Comprehensive Income through profit and loss.</w:t>
            </w:r>
          </w:p>
        </w:tc>
      </w:tr>
      <w:tr w:rsidR="00162ED0" w:rsidRPr="00020288" w14:paraId="3F397A6E" w14:textId="77777777" w:rsidTr="00AF7204">
        <w:tc>
          <w:tcPr>
            <w:tcW w:w="2334" w:type="dxa"/>
            <w:gridSpan w:val="2"/>
          </w:tcPr>
          <w:p w14:paraId="343F4856" w14:textId="77777777" w:rsidR="00162ED0" w:rsidRDefault="00162ED0" w:rsidP="00162ED0">
            <w:pPr>
              <w:pStyle w:val="Tabletext"/>
            </w:pPr>
            <w:r>
              <w:lastRenderedPageBreak/>
              <w:t>Inclusion Ratio</w:t>
            </w:r>
          </w:p>
          <w:p w14:paraId="7AC6DE42" w14:textId="77777777" w:rsidR="00162ED0" w:rsidRDefault="00162ED0" w:rsidP="00162ED0">
            <w:pPr>
              <w:pStyle w:val="Tabletext"/>
            </w:pPr>
            <w:r>
              <w:t>2-15(1)</w:t>
            </w:r>
          </w:p>
        </w:tc>
        <w:tc>
          <w:tcPr>
            <w:tcW w:w="5367" w:type="dxa"/>
          </w:tcPr>
          <w:p w14:paraId="3A499412" w14:textId="25484D4B" w:rsidR="00162ED0" w:rsidRPr="002F5804" w:rsidRDefault="00162ED0" w:rsidP="00162ED0">
            <w:pPr>
              <w:pStyle w:val="Tabletext"/>
            </w:pPr>
            <w:r w:rsidRPr="002F5804">
              <w:t xml:space="preserve">The </w:t>
            </w:r>
            <w:r w:rsidRPr="002F5804">
              <w:rPr>
                <w:b/>
                <w:i/>
              </w:rPr>
              <w:t>Inclusion Ratio</w:t>
            </w:r>
            <w:r w:rsidRPr="002F5804">
              <w:t xml:space="preserve">, of a Parent Entity of an MNE Group, for a </w:t>
            </w:r>
            <w:r>
              <w:t>LTCE</w:t>
            </w:r>
            <w:r w:rsidRPr="002F5804">
              <w:t xml:space="preserve"> of the MNE Group for a Fiscal Year, is:</w:t>
            </w:r>
          </w:p>
          <w:p w14:paraId="33C24763" w14:textId="1A85AED0" w:rsidR="00B40BE5" w:rsidRDefault="00B40BE5" w:rsidP="00162ED0">
            <w:pPr>
              <w:pStyle w:val="Tabletext"/>
            </w:pPr>
            <w:r w:rsidRPr="00B40BE5">
              <w:rPr>
                <w:noProof/>
              </w:rPr>
              <w:drawing>
                <wp:inline distT="0" distB="0" distL="0" distR="0" wp14:anchorId="30CDF5FE" wp14:editId="033A4D91">
                  <wp:extent cx="4895850" cy="657225"/>
                  <wp:effectExtent l="0" t="0" r="0" b="0"/>
                  <wp:docPr id="1067549829" name="Picture 43" descr="The inclusion ratio of a Parent Entity of an MNE Group, for a LTCE of the MNE Group for a Fisca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49829" name="Picture 43" descr="The inclusion ratio of a Parent Entity of an MNE Group, for a LTCE of the MNE Group for a Fiscal Year"/>
                          <pic:cNvPicPr>
                            <a:picLocks noChangeAspect="1" noChangeArrowheads="1"/>
                          </pic:cNvPicPr>
                        </pic:nvPicPr>
                        <pic:blipFill rotWithShape="1">
                          <a:blip r:embed="rId114" cstate="print">
                            <a:extLst>
                              <a:ext uri="{28A0092B-C50C-407E-A947-70E740481C1C}">
                                <a14:useLocalDpi xmlns:a14="http://schemas.microsoft.com/office/drawing/2010/main" val="0"/>
                              </a:ext>
                            </a:extLst>
                          </a:blip>
                          <a:srcRect l="13424" t="-2898" r="-13424" b="2898"/>
                          <a:stretch/>
                        </pic:blipFill>
                        <pic:spPr bwMode="auto">
                          <a:xfrm>
                            <a:off x="0" y="0"/>
                            <a:ext cx="4895850" cy="657225"/>
                          </a:xfrm>
                          <a:prstGeom prst="rect">
                            <a:avLst/>
                          </a:prstGeom>
                          <a:noFill/>
                          <a:ln>
                            <a:noFill/>
                          </a:ln>
                        </pic:spPr>
                      </pic:pic>
                    </a:graphicData>
                  </a:graphic>
                </wp:inline>
              </w:drawing>
            </w:r>
          </w:p>
        </w:tc>
      </w:tr>
      <w:tr w:rsidR="00162ED0" w:rsidRPr="00020288" w14:paraId="4E463E08" w14:textId="77777777" w:rsidTr="00AF7204">
        <w:tc>
          <w:tcPr>
            <w:tcW w:w="2334" w:type="dxa"/>
            <w:gridSpan w:val="2"/>
          </w:tcPr>
          <w:p w14:paraId="1B1AA328" w14:textId="77777777" w:rsidR="00162ED0" w:rsidRDefault="00162ED0" w:rsidP="00162ED0">
            <w:pPr>
              <w:pStyle w:val="Tabletext"/>
            </w:pPr>
            <w:r>
              <w:t>Income Tax Accrued (Current Year)</w:t>
            </w:r>
          </w:p>
          <w:p w14:paraId="67F1FD29" w14:textId="1C983885" w:rsidR="00162ED0" w:rsidRDefault="00162ED0" w:rsidP="00162ED0">
            <w:pPr>
              <w:pStyle w:val="Tabletext"/>
            </w:pPr>
            <w:r>
              <w:t>8-</w:t>
            </w:r>
            <w:r w:rsidR="008A285B">
              <w:t>190</w:t>
            </w:r>
            <w:r>
              <w:t>(2)</w:t>
            </w:r>
          </w:p>
        </w:tc>
        <w:tc>
          <w:tcPr>
            <w:tcW w:w="5367" w:type="dxa"/>
          </w:tcPr>
          <w:p w14:paraId="498A009C" w14:textId="77777777" w:rsidR="00162ED0" w:rsidRDefault="00162ED0" w:rsidP="00162ED0">
            <w:pPr>
              <w:pStyle w:val="Tabletext"/>
            </w:pPr>
            <w:r w:rsidRPr="00E9126A">
              <w:t xml:space="preserve">The </w:t>
            </w:r>
            <w:r w:rsidRPr="00E9126A">
              <w:rPr>
                <w:b/>
                <w:i/>
              </w:rPr>
              <w:t>Income Tax Accrued (Current Year)</w:t>
            </w:r>
            <w:r w:rsidRPr="00E9126A">
              <w:t xml:space="preserve"> of a Constituent Entity of an MNE Group for a Fiscal Year means the Constituent Entity’s income tax accrued (current year) for the Fiscal Year as determined in accordance with the MNE Group’s Relevant CbC Regulations.</w:t>
            </w:r>
          </w:p>
        </w:tc>
      </w:tr>
      <w:tr w:rsidR="00162ED0" w:rsidRPr="00020288" w14:paraId="6CA152FA" w14:textId="77777777" w:rsidTr="00AF7204">
        <w:tc>
          <w:tcPr>
            <w:tcW w:w="2334" w:type="dxa"/>
            <w:gridSpan w:val="2"/>
          </w:tcPr>
          <w:p w14:paraId="4317764C" w14:textId="77777777" w:rsidR="00162ED0" w:rsidRDefault="00162ED0" w:rsidP="00162ED0">
            <w:pPr>
              <w:pStyle w:val="Tabletext"/>
            </w:pPr>
            <w:r>
              <w:t>Insurance Investment Entity</w:t>
            </w:r>
          </w:p>
        </w:tc>
        <w:tc>
          <w:tcPr>
            <w:tcW w:w="5367" w:type="dxa"/>
          </w:tcPr>
          <w:p w14:paraId="76222689" w14:textId="77777777" w:rsidR="00162ED0" w:rsidRDefault="00162ED0" w:rsidP="00162ED0">
            <w:pPr>
              <w:pStyle w:val="Tabletext"/>
            </w:pPr>
            <w:r>
              <w:t>An Entity that:</w:t>
            </w:r>
          </w:p>
          <w:p w14:paraId="172D4950" w14:textId="77777777" w:rsidR="00162ED0" w:rsidRPr="007566CD" w:rsidRDefault="00162ED0" w:rsidP="00AF7204">
            <w:pPr>
              <w:pStyle w:val="Tabledotpoint1"/>
            </w:pPr>
            <w:r w:rsidRPr="007566CD">
              <w:t>is established in relation to liabilities under an insurance or annuity contract; and </w:t>
            </w:r>
          </w:p>
          <w:p w14:paraId="2CC1677F" w14:textId="26BA6BA9" w:rsidR="00F2789E" w:rsidRDefault="00581411" w:rsidP="00AF7204">
            <w:pPr>
              <w:pStyle w:val="Tabledotpoint1"/>
            </w:pPr>
            <w:r w:rsidRPr="007566CD">
              <w:t>is wholly</w:t>
            </w:r>
            <w:r>
              <w:noBreakHyphen/>
            </w:r>
            <w:r w:rsidRPr="007566CD">
              <w:t xml:space="preserve">owned by </w:t>
            </w:r>
            <w:r w:rsidR="00B145B1">
              <w:t>one or more</w:t>
            </w:r>
            <w:r w:rsidR="00B145B1" w:rsidRPr="007566CD">
              <w:t xml:space="preserve"> </w:t>
            </w:r>
            <w:r w:rsidRPr="007566CD">
              <w:t>Entit</w:t>
            </w:r>
            <w:r w:rsidR="00B145B1">
              <w:t>ies</w:t>
            </w:r>
            <w:r w:rsidRPr="007566CD">
              <w:t xml:space="preserve"> </w:t>
            </w:r>
            <w:r w:rsidR="00B145B1">
              <w:t xml:space="preserve">(the </w:t>
            </w:r>
            <w:r w:rsidR="00B145B1" w:rsidRPr="003555EC">
              <w:rPr>
                <w:b/>
                <w:bCs/>
                <w:i/>
                <w:iCs/>
              </w:rPr>
              <w:t>owners</w:t>
            </w:r>
            <w:r w:rsidR="003555EC">
              <w:t xml:space="preserve">) </w:t>
            </w:r>
            <w:r w:rsidRPr="00B145B1">
              <w:t>that</w:t>
            </w:r>
            <w:r w:rsidRPr="007566CD">
              <w:t xml:space="preserve"> </w:t>
            </w:r>
            <w:r w:rsidR="0095790F">
              <w:t>are</w:t>
            </w:r>
            <w:r w:rsidR="0095790F" w:rsidRPr="007566CD">
              <w:t xml:space="preserve"> </w:t>
            </w:r>
            <w:r w:rsidRPr="007566CD">
              <w:t>subject to regulation as an insurance company</w:t>
            </w:r>
            <w:r w:rsidR="001641AB">
              <w:t xml:space="preserve"> in the </w:t>
            </w:r>
            <w:r w:rsidR="00B32B2C">
              <w:t>jurisdiction</w:t>
            </w:r>
            <w:r w:rsidR="001641AB">
              <w:t xml:space="preserve"> in which they are located</w:t>
            </w:r>
            <w:r w:rsidR="00B32B2C">
              <w:t>,</w:t>
            </w:r>
            <w:r w:rsidR="00F2789E">
              <w:t xml:space="preserve"> and if there is more than one owner, are all part of the same MNE Group; and</w:t>
            </w:r>
          </w:p>
          <w:p w14:paraId="3636BA99" w14:textId="7EAC79BC" w:rsidR="00162ED0" w:rsidRDefault="00286481" w:rsidP="00AF7204">
            <w:pPr>
              <w:pStyle w:val="Tabledotpoint1"/>
            </w:pPr>
            <w:r>
              <w:t>but for the preceding paragraph</w:t>
            </w:r>
            <w:r w:rsidR="00F12608">
              <w:t>s</w:t>
            </w:r>
            <w:r>
              <w:t>, would be an Investment Fund or a Real Estate Investment Vehicle</w:t>
            </w:r>
            <w:r w:rsidR="00581411" w:rsidRPr="007566CD">
              <w:t>. </w:t>
            </w:r>
          </w:p>
        </w:tc>
      </w:tr>
      <w:tr w:rsidR="00162ED0" w:rsidRPr="00020288" w14:paraId="2B916946" w14:textId="77777777" w:rsidTr="00AF7204">
        <w:tc>
          <w:tcPr>
            <w:tcW w:w="2334" w:type="dxa"/>
            <w:gridSpan w:val="2"/>
          </w:tcPr>
          <w:p w14:paraId="03F92108" w14:textId="77777777" w:rsidR="00162ED0" w:rsidRDefault="00162ED0" w:rsidP="00162ED0">
            <w:pPr>
              <w:pStyle w:val="Tabletext"/>
            </w:pPr>
            <w:r>
              <w:t>Intermediate Parent Entity</w:t>
            </w:r>
          </w:p>
        </w:tc>
        <w:tc>
          <w:tcPr>
            <w:tcW w:w="5367" w:type="dxa"/>
          </w:tcPr>
          <w:p w14:paraId="0774EC14" w14:textId="364A77A3" w:rsidR="00162ED0" w:rsidRDefault="00162ED0" w:rsidP="00162ED0">
            <w:pPr>
              <w:pStyle w:val="Tabletext"/>
            </w:pPr>
            <w:r>
              <w:t xml:space="preserve">A </w:t>
            </w:r>
            <w:r w:rsidRPr="00C019C4">
              <w:t xml:space="preserve">Constituent Entity of an MNE Group (other than </w:t>
            </w:r>
            <w:r>
              <w:t>an</w:t>
            </w:r>
            <w:r w:rsidRPr="00C019C4">
              <w:t xml:space="preserve"> </w:t>
            </w:r>
            <w:r>
              <w:t>UPE</w:t>
            </w:r>
            <w:r w:rsidRPr="00C019C4">
              <w:t>, Partially</w:t>
            </w:r>
            <w:r>
              <w:noBreakHyphen/>
            </w:r>
            <w:r w:rsidRPr="00C019C4">
              <w:t>Owned Parent Entity, Permanent Establishment, Investment Entity or Insurance Investment Entity) that holds an Ownership Interest in another Constituent Entity of the MNE Group.</w:t>
            </w:r>
          </w:p>
        </w:tc>
      </w:tr>
      <w:tr w:rsidR="00162ED0" w:rsidRPr="00020288" w14:paraId="1ADA1936" w14:textId="77777777" w:rsidTr="00AF7204">
        <w:tc>
          <w:tcPr>
            <w:tcW w:w="2334" w:type="dxa"/>
            <w:gridSpan w:val="2"/>
          </w:tcPr>
          <w:p w14:paraId="04806A24" w14:textId="77777777" w:rsidR="00162ED0" w:rsidRDefault="00162ED0" w:rsidP="00162ED0">
            <w:pPr>
              <w:pStyle w:val="Tabletext"/>
            </w:pPr>
            <w:r>
              <w:t>International Shipping Activity</w:t>
            </w:r>
          </w:p>
          <w:p w14:paraId="4D749409" w14:textId="42A0A8CE" w:rsidR="00162ED0" w:rsidRDefault="00162ED0" w:rsidP="00162ED0">
            <w:pPr>
              <w:pStyle w:val="Tabletext"/>
            </w:pPr>
            <w:r>
              <w:t>3-</w:t>
            </w:r>
            <w:r w:rsidR="008A285B">
              <w:t>225</w:t>
            </w:r>
            <w:r>
              <w:t>(2)</w:t>
            </w:r>
          </w:p>
        </w:tc>
        <w:tc>
          <w:tcPr>
            <w:tcW w:w="5367" w:type="dxa"/>
          </w:tcPr>
          <w:p w14:paraId="0C5FF683" w14:textId="77777777" w:rsidR="00162ED0" w:rsidRDefault="00162ED0" w:rsidP="00162ED0">
            <w:pPr>
              <w:pStyle w:val="Tabletext"/>
            </w:pPr>
            <w:r>
              <w:t>Any of the following activities:</w:t>
            </w:r>
          </w:p>
          <w:p w14:paraId="5880BFE1" w14:textId="77777777" w:rsidR="00162ED0" w:rsidRPr="00223508" w:rsidRDefault="00162ED0" w:rsidP="00162ED0">
            <w:pPr>
              <w:pStyle w:val="Tabledotpoint1"/>
            </w:pPr>
            <w:r w:rsidRPr="00223508">
              <w:t>transporting passengers or cargo by a ship that it operates in international traffic, whether the ship is owned, leased or otherwise at its disposal;</w:t>
            </w:r>
          </w:p>
          <w:p w14:paraId="5E4DEEBB" w14:textId="77777777" w:rsidR="00162ED0" w:rsidRPr="00223508" w:rsidRDefault="00162ED0" w:rsidP="00162ED0">
            <w:pPr>
              <w:pStyle w:val="Tabledotpoint1"/>
            </w:pPr>
            <w:r w:rsidRPr="00223508">
              <w:t>transporting passengers or cargo by a ship operated in international traffic under slot</w:t>
            </w:r>
            <w:r w:rsidRPr="00223508">
              <w:noBreakHyphen/>
              <w:t>chartering arrangements;</w:t>
            </w:r>
          </w:p>
          <w:p w14:paraId="6ECC6D86" w14:textId="77777777" w:rsidR="00162ED0" w:rsidRPr="00223508" w:rsidRDefault="00162ED0" w:rsidP="00162ED0">
            <w:pPr>
              <w:pStyle w:val="Tabledotpoint1"/>
            </w:pPr>
            <w:r w:rsidRPr="00223508">
              <w:t>leasing a ship, to be used for transporting passengers or cargo in international traffic, on charter fully equipped, crewed and supplied;</w:t>
            </w:r>
          </w:p>
          <w:p w14:paraId="3392959B" w14:textId="77777777" w:rsidR="00162ED0" w:rsidRPr="00223508" w:rsidRDefault="00162ED0" w:rsidP="00162ED0">
            <w:pPr>
              <w:pStyle w:val="Tabledotpoint1"/>
            </w:pPr>
            <w:r w:rsidRPr="00223508">
              <w:t>leasing a ship on a bareboat charter basis, for transporting passengers or cargo in international traffic, to another Constituent Entity of the MNE Group;</w:t>
            </w:r>
          </w:p>
          <w:p w14:paraId="198232C1" w14:textId="77777777" w:rsidR="00162ED0" w:rsidRPr="00223508" w:rsidRDefault="00162ED0" w:rsidP="00162ED0">
            <w:pPr>
              <w:pStyle w:val="Tabledotpoint1"/>
            </w:pPr>
            <w:r w:rsidRPr="00223508">
              <w:lastRenderedPageBreak/>
              <w:t>participating in a pool, a joint business or an international operating agency for transporting passengers or cargo by a ship in international traffic;</w:t>
            </w:r>
          </w:p>
          <w:p w14:paraId="32E1C89E" w14:textId="05EF56DF" w:rsidR="00162ED0" w:rsidRDefault="00162ED0" w:rsidP="00162ED0">
            <w:pPr>
              <w:pStyle w:val="Tabledotpoint1"/>
            </w:pPr>
            <w:r w:rsidRPr="00223508">
              <w:t xml:space="preserve">if a ship is used for transporting passengers or cargo in international traffic and has been held for use by the Constituent Entity for at least </w:t>
            </w:r>
            <w:r w:rsidR="00F65DC2">
              <w:t>12 months</w:t>
            </w:r>
            <w:r w:rsidRPr="00223508">
              <w:t>—selling the ship.</w:t>
            </w:r>
          </w:p>
        </w:tc>
      </w:tr>
      <w:tr w:rsidR="00162ED0" w:rsidRPr="00020288" w14:paraId="76DF1403" w14:textId="77777777" w:rsidTr="00AF7204">
        <w:tc>
          <w:tcPr>
            <w:tcW w:w="2334" w:type="dxa"/>
            <w:gridSpan w:val="2"/>
          </w:tcPr>
          <w:p w14:paraId="3C05EEDB" w14:textId="77777777" w:rsidR="00162ED0" w:rsidRDefault="00162ED0" w:rsidP="00162ED0">
            <w:pPr>
              <w:pStyle w:val="Tabletext"/>
            </w:pPr>
            <w:r>
              <w:lastRenderedPageBreak/>
              <w:t>International Shipping Income</w:t>
            </w:r>
          </w:p>
          <w:p w14:paraId="4AA910EA" w14:textId="1BF22B77" w:rsidR="00162ED0" w:rsidRDefault="00162ED0" w:rsidP="00162ED0">
            <w:pPr>
              <w:pStyle w:val="Tabletext"/>
            </w:pPr>
            <w:r>
              <w:t>3-</w:t>
            </w:r>
            <w:r w:rsidR="008A285B">
              <w:t>225</w:t>
            </w:r>
            <w:r>
              <w:t>(1)</w:t>
            </w:r>
          </w:p>
        </w:tc>
        <w:tc>
          <w:tcPr>
            <w:tcW w:w="5367" w:type="dxa"/>
          </w:tcPr>
          <w:p w14:paraId="52FAB42D" w14:textId="77777777" w:rsidR="00162ED0" w:rsidRDefault="00162ED0" w:rsidP="00162ED0">
            <w:pPr>
              <w:pStyle w:val="Tabletext"/>
            </w:pPr>
            <w:r w:rsidRPr="00F74540">
              <w:t xml:space="preserve">The </w:t>
            </w:r>
            <w:r w:rsidRPr="00F74540">
              <w:rPr>
                <w:b/>
                <w:i/>
              </w:rPr>
              <w:t>International Shipping Income</w:t>
            </w:r>
            <w:r w:rsidRPr="00F74540">
              <w:t xml:space="preserve"> of a Constituent Entity of an MNE Group for a Fiscal Year is</w:t>
            </w:r>
            <w:r>
              <w:t xml:space="preserve"> the Constituent Entity’s International Shipping Income Revenue for the Fiscal Year reduced by the Constituent Entity’s International Shipping Income Costs for the Fiscal Year.</w:t>
            </w:r>
          </w:p>
        </w:tc>
      </w:tr>
      <w:tr w:rsidR="00162ED0" w:rsidRPr="00020288" w14:paraId="05C5BA5A" w14:textId="77777777" w:rsidTr="00AF7204">
        <w:tc>
          <w:tcPr>
            <w:tcW w:w="2334" w:type="dxa"/>
            <w:gridSpan w:val="2"/>
          </w:tcPr>
          <w:p w14:paraId="670FA5FB" w14:textId="77777777" w:rsidR="00162ED0" w:rsidRDefault="00162ED0" w:rsidP="00162ED0">
            <w:pPr>
              <w:pStyle w:val="Tabletext"/>
            </w:pPr>
            <w:r>
              <w:t>International Shipping Income Costs</w:t>
            </w:r>
          </w:p>
          <w:p w14:paraId="5E5F87CA" w14:textId="10086141" w:rsidR="00162ED0" w:rsidRDefault="00162ED0" w:rsidP="00162ED0">
            <w:pPr>
              <w:pStyle w:val="Tabletext"/>
            </w:pPr>
            <w:r>
              <w:t>3-</w:t>
            </w:r>
            <w:r w:rsidR="008A285B">
              <w:t>225</w:t>
            </w:r>
            <w:r>
              <w:t>(3)</w:t>
            </w:r>
          </w:p>
        </w:tc>
        <w:tc>
          <w:tcPr>
            <w:tcW w:w="5367" w:type="dxa"/>
          </w:tcPr>
          <w:p w14:paraId="11E94905" w14:textId="77777777" w:rsidR="00162ED0" w:rsidRDefault="00162ED0" w:rsidP="00162ED0">
            <w:pPr>
              <w:pStyle w:val="Tabletext"/>
            </w:pPr>
            <w:r w:rsidRPr="004E0A94">
              <w:t xml:space="preserve">The </w:t>
            </w:r>
            <w:r w:rsidRPr="004E0A94">
              <w:rPr>
                <w:b/>
                <w:i/>
              </w:rPr>
              <w:t>International Shipping Income Costs</w:t>
            </w:r>
            <w:r w:rsidRPr="004E0A94">
              <w:t xml:space="preserve"> of a Constituent Entity of an MNE Group for a Fiscal Year means the amount computed in accordance with the following formula:</w:t>
            </w:r>
          </w:p>
          <w:p w14:paraId="3DA3093A" w14:textId="77777777" w:rsidR="00162ED0" w:rsidRDefault="00162ED0" w:rsidP="00162ED0">
            <w:pPr>
              <w:pStyle w:val="Tabletext"/>
              <w:ind w:left="0"/>
            </w:pPr>
            <w:r>
              <w:rPr>
                <w:noProof/>
                <w:position w:val="-36"/>
              </w:rPr>
              <w:drawing>
                <wp:inline distT="0" distB="0" distL="0" distR="0" wp14:anchorId="0FF63B8C" wp14:editId="36832A3D">
                  <wp:extent cx="2743200" cy="514350"/>
                  <wp:effectExtent l="0" t="0" r="0" b="0"/>
                  <wp:docPr id="104" name="Picture 104" descr="Formula for International Shipping Income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Formula for International Shipping Income Costs"/>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743200" cy="514350"/>
                          </a:xfrm>
                          <a:prstGeom prst="rect">
                            <a:avLst/>
                          </a:prstGeom>
                          <a:noFill/>
                          <a:ln>
                            <a:noFill/>
                          </a:ln>
                        </pic:spPr>
                      </pic:pic>
                    </a:graphicData>
                  </a:graphic>
                </wp:inline>
              </w:drawing>
            </w:r>
          </w:p>
          <w:p w14:paraId="32A5C9B1" w14:textId="77777777" w:rsidR="00162ED0" w:rsidRPr="00E214FA" w:rsidRDefault="00162ED0" w:rsidP="00162ED0">
            <w:pPr>
              <w:pStyle w:val="Tabletext"/>
              <w:rPr>
                <w:szCs w:val="18"/>
              </w:rPr>
            </w:pPr>
            <w:r w:rsidRPr="00E214FA">
              <w:rPr>
                <w:szCs w:val="18"/>
              </w:rPr>
              <w:t>where:</w:t>
            </w:r>
          </w:p>
          <w:p w14:paraId="1D375A0E" w14:textId="77777777" w:rsidR="00162ED0" w:rsidRPr="00E214FA" w:rsidRDefault="00162ED0" w:rsidP="00162ED0">
            <w:pPr>
              <w:pStyle w:val="Tabletext"/>
              <w:rPr>
                <w:szCs w:val="18"/>
              </w:rPr>
            </w:pPr>
            <w:r w:rsidRPr="00E214FA">
              <w:rPr>
                <w:b/>
                <w:i/>
                <w:szCs w:val="18"/>
              </w:rPr>
              <w:t>direct costs</w:t>
            </w:r>
            <w:r w:rsidRPr="00E214FA">
              <w:rPr>
                <w:szCs w:val="18"/>
              </w:rPr>
              <w:t xml:space="preserve"> is the total costs incurred by the Constituent Entity for the Fiscal Year that are directly attributable to the Constituent Entity’s performance of International Shipping Activities.</w:t>
            </w:r>
          </w:p>
          <w:p w14:paraId="6F867AE3" w14:textId="77777777" w:rsidR="00162ED0" w:rsidRPr="00E214FA" w:rsidRDefault="00162ED0" w:rsidP="00162ED0">
            <w:pPr>
              <w:pStyle w:val="Tabletext"/>
              <w:rPr>
                <w:szCs w:val="18"/>
              </w:rPr>
            </w:pPr>
            <w:r w:rsidRPr="00E214FA">
              <w:rPr>
                <w:b/>
                <w:i/>
                <w:szCs w:val="18"/>
              </w:rPr>
              <w:t>indirect costs</w:t>
            </w:r>
            <w:r w:rsidRPr="00E214FA">
              <w:rPr>
                <w:szCs w:val="18"/>
              </w:rPr>
              <w:t xml:space="preserve"> is the total costs incurred by the Constituent Entity for the Fiscal Year that are indirectly attributable to the Constituent Entity’s performance of International Shipping Activities.</w:t>
            </w:r>
          </w:p>
          <w:p w14:paraId="15255253" w14:textId="77777777" w:rsidR="00162ED0" w:rsidRPr="00E214FA" w:rsidRDefault="00162ED0" w:rsidP="00162ED0">
            <w:pPr>
              <w:pStyle w:val="Tabletext"/>
              <w:rPr>
                <w:szCs w:val="18"/>
              </w:rPr>
            </w:pPr>
            <w:r w:rsidRPr="00E214FA">
              <w:rPr>
                <w:b/>
                <w:i/>
                <w:szCs w:val="18"/>
              </w:rPr>
              <w:t>shipping revenue</w:t>
            </w:r>
            <w:r w:rsidRPr="00E214FA">
              <w:rPr>
                <w:szCs w:val="18"/>
              </w:rPr>
              <w:t xml:space="preserve"> is the Constituent Entity’s International Shipping Income Revenue for the Fiscal Year.</w:t>
            </w:r>
          </w:p>
          <w:p w14:paraId="53D3F75E" w14:textId="77777777" w:rsidR="00162ED0" w:rsidRPr="00C0014A" w:rsidRDefault="00162ED0" w:rsidP="00162ED0">
            <w:pPr>
              <w:pStyle w:val="Tabletext"/>
              <w:rPr>
                <w:szCs w:val="18"/>
              </w:rPr>
            </w:pPr>
            <w:r w:rsidRPr="00E214FA">
              <w:rPr>
                <w:b/>
                <w:i/>
                <w:szCs w:val="18"/>
              </w:rPr>
              <w:t>total revenue</w:t>
            </w:r>
            <w:r w:rsidRPr="00E214FA">
              <w:rPr>
                <w:szCs w:val="18"/>
              </w:rPr>
              <w:t xml:space="preserve"> is the Constituent Entity’s total revenue for the Fiscal Year.</w:t>
            </w:r>
          </w:p>
        </w:tc>
      </w:tr>
      <w:tr w:rsidR="00162ED0" w:rsidRPr="00020288" w14:paraId="436D28E5" w14:textId="77777777" w:rsidTr="00AF7204">
        <w:tc>
          <w:tcPr>
            <w:tcW w:w="2334" w:type="dxa"/>
            <w:gridSpan w:val="2"/>
          </w:tcPr>
          <w:p w14:paraId="0D8AC313" w14:textId="77777777" w:rsidR="00162ED0" w:rsidRDefault="00162ED0" w:rsidP="00162ED0">
            <w:pPr>
              <w:pStyle w:val="Tabletext"/>
            </w:pPr>
            <w:r>
              <w:t>International Shipping Income Revenue</w:t>
            </w:r>
          </w:p>
          <w:p w14:paraId="1F6A621B" w14:textId="2E617FEE" w:rsidR="00162ED0" w:rsidRDefault="00162ED0" w:rsidP="00162ED0">
            <w:pPr>
              <w:pStyle w:val="Tabletext"/>
            </w:pPr>
            <w:r>
              <w:t>3-</w:t>
            </w:r>
            <w:r w:rsidR="008A285B">
              <w:t>225</w:t>
            </w:r>
            <w:r>
              <w:t>(2)</w:t>
            </w:r>
          </w:p>
        </w:tc>
        <w:tc>
          <w:tcPr>
            <w:tcW w:w="5367" w:type="dxa"/>
          </w:tcPr>
          <w:p w14:paraId="4F42741C" w14:textId="77777777" w:rsidR="00162ED0" w:rsidRDefault="00162ED0" w:rsidP="00162ED0">
            <w:pPr>
              <w:pStyle w:val="Tabletext"/>
            </w:pPr>
            <w:r w:rsidRPr="007A7DB7">
              <w:t xml:space="preserve">The </w:t>
            </w:r>
            <w:r w:rsidRPr="007A7DB7">
              <w:rPr>
                <w:b/>
                <w:i/>
              </w:rPr>
              <w:t>International Shipping Income Revenue</w:t>
            </w:r>
            <w:r w:rsidRPr="007A7DB7">
              <w:t xml:space="preserve"> of a Constituent Entity of an MNE Group for a Fiscal Year means the revenue obtained by the Constituent Entity for the Fiscal Year from</w:t>
            </w:r>
            <w:r>
              <w:t xml:space="preserve"> an International Shipping Activity.</w:t>
            </w:r>
          </w:p>
        </w:tc>
      </w:tr>
      <w:tr w:rsidR="00162ED0" w:rsidRPr="00020288" w14:paraId="6EF9CA17" w14:textId="77777777" w:rsidTr="00AF7204">
        <w:tc>
          <w:tcPr>
            <w:tcW w:w="2334" w:type="dxa"/>
            <w:gridSpan w:val="2"/>
          </w:tcPr>
          <w:p w14:paraId="4DC6A10C" w14:textId="77777777" w:rsidR="00162ED0" w:rsidRDefault="00162ED0" w:rsidP="00162ED0">
            <w:pPr>
              <w:pStyle w:val="Tabletext"/>
            </w:pPr>
            <w:r>
              <w:t>Intragroup Financing Arrangement</w:t>
            </w:r>
          </w:p>
          <w:p w14:paraId="581D2A9D" w14:textId="30155BE2" w:rsidR="00162ED0" w:rsidRDefault="00162ED0" w:rsidP="00162ED0">
            <w:pPr>
              <w:pStyle w:val="Tabletext"/>
            </w:pPr>
            <w:r>
              <w:t>3-</w:t>
            </w:r>
            <w:r w:rsidR="008A285B">
              <w:t>185</w:t>
            </w:r>
          </w:p>
        </w:tc>
        <w:tc>
          <w:tcPr>
            <w:tcW w:w="5367" w:type="dxa"/>
          </w:tcPr>
          <w:p w14:paraId="71F8C065" w14:textId="77777777" w:rsidR="00162ED0" w:rsidRDefault="00162ED0" w:rsidP="00162ED0">
            <w:pPr>
              <w:pStyle w:val="Tabletext"/>
            </w:pPr>
            <w:r w:rsidRPr="00E74106">
              <w:t xml:space="preserve">An </w:t>
            </w:r>
            <w:r w:rsidRPr="00E74106">
              <w:rPr>
                <w:b/>
                <w:i/>
              </w:rPr>
              <w:t>Intragroup Financing Arrangement</w:t>
            </w:r>
            <w:r w:rsidRPr="00E74106">
              <w:rPr>
                <w:b/>
              </w:rPr>
              <w:t xml:space="preserve"> </w:t>
            </w:r>
            <w:r w:rsidRPr="00E74106">
              <w:t>for a Fiscal Year is an arrangement entered into between 2 or more Constituent Entities of an MNE Group under which a Constituent Entity of the MNE Group that is a High</w:t>
            </w:r>
            <w:r w:rsidRPr="00E74106">
              <w:noBreakHyphen/>
              <w:t>Tax Counterparty for the Fiscal Year directly or indirectly provides credit to, or otherwise makes an investment in, a Constituent Entity of the MNE Group that is a Low</w:t>
            </w:r>
            <w:r w:rsidRPr="00E74106">
              <w:noBreakHyphen/>
              <w:t>Tax Entity for the Fiscal Year.</w:t>
            </w:r>
          </w:p>
        </w:tc>
      </w:tr>
      <w:tr w:rsidR="00162ED0" w:rsidRPr="00020288" w14:paraId="709E926C" w14:textId="77777777" w:rsidTr="00AF7204">
        <w:tc>
          <w:tcPr>
            <w:tcW w:w="2334" w:type="dxa"/>
            <w:gridSpan w:val="2"/>
          </w:tcPr>
          <w:p w14:paraId="7FCAC7AB" w14:textId="77777777" w:rsidR="00162ED0" w:rsidRDefault="00162ED0" w:rsidP="00162ED0">
            <w:pPr>
              <w:pStyle w:val="Tabletext"/>
            </w:pPr>
            <w:r>
              <w:t>Investment Entity</w:t>
            </w:r>
          </w:p>
        </w:tc>
        <w:tc>
          <w:tcPr>
            <w:tcW w:w="5367" w:type="dxa"/>
          </w:tcPr>
          <w:p w14:paraId="215AD9F1" w14:textId="77777777" w:rsidR="00162ED0" w:rsidRPr="00931ECE" w:rsidRDefault="00162ED0" w:rsidP="00162ED0">
            <w:pPr>
              <w:pStyle w:val="Tabletext"/>
            </w:pPr>
            <w:r>
              <w:t xml:space="preserve">An </w:t>
            </w:r>
            <w:r>
              <w:rPr>
                <w:b/>
                <w:bCs/>
                <w:i/>
                <w:iCs/>
              </w:rPr>
              <w:t>Investment Entity</w:t>
            </w:r>
            <w:r>
              <w:rPr>
                <w:b/>
                <w:bCs/>
              </w:rPr>
              <w:t xml:space="preserve"> </w:t>
            </w:r>
            <w:r w:rsidRPr="00931ECE">
              <w:t>is any of the following:</w:t>
            </w:r>
          </w:p>
          <w:p w14:paraId="3567BEE7" w14:textId="77777777" w:rsidR="00162ED0" w:rsidRPr="00C26A07" w:rsidRDefault="00162ED0" w:rsidP="00162ED0">
            <w:pPr>
              <w:pStyle w:val="Tabledotpoint1"/>
            </w:pPr>
            <w:r w:rsidRPr="00C26A07">
              <w:t>an Investment Fund or a Real Estate Investment Vehicle; or </w:t>
            </w:r>
          </w:p>
          <w:p w14:paraId="68138147" w14:textId="1CE6CB71" w:rsidR="00162ED0" w:rsidRPr="00C26A07" w:rsidRDefault="00162ED0" w:rsidP="00162ED0">
            <w:pPr>
              <w:pStyle w:val="Tabledotpoint1"/>
            </w:pPr>
            <w:r w:rsidRPr="00C26A07">
              <w:lastRenderedPageBreak/>
              <w:t>an Entity that is at least 95</w:t>
            </w:r>
            <w:r w:rsidR="008E1361">
              <w:t xml:space="preserve"> per cent</w:t>
            </w:r>
            <w:r w:rsidRPr="00C26A07">
              <w:t xml:space="preserve"> owned directly by an </w:t>
            </w:r>
            <w:r w:rsidR="008E1361" w:rsidRPr="008E1361">
              <w:t>Investment Fund or a Real Estate Investment Vehicle</w:t>
            </w:r>
            <w:r w:rsidRPr="00C26A07">
              <w:t xml:space="preserve"> or through a chain of such Entities and that operates exclusively or almost exclusively to hold assets or invest funds for the benefit of such Investment Entities; or </w:t>
            </w:r>
          </w:p>
          <w:p w14:paraId="4F536712" w14:textId="77777777" w:rsidR="00162ED0" w:rsidRPr="00C26A07" w:rsidRDefault="00162ED0" w:rsidP="00162ED0">
            <w:pPr>
              <w:pStyle w:val="Tabledotpoint1"/>
            </w:pPr>
            <w:r w:rsidRPr="00C26A07">
              <w:t>an Entity, where: </w:t>
            </w:r>
          </w:p>
          <w:p w14:paraId="4DA5F50E" w14:textId="576D62D5" w:rsidR="00162ED0" w:rsidRPr="00C26A07" w:rsidRDefault="00162ED0" w:rsidP="00B7652D">
            <w:pPr>
              <w:pStyle w:val="Tabledotpoint2"/>
              <w:keepNext/>
              <w:ind w:left="817" w:hanging="426"/>
            </w:pPr>
            <w:r w:rsidRPr="00C26A07">
              <w:t>at least 85</w:t>
            </w:r>
            <w:r w:rsidR="008E1361">
              <w:t xml:space="preserve"> per cent</w:t>
            </w:r>
            <w:r w:rsidRPr="00C26A07">
              <w:t xml:space="preserve"> of the value of the Entity is owned by an </w:t>
            </w:r>
            <w:r w:rsidR="008E1361" w:rsidRPr="008E1361">
              <w:t>Investment Fund or a Real Estate Investment Vehicle</w:t>
            </w:r>
            <w:r w:rsidRPr="00C26A07">
              <w:t>; and </w:t>
            </w:r>
          </w:p>
          <w:p w14:paraId="72B6F9EB" w14:textId="245E7AFF" w:rsidR="00162ED0" w:rsidRPr="00E74106" w:rsidRDefault="00162ED0" w:rsidP="00B7652D">
            <w:pPr>
              <w:pStyle w:val="Tabledotpoint2"/>
              <w:keepNext/>
              <w:ind w:left="817" w:hanging="426"/>
            </w:pPr>
            <w:r w:rsidRPr="00C26A07">
              <w:t>substantially all of the Entity’s income is Excluded Dividends or Excluded Equity Gain or Loss that is excluded from the computation of GloBE Income or Loss under section 3</w:t>
            </w:r>
            <w:r>
              <w:t>-</w:t>
            </w:r>
            <w:r w:rsidR="00F65DC2">
              <w:t>20</w:t>
            </w:r>
            <w:r w:rsidRPr="00C26A07">
              <w:t xml:space="preserve"> or 3</w:t>
            </w:r>
            <w:r>
              <w:t>-</w:t>
            </w:r>
            <w:r w:rsidR="008E1361">
              <w:t>30</w:t>
            </w:r>
            <w:r w:rsidRPr="00C26A07">
              <w:t>. </w:t>
            </w:r>
          </w:p>
        </w:tc>
      </w:tr>
      <w:tr w:rsidR="00162ED0" w:rsidRPr="00020288" w14:paraId="75EADE02" w14:textId="77777777" w:rsidTr="00AF7204">
        <w:tc>
          <w:tcPr>
            <w:tcW w:w="2334" w:type="dxa"/>
            <w:gridSpan w:val="2"/>
          </w:tcPr>
          <w:p w14:paraId="0E64225D" w14:textId="77777777" w:rsidR="00162ED0" w:rsidRDefault="00162ED0" w:rsidP="00162ED0">
            <w:pPr>
              <w:pStyle w:val="Tabletext"/>
            </w:pPr>
            <w:r>
              <w:lastRenderedPageBreak/>
              <w:t>Jurisdictional Top-up Tax</w:t>
            </w:r>
          </w:p>
          <w:p w14:paraId="3286F745" w14:textId="77777777" w:rsidR="00162ED0" w:rsidRDefault="00162ED0" w:rsidP="00162ED0">
            <w:pPr>
              <w:pStyle w:val="Tabletext"/>
            </w:pPr>
            <w:r>
              <w:t>5-30</w:t>
            </w:r>
          </w:p>
        </w:tc>
        <w:tc>
          <w:tcPr>
            <w:tcW w:w="5367" w:type="dxa"/>
          </w:tcPr>
          <w:p w14:paraId="7EC8CF5B" w14:textId="77777777" w:rsidR="00162ED0" w:rsidRPr="002D3144" w:rsidRDefault="00162ED0" w:rsidP="00162ED0">
            <w:pPr>
              <w:pStyle w:val="Tabletext"/>
            </w:pPr>
            <w:r w:rsidRPr="002D3144">
              <w:t xml:space="preserve">The </w:t>
            </w:r>
            <w:r w:rsidRPr="002D3144">
              <w:rPr>
                <w:b/>
                <w:i/>
              </w:rPr>
              <w:t>Jurisdictional Top</w:t>
            </w:r>
            <w:r w:rsidRPr="002D3144">
              <w:rPr>
                <w:b/>
                <w:i/>
              </w:rPr>
              <w:noBreakHyphen/>
              <w:t>up Tax</w:t>
            </w:r>
            <w:r w:rsidRPr="002D3144">
              <w:t xml:space="preserve"> of an MNE Group for a jurisdiction for a Fiscal Year is the amount computed in accordance with the following formula (but not less than zero):</w:t>
            </w:r>
          </w:p>
          <w:p w14:paraId="78C7C639" w14:textId="77777777" w:rsidR="00162ED0" w:rsidRPr="002D3144" w:rsidRDefault="00162ED0" w:rsidP="00162ED0">
            <w:pPr>
              <w:pStyle w:val="Tabletext"/>
              <w:ind w:left="0"/>
            </w:pPr>
            <w:r w:rsidRPr="002D3144">
              <w:rPr>
                <w:noProof/>
              </w:rPr>
              <w:drawing>
                <wp:inline distT="0" distB="0" distL="0" distR="0" wp14:anchorId="4FCA9E5C" wp14:editId="0FFE51F2">
                  <wp:extent cx="3267075" cy="431660"/>
                  <wp:effectExtent l="0" t="0" r="0" b="6985"/>
                  <wp:docPr id="1057532664" name="Picture 4" descr="Formula for Jurisdictional Top-up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532664" name="Picture 4" descr="Formula for Jurisdictional Top-up Tax"/>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267075" cy="431660"/>
                          </a:xfrm>
                          <a:prstGeom prst="rect">
                            <a:avLst/>
                          </a:prstGeom>
                          <a:noFill/>
                          <a:ln>
                            <a:noFill/>
                          </a:ln>
                        </pic:spPr>
                      </pic:pic>
                    </a:graphicData>
                  </a:graphic>
                </wp:inline>
              </w:drawing>
            </w:r>
          </w:p>
          <w:p w14:paraId="230C75C4" w14:textId="77777777" w:rsidR="00162ED0" w:rsidRPr="002D3144" w:rsidRDefault="00162ED0" w:rsidP="00162ED0">
            <w:pPr>
              <w:pStyle w:val="Tabletext"/>
            </w:pPr>
            <w:r w:rsidRPr="002D3144">
              <w:t>where:</w:t>
            </w:r>
          </w:p>
          <w:p w14:paraId="300E99D3" w14:textId="77777777" w:rsidR="00162ED0" w:rsidRPr="002D3144" w:rsidRDefault="00162ED0" w:rsidP="00162ED0">
            <w:pPr>
              <w:pStyle w:val="Tabletext"/>
            </w:pPr>
            <w:r w:rsidRPr="002D3144">
              <w:rPr>
                <w:b/>
                <w:i/>
              </w:rPr>
              <w:t>Additional Current Top</w:t>
            </w:r>
            <w:r w:rsidRPr="002D3144">
              <w:rPr>
                <w:b/>
                <w:i/>
              </w:rPr>
              <w:noBreakHyphen/>
              <w:t>up Tax</w:t>
            </w:r>
            <w:r w:rsidRPr="002D3144">
              <w:t xml:space="preserve"> is the sum of the amounts determined or treated as Additional Current Top</w:t>
            </w:r>
            <w:r w:rsidRPr="002D3144">
              <w:noBreakHyphen/>
              <w:t>up Tax of the MNE Group for the jurisdiction for the Fiscal Year.</w:t>
            </w:r>
          </w:p>
          <w:p w14:paraId="3B300147" w14:textId="20343059" w:rsidR="00162ED0" w:rsidRPr="002D3144" w:rsidRDefault="00162ED0" w:rsidP="00162ED0">
            <w:pPr>
              <w:pStyle w:val="Tabletext"/>
            </w:pPr>
            <w:r w:rsidRPr="002D3144">
              <w:rPr>
                <w:b/>
                <w:i/>
              </w:rPr>
              <w:t>Domestic Top</w:t>
            </w:r>
            <w:r w:rsidRPr="002D3144">
              <w:rPr>
                <w:b/>
                <w:i/>
              </w:rPr>
              <w:noBreakHyphen/>
              <w:t>up Tax</w:t>
            </w:r>
            <w:r w:rsidRPr="002D3144">
              <w:t xml:space="preserve"> is the sum of the amounts payable by each Constituent Entity of the MNE Group under a </w:t>
            </w:r>
            <w:r w:rsidR="005D7D94">
              <w:t xml:space="preserve">QDMTT </w:t>
            </w:r>
            <w:r w:rsidRPr="002D3144">
              <w:t>of the jurisdiction for the Fiscal Year.</w:t>
            </w:r>
          </w:p>
          <w:p w14:paraId="3BADE187" w14:textId="77777777" w:rsidR="00162ED0" w:rsidRPr="002D3144" w:rsidRDefault="00162ED0" w:rsidP="00162ED0">
            <w:pPr>
              <w:pStyle w:val="Tabletext"/>
            </w:pPr>
            <w:r w:rsidRPr="002D3144">
              <w:rPr>
                <w:b/>
                <w:i/>
              </w:rPr>
              <w:t>Excess Profit</w:t>
            </w:r>
            <w:r w:rsidRPr="002D3144">
              <w:t xml:space="preserve"> is the Excess Profit of the MNE Group for the jurisdiction for the Fiscal Year.</w:t>
            </w:r>
          </w:p>
          <w:p w14:paraId="18B1BEA1" w14:textId="77777777" w:rsidR="00162ED0" w:rsidRPr="00E74106" w:rsidRDefault="00162ED0" w:rsidP="00162ED0">
            <w:pPr>
              <w:pStyle w:val="Tabletext"/>
            </w:pPr>
            <w:r w:rsidRPr="002D3144">
              <w:rPr>
                <w:b/>
                <w:i/>
              </w:rPr>
              <w:t>Top</w:t>
            </w:r>
            <w:r w:rsidRPr="002D3144">
              <w:rPr>
                <w:b/>
                <w:i/>
              </w:rPr>
              <w:noBreakHyphen/>
              <w:t>up Tax Percentage</w:t>
            </w:r>
            <w:r w:rsidRPr="002D3144">
              <w:t xml:space="preserve"> is the Top</w:t>
            </w:r>
            <w:r w:rsidRPr="002D3144">
              <w:noBreakHyphen/>
              <w:t>up Tax Percentage of the MNE Group for the jurisdiction for the Fiscal Year.</w:t>
            </w:r>
          </w:p>
        </w:tc>
      </w:tr>
      <w:tr w:rsidR="00162ED0" w:rsidRPr="00020288" w14:paraId="2B101048" w14:textId="77777777" w:rsidTr="00AF7204">
        <w:tc>
          <w:tcPr>
            <w:tcW w:w="2334" w:type="dxa"/>
            <w:gridSpan w:val="2"/>
          </w:tcPr>
          <w:p w14:paraId="4E53E36B" w14:textId="77777777" w:rsidR="00162ED0" w:rsidRDefault="00162ED0" w:rsidP="00162ED0">
            <w:pPr>
              <w:pStyle w:val="Tabletext"/>
            </w:pPr>
            <w:r>
              <w:t>Local Tangible Asset</w:t>
            </w:r>
          </w:p>
          <w:p w14:paraId="034860E8" w14:textId="4245E390" w:rsidR="00162ED0" w:rsidRDefault="00162ED0" w:rsidP="00162ED0">
            <w:pPr>
              <w:pStyle w:val="Tabletext"/>
            </w:pPr>
            <w:r>
              <w:t>3-</w:t>
            </w:r>
            <w:r w:rsidR="00C07C6B">
              <w:t>170</w:t>
            </w:r>
          </w:p>
        </w:tc>
        <w:tc>
          <w:tcPr>
            <w:tcW w:w="5367" w:type="dxa"/>
          </w:tcPr>
          <w:p w14:paraId="0ABA6061" w14:textId="77777777" w:rsidR="00162ED0" w:rsidRPr="00E74106" w:rsidRDefault="00162ED0" w:rsidP="00162ED0">
            <w:pPr>
              <w:pStyle w:val="Tabletext"/>
            </w:pPr>
            <w:r w:rsidRPr="0099488D">
              <w:rPr>
                <w:b/>
                <w:i/>
              </w:rPr>
              <w:t>Local Tangible Asset</w:t>
            </w:r>
            <w:r w:rsidRPr="0099488D">
              <w:t>, in relation to a Constituent Entity located in a jurisdiction, means immovable property located in the jurisdiction.</w:t>
            </w:r>
          </w:p>
        </w:tc>
      </w:tr>
      <w:tr w:rsidR="00162ED0" w:rsidRPr="00020288" w14:paraId="44012B4F" w14:textId="77777777" w:rsidTr="00AF7204">
        <w:tc>
          <w:tcPr>
            <w:tcW w:w="2334" w:type="dxa"/>
            <w:gridSpan w:val="2"/>
          </w:tcPr>
          <w:p w14:paraId="224D569E" w14:textId="77777777" w:rsidR="00162ED0" w:rsidRDefault="00162ED0" w:rsidP="00162ED0">
            <w:pPr>
              <w:pStyle w:val="Tabletext"/>
            </w:pPr>
            <w:r>
              <w:t>Look-back Period</w:t>
            </w:r>
          </w:p>
          <w:p w14:paraId="0C00A609" w14:textId="16C9417A" w:rsidR="00162ED0" w:rsidRDefault="00162ED0" w:rsidP="00162ED0">
            <w:pPr>
              <w:pStyle w:val="Tabletext"/>
            </w:pPr>
            <w:r>
              <w:t>3-</w:t>
            </w:r>
            <w:r w:rsidR="00C07C6B">
              <w:t>175</w:t>
            </w:r>
          </w:p>
        </w:tc>
        <w:tc>
          <w:tcPr>
            <w:tcW w:w="5367" w:type="dxa"/>
          </w:tcPr>
          <w:p w14:paraId="0FEE4CB3" w14:textId="61641C69" w:rsidR="00162ED0" w:rsidRPr="00E74106" w:rsidRDefault="00162ED0" w:rsidP="00162ED0">
            <w:pPr>
              <w:pStyle w:val="Tabletext"/>
            </w:pPr>
            <w:r w:rsidRPr="00346BD6">
              <w:t xml:space="preserve">The </w:t>
            </w:r>
            <w:r w:rsidRPr="00346BD6">
              <w:rPr>
                <w:b/>
                <w:i/>
              </w:rPr>
              <w:t>Look</w:t>
            </w:r>
            <w:r w:rsidRPr="00346BD6">
              <w:rPr>
                <w:b/>
                <w:i/>
              </w:rPr>
              <w:noBreakHyphen/>
              <w:t>back Period</w:t>
            </w:r>
            <w:r w:rsidRPr="00346BD6">
              <w:t>, of an election under subsection 3</w:t>
            </w:r>
            <w:r w:rsidRPr="00346BD6">
              <w:noBreakHyphen/>
              <w:t>1</w:t>
            </w:r>
            <w:r w:rsidR="008E1361">
              <w:t>55</w:t>
            </w:r>
            <w:r w:rsidRPr="00346BD6">
              <w:t xml:space="preserve">(2) for an MNE Group, means </w:t>
            </w:r>
            <w:r>
              <w:t>the Fiscal Year to which the election applies and the 4 Fiscal Years immediately preceding it.</w:t>
            </w:r>
          </w:p>
        </w:tc>
      </w:tr>
      <w:tr w:rsidR="00162ED0" w:rsidRPr="00020288" w14:paraId="6492079A" w14:textId="77777777" w:rsidTr="00AF7204">
        <w:tc>
          <w:tcPr>
            <w:tcW w:w="2334" w:type="dxa"/>
            <w:gridSpan w:val="2"/>
          </w:tcPr>
          <w:p w14:paraId="7BE74156" w14:textId="77777777" w:rsidR="00162ED0" w:rsidRDefault="00162ED0" w:rsidP="00162ED0">
            <w:pPr>
              <w:pStyle w:val="Tabletext"/>
            </w:pPr>
            <w:r>
              <w:t>Loss Year</w:t>
            </w:r>
          </w:p>
          <w:p w14:paraId="71C27B46" w14:textId="46923B28" w:rsidR="00162ED0" w:rsidRDefault="00162ED0" w:rsidP="00162ED0">
            <w:pPr>
              <w:pStyle w:val="Tabletext"/>
            </w:pPr>
            <w:r>
              <w:t>3-</w:t>
            </w:r>
            <w:r w:rsidR="00C07C6B">
              <w:t>175</w:t>
            </w:r>
          </w:p>
        </w:tc>
        <w:tc>
          <w:tcPr>
            <w:tcW w:w="5367" w:type="dxa"/>
          </w:tcPr>
          <w:p w14:paraId="4D001029" w14:textId="2D2FE6AC" w:rsidR="00162ED0" w:rsidRPr="00B151E5" w:rsidRDefault="00162ED0" w:rsidP="00162ED0">
            <w:pPr>
              <w:pStyle w:val="Tabletext"/>
            </w:pPr>
            <w:r w:rsidRPr="00B151E5">
              <w:t xml:space="preserve">A </w:t>
            </w:r>
            <w:r w:rsidRPr="00B151E5">
              <w:rPr>
                <w:b/>
                <w:i/>
              </w:rPr>
              <w:t>Loss Year</w:t>
            </w:r>
            <w:r w:rsidRPr="00B151E5">
              <w:t>, in relation to an election under subsection 3</w:t>
            </w:r>
            <w:r w:rsidRPr="00B151E5">
              <w:noBreakHyphen/>
              <w:t>1</w:t>
            </w:r>
            <w:r w:rsidR="008E1361">
              <w:t>55</w:t>
            </w:r>
            <w:r w:rsidRPr="00B151E5">
              <w:t>(2) for an MNE Group, means a Fiscal Year in the Look</w:t>
            </w:r>
            <w:r w:rsidRPr="00B151E5">
              <w:noBreakHyphen/>
              <w:t>back Period of the election if both of the following apply in relation to the Fiscal Year:</w:t>
            </w:r>
          </w:p>
          <w:p w14:paraId="1678C5BF" w14:textId="77777777" w:rsidR="00162ED0" w:rsidRPr="00B151E5" w:rsidRDefault="00162ED0" w:rsidP="00162ED0">
            <w:pPr>
              <w:pStyle w:val="Tabledotpoint1"/>
            </w:pPr>
            <w:r w:rsidRPr="00B151E5">
              <w:t>a Constituent Entity of the MNE Group located in the jurisdiction to which the election applies has an adjusted net asset loss for the Fiscal Year greater than zer</w:t>
            </w:r>
            <w:r>
              <w:t>o</w:t>
            </w:r>
            <w:r w:rsidRPr="00B151E5">
              <w:t>;</w:t>
            </w:r>
          </w:p>
          <w:p w14:paraId="3246E37D" w14:textId="77777777" w:rsidR="00162ED0" w:rsidRPr="00E74106" w:rsidRDefault="00162ED0" w:rsidP="00162ED0">
            <w:pPr>
              <w:pStyle w:val="Tabledotpoint1"/>
            </w:pPr>
            <w:r w:rsidRPr="00B151E5">
              <w:lastRenderedPageBreak/>
              <w:t>the sum of adjusted net asset losses for the Fiscal Year of all Constituent Entities of the MNE Group located in that jurisdiction exceeds the sum of the Net Asset Gains for the Fiscal Year of all those Constituent Entities.</w:t>
            </w:r>
          </w:p>
        </w:tc>
      </w:tr>
      <w:tr w:rsidR="00162ED0" w:rsidRPr="00020288" w14:paraId="444C180E" w14:textId="77777777" w:rsidTr="00AF7204">
        <w:tc>
          <w:tcPr>
            <w:tcW w:w="2334" w:type="dxa"/>
            <w:gridSpan w:val="2"/>
          </w:tcPr>
          <w:p w14:paraId="513A8CF0" w14:textId="1D2EAC51" w:rsidR="00162ED0" w:rsidRDefault="00162ED0" w:rsidP="00162ED0">
            <w:pPr>
              <w:pStyle w:val="Tabletext"/>
            </w:pPr>
            <w:r>
              <w:lastRenderedPageBreak/>
              <w:t>LTCE</w:t>
            </w:r>
          </w:p>
        </w:tc>
        <w:tc>
          <w:tcPr>
            <w:tcW w:w="5367" w:type="dxa"/>
          </w:tcPr>
          <w:p w14:paraId="4E3DC5E7" w14:textId="582C7BF9" w:rsidR="00162ED0" w:rsidRPr="00617A8B" w:rsidRDefault="00162ED0" w:rsidP="00162ED0">
            <w:pPr>
              <w:pStyle w:val="Tabletext"/>
            </w:pPr>
            <w:r>
              <w:rPr>
                <w:b/>
                <w:bCs/>
                <w:i/>
                <w:iCs/>
              </w:rPr>
              <w:t>LTCE</w:t>
            </w:r>
            <w:r w:rsidRPr="00617A8B">
              <w:t>, of an MNE Group for a Fiscal Year, means either of the following: </w:t>
            </w:r>
          </w:p>
          <w:p w14:paraId="32DE0C48" w14:textId="77777777" w:rsidR="00162ED0" w:rsidRPr="00617A8B" w:rsidRDefault="00162ED0" w:rsidP="00162ED0">
            <w:pPr>
              <w:pStyle w:val="Tabledotpoint1"/>
            </w:pPr>
            <w:r w:rsidRPr="00617A8B">
              <w:t>a Constituent Entity of the MNE Group that is located in a Low</w:t>
            </w:r>
            <w:r>
              <w:noBreakHyphen/>
            </w:r>
            <w:r w:rsidRPr="00617A8B">
              <w:t>Tax Jurisdiction; </w:t>
            </w:r>
          </w:p>
          <w:p w14:paraId="0B89E613" w14:textId="13782304" w:rsidR="00162ED0" w:rsidRPr="00E74106" w:rsidRDefault="00162ED0" w:rsidP="00162ED0">
            <w:pPr>
              <w:pStyle w:val="Tabledotpoint1"/>
            </w:pPr>
            <w:r w:rsidRPr="00617A8B">
              <w:t xml:space="preserve">a Stateless Constituent Entity of the MNE Group that has GloBE Income and an </w:t>
            </w:r>
            <w:r w:rsidR="008E1361">
              <w:t>ETR</w:t>
            </w:r>
            <w:r w:rsidRPr="00617A8B">
              <w:t xml:space="preserve"> for the Fiscal Year that is </w:t>
            </w:r>
            <w:r w:rsidR="008E1361">
              <w:t xml:space="preserve">less </w:t>
            </w:r>
            <w:r w:rsidRPr="00617A8B">
              <w:t xml:space="preserve">than the </w:t>
            </w:r>
            <w:r w:rsidR="008E1361">
              <w:t xml:space="preserve">15 per cent </w:t>
            </w:r>
            <w:r w:rsidRPr="00617A8B">
              <w:t>Minimum Rate. </w:t>
            </w:r>
          </w:p>
        </w:tc>
      </w:tr>
      <w:tr w:rsidR="00162ED0" w:rsidRPr="00020288" w14:paraId="0FA25FB3" w14:textId="77777777" w:rsidTr="00AF7204">
        <w:tc>
          <w:tcPr>
            <w:tcW w:w="2334" w:type="dxa"/>
            <w:gridSpan w:val="2"/>
          </w:tcPr>
          <w:p w14:paraId="3643B0EC" w14:textId="77777777" w:rsidR="00162ED0" w:rsidRDefault="00162ED0" w:rsidP="00162ED0">
            <w:pPr>
              <w:pStyle w:val="Tabletext"/>
            </w:pPr>
            <w:r>
              <w:t>Low</w:t>
            </w:r>
            <w:r>
              <w:noBreakHyphen/>
              <w:t>Tax Entity</w:t>
            </w:r>
          </w:p>
          <w:p w14:paraId="5DE70D6C" w14:textId="4E4C887B" w:rsidR="00162ED0" w:rsidRDefault="00162ED0" w:rsidP="00162ED0">
            <w:pPr>
              <w:pStyle w:val="Tabletext"/>
            </w:pPr>
            <w:r>
              <w:t>3-</w:t>
            </w:r>
            <w:r w:rsidR="00C07C6B">
              <w:t>190</w:t>
            </w:r>
          </w:p>
        </w:tc>
        <w:tc>
          <w:tcPr>
            <w:tcW w:w="5367" w:type="dxa"/>
          </w:tcPr>
          <w:p w14:paraId="03FAD137" w14:textId="77777777" w:rsidR="00162ED0" w:rsidRPr="00533DA2" w:rsidRDefault="00162ED0" w:rsidP="00162ED0">
            <w:pPr>
              <w:pStyle w:val="Tabletext"/>
            </w:pPr>
            <w:r w:rsidRPr="00533DA2">
              <w:t xml:space="preserve">A Constituent Entity of an MNE Group is a </w:t>
            </w:r>
            <w:r w:rsidRPr="00533DA2">
              <w:rPr>
                <w:b/>
                <w:i/>
              </w:rPr>
              <w:t>Low</w:t>
            </w:r>
            <w:r w:rsidRPr="00533DA2">
              <w:rPr>
                <w:b/>
                <w:i/>
              </w:rPr>
              <w:noBreakHyphen/>
              <w:t>Tax Entity</w:t>
            </w:r>
            <w:r w:rsidRPr="00533DA2">
              <w:rPr>
                <w:i/>
              </w:rPr>
              <w:t xml:space="preserve"> </w:t>
            </w:r>
            <w:r w:rsidRPr="00533DA2">
              <w:t>for a Fiscal Year if:</w:t>
            </w:r>
          </w:p>
          <w:p w14:paraId="4838CA73" w14:textId="77777777" w:rsidR="00162ED0" w:rsidRPr="00533DA2" w:rsidRDefault="00162ED0" w:rsidP="00162ED0">
            <w:pPr>
              <w:pStyle w:val="Tabledotpoint1"/>
            </w:pPr>
            <w:r w:rsidRPr="00533DA2">
              <w:t>the Constituent Entity is located in a jurisdiction for the Fiscal Year; and</w:t>
            </w:r>
          </w:p>
          <w:p w14:paraId="45BB82B5" w14:textId="77777777" w:rsidR="00162ED0" w:rsidRPr="00533DA2" w:rsidRDefault="00162ED0" w:rsidP="00162ED0">
            <w:pPr>
              <w:pStyle w:val="Tabledotpoint1"/>
            </w:pPr>
            <w:r w:rsidRPr="00533DA2">
              <w:t>the jurisdiction:</w:t>
            </w:r>
          </w:p>
          <w:p w14:paraId="459226EE" w14:textId="659F893E" w:rsidR="00162ED0" w:rsidRPr="00533DA2" w:rsidRDefault="00162ED0" w:rsidP="00B7652D">
            <w:pPr>
              <w:pStyle w:val="Tabledotpoint2"/>
              <w:keepNext/>
              <w:ind w:left="817" w:hanging="426"/>
            </w:pPr>
            <w:r w:rsidRPr="00533DA2">
              <w:t>is a Low</w:t>
            </w:r>
            <w:r w:rsidRPr="00533DA2">
              <w:noBreakHyphen/>
              <w:t>Tax Jurisdiction in respect of the MNE Group for the Fiscal Year; or</w:t>
            </w:r>
          </w:p>
          <w:p w14:paraId="12EC55C0" w14:textId="3460FE32" w:rsidR="00162ED0" w:rsidRPr="00E74106" w:rsidRDefault="00162ED0" w:rsidP="00B7652D">
            <w:pPr>
              <w:pStyle w:val="Tabledotpoint2"/>
              <w:keepNext/>
              <w:ind w:left="817" w:hanging="426"/>
            </w:pPr>
            <w:r w:rsidRPr="00533DA2">
              <w:t>would be a Low</w:t>
            </w:r>
            <w:r w:rsidRPr="00533DA2">
              <w:noBreakHyphen/>
              <w:t>Tax Jurisdiction in respect of the MNE Group for the Fiscal Year if the Effective Tax Rate of the MNE Group for the jurisdiction for the Fiscal Year were determined without regard to any income or expense accrued by the Constituent Entity in respect of an Intragroup Financing Arrangement.</w:t>
            </w:r>
          </w:p>
        </w:tc>
      </w:tr>
      <w:tr w:rsidR="00162ED0" w:rsidRPr="00020288" w14:paraId="6E4AB7FC" w14:textId="77777777" w:rsidTr="00AF7204">
        <w:tc>
          <w:tcPr>
            <w:tcW w:w="2334" w:type="dxa"/>
            <w:gridSpan w:val="2"/>
          </w:tcPr>
          <w:p w14:paraId="633E0B4D" w14:textId="77777777" w:rsidR="00162ED0" w:rsidRDefault="00162ED0" w:rsidP="00162ED0">
            <w:pPr>
              <w:pStyle w:val="Tabletext"/>
            </w:pPr>
            <w:r>
              <w:t>Low</w:t>
            </w:r>
            <w:r>
              <w:noBreakHyphen/>
              <w:t>Tax Jurisdiction</w:t>
            </w:r>
          </w:p>
          <w:p w14:paraId="5E44686E" w14:textId="4256B88F" w:rsidR="00162ED0" w:rsidRDefault="00162ED0" w:rsidP="00162ED0">
            <w:pPr>
              <w:pStyle w:val="Tabletext"/>
            </w:pPr>
            <w:r>
              <w:t>3-</w:t>
            </w:r>
            <w:r w:rsidR="00C07C6B">
              <w:t>195</w:t>
            </w:r>
          </w:p>
        </w:tc>
        <w:tc>
          <w:tcPr>
            <w:tcW w:w="5367" w:type="dxa"/>
          </w:tcPr>
          <w:p w14:paraId="01672D8A" w14:textId="329BA048" w:rsidR="00162ED0" w:rsidRPr="003F29AF" w:rsidRDefault="00162ED0" w:rsidP="00162ED0">
            <w:pPr>
              <w:pStyle w:val="Tabletext"/>
              <w:rPr>
                <w:bCs/>
                <w:iCs/>
              </w:rPr>
            </w:pPr>
            <w:r>
              <w:t xml:space="preserve">A </w:t>
            </w:r>
            <w:r>
              <w:rPr>
                <w:b/>
                <w:bCs/>
                <w:i/>
                <w:iCs/>
              </w:rPr>
              <w:t>Low</w:t>
            </w:r>
            <w:r>
              <w:rPr>
                <w:b/>
                <w:bCs/>
                <w:i/>
                <w:iCs/>
              </w:rPr>
              <w:noBreakHyphen/>
              <w:t>Tax Jurisdiction</w:t>
            </w:r>
            <w:r>
              <w:rPr>
                <w:bCs/>
                <w:iCs/>
              </w:rPr>
              <w:t xml:space="preserve">, in respect of an MNE Group for a Fiscal Year, means a jurisdiction for which the MNE Group has net GloBE Income for the Fiscal Year and an </w:t>
            </w:r>
            <w:r w:rsidR="008E1361">
              <w:rPr>
                <w:bCs/>
                <w:iCs/>
              </w:rPr>
              <w:t xml:space="preserve">ETR </w:t>
            </w:r>
            <w:r>
              <w:rPr>
                <w:bCs/>
                <w:iCs/>
              </w:rPr>
              <w:t>for the Fiscal Year that is lower than the</w:t>
            </w:r>
            <w:r w:rsidR="008E1361">
              <w:rPr>
                <w:bCs/>
                <w:iCs/>
              </w:rPr>
              <w:t xml:space="preserve"> 15 per cent</w:t>
            </w:r>
            <w:r>
              <w:rPr>
                <w:bCs/>
                <w:iCs/>
              </w:rPr>
              <w:t xml:space="preserve"> Minimum Rate.</w:t>
            </w:r>
          </w:p>
        </w:tc>
      </w:tr>
      <w:tr w:rsidR="00162ED0" w:rsidRPr="00020288" w14:paraId="5A901732" w14:textId="77777777" w:rsidTr="00AF7204">
        <w:tc>
          <w:tcPr>
            <w:tcW w:w="2334" w:type="dxa"/>
            <w:gridSpan w:val="2"/>
          </w:tcPr>
          <w:p w14:paraId="438128DF" w14:textId="77777777" w:rsidR="00162ED0" w:rsidRDefault="00162ED0" w:rsidP="00162ED0">
            <w:pPr>
              <w:pStyle w:val="Tabletext"/>
            </w:pPr>
            <w:r>
              <w:t>Marketable Price Floor</w:t>
            </w:r>
          </w:p>
          <w:p w14:paraId="4D09CECC" w14:textId="6E0714F5" w:rsidR="00162ED0" w:rsidRDefault="00162ED0" w:rsidP="00162ED0">
            <w:pPr>
              <w:pStyle w:val="Tabletext"/>
            </w:pPr>
            <w:r>
              <w:t>3-</w:t>
            </w:r>
            <w:r w:rsidR="00C07C6B">
              <w:t>135</w:t>
            </w:r>
            <w:r>
              <w:t>(1)</w:t>
            </w:r>
          </w:p>
        </w:tc>
        <w:tc>
          <w:tcPr>
            <w:tcW w:w="5367" w:type="dxa"/>
          </w:tcPr>
          <w:p w14:paraId="0C4F5582" w14:textId="195F80F6" w:rsidR="00162ED0" w:rsidRPr="00E74106" w:rsidRDefault="00162ED0" w:rsidP="00162ED0">
            <w:pPr>
              <w:pStyle w:val="Tabletext"/>
            </w:pPr>
            <w:r w:rsidRPr="004F0339">
              <w:t xml:space="preserve">The </w:t>
            </w:r>
            <w:r w:rsidRPr="004F0339">
              <w:rPr>
                <w:b/>
                <w:i/>
              </w:rPr>
              <w:t>Marketable Price Floor</w:t>
            </w:r>
            <w:r w:rsidRPr="004F0339">
              <w:t xml:space="preserve"> of a tax credit is 80</w:t>
            </w:r>
            <w:r w:rsidR="008E1361">
              <w:t xml:space="preserve"> per cent</w:t>
            </w:r>
            <w:r w:rsidRPr="004F0339">
              <w:t xml:space="preserve"> of the net present value (the </w:t>
            </w:r>
            <w:r w:rsidRPr="004F0339">
              <w:rPr>
                <w:b/>
                <w:i/>
              </w:rPr>
              <w:t>NPV</w:t>
            </w:r>
            <w:r w:rsidRPr="004F0339">
              <w:t>) of the amount of the tax credit, computed in accordance with subsections </w:t>
            </w:r>
            <w:r>
              <w:t>3-1</w:t>
            </w:r>
            <w:r w:rsidR="008E1361">
              <w:t>35</w:t>
            </w:r>
            <w:r w:rsidRPr="004F0339">
              <w:t>(2), (3) and (4).</w:t>
            </w:r>
          </w:p>
        </w:tc>
      </w:tr>
      <w:tr w:rsidR="00162ED0" w:rsidRPr="00020288" w14:paraId="35C24869" w14:textId="77777777" w:rsidTr="00AF7204">
        <w:tc>
          <w:tcPr>
            <w:tcW w:w="2334" w:type="dxa"/>
            <w:gridSpan w:val="2"/>
          </w:tcPr>
          <w:p w14:paraId="64D6B121" w14:textId="77777777" w:rsidR="00162ED0" w:rsidRDefault="00162ED0" w:rsidP="00162ED0">
            <w:pPr>
              <w:pStyle w:val="Tabletext"/>
            </w:pPr>
            <w:r>
              <w:t>Marketable Transferable Tax Credit</w:t>
            </w:r>
          </w:p>
          <w:p w14:paraId="1B562245" w14:textId="7714536C" w:rsidR="00162ED0" w:rsidRDefault="00162ED0" w:rsidP="00162ED0">
            <w:pPr>
              <w:pStyle w:val="Tabletext"/>
            </w:pPr>
            <w:r>
              <w:t>3-</w:t>
            </w:r>
            <w:r w:rsidR="00C07C6B">
              <w:t>130</w:t>
            </w:r>
          </w:p>
        </w:tc>
        <w:tc>
          <w:tcPr>
            <w:tcW w:w="5367" w:type="dxa"/>
          </w:tcPr>
          <w:p w14:paraId="526D7E64" w14:textId="77777777" w:rsidR="00162ED0" w:rsidRDefault="00162ED0" w:rsidP="00162ED0">
            <w:pPr>
              <w:pStyle w:val="Tabletext"/>
            </w:pPr>
            <w:r>
              <w:t>A tax credit that:</w:t>
            </w:r>
          </w:p>
          <w:p w14:paraId="4D96AD8D" w14:textId="77777777" w:rsidR="00162ED0" w:rsidRPr="004E74B3" w:rsidRDefault="00162ED0" w:rsidP="00162ED0">
            <w:pPr>
              <w:pStyle w:val="Tabledotpoint1"/>
            </w:pPr>
            <w:r w:rsidRPr="004E74B3">
              <w:t>can be used by the holder of the tax credit to reduce its liability for a Covered Tax in the jurisdiction that issued the tax credit; and</w:t>
            </w:r>
          </w:p>
          <w:p w14:paraId="288CD14B" w14:textId="77777777" w:rsidR="00162ED0" w:rsidRPr="004E74B3" w:rsidRDefault="00162ED0" w:rsidP="00162ED0">
            <w:pPr>
              <w:pStyle w:val="Tabledotpoint1"/>
            </w:pPr>
            <w:r w:rsidRPr="004E74B3">
              <w:t>meets:</w:t>
            </w:r>
          </w:p>
          <w:p w14:paraId="3D45E045" w14:textId="08048282" w:rsidR="00162ED0" w:rsidRPr="004E74B3" w:rsidRDefault="00162ED0" w:rsidP="00B7652D">
            <w:pPr>
              <w:pStyle w:val="Tabledotpoint2"/>
              <w:keepNext/>
              <w:ind w:left="817" w:hanging="426"/>
            </w:pPr>
            <w:r w:rsidRPr="004E74B3">
              <w:lastRenderedPageBreak/>
              <w:t>the requirement in subsection </w:t>
            </w:r>
            <w:r>
              <w:t>3</w:t>
            </w:r>
            <w:r>
              <w:noBreakHyphen/>
              <w:t>125</w:t>
            </w:r>
            <w:r w:rsidRPr="004E74B3">
              <w:t>(2) or (3) (Legal Transferability Standard); and</w:t>
            </w:r>
          </w:p>
          <w:p w14:paraId="3CB98F7B" w14:textId="300F6D80" w:rsidR="00162ED0" w:rsidRPr="00E74106" w:rsidRDefault="00162ED0" w:rsidP="00B7652D">
            <w:pPr>
              <w:pStyle w:val="Tabledotpoint2"/>
              <w:keepNext/>
              <w:ind w:left="817" w:hanging="426"/>
            </w:pPr>
            <w:r w:rsidRPr="004E74B3">
              <w:t>the requirement in subsection </w:t>
            </w:r>
            <w:r>
              <w:t>3</w:t>
            </w:r>
            <w:r>
              <w:noBreakHyphen/>
              <w:t>125</w:t>
            </w:r>
            <w:r w:rsidRPr="004E74B3">
              <w:t>(4) or (5) (Marketability Standard).</w:t>
            </w:r>
          </w:p>
        </w:tc>
      </w:tr>
      <w:tr w:rsidR="00B90F17" w:rsidRPr="00020288" w14:paraId="19B01B5D" w14:textId="77777777" w:rsidTr="00AF7204">
        <w:tc>
          <w:tcPr>
            <w:tcW w:w="2334" w:type="dxa"/>
            <w:gridSpan w:val="2"/>
          </w:tcPr>
          <w:p w14:paraId="21B7F6B0" w14:textId="740F519E" w:rsidR="00B90F17" w:rsidRDefault="00B90F17">
            <w:pPr>
              <w:pStyle w:val="Tabletext"/>
            </w:pPr>
            <w:r>
              <w:lastRenderedPageBreak/>
              <w:t>Minimum Rate</w:t>
            </w:r>
          </w:p>
        </w:tc>
        <w:tc>
          <w:tcPr>
            <w:tcW w:w="5367" w:type="dxa"/>
          </w:tcPr>
          <w:p w14:paraId="297F74C9" w14:textId="71F7AE27" w:rsidR="00B90F17" w:rsidRPr="00B02AA5" w:rsidRDefault="00B02AA5">
            <w:pPr>
              <w:pStyle w:val="Tabletext"/>
            </w:pPr>
            <w:r>
              <w:t>15</w:t>
            </w:r>
            <w:r w:rsidR="008E1361">
              <w:t xml:space="preserve"> per cent</w:t>
            </w:r>
          </w:p>
        </w:tc>
      </w:tr>
      <w:tr w:rsidR="00162ED0" w:rsidRPr="00020288" w14:paraId="61AD646F" w14:textId="77777777" w:rsidTr="00AF7204">
        <w:tc>
          <w:tcPr>
            <w:tcW w:w="2334" w:type="dxa"/>
            <w:gridSpan w:val="2"/>
          </w:tcPr>
          <w:p w14:paraId="7960BF1B" w14:textId="77777777" w:rsidR="00162ED0" w:rsidRDefault="00162ED0" w:rsidP="00162ED0">
            <w:pPr>
              <w:pStyle w:val="Tabletext"/>
            </w:pPr>
            <w:r>
              <w:t>Minority-Owned Constituent Entity</w:t>
            </w:r>
          </w:p>
          <w:p w14:paraId="0F905C48" w14:textId="609F9815" w:rsidR="00162ED0" w:rsidRDefault="00162ED0" w:rsidP="00162ED0">
            <w:pPr>
              <w:pStyle w:val="Tabletext"/>
            </w:pPr>
            <w:r>
              <w:t>5-</w:t>
            </w:r>
            <w:r w:rsidR="005E0328">
              <w:t>130</w:t>
            </w:r>
            <w:r>
              <w:t>(1)</w:t>
            </w:r>
          </w:p>
        </w:tc>
        <w:tc>
          <w:tcPr>
            <w:tcW w:w="5367" w:type="dxa"/>
          </w:tcPr>
          <w:p w14:paraId="3030F82B" w14:textId="60E9A21D" w:rsidR="00162ED0" w:rsidRPr="00E74106" w:rsidRDefault="00162ED0" w:rsidP="00162ED0">
            <w:pPr>
              <w:pStyle w:val="Tabletext"/>
            </w:pPr>
            <w:r w:rsidRPr="00CE45B3">
              <w:t xml:space="preserve">A Constituent Entity of an MNE Group is a </w:t>
            </w:r>
            <w:r w:rsidRPr="00CE45B3">
              <w:rPr>
                <w:b/>
                <w:i/>
              </w:rPr>
              <w:t>Minority</w:t>
            </w:r>
            <w:r w:rsidRPr="00CE45B3">
              <w:rPr>
                <w:b/>
                <w:i/>
              </w:rPr>
              <w:noBreakHyphen/>
              <w:t>Owned Constituent Entity</w:t>
            </w:r>
            <w:r w:rsidRPr="00CE45B3">
              <w:t xml:space="preserve"> if the </w:t>
            </w:r>
            <w:r>
              <w:t>UPE</w:t>
            </w:r>
            <w:r w:rsidRPr="00CE45B3">
              <w:t xml:space="preserve"> of the MNE Group has an Ownership Interest Percentage in the Constituent Entity of 30% or less.</w:t>
            </w:r>
          </w:p>
        </w:tc>
      </w:tr>
      <w:tr w:rsidR="00162ED0" w:rsidRPr="00020288" w14:paraId="0AED60C8" w14:textId="77777777" w:rsidTr="00AF7204">
        <w:tc>
          <w:tcPr>
            <w:tcW w:w="2280" w:type="dxa"/>
          </w:tcPr>
          <w:p w14:paraId="53F2D5DB" w14:textId="77777777" w:rsidR="00162ED0" w:rsidRDefault="00162ED0" w:rsidP="00162ED0">
            <w:pPr>
              <w:pStyle w:val="Tabletext"/>
            </w:pPr>
            <w:r>
              <w:t>Minority-Owned Parent Entity</w:t>
            </w:r>
          </w:p>
          <w:p w14:paraId="2603231A" w14:textId="3EF8AC70" w:rsidR="00162ED0" w:rsidRDefault="00162ED0" w:rsidP="00162ED0">
            <w:pPr>
              <w:pStyle w:val="Tabletext"/>
            </w:pPr>
            <w:r>
              <w:t>5-</w:t>
            </w:r>
            <w:r w:rsidR="005E0328">
              <w:t>130</w:t>
            </w:r>
            <w:r>
              <w:t>(2)</w:t>
            </w:r>
          </w:p>
        </w:tc>
        <w:tc>
          <w:tcPr>
            <w:tcW w:w="5421" w:type="dxa"/>
            <w:gridSpan w:val="2"/>
          </w:tcPr>
          <w:p w14:paraId="61666F8A" w14:textId="77777777" w:rsidR="00162ED0" w:rsidRPr="002F3EAF" w:rsidRDefault="00162ED0" w:rsidP="00162ED0">
            <w:pPr>
              <w:pStyle w:val="Tabletext"/>
            </w:pPr>
            <w:r w:rsidRPr="002F3EAF">
              <w:t>A Minority</w:t>
            </w:r>
            <w:r w:rsidRPr="002F3EAF">
              <w:noBreakHyphen/>
              <w:t xml:space="preserve">Owned Constituent Entity is a </w:t>
            </w:r>
            <w:r w:rsidRPr="002F3EAF">
              <w:rPr>
                <w:b/>
                <w:i/>
              </w:rPr>
              <w:t>Minority</w:t>
            </w:r>
            <w:r w:rsidRPr="002F3EAF">
              <w:rPr>
                <w:b/>
                <w:i/>
              </w:rPr>
              <w:noBreakHyphen/>
              <w:t>Owned Parent Entity</w:t>
            </w:r>
            <w:r w:rsidRPr="002F3EAF">
              <w:t xml:space="preserve"> if:</w:t>
            </w:r>
          </w:p>
          <w:p w14:paraId="31D1EBD5" w14:textId="77777777" w:rsidR="00162ED0" w:rsidRPr="002F3EAF" w:rsidRDefault="00162ED0" w:rsidP="00162ED0">
            <w:pPr>
              <w:pStyle w:val="Tabledotpoint1"/>
            </w:pPr>
            <w:r w:rsidRPr="002F3EAF">
              <w:t>it holds a Controlling Interest in another Minority</w:t>
            </w:r>
            <w:r w:rsidRPr="002F3EAF">
              <w:noBreakHyphen/>
              <w:t>Owned Constituent Entity; and</w:t>
            </w:r>
          </w:p>
          <w:p w14:paraId="5D511707" w14:textId="1E300A0B" w:rsidR="00162ED0" w:rsidRPr="00CE45B3" w:rsidRDefault="00162ED0" w:rsidP="00162ED0">
            <w:pPr>
              <w:pStyle w:val="Tabledotpoint1"/>
            </w:pPr>
            <w:r w:rsidRPr="002F3EAF">
              <w:t>a Controlling Interest in it is not held by another Minority</w:t>
            </w:r>
            <w:r w:rsidRPr="002F3EAF">
              <w:noBreakHyphen/>
              <w:t>Owned Constituent Entity.</w:t>
            </w:r>
          </w:p>
        </w:tc>
      </w:tr>
      <w:tr w:rsidR="00162ED0" w:rsidRPr="00020288" w14:paraId="67D59D50" w14:textId="77777777" w:rsidTr="00AF7204">
        <w:tc>
          <w:tcPr>
            <w:tcW w:w="2334" w:type="dxa"/>
            <w:gridSpan w:val="2"/>
          </w:tcPr>
          <w:p w14:paraId="4FA68816" w14:textId="77777777" w:rsidR="00162ED0" w:rsidRDefault="00162ED0" w:rsidP="00162ED0">
            <w:pPr>
              <w:pStyle w:val="Tabletext"/>
            </w:pPr>
            <w:r>
              <w:t>Minority-Owned Subgroup</w:t>
            </w:r>
          </w:p>
          <w:p w14:paraId="42BF8D02" w14:textId="70EC4A0D" w:rsidR="00162ED0" w:rsidRDefault="00162ED0" w:rsidP="00162ED0">
            <w:pPr>
              <w:pStyle w:val="Tabletext"/>
            </w:pPr>
            <w:r>
              <w:t>5-</w:t>
            </w:r>
            <w:r w:rsidR="005E0328">
              <w:t>1</w:t>
            </w:r>
            <w:r w:rsidR="00776ABB">
              <w:t>35</w:t>
            </w:r>
            <w:r>
              <w:t>(2)</w:t>
            </w:r>
          </w:p>
        </w:tc>
        <w:tc>
          <w:tcPr>
            <w:tcW w:w="5367" w:type="dxa"/>
          </w:tcPr>
          <w:p w14:paraId="49915779" w14:textId="77777777" w:rsidR="00162ED0" w:rsidRPr="00236A72" w:rsidRDefault="00162ED0" w:rsidP="00162ED0">
            <w:pPr>
              <w:pStyle w:val="Tabletext"/>
              <w:rPr>
                <w:b/>
                <w:i/>
              </w:rPr>
            </w:pPr>
            <w:r w:rsidRPr="007431B1">
              <w:t>A Minority</w:t>
            </w:r>
            <w:r w:rsidRPr="007431B1">
              <w:noBreakHyphen/>
              <w:t>Owned Constituent Entity in which a Controlling Interest is held by a Minority</w:t>
            </w:r>
            <w:r w:rsidRPr="007431B1">
              <w:noBreakHyphen/>
              <w:t xml:space="preserve">Owned Parent Entity is a </w:t>
            </w:r>
            <w:r w:rsidRPr="007431B1">
              <w:rPr>
                <w:b/>
                <w:i/>
              </w:rPr>
              <w:t>Minority</w:t>
            </w:r>
            <w:r w:rsidRPr="007431B1">
              <w:rPr>
                <w:b/>
                <w:i/>
              </w:rPr>
              <w:noBreakHyphen/>
              <w:t>Owned Subsidiary</w:t>
            </w:r>
            <w:r w:rsidRPr="007431B1">
              <w:t xml:space="preserve"> of the Minority</w:t>
            </w:r>
            <w:r w:rsidRPr="007431B1">
              <w:noBreakHyphen/>
              <w:t>Owned Parent Entity.</w:t>
            </w:r>
          </w:p>
        </w:tc>
      </w:tr>
      <w:tr w:rsidR="00162ED0" w:rsidRPr="00020288" w14:paraId="7589B058" w14:textId="77777777" w:rsidTr="00AF7204">
        <w:tc>
          <w:tcPr>
            <w:tcW w:w="2334" w:type="dxa"/>
            <w:gridSpan w:val="2"/>
          </w:tcPr>
          <w:p w14:paraId="0900F689" w14:textId="77777777" w:rsidR="00162ED0" w:rsidRDefault="00162ED0" w:rsidP="00162ED0">
            <w:pPr>
              <w:pStyle w:val="Tabletext"/>
            </w:pPr>
            <w:r>
              <w:t>Minority-Owned Subsidiary</w:t>
            </w:r>
          </w:p>
          <w:p w14:paraId="04FE8B8A" w14:textId="0BA05A21" w:rsidR="00162ED0" w:rsidRDefault="00162ED0" w:rsidP="00162ED0">
            <w:pPr>
              <w:pStyle w:val="Tabletext"/>
            </w:pPr>
            <w:r>
              <w:t>5-</w:t>
            </w:r>
            <w:r w:rsidR="005E0328">
              <w:t>1</w:t>
            </w:r>
            <w:r w:rsidR="00776ABB">
              <w:t>35</w:t>
            </w:r>
            <w:r>
              <w:t>(1)</w:t>
            </w:r>
          </w:p>
        </w:tc>
        <w:tc>
          <w:tcPr>
            <w:tcW w:w="5367" w:type="dxa"/>
          </w:tcPr>
          <w:p w14:paraId="343BCF3A" w14:textId="77777777" w:rsidR="00162ED0" w:rsidRPr="00E74106" w:rsidRDefault="00162ED0" w:rsidP="00162ED0">
            <w:pPr>
              <w:pStyle w:val="Tabletext"/>
            </w:pPr>
            <w:r>
              <w:t xml:space="preserve">A </w:t>
            </w:r>
            <w:r w:rsidRPr="00BC0073">
              <w:rPr>
                <w:b/>
                <w:i/>
              </w:rPr>
              <w:t>Minority</w:t>
            </w:r>
            <w:r w:rsidRPr="00BC0073">
              <w:rPr>
                <w:b/>
                <w:i/>
              </w:rPr>
              <w:noBreakHyphen/>
              <w:t>Owned Subgroup</w:t>
            </w:r>
            <w:r w:rsidRPr="00BC0073">
              <w:t xml:space="preserve"> means a Minority</w:t>
            </w:r>
            <w:r w:rsidRPr="00BC0073">
              <w:noBreakHyphen/>
              <w:t>Owned Parent Entity and its Minority</w:t>
            </w:r>
            <w:r w:rsidRPr="00BC0073">
              <w:noBreakHyphen/>
              <w:t>Owned Subsidiaries.</w:t>
            </w:r>
          </w:p>
        </w:tc>
      </w:tr>
      <w:tr w:rsidR="00162ED0" w:rsidRPr="00020288" w14:paraId="7BA8A857" w14:textId="77777777" w:rsidTr="00AF7204">
        <w:tc>
          <w:tcPr>
            <w:tcW w:w="2334" w:type="dxa"/>
            <w:gridSpan w:val="2"/>
          </w:tcPr>
          <w:p w14:paraId="3E3F1CBA" w14:textId="77777777" w:rsidR="00162ED0" w:rsidRDefault="00162ED0" w:rsidP="00162ED0">
            <w:pPr>
              <w:pStyle w:val="Tabletext"/>
            </w:pPr>
            <w:r>
              <w:t>Multi-Parented MNE Group</w:t>
            </w:r>
          </w:p>
          <w:p w14:paraId="163DCFAF" w14:textId="12562D1A" w:rsidR="00162ED0" w:rsidRDefault="00162ED0" w:rsidP="00162ED0">
            <w:pPr>
              <w:pStyle w:val="Tabletext"/>
            </w:pPr>
            <w:r>
              <w:t>6-</w:t>
            </w:r>
            <w:r w:rsidR="007C5821">
              <w:t>85</w:t>
            </w:r>
            <w:r>
              <w:t>(1)</w:t>
            </w:r>
          </w:p>
        </w:tc>
        <w:tc>
          <w:tcPr>
            <w:tcW w:w="5367" w:type="dxa"/>
          </w:tcPr>
          <w:p w14:paraId="5C552452" w14:textId="77777777" w:rsidR="00162ED0" w:rsidRPr="00B56EFD" w:rsidRDefault="00162ED0" w:rsidP="00162ED0">
            <w:pPr>
              <w:pStyle w:val="Tabletext"/>
            </w:pPr>
            <w:r w:rsidRPr="00B56EFD">
              <w:t xml:space="preserve">Two or more Groups comprise a </w:t>
            </w:r>
            <w:r w:rsidRPr="00B56EFD">
              <w:rPr>
                <w:b/>
                <w:i/>
              </w:rPr>
              <w:t>Multi</w:t>
            </w:r>
            <w:r w:rsidRPr="00B56EFD">
              <w:rPr>
                <w:b/>
                <w:i/>
              </w:rPr>
              <w:noBreakHyphen/>
              <w:t>Parented MNE Group</w:t>
            </w:r>
            <w:r w:rsidRPr="00B56EFD">
              <w:t xml:space="preserve"> if:</w:t>
            </w:r>
          </w:p>
          <w:p w14:paraId="0ADC70FE" w14:textId="5617296D" w:rsidR="00776ABB" w:rsidRPr="00776ABB" w:rsidRDefault="00776ABB" w:rsidP="00776ABB">
            <w:pPr>
              <w:pStyle w:val="Tabledotpoint1"/>
            </w:pPr>
            <w:r w:rsidRPr="00776ABB">
              <w:t xml:space="preserve">the </w:t>
            </w:r>
            <w:r>
              <w:t xml:space="preserve">UPEs </w:t>
            </w:r>
            <w:r w:rsidRPr="00776ABB">
              <w:t>of those Groups enter into an arrangement that is a Stapled Structure or a Dual listed Arrangement; and</w:t>
            </w:r>
          </w:p>
          <w:p w14:paraId="6795DF69" w14:textId="3FFCAEC8" w:rsidR="00162ED0" w:rsidRPr="00E74106" w:rsidRDefault="00776ABB" w:rsidP="00776ABB">
            <w:pPr>
              <w:pStyle w:val="Tabledotpoint1"/>
            </w:pPr>
            <w:r w:rsidRPr="00776ABB">
              <w:t xml:space="preserve">at least one of the controlled Entities of those Groups is located in a different jurisdiction to another of the other controlled Entities of those Groups. </w:t>
            </w:r>
            <w:r>
              <w:t>I</w:t>
            </w:r>
            <w:r w:rsidR="00162ED0" w:rsidRPr="00B56EFD">
              <w:t xml:space="preserve">f </w:t>
            </w:r>
            <w:r>
              <w:t xml:space="preserve">the controlled </w:t>
            </w:r>
            <w:r w:rsidR="00162ED0" w:rsidRPr="00B56EFD">
              <w:t xml:space="preserve">Entity is an Excluded Entity, it </w:t>
            </w:r>
            <w:r>
              <w:t xml:space="preserve">is treated </w:t>
            </w:r>
            <w:r w:rsidR="00162ED0" w:rsidRPr="00B56EFD">
              <w:t>as not being an Excluded Entity.</w:t>
            </w:r>
          </w:p>
        </w:tc>
      </w:tr>
      <w:tr w:rsidR="00162ED0" w:rsidRPr="00020288" w14:paraId="651978F7" w14:textId="77777777" w:rsidTr="00AF7204">
        <w:tc>
          <w:tcPr>
            <w:tcW w:w="2334" w:type="dxa"/>
            <w:gridSpan w:val="2"/>
          </w:tcPr>
          <w:p w14:paraId="104F12B6" w14:textId="77777777" w:rsidR="00162ED0" w:rsidRDefault="00162ED0" w:rsidP="00162ED0">
            <w:pPr>
              <w:pStyle w:val="Tabletext"/>
            </w:pPr>
            <w:r>
              <w:t>Net Asset Gain</w:t>
            </w:r>
          </w:p>
          <w:p w14:paraId="448D8265" w14:textId="3A40203B" w:rsidR="00162ED0" w:rsidRDefault="00162ED0" w:rsidP="00162ED0">
            <w:pPr>
              <w:pStyle w:val="Tabletext"/>
            </w:pPr>
            <w:r>
              <w:t>3-</w:t>
            </w:r>
            <w:r w:rsidR="00051B31">
              <w:t>170</w:t>
            </w:r>
            <w:r>
              <w:t>(2)</w:t>
            </w:r>
          </w:p>
        </w:tc>
        <w:tc>
          <w:tcPr>
            <w:tcW w:w="5367" w:type="dxa"/>
          </w:tcPr>
          <w:p w14:paraId="03D031F7" w14:textId="77777777" w:rsidR="00162ED0" w:rsidRPr="00E74106" w:rsidRDefault="00162ED0" w:rsidP="00162ED0">
            <w:pPr>
              <w:pStyle w:val="Tabletext"/>
            </w:pPr>
            <w:r w:rsidRPr="001F2C81">
              <w:t>If the result of the disposition of Local Tangible Assets by a Constituent Entity of the MNE Group located in a jurisdiction, excluding any gain or loss on a transfer of assets between Group Members, is</w:t>
            </w:r>
            <w:r>
              <w:t xml:space="preserve"> </w:t>
            </w:r>
            <w:r w:rsidRPr="007324D6">
              <w:t xml:space="preserve">a net gain in a Fiscal Year—then the Constituent Entity has a </w:t>
            </w:r>
            <w:r w:rsidRPr="007324D6">
              <w:rPr>
                <w:b/>
                <w:i/>
              </w:rPr>
              <w:t>Net Asset Gain</w:t>
            </w:r>
            <w:r w:rsidRPr="007324D6">
              <w:t xml:space="preserve"> for the Fiscal Year of that amount</w:t>
            </w:r>
            <w:r>
              <w:t>.</w:t>
            </w:r>
          </w:p>
        </w:tc>
      </w:tr>
      <w:tr w:rsidR="00162ED0" w:rsidRPr="00020288" w14:paraId="253C5F9F" w14:textId="77777777" w:rsidTr="00AF7204">
        <w:tc>
          <w:tcPr>
            <w:tcW w:w="2334" w:type="dxa"/>
            <w:gridSpan w:val="2"/>
          </w:tcPr>
          <w:p w14:paraId="1D428A54" w14:textId="77777777" w:rsidR="00162ED0" w:rsidRDefault="00162ED0" w:rsidP="00162ED0">
            <w:pPr>
              <w:pStyle w:val="Tabletext"/>
            </w:pPr>
            <w:r>
              <w:t>Net Asset Loss</w:t>
            </w:r>
          </w:p>
          <w:p w14:paraId="1CC16FE4" w14:textId="4CB21CC7" w:rsidR="00162ED0" w:rsidRDefault="00162ED0" w:rsidP="00162ED0">
            <w:pPr>
              <w:pStyle w:val="Tabletext"/>
            </w:pPr>
            <w:r>
              <w:t>3-</w:t>
            </w:r>
            <w:r w:rsidR="00051B31">
              <w:t>170</w:t>
            </w:r>
            <w:r>
              <w:t>(2)</w:t>
            </w:r>
          </w:p>
        </w:tc>
        <w:tc>
          <w:tcPr>
            <w:tcW w:w="5367" w:type="dxa"/>
          </w:tcPr>
          <w:p w14:paraId="43EE3A38" w14:textId="77777777" w:rsidR="00162ED0" w:rsidRPr="001F2C81" w:rsidRDefault="00162ED0" w:rsidP="00162ED0">
            <w:pPr>
              <w:pStyle w:val="Tabletext"/>
            </w:pPr>
            <w:r w:rsidRPr="001F2C81">
              <w:t>If the result of the disposition of Local Tangible Assets by a Constituent Entity of the MNE Group located in a jurisdiction, excluding any gain or loss on a transfer of assets between Group Members, is</w:t>
            </w:r>
            <w:r>
              <w:t xml:space="preserve"> </w:t>
            </w:r>
            <w:r w:rsidRPr="007324D6">
              <w:t xml:space="preserve">a net </w:t>
            </w:r>
            <w:r>
              <w:t>loss</w:t>
            </w:r>
            <w:r w:rsidRPr="007324D6">
              <w:t xml:space="preserve"> in a Fiscal Year—then the Constituent Entity has a </w:t>
            </w:r>
            <w:r w:rsidRPr="007324D6">
              <w:rPr>
                <w:b/>
                <w:i/>
              </w:rPr>
              <w:t xml:space="preserve">Net Asset </w:t>
            </w:r>
            <w:r>
              <w:rPr>
                <w:b/>
                <w:i/>
              </w:rPr>
              <w:t>Loss</w:t>
            </w:r>
            <w:r w:rsidRPr="007324D6">
              <w:t xml:space="preserve"> for the Fiscal Year of that amount</w:t>
            </w:r>
            <w:r>
              <w:t>, expressed as a positive amount.</w:t>
            </w:r>
          </w:p>
        </w:tc>
      </w:tr>
      <w:tr w:rsidR="00162ED0" w:rsidRPr="00020288" w14:paraId="52508B3E" w14:textId="77777777" w:rsidTr="00AF7204">
        <w:tc>
          <w:tcPr>
            <w:tcW w:w="2334" w:type="dxa"/>
            <w:gridSpan w:val="2"/>
          </w:tcPr>
          <w:p w14:paraId="182D121C" w14:textId="77777777" w:rsidR="00162ED0" w:rsidRDefault="00162ED0" w:rsidP="00162ED0">
            <w:pPr>
              <w:pStyle w:val="Tabletext"/>
            </w:pPr>
            <w:r>
              <w:lastRenderedPageBreak/>
              <w:t>Net Book Value of Tangible Assets</w:t>
            </w:r>
          </w:p>
          <w:p w14:paraId="141C6A41" w14:textId="0BEF2D67" w:rsidR="00162ED0" w:rsidRDefault="00162ED0" w:rsidP="00162ED0">
            <w:pPr>
              <w:pStyle w:val="Tabletext"/>
            </w:pPr>
            <w:r>
              <w:t>2-</w:t>
            </w:r>
            <w:r w:rsidR="00051B31">
              <w:t>80</w:t>
            </w:r>
          </w:p>
        </w:tc>
        <w:tc>
          <w:tcPr>
            <w:tcW w:w="5367" w:type="dxa"/>
          </w:tcPr>
          <w:p w14:paraId="21250E4A" w14:textId="77777777" w:rsidR="00162ED0" w:rsidRPr="006A2ECE" w:rsidRDefault="00162ED0" w:rsidP="00162ED0">
            <w:pPr>
              <w:pStyle w:val="Tabletext"/>
            </w:pPr>
            <w:r w:rsidRPr="006A2ECE">
              <w:t xml:space="preserve">The </w:t>
            </w:r>
            <w:r w:rsidRPr="006A2ECE">
              <w:rPr>
                <w:b/>
                <w:i/>
              </w:rPr>
              <w:t>Net Book Value of Tangible Assets</w:t>
            </w:r>
            <w:r w:rsidRPr="006A2ECE">
              <w:t xml:space="preserve"> for a Fiscal Year of a Constituent Entity of an MNE Group means the average of the beginning and end values for the Fiscal Year of Tangible Assets after taking into account accumulated depreciation, depletion, and impairment, as recorded in the financial statements of the Constituent Entity.</w:t>
            </w:r>
          </w:p>
          <w:p w14:paraId="25A1FC15" w14:textId="77777777" w:rsidR="00162ED0" w:rsidRPr="001F2C81" w:rsidRDefault="00162ED0" w:rsidP="00162ED0">
            <w:pPr>
              <w:pStyle w:val="Tabletext"/>
            </w:pPr>
            <w:r w:rsidRPr="006A2ECE">
              <w:t>Tangible Assets do not include cash or cash equivalents, intangibles, or financial assets.</w:t>
            </w:r>
          </w:p>
        </w:tc>
      </w:tr>
      <w:tr w:rsidR="00162ED0" w:rsidRPr="00020288" w14:paraId="1356AD4E" w14:textId="77777777" w:rsidTr="00AF7204">
        <w:tc>
          <w:tcPr>
            <w:tcW w:w="2334" w:type="dxa"/>
            <w:gridSpan w:val="2"/>
          </w:tcPr>
          <w:p w14:paraId="76FAACA7" w14:textId="77777777" w:rsidR="00162ED0" w:rsidRDefault="00162ED0" w:rsidP="00162ED0">
            <w:pPr>
              <w:pStyle w:val="Tabletext"/>
            </w:pPr>
            <w:r>
              <w:t>Net GloBE Income</w:t>
            </w:r>
          </w:p>
          <w:p w14:paraId="09BE686D" w14:textId="60A47C8B" w:rsidR="00162ED0" w:rsidRDefault="00162ED0" w:rsidP="00162ED0">
            <w:pPr>
              <w:pStyle w:val="Tabletext"/>
            </w:pPr>
            <w:r>
              <w:t>5-</w:t>
            </w:r>
            <w:r w:rsidR="003D165E">
              <w:t>15</w:t>
            </w:r>
          </w:p>
        </w:tc>
        <w:tc>
          <w:tcPr>
            <w:tcW w:w="5367" w:type="dxa"/>
          </w:tcPr>
          <w:p w14:paraId="68B8C47C" w14:textId="77777777" w:rsidR="00162ED0" w:rsidRPr="001F2C81" w:rsidRDefault="00162ED0" w:rsidP="00162ED0">
            <w:pPr>
              <w:pStyle w:val="Tabletext"/>
            </w:pPr>
            <w:r>
              <w:t xml:space="preserve">If, for an MNE Group for a jurisdiction for a Fiscal Year, the GloBE Income of all Constituent Entities minus the GloBE Losses of all Constituent Entities is a positive amount, the </w:t>
            </w:r>
            <w:r w:rsidRPr="00236A72">
              <w:rPr>
                <w:b/>
                <w:i/>
              </w:rPr>
              <w:t>Net GloBE Income</w:t>
            </w:r>
            <w:r>
              <w:t xml:space="preserve"> of the MNE Group for the jurisdiction for the Fiscal Year is that amount. </w:t>
            </w:r>
          </w:p>
        </w:tc>
      </w:tr>
      <w:tr w:rsidR="00162ED0" w:rsidRPr="00020288" w14:paraId="74CD8F4F" w14:textId="77777777" w:rsidTr="00AF7204">
        <w:tc>
          <w:tcPr>
            <w:tcW w:w="2334" w:type="dxa"/>
            <w:gridSpan w:val="2"/>
          </w:tcPr>
          <w:p w14:paraId="7F433E28" w14:textId="77777777" w:rsidR="00162ED0" w:rsidRDefault="00162ED0" w:rsidP="00162ED0">
            <w:pPr>
              <w:pStyle w:val="Tabletext"/>
            </w:pPr>
            <w:r>
              <w:t>Net GloBE Loss</w:t>
            </w:r>
          </w:p>
          <w:p w14:paraId="51B486E8" w14:textId="7E987447" w:rsidR="00162ED0" w:rsidRDefault="00162ED0" w:rsidP="00162ED0">
            <w:pPr>
              <w:pStyle w:val="Tabletext"/>
            </w:pPr>
            <w:r>
              <w:t>5-</w:t>
            </w:r>
            <w:r w:rsidR="003D165E">
              <w:t>15</w:t>
            </w:r>
          </w:p>
        </w:tc>
        <w:tc>
          <w:tcPr>
            <w:tcW w:w="5367" w:type="dxa"/>
          </w:tcPr>
          <w:p w14:paraId="15A84E39" w14:textId="6E90818C" w:rsidR="00162ED0" w:rsidRPr="001F2C81" w:rsidRDefault="00162ED0" w:rsidP="00162ED0">
            <w:pPr>
              <w:pStyle w:val="Tabletext"/>
            </w:pPr>
            <w:r>
              <w:t>If, for an MNE Group for a jurisdiction for a Fiscal Year, the GloBE Income of all Constituent Entities minus the GloBE Losses of all Constituent Entities is a negative amount</w:t>
            </w:r>
            <w:r w:rsidR="0091069C">
              <w:t xml:space="preserve"> or nil</w:t>
            </w:r>
            <w:r>
              <w:t xml:space="preserve">, the </w:t>
            </w:r>
            <w:r w:rsidRPr="00584B65">
              <w:rPr>
                <w:b/>
                <w:bCs/>
                <w:i/>
                <w:iCs/>
              </w:rPr>
              <w:t xml:space="preserve">Net GloBE </w:t>
            </w:r>
            <w:r>
              <w:rPr>
                <w:b/>
                <w:bCs/>
                <w:i/>
                <w:iCs/>
              </w:rPr>
              <w:t>Loss</w:t>
            </w:r>
            <w:r>
              <w:t xml:space="preserve"> of the MNE Group for the jurisdiction for the Fiscal Year is the absolute value of that amount.</w:t>
            </w:r>
          </w:p>
        </w:tc>
      </w:tr>
      <w:tr w:rsidR="00162ED0" w:rsidRPr="00020288" w14:paraId="7798ECF9" w14:textId="77777777" w:rsidTr="00AF7204">
        <w:tc>
          <w:tcPr>
            <w:tcW w:w="2334" w:type="dxa"/>
            <w:gridSpan w:val="2"/>
          </w:tcPr>
          <w:p w14:paraId="0CFFC928" w14:textId="77777777" w:rsidR="00162ED0" w:rsidRDefault="00162ED0" w:rsidP="00162ED0">
            <w:pPr>
              <w:pStyle w:val="Tabletext"/>
            </w:pPr>
            <w:r>
              <w:t>Net Unrealised Fair Value Loss</w:t>
            </w:r>
          </w:p>
          <w:p w14:paraId="4BD4B5F5" w14:textId="7F4C6C80" w:rsidR="00162ED0" w:rsidRDefault="00162ED0" w:rsidP="00162ED0">
            <w:pPr>
              <w:pStyle w:val="Tabletext"/>
            </w:pPr>
            <w:r>
              <w:t>8-</w:t>
            </w:r>
            <w:r w:rsidR="003D165E">
              <w:t>100</w:t>
            </w:r>
            <w:r>
              <w:t>(2)</w:t>
            </w:r>
          </w:p>
        </w:tc>
        <w:tc>
          <w:tcPr>
            <w:tcW w:w="5367" w:type="dxa"/>
          </w:tcPr>
          <w:p w14:paraId="3A555B36" w14:textId="77777777" w:rsidR="00162ED0" w:rsidRPr="001F2C81" w:rsidRDefault="00162ED0" w:rsidP="00162ED0">
            <w:pPr>
              <w:pStyle w:val="Tabletext"/>
            </w:pPr>
            <w:r w:rsidRPr="00EE1A1B">
              <w:t xml:space="preserve">An MNE Group’s </w:t>
            </w:r>
            <w:r w:rsidRPr="00EE1A1B">
              <w:rPr>
                <w:b/>
                <w:i/>
              </w:rPr>
              <w:t>Net Unrealised Fair Value Loss</w:t>
            </w:r>
            <w:r w:rsidRPr="00EE1A1B">
              <w:t xml:space="preserve"> for a jurisdiction for a Fiscal Year means the sum of all losses, as reduced by any gains, which arise from changes in fair value of Ownership Interests (except for Portfolio Shareholdings) held by any Constituent Entity of the MNE Group.</w:t>
            </w:r>
          </w:p>
        </w:tc>
      </w:tr>
      <w:tr w:rsidR="00162ED0" w:rsidRPr="00020288" w14:paraId="35BED910" w14:textId="77777777" w:rsidTr="00AF7204">
        <w:tc>
          <w:tcPr>
            <w:tcW w:w="2334" w:type="dxa"/>
            <w:gridSpan w:val="2"/>
          </w:tcPr>
          <w:p w14:paraId="40C7FBCD" w14:textId="77777777" w:rsidR="00162ED0" w:rsidRDefault="00162ED0" w:rsidP="00162ED0">
            <w:pPr>
              <w:pStyle w:val="Tabletext"/>
            </w:pPr>
            <w:r>
              <w:t>Non</w:t>
            </w:r>
            <w:r>
              <w:noBreakHyphen/>
              <w:t>Marketable Transferable Tax Credit</w:t>
            </w:r>
          </w:p>
          <w:p w14:paraId="5313BE50" w14:textId="60178523" w:rsidR="00162ED0" w:rsidRDefault="00162ED0" w:rsidP="00162ED0">
            <w:pPr>
              <w:pStyle w:val="Tabletext"/>
            </w:pPr>
            <w:r>
              <w:t>3-</w:t>
            </w:r>
            <w:r w:rsidR="003D165E">
              <w:t>140</w:t>
            </w:r>
          </w:p>
        </w:tc>
        <w:tc>
          <w:tcPr>
            <w:tcW w:w="5367" w:type="dxa"/>
          </w:tcPr>
          <w:p w14:paraId="3778F0E9" w14:textId="77777777" w:rsidR="00162ED0" w:rsidRPr="001F2C81" w:rsidRDefault="00162ED0" w:rsidP="00162ED0">
            <w:pPr>
              <w:pStyle w:val="Tabletext"/>
            </w:pPr>
            <w:r>
              <w:t>A tax credit that is held by the person to whom the tax credit was originally granted, is transferable and is not a Marketable Transferable Tax Credit; or is held by a purchaser and is not a Marketable Transferable Tax Credit.</w:t>
            </w:r>
          </w:p>
        </w:tc>
      </w:tr>
      <w:tr w:rsidR="00162ED0" w:rsidRPr="00020288" w14:paraId="4B2A2F94" w14:textId="77777777" w:rsidTr="00AF7204">
        <w:tc>
          <w:tcPr>
            <w:tcW w:w="2334" w:type="dxa"/>
            <w:gridSpan w:val="2"/>
          </w:tcPr>
          <w:p w14:paraId="7599FA0D" w14:textId="77777777" w:rsidR="00162ED0" w:rsidRDefault="00162ED0" w:rsidP="00162ED0">
            <w:pPr>
              <w:pStyle w:val="Tabletext"/>
            </w:pPr>
            <w:r>
              <w:t>Non</w:t>
            </w:r>
            <w:r>
              <w:noBreakHyphen/>
              <w:t>material Constituent Entity (NMCE)</w:t>
            </w:r>
          </w:p>
          <w:p w14:paraId="2F1AAA40" w14:textId="66D6A9B9" w:rsidR="00162ED0" w:rsidRDefault="00162ED0" w:rsidP="00162ED0">
            <w:pPr>
              <w:pStyle w:val="Tabletext"/>
            </w:pPr>
            <w:r>
              <w:t>8-</w:t>
            </w:r>
            <w:r w:rsidR="00E9731D">
              <w:t>185</w:t>
            </w:r>
          </w:p>
        </w:tc>
        <w:tc>
          <w:tcPr>
            <w:tcW w:w="5367" w:type="dxa"/>
          </w:tcPr>
          <w:p w14:paraId="2D0237E3" w14:textId="77777777" w:rsidR="00162ED0" w:rsidRPr="00E9126A" w:rsidRDefault="00162ED0" w:rsidP="00162ED0">
            <w:pPr>
              <w:pStyle w:val="Tabletext"/>
            </w:pPr>
            <w:r w:rsidRPr="00E9126A">
              <w:t xml:space="preserve">A </w:t>
            </w:r>
            <w:r w:rsidRPr="00E9126A">
              <w:rPr>
                <w:b/>
                <w:i/>
              </w:rPr>
              <w:t>Non</w:t>
            </w:r>
            <w:r w:rsidRPr="00E9126A">
              <w:rPr>
                <w:b/>
                <w:i/>
              </w:rPr>
              <w:noBreakHyphen/>
              <w:t>material Constituent Entity</w:t>
            </w:r>
            <w:r w:rsidRPr="00E9126A">
              <w:rPr>
                <w:b/>
              </w:rPr>
              <w:t xml:space="preserve"> </w:t>
            </w:r>
            <w:r w:rsidRPr="00E9126A">
              <w:t xml:space="preserve">(or </w:t>
            </w:r>
            <w:r w:rsidRPr="00E9126A">
              <w:rPr>
                <w:b/>
                <w:i/>
              </w:rPr>
              <w:t>NMCE</w:t>
            </w:r>
            <w:r w:rsidRPr="00E9126A">
              <w:t>) is a Constituent Entity of an MNE Group for a Fiscal Year if:</w:t>
            </w:r>
          </w:p>
          <w:p w14:paraId="4926C2C0" w14:textId="77777777" w:rsidR="00162ED0" w:rsidRPr="00E9126A" w:rsidRDefault="00162ED0" w:rsidP="00162ED0">
            <w:pPr>
              <w:pStyle w:val="Tabledotpoint1"/>
            </w:pPr>
            <w:r w:rsidRPr="00E9126A">
              <w:t>where it is an Entity:</w:t>
            </w:r>
          </w:p>
          <w:p w14:paraId="6F0A1DEF" w14:textId="5AE88AC9" w:rsidR="00162ED0" w:rsidRPr="00E9126A" w:rsidRDefault="00162ED0" w:rsidP="00B7652D">
            <w:pPr>
              <w:pStyle w:val="Tabledotpoint2"/>
              <w:keepNext/>
              <w:ind w:left="817" w:hanging="426"/>
            </w:pPr>
            <w:r w:rsidRPr="00E9126A">
              <w:t>the Entity is not consolidated on a line</w:t>
            </w:r>
            <w:r w:rsidRPr="00E9126A">
              <w:noBreakHyphen/>
              <w:t>by</w:t>
            </w:r>
            <w:r w:rsidRPr="00E9126A">
              <w:noBreakHyphen/>
              <w:t xml:space="preserve">line basis in the </w:t>
            </w:r>
            <w:r>
              <w:t>CFS</w:t>
            </w:r>
            <w:r w:rsidRPr="00E9126A">
              <w:t xml:space="preserve"> of the </w:t>
            </w:r>
            <w:r>
              <w:t>UPE</w:t>
            </w:r>
            <w:r w:rsidRPr="00E9126A">
              <w:t xml:space="preserve"> of the MNE Group for the Fiscal Year solely on size or materiality grounds; and </w:t>
            </w:r>
          </w:p>
          <w:p w14:paraId="722B4006" w14:textId="26211F35" w:rsidR="00162ED0" w:rsidRPr="00E9126A" w:rsidRDefault="00162ED0" w:rsidP="00B7652D">
            <w:pPr>
              <w:pStyle w:val="Tabledotpoint2"/>
              <w:keepNext/>
              <w:ind w:left="817" w:hanging="426"/>
            </w:pPr>
            <w:r w:rsidRPr="00E9126A">
              <w:t xml:space="preserve">those </w:t>
            </w:r>
            <w:r>
              <w:t>CFS</w:t>
            </w:r>
            <w:r w:rsidRPr="00E9126A">
              <w:t xml:space="preserve"> are described in paragraph (a) or (c) of the definition of </w:t>
            </w:r>
            <w:r>
              <w:t>CFS</w:t>
            </w:r>
            <w:r w:rsidRPr="00E9126A">
              <w:t xml:space="preserve"> in section 34 of the </w:t>
            </w:r>
            <w:r w:rsidR="002359E2">
              <w:t xml:space="preserve">Assessment </w:t>
            </w:r>
            <w:r w:rsidRPr="00E9126A">
              <w:t>Act; and</w:t>
            </w:r>
          </w:p>
          <w:p w14:paraId="00441D18" w14:textId="5FB6F417" w:rsidR="00162ED0" w:rsidRPr="00E9126A" w:rsidRDefault="00162ED0" w:rsidP="00B7652D">
            <w:pPr>
              <w:pStyle w:val="Tabledotpoint2"/>
              <w:keepNext/>
              <w:ind w:left="817" w:hanging="426"/>
            </w:pPr>
            <w:r w:rsidRPr="00E9126A">
              <w:t xml:space="preserve">those </w:t>
            </w:r>
            <w:r>
              <w:t>CFS</w:t>
            </w:r>
            <w:r w:rsidRPr="00E9126A">
              <w:t xml:space="preserve"> are externally audited; and</w:t>
            </w:r>
          </w:p>
          <w:p w14:paraId="501CDF62" w14:textId="08BF0D45" w:rsidR="00162ED0" w:rsidRPr="00E9126A" w:rsidRDefault="00162ED0" w:rsidP="00B7652D">
            <w:pPr>
              <w:pStyle w:val="Tabledotpoint2"/>
              <w:keepNext/>
              <w:ind w:left="817" w:hanging="426"/>
            </w:pPr>
            <w:r w:rsidRPr="00E9126A">
              <w:t xml:space="preserve">the external audit was performed in accordance with the auditing standards issued by the auditing standards board in </w:t>
            </w:r>
            <w:r w:rsidRPr="00E9126A">
              <w:lastRenderedPageBreak/>
              <w:t xml:space="preserve">the jurisdiction in which the </w:t>
            </w:r>
            <w:r>
              <w:t>UPE</w:t>
            </w:r>
            <w:r w:rsidRPr="00E9126A">
              <w:t xml:space="preserve"> of the MNE Group is located; and</w:t>
            </w:r>
          </w:p>
          <w:p w14:paraId="7EB29F3F" w14:textId="246CCDA9" w:rsidR="00162ED0" w:rsidRPr="00E9126A" w:rsidRDefault="00162ED0" w:rsidP="00B7652D">
            <w:pPr>
              <w:pStyle w:val="Tabledotpoint2"/>
              <w:keepNext/>
              <w:ind w:left="817" w:hanging="426"/>
            </w:pPr>
            <w:r w:rsidRPr="00E9126A">
              <w:t>the report from the external audit is not qualified in a respect that is relevant to the matter mentioned in subparagraph (i); and</w:t>
            </w:r>
          </w:p>
          <w:p w14:paraId="25942AA6" w14:textId="7D1A8BB5" w:rsidR="00162ED0" w:rsidRPr="00E9126A" w:rsidRDefault="00162ED0" w:rsidP="00B7652D">
            <w:pPr>
              <w:pStyle w:val="Tabledotpoint2"/>
              <w:keepNext/>
              <w:ind w:left="817" w:hanging="426"/>
            </w:pPr>
            <w:r w:rsidRPr="00E9126A">
              <w:t xml:space="preserve">if the Entity’s Total Revenue for the Fiscal Year exceeds 50 million Euros—its financial accounts are prepared in accordance with an Acceptable </w:t>
            </w:r>
            <w:r>
              <w:t xml:space="preserve">FAS </w:t>
            </w:r>
            <w:r w:rsidRPr="00E9126A">
              <w:t xml:space="preserve">or an Authorised </w:t>
            </w:r>
            <w:r>
              <w:t>FAS</w:t>
            </w:r>
            <w:r w:rsidRPr="00E9126A">
              <w:t xml:space="preserve">; and </w:t>
            </w:r>
          </w:p>
          <w:p w14:paraId="4034F866" w14:textId="77777777" w:rsidR="00162ED0" w:rsidRPr="001F2C81" w:rsidRDefault="00162ED0" w:rsidP="00162ED0">
            <w:pPr>
              <w:pStyle w:val="Tabledotpoint1"/>
            </w:pPr>
            <w:r w:rsidRPr="00E9126A">
              <w:t>where it is a Permanent Establishment—the Main Entity in respect of the Permanent Establishment is an NMCE for the Fiscal Year under paragraph (a)</w:t>
            </w:r>
            <w:r>
              <w:t>.</w:t>
            </w:r>
          </w:p>
        </w:tc>
      </w:tr>
      <w:tr w:rsidR="00162ED0" w:rsidRPr="00020288" w14:paraId="59C17DEF" w14:textId="77777777" w:rsidTr="00AF7204">
        <w:tc>
          <w:tcPr>
            <w:tcW w:w="2334" w:type="dxa"/>
            <w:gridSpan w:val="2"/>
          </w:tcPr>
          <w:p w14:paraId="2C702865" w14:textId="77777777" w:rsidR="00162ED0" w:rsidRDefault="00162ED0" w:rsidP="00162ED0">
            <w:pPr>
              <w:pStyle w:val="Tabletext"/>
            </w:pPr>
            <w:r>
              <w:lastRenderedPageBreak/>
              <w:t>Non</w:t>
            </w:r>
            <w:r>
              <w:noBreakHyphen/>
              <w:t>Qualified Refundable Tax Credit</w:t>
            </w:r>
          </w:p>
          <w:p w14:paraId="65CA662F" w14:textId="1AA56700" w:rsidR="00162ED0" w:rsidRDefault="00162ED0" w:rsidP="00162ED0">
            <w:pPr>
              <w:pStyle w:val="Tabletext"/>
            </w:pPr>
            <w:r>
              <w:t>3-12</w:t>
            </w:r>
            <w:r w:rsidR="00F257C8">
              <w:t>5</w:t>
            </w:r>
            <w:r>
              <w:t>(3)</w:t>
            </w:r>
          </w:p>
        </w:tc>
        <w:tc>
          <w:tcPr>
            <w:tcW w:w="5367" w:type="dxa"/>
          </w:tcPr>
          <w:p w14:paraId="20BEFB75" w14:textId="77777777" w:rsidR="00162ED0" w:rsidRPr="001F2C81" w:rsidRDefault="00162ED0" w:rsidP="00162ED0">
            <w:pPr>
              <w:pStyle w:val="Tabletext"/>
            </w:pPr>
            <w:r>
              <w:t>A Refundable Tax Credit that is not a Qualified Refundable Tax Credit or a Marketable Transferable Tax Credit.</w:t>
            </w:r>
          </w:p>
        </w:tc>
      </w:tr>
      <w:tr w:rsidR="00162ED0" w:rsidRPr="00020288" w14:paraId="5923F23D" w14:textId="77777777" w:rsidTr="00AF7204">
        <w:tc>
          <w:tcPr>
            <w:tcW w:w="2334" w:type="dxa"/>
            <w:gridSpan w:val="2"/>
          </w:tcPr>
          <w:p w14:paraId="6F093022" w14:textId="77777777" w:rsidR="00162ED0" w:rsidRDefault="00162ED0" w:rsidP="00162ED0">
            <w:pPr>
              <w:pStyle w:val="Tabletext"/>
            </w:pPr>
            <w:r>
              <w:t>Non</w:t>
            </w:r>
            <w:r>
              <w:noBreakHyphen/>
              <w:t>Qualifying Gain or Loss</w:t>
            </w:r>
          </w:p>
          <w:p w14:paraId="4E888149" w14:textId="52DA740E" w:rsidR="00162ED0" w:rsidRDefault="00162ED0" w:rsidP="00162ED0">
            <w:pPr>
              <w:pStyle w:val="Tabletext"/>
            </w:pPr>
            <w:r>
              <w:t>6-</w:t>
            </w:r>
            <w:r w:rsidR="00F257C8">
              <w:t>65</w:t>
            </w:r>
            <w:r>
              <w:t>(4)</w:t>
            </w:r>
          </w:p>
        </w:tc>
        <w:tc>
          <w:tcPr>
            <w:tcW w:w="5367" w:type="dxa"/>
          </w:tcPr>
          <w:p w14:paraId="65D4ADF3" w14:textId="77777777" w:rsidR="00162ED0" w:rsidRDefault="00162ED0" w:rsidP="00162ED0">
            <w:pPr>
              <w:pStyle w:val="Tabletext"/>
            </w:pPr>
            <w:r>
              <w:t xml:space="preserve">In relation to a GloBE Reorganisation, a </w:t>
            </w:r>
            <w:r>
              <w:rPr>
                <w:b/>
                <w:bCs/>
                <w:i/>
                <w:iCs/>
              </w:rPr>
              <w:t xml:space="preserve">Non-Qualifying Gain or Loss </w:t>
            </w:r>
            <w:r>
              <w:t>is the lesser of the following:</w:t>
            </w:r>
          </w:p>
          <w:p w14:paraId="2B223AB7" w14:textId="77777777" w:rsidR="00162ED0" w:rsidRPr="00B56EFD" w:rsidRDefault="00162ED0" w:rsidP="00162ED0">
            <w:pPr>
              <w:pStyle w:val="Tabledotpoint1"/>
            </w:pPr>
            <w:r w:rsidRPr="00B56EFD">
              <w:t>the portion of the gain or loss of the transferor arising in connection with the GloBE Reorganisation that is subject to Tax in the jurisdiction in which the transferor is located;</w:t>
            </w:r>
          </w:p>
          <w:p w14:paraId="5B33467C" w14:textId="77777777" w:rsidR="00162ED0" w:rsidRPr="001F2C81" w:rsidRDefault="00162ED0" w:rsidP="00162ED0">
            <w:pPr>
              <w:pStyle w:val="Tabledotpoint1"/>
            </w:pPr>
            <w:r w:rsidRPr="00B56EFD">
              <w:t>the transferor’s financial accounting gain or loss arising in connection with the GloBE Reorganisation.</w:t>
            </w:r>
          </w:p>
        </w:tc>
      </w:tr>
      <w:tr w:rsidR="00162ED0" w:rsidRPr="00020288" w14:paraId="77802DD2" w14:textId="77777777" w:rsidTr="00AF7204">
        <w:tc>
          <w:tcPr>
            <w:tcW w:w="2334" w:type="dxa"/>
            <w:gridSpan w:val="2"/>
          </w:tcPr>
          <w:p w14:paraId="5310FD47" w14:textId="77777777" w:rsidR="00162ED0" w:rsidRDefault="00162ED0" w:rsidP="00162ED0">
            <w:pPr>
              <w:pStyle w:val="Tabletext"/>
            </w:pPr>
            <w:r>
              <w:t>OECD Model Tax Convention</w:t>
            </w:r>
          </w:p>
        </w:tc>
        <w:tc>
          <w:tcPr>
            <w:tcW w:w="5367" w:type="dxa"/>
          </w:tcPr>
          <w:p w14:paraId="4DD174F1" w14:textId="1D3CE7A3" w:rsidR="00162ED0" w:rsidRPr="001F2C81" w:rsidRDefault="00162ED0" w:rsidP="00162ED0">
            <w:pPr>
              <w:pStyle w:val="Tabletext"/>
            </w:pPr>
            <w:r>
              <w:t>T</w:t>
            </w:r>
            <w:r w:rsidRPr="00DD5CBC">
              <w:t xml:space="preserve">he Model Tax Convention on Income and on Capital published (from time to time) by the Council of the </w:t>
            </w:r>
            <w:r w:rsidR="00316791">
              <w:t>OECD</w:t>
            </w:r>
            <w:r w:rsidR="00AB5467">
              <w:t>.</w:t>
            </w:r>
          </w:p>
        </w:tc>
      </w:tr>
      <w:tr w:rsidR="00162ED0" w:rsidRPr="00020288" w14:paraId="756EBF94" w14:textId="77777777" w:rsidTr="00AF7204">
        <w:tc>
          <w:tcPr>
            <w:tcW w:w="2334" w:type="dxa"/>
            <w:gridSpan w:val="2"/>
          </w:tcPr>
          <w:p w14:paraId="34F9565C" w14:textId="77777777" w:rsidR="00162ED0" w:rsidRDefault="00162ED0" w:rsidP="00162ED0">
            <w:pPr>
              <w:pStyle w:val="Tabletext"/>
            </w:pPr>
            <w:r w:rsidRPr="00F60B5B">
              <w:t>OECD Securitisation Entity</w:t>
            </w:r>
          </w:p>
          <w:p w14:paraId="0B6ABD30" w14:textId="6E80513C" w:rsidR="00BD5CA5" w:rsidRDefault="00BD5CA5" w:rsidP="00162ED0">
            <w:pPr>
              <w:pStyle w:val="Tabletext"/>
            </w:pPr>
            <w:r>
              <w:t>8-</w:t>
            </w:r>
            <w:r w:rsidR="00F257C8">
              <w:t>215</w:t>
            </w:r>
            <w:r w:rsidR="00AB5467">
              <w:t>(1)</w:t>
            </w:r>
            <w:r>
              <w:t xml:space="preserve"> </w:t>
            </w:r>
          </w:p>
        </w:tc>
        <w:tc>
          <w:tcPr>
            <w:tcW w:w="5367" w:type="dxa"/>
          </w:tcPr>
          <w:p w14:paraId="18E8A37F" w14:textId="77777777" w:rsidR="00162ED0" w:rsidRDefault="00162ED0" w:rsidP="00162ED0">
            <w:pPr>
              <w:pStyle w:val="Tabletext"/>
              <w:ind w:left="0"/>
            </w:pPr>
            <w:r>
              <w:t>An Entity is an OECD Securitisation Entity if:</w:t>
            </w:r>
          </w:p>
          <w:p w14:paraId="2FD4F66F" w14:textId="77777777" w:rsidR="00162ED0" w:rsidRDefault="00162ED0" w:rsidP="00B7652D">
            <w:pPr>
              <w:pStyle w:val="Tabledotpoint1"/>
            </w:pPr>
            <w:r>
              <w:t>the Entity is a participant in a Securitisation Arrangement; and</w:t>
            </w:r>
          </w:p>
          <w:p w14:paraId="17FEDC1D" w14:textId="77777777" w:rsidR="00162ED0" w:rsidRDefault="00162ED0" w:rsidP="00B7652D">
            <w:pPr>
              <w:pStyle w:val="Tabledotpoint1"/>
            </w:pPr>
            <w:r>
              <w:t>the Entity only carries out activities that facilitate one or more Securitisation Arrangements; and</w:t>
            </w:r>
          </w:p>
          <w:p w14:paraId="274F0B92" w14:textId="77777777" w:rsidR="00162ED0" w:rsidRDefault="00162ED0" w:rsidP="00B7652D">
            <w:pPr>
              <w:pStyle w:val="Tabledotpoint1"/>
            </w:pPr>
            <w:r>
              <w:t>the Entity grants security over its assets in favour of its creditors (or the creditors of another OECD Securitisation Entity); and</w:t>
            </w:r>
          </w:p>
          <w:p w14:paraId="1E7B9B03" w14:textId="77777777" w:rsidR="00162ED0" w:rsidRDefault="00162ED0" w:rsidP="00B7652D">
            <w:pPr>
              <w:pStyle w:val="Tabledotpoint1"/>
            </w:pPr>
            <w:r>
              <w:t>the Entity pays out all cash received from its assets to its creditors (or the creditors of another OECD Securitisation Entity), on an annual or more frequent basis, other than:</w:t>
            </w:r>
          </w:p>
          <w:p w14:paraId="06F673B2" w14:textId="77777777" w:rsidR="00162ED0" w:rsidRPr="00B7652D" w:rsidRDefault="00162ED0" w:rsidP="00B7652D">
            <w:pPr>
              <w:pStyle w:val="Tabledotpoint2"/>
              <w:keepNext/>
              <w:ind w:left="817" w:hanging="426"/>
            </w:pPr>
            <w:r>
              <w:lastRenderedPageBreak/>
              <w:t xml:space="preserve">cash retained to meet an amount of profit required by the documentation of the Securitisation Arrangement, for eventual distribution to equity holders (or equivalent) </w:t>
            </w:r>
          </w:p>
          <w:p w14:paraId="37C13095" w14:textId="77777777" w:rsidR="00162ED0" w:rsidRDefault="00162ED0" w:rsidP="00B7652D">
            <w:pPr>
              <w:pStyle w:val="Tabledotpoint2"/>
              <w:keepNext/>
              <w:ind w:left="817" w:hanging="426"/>
            </w:pPr>
            <w:r>
              <w:t xml:space="preserve">any profit for a Fiscal Year is negligible relative to the revenues of the Entity for the Fiscal Year; or </w:t>
            </w:r>
          </w:p>
          <w:p w14:paraId="09719175" w14:textId="77777777" w:rsidR="00162ED0" w:rsidRPr="00B7652D" w:rsidRDefault="00162ED0" w:rsidP="00B7652D">
            <w:pPr>
              <w:pStyle w:val="Tabledotpoint2"/>
              <w:keepNext/>
              <w:ind w:left="817" w:hanging="426"/>
            </w:pPr>
            <w:r>
              <w:t xml:space="preserve">cash reasonably required under the terms of the Securitisation Arrangement for either or both of the following purposes: </w:t>
            </w:r>
          </w:p>
          <w:p w14:paraId="64E5FA5C" w14:textId="1288E0D8" w:rsidR="00162ED0" w:rsidRDefault="00162ED0" w:rsidP="00B7652D">
            <w:pPr>
              <w:pStyle w:val="Tabledotpoint2"/>
              <w:keepNext/>
              <w:ind w:left="817" w:hanging="426"/>
            </w:pPr>
            <w:r>
              <w:t>to make provision for future payments which are required, or will likely be required, to be made by the Entity under the terms of the Securitisation Arrangement; or</w:t>
            </w:r>
          </w:p>
          <w:p w14:paraId="65C298DA" w14:textId="77777777" w:rsidR="00162ED0" w:rsidRDefault="00162ED0" w:rsidP="00B7652D">
            <w:pPr>
              <w:pStyle w:val="Tabledotpoint2"/>
              <w:keepNext/>
              <w:ind w:left="817" w:hanging="426"/>
            </w:pPr>
            <w:r>
              <w:t>to maintain or enhance the creditworthiness of the Entity.</w:t>
            </w:r>
          </w:p>
        </w:tc>
      </w:tr>
      <w:tr w:rsidR="00162ED0" w:rsidRPr="00020288" w14:paraId="6CC7DC97" w14:textId="77777777" w:rsidTr="00AF7204">
        <w:tc>
          <w:tcPr>
            <w:tcW w:w="2334" w:type="dxa"/>
            <w:gridSpan w:val="2"/>
          </w:tcPr>
          <w:p w14:paraId="34B88F8C" w14:textId="77777777" w:rsidR="00162ED0" w:rsidRDefault="00162ED0" w:rsidP="00162ED0">
            <w:pPr>
              <w:pStyle w:val="Tabletext"/>
            </w:pPr>
            <w:r>
              <w:lastRenderedPageBreak/>
              <w:t>Other Comprehensive Income</w:t>
            </w:r>
          </w:p>
          <w:p w14:paraId="2767AE39" w14:textId="5E4F02BC" w:rsidR="00162ED0" w:rsidRDefault="00162ED0" w:rsidP="00162ED0">
            <w:pPr>
              <w:pStyle w:val="Tabletext"/>
            </w:pPr>
            <w:r>
              <w:t>3-</w:t>
            </w:r>
            <w:r w:rsidR="000350A9">
              <w:t>50</w:t>
            </w:r>
            <w:r>
              <w:t>(2)</w:t>
            </w:r>
          </w:p>
        </w:tc>
        <w:tc>
          <w:tcPr>
            <w:tcW w:w="5367" w:type="dxa"/>
          </w:tcPr>
          <w:p w14:paraId="4F939BAB" w14:textId="0687CE3C" w:rsidR="00162ED0" w:rsidRPr="001F2C81" w:rsidRDefault="00162ED0" w:rsidP="00162ED0">
            <w:pPr>
              <w:pStyle w:val="Tabletext"/>
            </w:pPr>
            <w:r>
              <w:t>I</w:t>
            </w:r>
            <w:r w:rsidRPr="00A579D6">
              <w:t xml:space="preserve">tems of income and expense that are recognised, outside of the profit or loss account, in financial statements as required or permitted by the Authorised </w:t>
            </w:r>
            <w:r>
              <w:t>FAS</w:t>
            </w:r>
            <w:r w:rsidRPr="00A579D6">
              <w:t xml:space="preserve"> used in the </w:t>
            </w:r>
            <w:r>
              <w:t>CFS</w:t>
            </w:r>
            <w:r w:rsidRPr="00A579D6">
              <w:t>.</w:t>
            </w:r>
          </w:p>
        </w:tc>
      </w:tr>
      <w:tr w:rsidR="00162ED0" w:rsidRPr="00020288" w14:paraId="43A6C436" w14:textId="77777777" w:rsidTr="00AF7204">
        <w:tc>
          <w:tcPr>
            <w:tcW w:w="2334" w:type="dxa"/>
            <w:gridSpan w:val="2"/>
          </w:tcPr>
          <w:p w14:paraId="4A667528" w14:textId="77777777" w:rsidR="00162ED0" w:rsidRDefault="00162ED0" w:rsidP="00162ED0">
            <w:pPr>
              <w:pStyle w:val="Tabletext"/>
            </w:pPr>
            <w:r>
              <w:t>Other Tax Credit</w:t>
            </w:r>
          </w:p>
          <w:p w14:paraId="57A95360" w14:textId="1A11A96C" w:rsidR="00162ED0" w:rsidRDefault="00162ED0" w:rsidP="00162ED0">
            <w:pPr>
              <w:pStyle w:val="Tabletext"/>
            </w:pPr>
            <w:r>
              <w:t>3-</w:t>
            </w:r>
            <w:r w:rsidR="000350A9">
              <w:t>1</w:t>
            </w:r>
            <w:r w:rsidR="00776ABB">
              <w:t>4</w:t>
            </w:r>
            <w:r w:rsidR="000350A9">
              <w:t>0</w:t>
            </w:r>
            <w:r>
              <w:t>(2)</w:t>
            </w:r>
          </w:p>
        </w:tc>
        <w:tc>
          <w:tcPr>
            <w:tcW w:w="5367" w:type="dxa"/>
          </w:tcPr>
          <w:p w14:paraId="15F06D88" w14:textId="7DD74E98" w:rsidR="00162ED0" w:rsidRPr="001F2C81" w:rsidRDefault="00162ED0" w:rsidP="00162ED0">
            <w:pPr>
              <w:pStyle w:val="Tabletext"/>
            </w:pPr>
            <w:r>
              <w:t>A tax credit that is not refundable or transferable and can only be used to offset a liability for Covered Tax of the person to whom the tax credit was originally granted.</w:t>
            </w:r>
          </w:p>
        </w:tc>
      </w:tr>
      <w:tr w:rsidR="00162ED0" w:rsidRPr="00020288" w14:paraId="6C3FA19F" w14:textId="77777777" w:rsidTr="00AF7204">
        <w:tc>
          <w:tcPr>
            <w:tcW w:w="2334" w:type="dxa"/>
            <w:gridSpan w:val="2"/>
          </w:tcPr>
          <w:p w14:paraId="6FC2223B" w14:textId="77777777" w:rsidR="00162ED0" w:rsidRDefault="00162ED0" w:rsidP="00162ED0">
            <w:pPr>
              <w:pStyle w:val="Tabletext"/>
            </w:pPr>
            <w:r>
              <w:t>Parent Entity</w:t>
            </w:r>
          </w:p>
        </w:tc>
        <w:tc>
          <w:tcPr>
            <w:tcW w:w="5367" w:type="dxa"/>
          </w:tcPr>
          <w:p w14:paraId="05A830BE" w14:textId="77777777" w:rsidR="00162ED0" w:rsidRDefault="00162ED0" w:rsidP="00162ED0">
            <w:pPr>
              <w:pStyle w:val="Tabletext"/>
            </w:pPr>
            <w:r>
              <w:t>Either:</w:t>
            </w:r>
          </w:p>
          <w:p w14:paraId="20628D84" w14:textId="14D86EFA" w:rsidR="00162ED0" w:rsidRPr="00D03991" w:rsidRDefault="00162ED0" w:rsidP="00162ED0">
            <w:pPr>
              <w:pStyle w:val="Tabledotpoint1"/>
            </w:pPr>
            <w:r w:rsidRPr="00D03991">
              <w:t xml:space="preserve">an </w:t>
            </w:r>
            <w:r>
              <w:t>UPE</w:t>
            </w:r>
            <w:r w:rsidRPr="00D03991">
              <w:t xml:space="preserve"> that is not an Excluded Entity; or </w:t>
            </w:r>
          </w:p>
          <w:p w14:paraId="7FDBC609" w14:textId="77777777" w:rsidR="00162ED0" w:rsidRPr="00D03991" w:rsidRDefault="00162ED0" w:rsidP="00162ED0">
            <w:pPr>
              <w:pStyle w:val="Tabledotpoint1"/>
            </w:pPr>
            <w:r w:rsidRPr="00D03991">
              <w:t>an Intermediate Parent Entity; or </w:t>
            </w:r>
          </w:p>
          <w:p w14:paraId="2D49333E" w14:textId="77777777" w:rsidR="00162ED0" w:rsidRPr="001F2C81" w:rsidRDefault="00162ED0" w:rsidP="00162ED0">
            <w:pPr>
              <w:pStyle w:val="Tabledotpoint1"/>
            </w:pPr>
            <w:r w:rsidRPr="00D03991">
              <w:t>a Partially</w:t>
            </w:r>
            <w:r>
              <w:noBreakHyphen/>
            </w:r>
            <w:r w:rsidRPr="00D03991">
              <w:t>Owned Parent Entity. </w:t>
            </w:r>
          </w:p>
        </w:tc>
      </w:tr>
      <w:tr w:rsidR="00162ED0" w:rsidRPr="00020288" w14:paraId="286DF7C5" w14:textId="77777777" w:rsidTr="00AF7204">
        <w:tc>
          <w:tcPr>
            <w:tcW w:w="2334" w:type="dxa"/>
            <w:gridSpan w:val="2"/>
          </w:tcPr>
          <w:p w14:paraId="60283145" w14:textId="2BF4FA62" w:rsidR="00162ED0" w:rsidRDefault="00162ED0" w:rsidP="00162ED0">
            <w:pPr>
              <w:pStyle w:val="Tabletext"/>
            </w:pPr>
            <w:r>
              <w:t>Partially</w:t>
            </w:r>
            <w:r>
              <w:noBreakHyphen/>
              <w:t>Owned Parent Entity</w:t>
            </w:r>
            <w:r w:rsidR="00776ABB">
              <w:t xml:space="preserve"> (POPE)</w:t>
            </w:r>
          </w:p>
        </w:tc>
        <w:tc>
          <w:tcPr>
            <w:tcW w:w="5367" w:type="dxa"/>
          </w:tcPr>
          <w:p w14:paraId="00F6FC1C" w14:textId="29894013" w:rsidR="00162ED0" w:rsidRPr="00E97D29" w:rsidRDefault="00162ED0" w:rsidP="00162ED0">
            <w:pPr>
              <w:pStyle w:val="Tabletext"/>
            </w:pPr>
            <w:r>
              <w:t xml:space="preserve">A </w:t>
            </w:r>
            <w:r w:rsidRPr="00E97D29">
              <w:t>Constituent Entity of an MNE Group (other than a</w:t>
            </w:r>
            <w:r w:rsidRPr="003613E3">
              <w:t>n</w:t>
            </w:r>
            <w:r w:rsidRPr="00E97D29">
              <w:t xml:space="preserve"> </w:t>
            </w:r>
            <w:r>
              <w:t>UPE</w:t>
            </w:r>
            <w:r w:rsidRPr="00E97D29">
              <w:t>, Permanent Establishment, Investment Entity or Insurance Investment Entity): </w:t>
            </w:r>
          </w:p>
          <w:p w14:paraId="1E32820F" w14:textId="77777777" w:rsidR="00162ED0" w:rsidRPr="00E97D29" w:rsidRDefault="00162ED0" w:rsidP="00162ED0">
            <w:pPr>
              <w:pStyle w:val="Tabledotpoint1"/>
            </w:pPr>
            <w:r w:rsidRPr="00E97D29">
              <w:t>that holds an Ownership Interest in another Constituent Entity of the MNE Group; and </w:t>
            </w:r>
          </w:p>
          <w:p w14:paraId="12B442A9" w14:textId="6A3EA049" w:rsidR="00162ED0" w:rsidRPr="001F2C81" w:rsidRDefault="00162ED0" w:rsidP="00162ED0">
            <w:pPr>
              <w:pStyle w:val="Tabledotpoint1"/>
            </w:pPr>
            <w:r w:rsidRPr="00E97D29">
              <w:t>in which Ownership Interests carrying rights to more than 20</w:t>
            </w:r>
            <w:r w:rsidR="00776ABB">
              <w:t xml:space="preserve"> per cent</w:t>
            </w:r>
            <w:r w:rsidRPr="00E97D29">
              <w:t xml:space="preserve"> of its profits are held by persons that are not Constituent Entities of the MNE Group. </w:t>
            </w:r>
          </w:p>
        </w:tc>
      </w:tr>
      <w:tr w:rsidR="00162ED0" w:rsidRPr="00020288" w14:paraId="36BC98AD" w14:textId="77777777" w:rsidTr="00AF7204">
        <w:tc>
          <w:tcPr>
            <w:tcW w:w="2334" w:type="dxa"/>
            <w:gridSpan w:val="2"/>
          </w:tcPr>
          <w:p w14:paraId="1DC6FC66" w14:textId="77777777" w:rsidR="00162ED0" w:rsidRDefault="00162ED0" w:rsidP="00162ED0">
            <w:pPr>
              <w:pStyle w:val="Tabletext"/>
            </w:pPr>
            <w:r>
              <w:t>Passive Income</w:t>
            </w:r>
          </w:p>
        </w:tc>
        <w:tc>
          <w:tcPr>
            <w:tcW w:w="5367" w:type="dxa"/>
          </w:tcPr>
          <w:p w14:paraId="75CD9D3F" w14:textId="77777777" w:rsidR="00162ED0" w:rsidRPr="003613E3" w:rsidRDefault="00162ED0" w:rsidP="00162ED0">
            <w:pPr>
              <w:pStyle w:val="Tabletext"/>
            </w:pPr>
            <w:r>
              <w:t>I</w:t>
            </w:r>
            <w:r w:rsidRPr="003613E3">
              <w:t>ncome included in GloBE Income that is any of the following: </w:t>
            </w:r>
          </w:p>
          <w:p w14:paraId="6C166751" w14:textId="77777777" w:rsidR="00162ED0" w:rsidRPr="003613E3" w:rsidRDefault="00162ED0" w:rsidP="00162ED0">
            <w:pPr>
              <w:pStyle w:val="Tabledotpoint1"/>
            </w:pPr>
            <w:r w:rsidRPr="003613E3">
              <w:t>a dividend or dividend equivalents; </w:t>
            </w:r>
          </w:p>
          <w:p w14:paraId="32868689" w14:textId="77777777" w:rsidR="00162ED0" w:rsidRPr="003613E3" w:rsidRDefault="00162ED0" w:rsidP="00162ED0">
            <w:pPr>
              <w:pStyle w:val="Tabledotpoint1"/>
            </w:pPr>
            <w:r w:rsidRPr="003613E3">
              <w:t>interest or interest equivalent; </w:t>
            </w:r>
          </w:p>
          <w:p w14:paraId="6DE41633" w14:textId="77777777" w:rsidR="00162ED0" w:rsidRPr="003613E3" w:rsidRDefault="00162ED0" w:rsidP="00162ED0">
            <w:pPr>
              <w:pStyle w:val="Tabledotpoint1"/>
            </w:pPr>
            <w:r w:rsidRPr="003613E3">
              <w:t>rent; </w:t>
            </w:r>
          </w:p>
          <w:p w14:paraId="623499F6" w14:textId="77777777" w:rsidR="00162ED0" w:rsidRPr="003613E3" w:rsidRDefault="00162ED0" w:rsidP="00162ED0">
            <w:pPr>
              <w:pStyle w:val="Tabledotpoint1"/>
            </w:pPr>
            <w:r w:rsidRPr="003613E3">
              <w:t>royalty; </w:t>
            </w:r>
          </w:p>
          <w:p w14:paraId="170360E4" w14:textId="77777777" w:rsidR="00162ED0" w:rsidRPr="003613E3" w:rsidRDefault="00162ED0" w:rsidP="00162ED0">
            <w:pPr>
              <w:pStyle w:val="Tabledotpoint1"/>
            </w:pPr>
            <w:r w:rsidRPr="003613E3">
              <w:lastRenderedPageBreak/>
              <w:t>annuity; </w:t>
            </w:r>
          </w:p>
          <w:p w14:paraId="77A8BB3B" w14:textId="017812EB" w:rsidR="00162ED0" w:rsidRPr="003613E3" w:rsidRDefault="00162ED0" w:rsidP="00162ED0">
            <w:pPr>
              <w:pStyle w:val="Tabledotpoint1"/>
            </w:pPr>
            <w:r w:rsidRPr="003613E3">
              <w:t xml:space="preserve">net gains from property of a type that produces income described in </w:t>
            </w:r>
            <w:r w:rsidR="00776ABB">
              <w:t>the dot points above</w:t>
            </w:r>
            <w:r w:rsidRPr="003613E3">
              <w:t>; </w:t>
            </w:r>
          </w:p>
          <w:p w14:paraId="1F23AD50" w14:textId="7348BC46" w:rsidR="00162ED0" w:rsidRPr="001F2C81" w:rsidRDefault="00162ED0" w:rsidP="00162ED0">
            <w:pPr>
              <w:pStyle w:val="Tabletext"/>
            </w:pPr>
            <w:r w:rsidRPr="003613E3">
              <w:t>but only to the extent a Constituent Entity</w:t>
            </w:r>
            <w:r>
              <w:t xml:space="preserve"> </w:t>
            </w:r>
            <w:r w:rsidRPr="003613E3">
              <w:t>owner is subject to Tax on such income under a Controlled Foreign Company Tax Regime or as a result of an Ownership Interest in a Hybrid Entity. </w:t>
            </w:r>
          </w:p>
        </w:tc>
      </w:tr>
      <w:tr w:rsidR="00162ED0" w:rsidRPr="00020288" w14:paraId="6AC9853E" w14:textId="77777777" w:rsidTr="00AF7204">
        <w:tc>
          <w:tcPr>
            <w:tcW w:w="2334" w:type="dxa"/>
            <w:gridSpan w:val="2"/>
          </w:tcPr>
          <w:p w14:paraId="7C39EAAD" w14:textId="77777777" w:rsidR="00162ED0" w:rsidRDefault="00162ED0" w:rsidP="00162ED0">
            <w:pPr>
              <w:pStyle w:val="Tabletext"/>
            </w:pPr>
            <w:r>
              <w:lastRenderedPageBreak/>
              <w:t>Payroll Carve</w:t>
            </w:r>
            <w:r>
              <w:noBreakHyphen/>
              <w:t>out Amount</w:t>
            </w:r>
          </w:p>
          <w:p w14:paraId="54ECFA23" w14:textId="77777777" w:rsidR="00162ED0" w:rsidRDefault="00162ED0" w:rsidP="00162ED0">
            <w:pPr>
              <w:pStyle w:val="Tabletext"/>
            </w:pPr>
            <w:r>
              <w:t>5-55(1)</w:t>
            </w:r>
          </w:p>
        </w:tc>
        <w:tc>
          <w:tcPr>
            <w:tcW w:w="5367" w:type="dxa"/>
          </w:tcPr>
          <w:p w14:paraId="22450455" w14:textId="77777777" w:rsidR="00162ED0" w:rsidRPr="00B1025D" w:rsidRDefault="00162ED0" w:rsidP="00162ED0">
            <w:pPr>
              <w:pStyle w:val="Tabletext"/>
            </w:pPr>
            <w:r w:rsidRPr="00B1025D">
              <w:t xml:space="preserve">The </w:t>
            </w:r>
            <w:r w:rsidRPr="00B1025D">
              <w:rPr>
                <w:b/>
                <w:i/>
              </w:rPr>
              <w:t>Payroll Carve</w:t>
            </w:r>
            <w:r w:rsidRPr="00B1025D">
              <w:rPr>
                <w:b/>
                <w:i/>
              </w:rPr>
              <w:noBreakHyphen/>
              <w:t>out Amount</w:t>
            </w:r>
            <w:r w:rsidRPr="00B1025D">
              <w:t xml:space="preserve"> for a Constituent Entity of an MNE Group located in a jurisdiction, for a Fiscal Year, is computed as follows:</w:t>
            </w:r>
          </w:p>
          <w:p w14:paraId="4CC3EEC5" w14:textId="77777777" w:rsidR="00162ED0" w:rsidRPr="00B1025D" w:rsidRDefault="00162ED0" w:rsidP="00162ED0">
            <w:pPr>
              <w:pStyle w:val="Tabledotpoint1"/>
            </w:pPr>
            <w:r w:rsidRPr="00B1025D">
              <w:t>first, compute the total amount of Eligible Payroll Costs accrued for the Fiscal Year of Eligible Employees of the Constituent Entity;</w:t>
            </w:r>
          </w:p>
          <w:p w14:paraId="13ABD6C2" w14:textId="77777777" w:rsidR="00162ED0" w:rsidRPr="00B1025D" w:rsidRDefault="00162ED0" w:rsidP="00162ED0">
            <w:pPr>
              <w:pStyle w:val="Tabledotpoint1"/>
            </w:pPr>
            <w:r w:rsidRPr="00B1025D">
              <w:t>next, exclude from that total amount the Eligible Payroll Costs, to the extent they are:</w:t>
            </w:r>
          </w:p>
          <w:p w14:paraId="425A8620" w14:textId="7E6E8B3F" w:rsidR="00162ED0" w:rsidRPr="00B1025D" w:rsidRDefault="00162ED0" w:rsidP="00B7652D">
            <w:pPr>
              <w:pStyle w:val="Tabledotpoint2"/>
              <w:keepNext/>
              <w:ind w:left="817" w:hanging="426"/>
            </w:pPr>
            <w:r w:rsidRPr="00B1025D">
              <w:t>capitalised and included in the carrying value of Eligible Tangible Assets for the Fiscal Year of a Constituent Entity of the MNE Group; or</w:t>
            </w:r>
          </w:p>
          <w:p w14:paraId="25D85590" w14:textId="71E0F0B0" w:rsidR="00162ED0" w:rsidRPr="00B1025D" w:rsidRDefault="00162ED0" w:rsidP="00B7652D">
            <w:pPr>
              <w:pStyle w:val="Tabledotpoint2"/>
              <w:keepNext/>
              <w:ind w:left="817" w:hanging="426"/>
            </w:pPr>
            <w:r w:rsidRPr="00B1025D">
              <w:t>included in the Constituent Entity’s International Shipping Income Costs or Ancillary International Shipping Income Costs for the Fiscal Year, and excluded from the computation of the Constituent Entity’s GloBE Income or Loss for the Fiscal Year under section 3</w:t>
            </w:r>
            <w:r w:rsidRPr="00B1025D">
              <w:noBreakHyphen/>
              <w:t>2</w:t>
            </w:r>
            <w:r w:rsidR="005A1B25">
              <w:t>2</w:t>
            </w:r>
            <w:r w:rsidRPr="00B1025D">
              <w:t>0;</w:t>
            </w:r>
          </w:p>
          <w:p w14:paraId="77574A47" w14:textId="6DEDFA36" w:rsidR="00162ED0" w:rsidRPr="001F2C81" w:rsidRDefault="00162ED0" w:rsidP="00162ED0">
            <w:pPr>
              <w:pStyle w:val="Tabledotpoint1"/>
            </w:pPr>
            <w:bookmarkStart w:id="319" w:name="_Ref145704697"/>
            <w:r w:rsidRPr="00B1025D">
              <w:t>next, multiply the result of paragraph (b) by 5</w:t>
            </w:r>
            <w:bookmarkEnd w:id="319"/>
            <w:r w:rsidR="00D136EF">
              <w:t xml:space="preserve"> per cent.</w:t>
            </w:r>
          </w:p>
        </w:tc>
      </w:tr>
      <w:tr w:rsidR="00162ED0" w:rsidRPr="00020288" w14:paraId="3A6E9D49" w14:textId="77777777" w:rsidTr="00AF7204">
        <w:tc>
          <w:tcPr>
            <w:tcW w:w="2334" w:type="dxa"/>
            <w:gridSpan w:val="2"/>
          </w:tcPr>
          <w:p w14:paraId="50099AAD" w14:textId="77777777" w:rsidR="00162ED0" w:rsidRDefault="00162ED0" w:rsidP="00162ED0">
            <w:pPr>
              <w:pStyle w:val="Tabletext"/>
            </w:pPr>
            <w:r>
              <w:t>Portfolio Shareholding</w:t>
            </w:r>
          </w:p>
          <w:p w14:paraId="1B7FC221" w14:textId="7D5F3B4D" w:rsidR="00162ED0" w:rsidRDefault="00162ED0" w:rsidP="00162ED0">
            <w:pPr>
              <w:pStyle w:val="Tabletext"/>
            </w:pPr>
            <w:r>
              <w:t>3-</w:t>
            </w:r>
            <w:r w:rsidR="000350A9">
              <w:t>25</w:t>
            </w:r>
            <w:r>
              <w:t>(</w:t>
            </w:r>
            <w:r w:rsidR="005A1B25">
              <w:t>4</w:t>
            </w:r>
            <w:r>
              <w:t>)</w:t>
            </w:r>
          </w:p>
        </w:tc>
        <w:tc>
          <w:tcPr>
            <w:tcW w:w="5367" w:type="dxa"/>
          </w:tcPr>
          <w:p w14:paraId="0F473951" w14:textId="78FA9920" w:rsidR="00162ED0" w:rsidRPr="001F2C81" w:rsidRDefault="00162ED0" w:rsidP="00162ED0">
            <w:pPr>
              <w:pStyle w:val="Tabletext"/>
            </w:pPr>
            <w:r w:rsidRPr="00BE240E">
              <w:t>If the Direct Ownership Interests in an Entity held by</w:t>
            </w:r>
            <w:r>
              <w:t xml:space="preserve"> </w:t>
            </w:r>
            <w:r w:rsidRPr="00BE240E">
              <w:t>a Constituent Entity of an MNE Group</w:t>
            </w:r>
            <w:r>
              <w:t xml:space="preserve"> or </w:t>
            </w:r>
            <w:r w:rsidRPr="00BE240E">
              <w:t>any other Constituent Entity of the MNE Group</w:t>
            </w:r>
            <w:r>
              <w:t xml:space="preserve"> </w:t>
            </w:r>
            <w:r w:rsidRPr="00BE240E">
              <w:t>together carry rights to less than 10</w:t>
            </w:r>
            <w:r w:rsidR="00D136EF">
              <w:t xml:space="preserve"> per cent</w:t>
            </w:r>
            <w:r w:rsidRPr="00BE240E">
              <w:t xml:space="preserve"> of the profits, capital, reserves or voting rights of the Entity, the Direct Ownership Interests in the Entity that are held by a Constituent Entity of the MNE Group is a </w:t>
            </w:r>
            <w:r w:rsidRPr="00236A72">
              <w:rPr>
                <w:b/>
                <w:i/>
              </w:rPr>
              <w:t>Portfolio Shareholding</w:t>
            </w:r>
            <w:r w:rsidRPr="00BE240E">
              <w:t xml:space="preserve"> of that Constituent Entity in the Entity.</w:t>
            </w:r>
          </w:p>
        </w:tc>
      </w:tr>
      <w:tr w:rsidR="00162ED0" w:rsidRPr="00020288" w14:paraId="276CF9BF" w14:textId="77777777" w:rsidTr="00AF7204">
        <w:tc>
          <w:tcPr>
            <w:tcW w:w="2334" w:type="dxa"/>
            <w:gridSpan w:val="2"/>
          </w:tcPr>
          <w:p w14:paraId="4094D096" w14:textId="77777777" w:rsidR="00162ED0" w:rsidRDefault="00162ED0" w:rsidP="00162ED0">
            <w:pPr>
              <w:pStyle w:val="Tabletext"/>
            </w:pPr>
            <w:r>
              <w:t>Profit (Loss) before Income Tax</w:t>
            </w:r>
          </w:p>
          <w:p w14:paraId="2812E6E1" w14:textId="1305EBFD" w:rsidR="00162ED0" w:rsidRDefault="00162ED0" w:rsidP="00162ED0">
            <w:pPr>
              <w:pStyle w:val="Tabletext"/>
            </w:pPr>
            <w:r>
              <w:t>8-</w:t>
            </w:r>
            <w:r w:rsidR="00FF5BA1">
              <w:t>30</w:t>
            </w:r>
          </w:p>
        </w:tc>
        <w:tc>
          <w:tcPr>
            <w:tcW w:w="5367" w:type="dxa"/>
          </w:tcPr>
          <w:p w14:paraId="78301E27" w14:textId="77777777" w:rsidR="00162ED0" w:rsidRDefault="00162ED0" w:rsidP="00162ED0">
            <w:pPr>
              <w:pStyle w:val="Tabletext"/>
            </w:pPr>
            <w:r w:rsidRPr="00EE1A1B">
              <w:t xml:space="preserve">An MNE Group’s </w:t>
            </w:r>
            <w:r w:rsidRPr="00EE1A1B">
              <w:rPr>
                <w:b/>
                <w:i/>
              </w:rPr>
              <w:t>Profit (Loss) before Income Tax</w:t>
            </w:r>
            <w:r w:rsidRPr="00EE1A1B">
              <w:t>, for a jurisdiction for a Fiscal Year,</w:t>
            </w:r>
            <w:r w:rsidRPr="00EE1A1B">
              <w:rPr>
                <w:b/>
                <w:i/>
              </w:rPr>
              <w:t xml:space="preserve"> </w:t>
            </w:r>
            <w:r w:rsidRPr="00EE1A1B">
              <w:t>means the MNE Group’s profit or loss before income tax for the jurisdiction for the Fiscal Year, as reported on its Qualified CbC Report in relation to the jurisdiction for the Fiscal Year.</w:t>
            </w:r>
          </w:p>
          <w:p w14:paraId="6901A4E4" w14:textId="77777777" w:rsidR="00162ED0" w:rsidRDefault="00162ED0" w:rsidP="00162ED0">
            <w:pPr>
              <w:pStyle w:val="Tabletext"/>
            </w:pPr>
            <w:r>
              <w:t>If an intragroup payment is made that</w:t>
            </w:r>
          </w:p>
          <w:p w14:paraId="7F1FC03A" w14:textId="77777777" w:rsidR="00162ED0" w:rsidRPr="00EE1A1B" w:rsidRDefault="00162ED0" w:rsidP="00162ED0">
            <w:pPr>
              <w:pStyle w:val="Tabledotpoint1"/>
            </w:pPr>
            <w:r w:rsidRPr="00EE1A1B">
              <w:t>is treated as income in the Qualified Financial Statements of the recipient Group Entity; and</w:t>
            </w:r>
          </w:p>
          <w:p w14:paraId="001E6583" w14:textId="77777777" w:rsidR="00162ED0" w:rsidRPr="00EE1A1B" w:rsidRDefault="00162ED0" w:rsidP="00162ED0">
            <w:pPr>
              <w:pStyle w:val="Tabledotpoint1"/>
            </w:pPr>
            <w:r w:rsidRPr="00EE1A1B">
              <w:t>is treated as expense in the Qualified Financial Statements of the paying Group Entity</w:t>
            </w:r>
            <w:r>
              <w:t>,</w:t>
            </w:r>
          </w:p>
          <w:p w14:paraId="2929108F" w14:textId="77777777" w:rsidR="00162ED0" w:rsidRPr="001F2C81" w:rsidRDefault="00162ED0" w:rsidP="00162ED0">
            <w:pPr>
              <w:pStyle w:val="Tabletext"/>
            </w:pPr>
            <w:r w:rsidRPr="00EE1A1B">
              <w:lastRenderedPageBreak/>
              <w:t>include the amount of the intragroup payment in the MNE Group’s profit or loss before income tax mentioned in that subsection.</w:t>
            </w:r>
          </w:p>
        </w:tc>
      </w:tr>
      <w:tr w:rsidR="00162ED0" w:rsidRPr="00020288" w14:paraId="4406F9AC" w14:textId="77777777" w:rsidTr="00AF7204">
        <w:tc>
          <w:tcPr>
            <w:tcW w:w="2334" w:type="dxa"/>
            <w:gridSpan w:val="2"/>
          </w:tcPr>
          <w:p w14:paraId="1AB5D44E" w14:textId="77777777" w:rsidR="00162ED0" w:rsidRDefault="00162ED0" w:rsidP="00162ED0">
            <w:pPr>
              <w:pStyle w:val="Tabletext"/>
            </w:pPr>
            <w:r>
              <w:lastRenderedPageBreak/>
              <w:t>Qualified Ancillary International Shipping Income</w:t>
            </w:r>
          </w:p>
          <w:p w14:paraId="4C9E657D" w14:textId="5026BAEA" w:rsidR="00162ED0" w:rsidRDefault="00162ED0" w:rsidP="00162ED0">
            <w:pPr>
              <w:pStyle w:val="Tabletext"/>
            </w:pPr>
            <w:r>
              <w:t>3-</w:t>
            </w:r>
            <w:r w:rsidR="00FF5BA1">
              <w:t>230</w:t>
            </w:r>
            <w:r>
              <w:t>(1)</w:t>
            </w:r>
          </w:p>
        </w:tc>
        <w:tc>
          <w:tcPr>
            <w:tcW w:w="5367" w:type="dxa"/>
          </w:tcPr>
          <w:p w14:paraId="73A84C3E" w14:textId="77777777" w:rsidR="00162ED0" w:rsidRPr="00623E27" w:rsidRDefault="00162ED0" w:rsidP="00162ED0">
            <w:pPr>
              <w:pStyle w:val="Tabletext"/>
            </w:pPr>
            <w:r w:rsidRPr="00623E27">
              <w:t xml:space="preserve">The </w:t>
            </w:r>
            <w:r w:rsidRPr="00623E27">
              <w:rPr>
                <w:b/>
                <w:i/>
              </w:rPr>
              <w:t>Qualified Ancillary International Shipping Income</w:t>
            </w:r>
            <w:r w:rsidRPr="00623E27">
              <w:t xml:space="preserve"> of a Constituent Entity of an MNE Group located in a jurisdiction for a Fiscal Year is:</w:t>
            </w:r>
          </w:p>
          <w:p w14:paraId="1A81CC94" w14:textId="77777777" w:rsidR="00162ED0" w:rsidRPr="00623E27" w:rsidRDefault="00162ED0" w:rsidP="00162ED0">
            <w:pPr>
              <w:pStyle w:val="Tabledotpoint1"/>
            </w:pPr>
            <w:r w:rsidRPr="00623E27">
              <w:t>if paragraphs (b) and (c) do not apply—the Constituent Entity’s Ancillary International Shipping Income for the Fiscal Year (</w:t>
            </w:r>
            <w:r w:rsidRPr="00623E27">
              <w:rPr>
                <w:b/>
                <w:i/>
              </w:rPr>
              <w:t>CE’s AISI</w:t>
            </w:r>
            <w:r w:rsidRPr="00623E27">
              <w:t>); or</w:t>
            </w:r>
          </w:p>
          <w:p w14:paraId="00920C88" w14:textId="77777777" w:rsidR="00162ED0" w:rsidRPr="00623E27" w:rsidRDefault="00162ED0" w:rsidP="00162ED0">
            <w:pPr>
              <w:pStyle w:val="Tabledotpoint1"/>
            </w:pPr>
            <w:r w:rsidRPr="00623E27">
              <w:t>if one, but not the other, of the following numbers is a negative number—zero:</w:t>
            </w:r>
          </w:p>
          <w:p w14:paraId="7DF76ACF" w14:textId="5D7E7311" w:rsidR="00162ED0" w:rsidRPr="00623E27" w:rsidRDefault="00162ED0" w:rsidP="00B7652D">
            <w:pPr>
              <w:pStyle w:val="Tabledotpoint2"/>
              <w:keepNext/>
              <w:ind w:left="817" w:hanging="426"/>
            </w:pPr>
            <w:r w:rsidRPr="00623E27">
              <w:t>the aggregate of the amounts of Ancillary International Shipping Income of each Constituent Entity of the MNE Group that is located in the jurisdiction (</w:t>
            </w:r>
            <w:r w:rsidRPr="00B7652D">
              <w:t>Aggregate AISI</w:t>
            </w:r>
            <w:r w:rsidRPr="00623E27">
              <w:t>);</w:t>
            </w:r>
          </w:p>
          <w:p w14:paraId="17C98A41" w14:textId="57113901" w:rsidR="00162ED0" w:rsidRPr="00623E27" w:rsidRDefault="00162ED0" w:rsidP="00B7652D">
            <w:pPr>
              <w:pStyle w:val="Tabledotpoint2"/>
              <w:keepNext/>
              <w:ind w:left="817" w:hanging="426"/>
            </w:pPr>
            <w:r w:rsidRPr="00623E27">
              <w:t>aggregate of the amounts of International Shipping Income of those Constituent Entities (</w:t>
            </w:r>
            <w:r w:rsidRPr="00B7652D">
              <w:t>Aggregate ISI</w:t>
            </w:r>
            <w:r w:rsidRPr="00623E27">
              <w:t>); or</w:t>
            </w:r>
          </w:p>
          <w:p w14:paraId="29C992CA" w14:textId="77777777" w:rsidR="00162ED0" w:rsidRDefault="00162ED0" w:rsidP="00162ED0">
            <w:pPr>
              <w:pStyle w:val="Tabledotpoint1"/>
            </w:pPr>
            <w:r w:rsidRPr="00623E27">
              <w:t>if paragraph (b) does not apply and the ab</w:t>
            </w:r>
            <w:r>
              <w:t>s</w:t>
            </w:r>
            <w:r w:rsidRPr="00623E27">
              <w:t>olute value of Aggregate AISI is greater than 50% of the absolute value of Aggregate ISI—the amount computed in accordance with the following formula:</w:t>
            </w:r>
          </w:p>
          <w:p w14:paraId="58FFAEA6" w14:textId="6904A0EF" w:rsidR="004D02D3" w:rsidRPr="00623E27" w:rsidRDefault="004D02D3" w:rsidP="00162ED0">
            <w:pPr>
              <w:pStyle w:val="Tabledotpoint1"/>
              <w:numPr>
                <w:ilvl w:val="0"/>
                <w:numId w:val="0"/>
              </w:numPr>
            </w:pPr>
            <w:r w:rsidRPr="004D02D3">
              <w:rPr>
                <w:noProof/>
              </w:rPr>
              <w:drawing>
                <wp:inline distT="0" distB="0" distL="0" distR="0" wp14:anchorId="04FFEB63" wp14:editId="196E53FA">
                  <wp:extent cx="4895850" cy="428625"/>
                  <wp:effectExtent l="0" t="0" r="0" b="0"/>
                  <wp:docPr id="539352839" name="Picture 42" descr="formula for if paragraph (b) does not apply and the absolute value of Aggregate AISI is greater than 50% of the absolute value of Aggregate 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52839" name="Picture 42" descr="formula for if paragraph (b) does not apply and the absolute value of Aggregate AISI is greater than 50% of the absolute value of Aggregate ISI"/>
                          <pic:cNvPicPr>
                            <a:picLocks noChangeAspect="1" noChangeArrowheads="1"/>
                          </pic:cNvPicPr>
                        </pic:nvPicPr>
                        <pic:blipFill rotWithShape="1">
                          <a:blip r:embed="rId117" cstate="print">
                            <a:extLst>
                              <a:ext uri="{28A0092B-C50C-407E-A947-70E740481C1C}">
                                <a14:useLocalDpi xmlns:a14="http://schemas.microsoft.com/office/drawing/2010/main" val="0"/>
                              </a:ext>
                            </a:extLst>
                          </a:blip>
                          <a:srcRect l="20587" t="14036" r="-11817" b="7013"/>
                          <a:stretch/>
                        </pic:blipFill>
                        <pic:spPr bwMode="auto">
                          <a:xfrm>
                            <a:off x="0" y="0"/>
                            <a:ext cx="4895850" cy="428625"/>
                          </a:xfrm>
                          <a:prstGeom prst="rect">
                            <a:avLst/>
                          </a:prstGeom>
                          <a:noFill/>
                          <a:ln>
                            <a:noFill/>
                          </a:ln>
                          <a:extLst>
                            <a:ext uri="{53640926-AAD7-44D8-BBD7-CCE9431645EC}">
                              <a14:shadowObscured xmlns:a14="http://schemas.microsoft.com/office/drawing/2010/main"/>
                            </a:ext>
                          </a:extLst>
                        </pic:spPr>
                      </pic:pic>
                    </a:graphicData>
                  </a:graphic>
                </wp:inline>
              </w:drawing>
            </w:r>
          </w:p>
          <w:p w14:paraId="6EC05D5E" w14:textId="77777777" w:rsidR="00162ED0" w:rsidRPr="00623E27" w:rsidRDefault="00162ED0" w:rsidP="00162ED0">
            <w:pPr>
              <w:pStyle w:val="Tabletext"/>
            </w:pPr>
            <w:r w:rsidRPr="00623E27">
              <w:t>where:</w:t>
            </w:r>
          </w:p>
          <w:p w14:paraId="64CAD23D" w14:textId="77777777" w:rsidR="00162ED0" w:rsidRPr="00623E27" w:rsidRDefault="00162ED0" w:rsidP="00162ED0">
            <w:pPr>
              <w:pStyle w:val="Tabletext"/>
            </w:pPr>
            <w:r w:rsidRPr="00623E27">
              <w:rPr>
                <w:b/>
                <w:i/>
              </w:rPr>
              <w:t>Aggregate AISI</w:t>
            </w:r>
            <w:r w:rsidRPr="00623E27">
              <w:t xml:space="preserve"> and </w:t>
            </w:r>
            <w:r w:rsidRPr="00623E27">
              <w:rPr>
                <w:b/>
                <w:i/>
              </w:rPr>
              <w:t>CE’s AISI</w:t>
            </w:r>
            <w:r w:rsidRPr="00623E27">
              <w:t xml:space="preserve"> have the same meanings as in paragraphs (a) and (b).</w:t>
            </w:r>
          </w:p>
          <w:p w14:paraId="53F04800" w14:textId="77777777" w:rsidR="00162ED0" w:rsidRPr="001F2C81" w:rsidRDefault="00162ED0" w:rsidP="00162ED0">
            <w:pPr>
              <w:pStyle w:val="Tabletext"/>
            </w:pPr>
            <w:r w:rsidRPr="00623E27">
              <w:rPr>
                <w:b/>
                <w:i/>
              </w:rPr>
              <w:t>Cap</w:t>
            </w:r>
            <w:r w:rsidRPr="00623E27">
              <w:t xml:space="preserve"> means Aggregate ISI multiplied by 50%.</w:t>
            </w:r>
          </w:p>
        </w:tc>
      </w:tr>
      <w:tr w:rsidR="00162ED0" w:rsidRPr="00020288" w14:paraId="77AE9D00" w14:textId="77777777" w:rsidTr="00AF7204">
        <w:tc>
          <w:tcPr>
            <w:tcW w:w="2334" w:type="dxa"/>
            <w:gridSpan w:val="2"/>
          </w:tcPr>
          <w:p w14:paraId="5AA514DF" w14:textId="77777777" w:rsidR="00162ED0" w:rsidRDefault="00162ED0" w:rsidP="00162ED0">
            <w:pPr>
              <w:pStyle w:val="Tabletext"/>
            </w:pPr>
            <w:r>
              <w:t>Qualified CbC Report</w:t>
            </w:r>
          </w:p>
          <w:p w14:paraId="0A1EA39B" w14:textId="6971CD4F" w:rsidR="00162ED0" w:rsidRDefault="00162ED0" w:rsidP="00162ED0">
            <w:pPr>
              <w:pStyle w:val="Tabletext"/>
            </w:pPr>
            <w:r>
              <w:t>8-</w:t>
            </w:r>
            <w:r w:rsidR="00FF5BA1">
              <w:t>35</w:t>
            </w:r>
          </w:p>
        </w:tc>
        <w:tc>
          <w:tcPr>
            <w:tcW w:w="5367" w:type="dxa"/>
          </w:tcPr>
          <w:p w14:paraId="547716B2" w14:textId="1F4EF42E" w:rsidR="00162ED0" w:rsidRPr="001F2C81" w:rsidRDefault="00162ED0" w:rsidP="00162ED0">
            <w:pPr>
              <w:pStyle w:val="Tabletext"/>
            </w:pPr>
            <w:r w:rsidRPr="002421C9">
              <w:rPr>
                <w:b/>
                <w:i/>
              </w:rPr>
              <w:t>Qualified CbC Report</w:t>
            </w:r>
            <w:r w:rsidRPr="002421C9">
              <w:t xml:space="preserve"> in relation to a jurisdiction means a </w:t>
            </w:r>
            <w:r>
              <w:t>CbC</w:t>
            </w:r>
            <w:r w:rsidRPr="002421C9">
              <w:t xml:space="preserve"> Report prepared and filed, in relation to the jurisdiction, using Qualified Financial Statements.</w:t>
            </w:r>
          </w:p>
        </w:tc>
      </w:tr>
      <w:tr w:rsidR="00162ED0" w:rsidRPr="00020288" w14:paraId="1CB88F31" w14:textId="77777777" w:rsidTr="00AF7204">
        <w:tc>
          <w:tcPr>
            <w:tcW w:w="2334" w:type="dxa"/>
            <w:gridSpan w:val="2"/>
          </w:tcPr>
          <w:p w14:paraId="00CA1040" w14:textId="77777777" w:rsidR="00162ED0" w:rsidRDefault="00162ED0" w:rsidP="00162ED0">
            <w:pPr>
              <w:pStyle w:val="Tabletext"/>
            </w:pPr>
            <w:r>
              <w:t>Qualified Debt Release Amount</w:t>
            </w:r>
          </w:p>
          <w:p w14:paraId="62DE157B" w14:textId="3A30C3C1" w:rsidR="00162ED0" w:rsidRDefault="00162ED0" w:rsidP="00162ED0">
            <w:pPr>
              <w:pStyle w:val="Tabletext"/>
            </w:pPr>
            <w:r>
              <w:t>3-</w:t>
            </w:r>
            <w:r w:rsidR="00FF5BA1">
              <w:t>85</w:t>
            </w:r>
            <w:r>
              <w:t>(1)</w:t>
            </w:r>
          </w:p>
        </w:tc>
        <w:tc>
          <w:tcPr>
            <w:tcW w:w="5367" w:type="dxa"/>
          </w:tcPr>
          <w:p w14:paraId="7CEAEC4B" w14:textId="77777777" w:rsidR="00162ED0" w:rsidRPr="00236A72" w:rsidRDefault="00162ED0" w:rsidP="00162ED0">
            <w:pPr>
              <w:pStyle w:val="Tabletext"/>
              <w:rPr>
                <w:lang w:val="en-CA"/>
              </w:rPr>
            </w:pPr>
            <w:r w:rsidRPr="003E6EC4">
              <w:rPr>
                <w:bCs/>
                <w:iCs/>
                <w:lang w:val="en-CA"/>
              </w:rPr>
              <w:t xml:space="preserve">The </w:t>
            </w:r>
            <w:r w:rsidRPr="003E6EC4">
              <w:rPr>
                <w:b/>
                <w:bCs/>
                <w:i/>
                <w:iCs/>
                <w:lang w:val="en-CA"/>
              </w:rPr>
              <w:t xml:space="preserve">qualified debt release </w:t>
            </w:r>
            <w:r w:rsidRPr="00236A72">
              <w:rPr>
                <w:b/>
                <w:i/>
                <w:lang w:val="en-CA"/>
              </w:rPr>
              <w:t>amount</w:t>
            </w:r>
            <w:r w:rsidRPr="00236A72">
              <w:rPr>
                <w:lang w:val="en-CA"/>
              </w:rPr>
              <w:t xml:space="preserve"> </w:t>
            </w:r>
            <w:r w:rsidRPr="003E6EC4">
              <w:rPr>
                <w:lang w:val="en-CA"/>
              </w:rPr>
              <w:t xml:space="preserve">for a Fiscal Year, of a Constituent Entity that is a debtor, means an amount in respect of a debt release if to </w:t>
            </w:r>
            <w:r w:rsidRPr="00236A72">
              <w:rPr>
                <w:lang w:val="en-CA"/>
              </w:rPr>
              <w:t xml:space="preserve">the </w:t>
            </w:r>
            <w:r w:rsidRPr="003E6EC4">
              <w:rPr>
                <w:lang w:val="en-CA"/>
              </w:rPr>
              <w:t>extent that:</w:t>
            </w:r>
          </w:p>
          <w:p w14:paraId="5B77F207" w14:textId="77777777" w:rsidR="00162ED0" w:rsidRPr="003E6EC4" w:rsidRDefault="00162ED0" w:rsidP="00162ED0">
            <w:pPr>
              <w:pStyle w:val="Tabledotpoint1"/>
              <w:rPr>
                <w:lang w:val="en-CA"/>
              </w:rPr>
            </w:pPr>
            <w:r w:rsidRPr="003E6EC4">
              <w:rPr>
                <w:lang w:val="en-CA"/>
              </w:rPr>
              <w:t>the debt release is under a statutory insolvency or bankruptcy proceeding:</w:t>
            </w:r>
          </w:p>
          <w:p w14:paraId="238CEF41" w14:textId="4AC4AF6F" w:rsidR="00162ED0" w:rsidRPr="003E6EC4" w:rsidRDefault="00162ED0" w:rsidP="00B7652D">
            <w:pPr>
              <w:pStyle w:val="Tabledotpoint2"/>
              <w:keepNext/>
              <w:ind w:left="817" w:hanging="426"/>
            </w:pPr>
            <w:r w:rsidRPr="003E6EC4">
              <w:t>that is supervised by a court or other judicial body in the jurisdiction in which the debtor is located; or</w:t>
            </w:r>
          </w:p>
          <w:p w14:paraId="70C35BFD" w14:textId="768B0784" w:rsidR="00162ED0" w:rsidRPr="003E6EC4" w:rsidRDefault="00162ED0" w:rsidP="00B7652D">
            <w:pPr>
              <w:pStyle w:val="Tabledotpoint2"/>
              <w:keepNext/>
              <w:ind w:left="817" w:hanging="426"/>
            </w:pPr>
            <w:r w:rsidRPr="003E6EC4">
              <w:t>under which an independent insolvency administrator is appointed; or</w:t>
            </w:r>
          </w:p>
          <w:p w14:paraId="11ACEEC7" w14:textId="77777777" w:rsidR="00162ED0" w:rsidRPr="003E6EC4" w:rsidRDefault="00162ED0" w:rsidP="00162ED0">
            <w:pPr>
              <w:pStyle w:val="Tabledotpoint1"/>
            </w:pPr>
            <w:r w:rsidRPr="003E6EC4">
              <w:t>the following conditions are met:</w:t>
            </w:r>
          </w:p>
          <w:p w14:paraId="3250F121" w14:textId="4EAC5D1F" w:rsidR="00162ED0" w:rsidRPr="003E6EC4" w:rsidRDefault="00162ED0" w:rsidP="00B7652D">
            <w:pPr>
              <w:pStyle w:val="Tabledotpoint2"/>
              <w:keepNext/>
              <w:ind w:left="817" w:hanging="426"/>
            </w:pPr>
            <w:r w:rsidRPr="003E6EC4">
              <w:lastRenderedPageBreak/>
              <w:t xml:space="preserve">the debt release arises under an arrangement with one or more creditors that are not connected with the debtor (each of which is a </w:t>
            </w:r>
            <w:r w:rsidRPr="00B7652D">
              <w:t>third</w:t>
            </w:r>
            <w:r w:rsidRPr="00B7652D">
              <w:noBreakHyphen/>
              <w:t>party creditor</w:t>
            </w:r>
            <w:r w:rsidRPr="003E6EC4">
              <w:t>);</w:t>
            </w:r>
          </w:p>
          <w:p w14:paraId="663F589A" w14:textId="457D4601" w:rsidR="00162ED0" w:rsidRPr="003E6EC4" w:rsidRDefault="00162ED0" w:rsidP="00B7652D">
            <w:pPr>
              <w:pStyle w:val="Tabledotpoint2"/>
              <w:keepNext/>
              <w:ind w:left="817" w:hanging="426"/>
            </w:pPr>
            <w:r w:rsidRPr="003E6EC4">
              <w:t>it is reasonable to consider that, in the absence of the release of debts owed to one or more third</w:t>
            </w:r>
            <w:r w:rsidRPr="003E6EC4">
              <w:noBreakHyphen/>
              <w:t>party creditors under the arrangement, the debtor would be insolvent within 12 months of the date of the release;</w:t>
            </w:r>
          </w:p>
          <w:p w14:paraId="2736EF14" w14:textId="71F362BC" w:rsidR="00162ED0" w:rsidRPr="003E6EC4" w:rsidRDefault="00162ED0" w:rsidP="00B7652D">
            <w:pPr>
              <w:pStyle w:val="Tabledotpoint2"/>
              <w:keepNext/>
              <w:ind w:left="817" w:hanging="426"/>
            </w:pPr>
            <w:r w:rsidRPr="003E6EC4">
              <w:t>the debtor obtains provides an independent expert opinion attesting that the condition in subparagraph (ii) is met; or</w:t>
            </w:r>
          </w:p>
          <w:p w14:paraId="017E91A9" w14:textId="77777777" w:rsidR="00162ED0" w:rsidRPr="003E6EC4" w:rsidRDefault="00162ED0" w:rsidP="00162ED0">
            <w:pPr>
              <w:pStyle w:val="Tabledotpoint1"/>
            </w:pPr>
            <w:r w:rsidRPr="003E6EC4">
              <w:t>if neither paragraph (a) nor (b) applies:</w:t>
            </w:r>
          </w:p>
          <w:p w14:paraId="6FA6A721" w14:textId="211FC65A" w:rsidR="00162ED0" w:rsidRPr="003E6EC4" w:rsidRDefault="00162ED0" w:rsidP="00B7652D">
            <w:pPr>
              <w:pStyle w:val="Tabledotpoint2"/>
              <w:keepNext/>
              <w:ind w:left="817" w:hanging="426"/>
            </w:pPr>
            <w:r w:rsidRPr="003E6EC4">
              <w:t xml:space="preserve">the debt release arises under an arrangement with one or more creditors that are not connected with the debtor (each of which is a </w:t>
            </w:r>
            <w:r w:rsidRPr="00B7652D">
              <w:t>third</w:t>
            </w:r>
            <w:r w:rsidRPr="00B7652D">
              <w:noBreakHyphen/>
              <w:t>party creditor</w:t>
            </w:r>
            <w:r w:rsidRPr="003E6EC4">
              <w:t>); and</w:t>
            </w:r>
          </w:p>
          <w:p w14:paraId="676699AB" w14:textId="5B092E81" w:rsidR="00162ED0" w:rsidRPr="003E6EC4" w:rsidRDefault="00162ED0" w:rsidP="00B7652D">
            <w:pPr>
              <w:pStyle w:val="Tabledotpoint2"/>
              <w:keepNext/>
              <w:ind w:left="817" w:hanging="426"/>
            </w:pPr>
            <w:r w:rsidRPr="003E6EC4">
              <w:t>the amount is in respect of a debt owed to a third</w:t>
            </w:r>
            <w:r w:rsidRPr="003E6EC4">
              <w:noBreakHyphen/>
              <w:t>party creditor; and</w:t>
            </w:r>
          </w:p>
          <w:p w14:paraId="66222416" w14:textId="0A49F377" w:rsidR="00162ED0" w:rsidRPr="003E6EC4" w:rsidRDefault="00162ED0" w:rsidP="00B7652D">
            <w:pPr>
              <w:pStyle w:val="Tabledotpoint2"/>
              <w:keepNext/>
              <w:ind w:left="817" w:hanging="426"/>
            </w:pPr>
            <w:r w:rsidRPr="003E6EC4">
              <w:t>the debtor’s liabilities exceed the fair market value of its assets, determined immediately before the debt release; and</w:t>
            </w:r>
          </w:p>
          <w:p w14:paraId="46CF6092" w14:textId="520DE596" w:rsidR="00162ED0" w:rsidRPr="001F2C81" w:rsidRDefault="00162ED0" w:rsidP="00B7652D">
            <w:pPr>
              <w:pStyle w:val="Tabledotpoint2"/>
              <w:keepNext/>
              <w:ind w:left="817" w:hanging="426"/>
            </w:pPr>
            <w:r w:rsidRPr="003E6EC4">
              <w:t>the amount does not exceed the amount covered under subsection (2).</w:t>
            </w:r>
          </w:p>
        </w:tc>
      </w:tr>
      <w:tr w:rsidR="00162ED0" w:rsidRPr="00020288" w14:paraId="4FBA2A70" w14:textId="77777777" w:rsidTr="00AF7204">
        <w:tc>
          <w:tcPr>
            <w:tcW w:w="2334" w:type="dxa"/>
            <w:gridSpan w:val="2"/>
          </w:tcPr>
          <w:p w14:paraId="6F5A0F95" w14:textId="77777777" w:rsidR="00162ED0" w:rsidRDefault="00162ED0" w:rsidP="00162ED0">
            <w:pPr>
              <w:pStyle w:val="Tabletext"/>
            </w:pPr>
            <w:r>
              <w:lastRenderedPageBreak/>
              <w:t>Qualified Domestic Minimum Top</w:t>
            </w:r>
            <w:r>
              <w:noBreakHyphen/>
              <w:t>up Tax</w:t>
            </w:r>
          </w:p>
        </w:tc>
        <w:tc>
          <w:tcPr>
            <w:tcW w:w="5367" w:type="dxa"/>
          </w:tcPr>
          <w:p w14:paraId="6D14BD97" w14:textId="77777777" w:rsidR="00162ED0" w:rsidRPr="001F2C81" w:rsidRDefault="00162ED0" w:rsidP="00162ED0">
            <w:pPr>
              <w:pStyle w:val="Tabletext"/>
            </w:pPr>
            <w:r>
              <w:t>A tax that is imposed under a law of a jurisdiction and is specified in a Determination under paragraph 1</w:t>
            </w:r>
            <w:r>
              <w:noBreakHyphen/>
              <w:t>07(b).</w:t>
            </w:r>
          </w:p>
        </w:tc>
      </w:tr>
      <w:tr w:rsidR="00162ED0" w:rsidRPr="00020288" w14:paraId="2217D33E" w14:textId="77777777" w:rsidTr="00AF7204">
        <w:tc>
          <w:tcPr>
            <w:tcW w:w="2334" w:type="dxa"/>
            <w:gridSpan w:val="2"/>
          </w:tcPr>
          <w:p w14:paraId="33FAE9C6" w14:textId="77777777" w:rsidR="00162ED0" w:rsidRDefault="00162ED0" w:rsidP="00162ED0">
            <w:pPr>
              <w:pStyle w:val="Tabletext"/>
            </w:pPr>
            <w:r>
              <w:t>Qualified Financial Statements</w:t>
            </w:r>
          </w:p>
          <w:p w14:paraId="3BE717AA" w14:textId="13384795" w:rsidR="00162ED0" w:rsidRDefault="00162ED0" w:rsidP="00162ED0">
            <w:pPr>
              <w:pStyle w:val="Tabletext"/>
            </w:pPr>
            <w:r>
              <w:t>8-</w:t>
            </w:r>
            <w:r w:rsidR="00FF5BA1">
              <w:t>70</w:t>
            </w:r>
          </w:p>
        </w:tc>
        <w:tc>
          <w:tcPr>
            <w:tcW w:w="5367" w:type="dxa"/>
          </w:tcPr>
          <w:p w14:paraId="2B839A38" w14:textId="71AE9E56" w:rsidR="00162ED0" w:rsidRPr="002421C9" w:rsidRDefault="00162ED0" w:rsidP="00162ED0">
            <w:pPr>
              <w:pStyle w:val="Tabledotpoint1"/>
            </w:pPr>
            <w:r w:rsidRPr="002421C9">
              <w:t xml:space="preserve">the financial accounts used to prepare the </w:t>
            </w:r>
            <w:r>
              <w:t>CFS</w:t>
            </w:r>
            <w:r w:rsidRPr="002421C9">
              <w:t xml:space="preserve"> of the </w:t>
            </w:r>
            <w:r>
              <w:t>UPE</w:t>
            </w:r>
            <w:r w:rsidRPr="002421C9">
              <w:t xml:space="preserve"> of the MNE Group; or</w:t>
            </w:r>
          </w:p>
          <w:p w14:paraId="72C0186D" w14:textId="77777777" w:rsidR="00162ED0" w:rsidRPr="002421C9" w:rsidRDefault="00162ED0" w:rsidP="00162ED0">
            <w:pPr>
              <w:pStyle w:val="Tabledotpoint1"/>
            </w:pPr>
            <w:r w:rsidRPr="002421C9">
              <w:t>separate financial statements of a Constituent Entity of the MNE Group, if:</w:t>
            </w:r>
          </w:p>
          <w:p w14:paraId="4E7615BE" w14:textId="77777777" w:rsidR="00162ED0" w:rsidRPr="002421C9" w:rsidRDefault="00162ED0" w:rsidP="00B7652D">
            <w:pPr>
              <w:pStyle w:val="Tabledotpoint2"/>
              <w:keepNext/>
              <w:ind w:left="817" w:hanging="426"/>
            </w:pPr>
            <w:r w:rsidRPr="002421C9">
              <w:t xml:space="preserve">they are prepared in accordance with an Acceptable </w:t>
            </w:r>
            <w:r>
              <w:t>FAS</w:t>
            </w:r>
            <w:r w:rsidRPr="002421C9">
              <w:t xml:space="preserve"> or an Authorised </w:t>
            </w:r>
            <w:r>
              <w:t>FAS</w:t>
            </w:r>
            <w:r w:rsidRPr="002421C9">
              <w:t>; and</w:t>
            </w:r>
          </w:p>
          <w:p w14:paraId="232CF583" w14:textId="77777777" w:rsidR="00162ED0" w:rsidRPr="002421C9" w:rsidRDefault="00162ED0" w:rsidP="00B7652D">
            <w:pPr>
              <w:pStyle w:val="Tabledotpoint2"/>
              <w:keepNext/>
              <w:ind w:left="817" w:hanging="426"/>
            </w:pPr>
            <w:r w:rsidRPr="002421C9">
              <w:t>the information contained in them is maintained based on that accounting standard and is reliable; or</w:t>
            </w:r>
          </w:p>
          <w:p w14:paraId="0ED3741D" w14:textId="77777777" w:rsidR="00162ED0" w:rsidRPr="002421C9" w:rsidRDefault="00162ED0" w:rsidP="00162ED0">
            <w:pPr>
              <w:pStyle w:val="Tabledotpoint1"/>
              <w:rPr>
                <w:iCs/>
              </w:rPr>
            </w:pPr>
            <w:r w:rsidRPr="00236A72">
              <w:t>the separate financial accounts of a Constituent Entity of the MNE Group, if:</w:t>
            </w:r>
          </w:p>
          <w:p w14:paraId="611A47FC" w14:textId="77777777" w:rsidR="00162ED0" w:rsidRPr="002421C9" w:rsidRDefault="00162ED0" w:rsidP="00B7652D">
            <w:pPr>
              <w:pStyle w:val="Tabledotpoint2"/>
              <w:keepNext/>
              <w:ind w:left="817" w:hanging="426"/>
            </w:pPr>
            <w:r w:rsidRPr="002421C9">
              <w:t>they are used for preparation of the MNE Group’s CbC Report; and</w:t>
            </w:r>
          </w:p>
          <w:p w14:paraId="48488B61" w14:textId="2E060BE1" w:rsidR="00162ED0" w:rsidRPr="001F2C81" w:rsidRDefault="00162ED0" w:rsidP="00B7652D">
            <w:pPr>
              <w:pStyle w:val="Tabledotpoint2"/>
              <w:keepNext/>
              <w:ind w:left="817" w:hanging="426"/>
            </w:pPr>
            <w:r w:rsidRPr="002421C9">
              <w:t xml:space="preserve">the Constituent Entity is not included in the MNE Group’s </w:t>
            </w:r>
            <w:r>
              <w:t>CFS</w:t>
            </w:r>
            <w:r w:rsidRPr="002421C9">
              <w:t xml:space="preserve"> on a line</w:t>
            </w:r>
            <w:r w:rsidRPr="002421C9">
              <w:noBreakHyphen/>
              <w:t>by</w:t>
            </w:r>
            <w:r w:rsidRPr="002421C9">
              <w:noBreakHyphen/>
              <w:t>line basis, and this is solely due to size or materiality grounds.</w:t>
            </w:r>
          </w:p>
        </w:tc>
      </w:tr>
      <w:tr w:rsidR="00162ED0" w:rsidRPr="00020288" w14:paraId="62BA3DD7" w14:textId="77777777" w:rsidTr="00AF7204">
        <w:tc>
          <w:tcPr>
            <w:tcW w:w="2334" w:type="dxa"/>
            <w:gridSpan w:val="2"/>
          </w:tcPr>
          <w:p w14:paraId="070FC48C" w14:textId="77777777" w:rsidR="00162ED0" w:rsidRDefault="00162ED0" w:rsidP="00162ED0">
            <w:pPr>
              <w:pStyle w:val="Tabletext"/>
            </w:pPr>
            <w:r>
              <w:lastRenderedPageBreak/>
              <w:t>Qualified IIR</w:t>
            </w:r>
          </w:p>
        </w:tc>
        <w:tc>
          <w:tcPr>
            <w:tcW w:w="5367" w:type="dxa"/>
          </w:tcPr>
          <w:p w14:paraId="02F3EC3B" w14:textId="58B679B5" w:rsidR="00162ED0" w:rsidRPr="001F2C81" w:rsidRDefault="00162ED0" w:rsidP="00162ED0">
            <w:pPr>
              <w:pStyle w:val="Tabletext"/>
            </w:pPr>
            <w:r>
              <w:t>A tax that is imposed under a law of a jurisdiction and specified in a determination under paragraph 10</w:t>
            </w:r>
            <w:r w:rsidR="005A1B25">
              <w:noBreakHyphen/>
              <w:t>15</w:t>
            </w:r>
            <w:r>
              <w:t>(a).</w:t>
            </w:r>
          </w:p>
        </w:tc>
      </w:tr>
      <w:tr w:rsidR="00162ED0" w:rsidRPr="00020288" w14:paraId="56B5CDDA" w14:textId="77777777" w:rsidTr="00AF7204">
        <w:tc>
          <w:tcPr>
            <w:tcW w:w="2334" w:type="dxa"/>
            <w:gridSpan w:val="2"/>
          </w:tcPr>
          <w:p w14:paraId="1DE359F8" w14:textId="77777777" w:rsidR="00162ED0" w:rsidRDefault="00162ED0" w:rsidP="00162ED0">
            <w:pPr>
              <w:pStyle w:val="Tabletext"/>
            </w:pPr>
            <w:r>
              <w:t>Qualified Imputation Tax</w:t>
            </w:r>
          </w:p>
        </w:tc>
        <w:tc>
          <w:tcPr>
            <w:tcW w:w="5367" w:type="dxa"/>
          </w:tcPr>
          <w:p w14:paraId="35FF490D" w14:textId="77777777" w:rsidR="00162ED0" w:rsidRPr="00E37174" w:rsidRDefault="00162ED0" w:rsidP="00162ED0">
            <w:pPr>
              <w:pStyle w:val="Tabletext"/>
            </w:pPr>
            <w:r>
              <w:t>A</w:t>
            </w:r>
            <w:r w:rsidRPr="00E37174">
              <w:t xml:space="preserve"> Covered Tax imposed by a jurisdiction (the </w:t>
            </w:r>
            <w:r w:rsidRPr="00E37174">
              <w:rPr>
                <w:b/>
                <w:bCs/>
                <w:i/>
                <w:iCs/>
              </w:rPr>
              <w:t>imposing jurisdiction</w:t>
            </w:r>
            <w:r w:rsidRPr="00E37174">
              <w:t>) and accrued or paid by a Constituent Entity of a Group that is refundable or creditable to the beneficial owner of a dividend distributed by the Constituent Entity (or, in the case of a Covered Tax accrued or paid by a Permanent Establishment, a dividend distributed by the Main Entity), to the extent that any of the following apply: </w:t>
            </w:r>
          </w:p>
          <w:p w14:paraId="1DA235EA" w14:textId="77777777" w:rsidR="00162ED0" w:rsidRPr="00E37174" w:rsidRDefault="00162ED0" w:rsidP="00162ED0">
            <w:pPr>
              <w:pStyle w:val="Tabledotpoint1"/>
            </w:pPr>
            <w:r w:rsidRPr="00E37174">
              <w:t>the refund is payable, or the credit is provided, under a foreign tax credit regime, by a jurisdiction other than the imposing jurisdiction; </w:t>
            </w:r>
          </w:p>
          <w:p w14:paraId="72FB22B4" w14:textId="77777777" w:rsidR="00162ED0" w:rsidRPr="00E37174" w:rsidRDefault="00162ED0" w:rsidP="00162ED0">
            <w:pPr>
              <w:pStyle w:val="Tabledotpoint1"/>
            </w:pPr>
            <w:r w:rsidRPr="00E37174">
              <w:t>the beneficial owner is subject to tax on the dividend on a current basis, under the domestic law of the imposing jurisdiction, at a nominal rate that equals or exceeds the Minimum Rate; </w:t>
            </w:r>
          </w:p>
          <w:p w14:paraId="276F4549" w14:textId="77777777" w:rsidR="00162ED0" w:rsidRPr="00E37174" w:rsidRDefault="00162ED0" w:rsidP="00162ED0">
            <w:pPr>
              <w:pStyle w:val="Tabledotpoint1"/>
            </w:pPr>
            <w:r w:rsidRPr="00E37174">
              <w:t>the beneficial owner is an individual who is: </w:t>
            </w:r>
          </w:p>
          <w:p w14:paraId="72C1B897" w14:textId="7A2D7EA9" w:rsidR="00162ED0" w:rsidRPr="00E37174" w:rsidRDefault="00162ED0" w:rsidP="00B7652D">
            <w:pPr>
              <w:pStyle w:val="Tabledotpoint2"/>
              <w:keepNext/>
              <w:ind w:left="817" w:hanging="426"/>
            </w:pPr>
            <w:r w:rsidRPr="00E37174">
              <w:t>a tax resident in the imposing jurisdiction; and </w:t>
            </w:r>
          </w:p>
          <w:p w14:paraId="0CD3661B" w14:textId="3E610B10" w:rsidR="00162ED0" w:rsidRPr="00E37174" w:rsidRDefault="00162ED0" w:rsidP="00B7652D">
            <w:pPr>
              <w:pStyle w:val="Tabledotpoint2"/>
              <w:keepNext/>
              <w:ind w:left="817" w:hanging="426"/>
            </w:pPr>
            <w:r w:rsidRPr="00E37174">
              <w:t>subject to tax on the dividends as ordinary income; </w:t>
            </w:r>
          </w:p>
          <w:p w14:paraId="2500C6FE" w14:textId="77777777" w:rsidR="00162ED0" w:rsidRPr="00E37174" w:rsidRDefault="00162ED0" w:rsidP="00162ED0">
            <w:pPr>
              <w:pStyle w:val="Tabledotpoint1"/>
            </w:pPr>
            <w:r w:rsidRPr="00E37174">
              <w:t xml:space="preserve">if the dividends are received in connection with a pension fund business and subject to tax in a similar manner as a dividend received by a Pension Fund—the refund is payable, or the credit is provided, by a jurisdiction (the </w:t>
            </w:r>
            <w:r w:rsidRPr="00E37174">
              <w:rPr>
                <w:b/>
                <w:bCs/>
                <w:i/>
                <w:iCs/>
              </w:rPr>
              <w:t>benefit jurisdiction</w:t>
            </w:r>
            <w:r w:rsidRPr="00E37174">
              <w:t>) to an Entity that is any of the following: </w:t>
            </w:r>
          </w:p>
          <w:p w14:paraId="29DEC60E" w14:textId="2BF22D6B" w:rsidR="00162ED0" w:rsidRDefault="00162ED0" w:rsidP="00B7652D">
            <w:pPr>
              <w:pStyle w:val="Tabledotpoint2"/>
              <w:keepNext/>
              <w:ind w:left="817" w:hanging="426"/>
            </w:pPr>
            <w:r w:rsidRPr="00E37174">
              <w:t>a Governmental Entity; </w:t>
            </w:r>
          </w:p>
          <w:p w14:paraId="6260E15F" w14:textId="04C53C17" w:rsidR="00162ED0" w:rsidRPr="00E37174" w:rsidRDefault="00162ED0" w:rsidP="00B7652D">
            <w:pPr>
              <w:pStyle w:val="Tabledotpoint2"/>
              <w:keepNext/>
              <w:ind w:left="817" w:hanging="426"/>
            </w:pPr>
            <w:r w:rsidRPr="00E37174">
              <w:t>an International Organisation; </w:t>
            </w:r>
          </w:p>
          <w:p w14:paraId="39B2F4FF" w14:textId="1D9EE625" w:rsidR="00162ED0" w:rsidRPr="00E37174" w:rsidRDefault="00162ED0" w:rsidP="00B7652D">
            <w:pPr>
              <w:pStyle w:val="Tabledotpoint2"/>
              <w:keepNext/>
              <w:ind w:left="817" w:hanging="426"/>
            </w:pPr>
            <w:r w:rsidRPr="00E37174">
              <w:t>a Nonprofit Organisation that is created and managed in the benefit jurisdiction; </w:t>
            </w:r>
          </w:p>
          <w:p w14:paraId="216D9B4D" w14:textId="73EFDE39" w:rsidR="00162ED0" w:rsidRPr="00E37174" w:rsidRDefault="00162ED0" w:rsidP="00B7652D">
            <w:pPr>
              <w:pStyle w:val="Tabledotpoint2"/>
              <w:keepNext/>
              <w:ind w:left="817" w:hanging="426"/>
            </w:pPr>
            <w:r w:rsidRPr="00E37174">
              <w:t>a Pension Fund that is created and managed in the benefit jurisdiction; </w:t>
            </w:r>
          </w:p>
          <w:p w14:paraId="04EBA973" w14:textId="542D272B" w:rsidR="00162ED0" w:rsidRPr="00E37174" w:rsidRDefault="00162ED0" w:rsidP="00B7652D">
            <w:pPr>
              <w:pStyle w:val="Tabledotpoint2"/>
              <w:keepNext/>
              <w:ind w:left="817" w:hanging="426"/>
            </w:pPr>
            <w:r w:rsidRPr="00E37174">
              <w:t>an Investment Entity that is not a Group Entity of the Group and is created and regulated in the benefit jurisdiction; </w:t>
            </w:r>
          </w:p>
          <w:p w14:paraId="5FD05766" w14:textId="63447D34" w:rsidR="00162ED0" w:rsidRPr="001F2C81" w:rsidRDefault="00162ED0" w:rsidP="00B7652D">
            <w:pPr>
              <w:pStyle w:val="Tabledotpoint2"/>
              <w:keepNext/>
              <w:ind w:left="817" w:hanging="426"/>
            </w:pPr>
            <w:r w:rsidRPr="00E37174">
              <w:t>a life insurance company that is located in the benefit jurisdiction. </w:t>
            </w:r>
          </w:p>
        </w:tc>
      </w:tr>
      <w:tr w:rsidR="00162ED0" w:rsidRPr="00020288" w14:paraId="48600567" w14:textId="77777777" w:rsidTr="00AF7204">
        <w:tc>
          <w:tcPr>
            <w:tcW w:w="2334" w:type="dxa"/>
            <w:gridSpan w:val="2"/>
          </w:tcPr>
          <w:p w14:paraId="17A71052" w14:textId="77777777" w:rsidR="00162ED0" w:rsidRDefault="00162ED0" w:rsidP="00162ED0">
            <w:pPr>
              <w:pStyle w:val="Tabletext"/>
            </w:pPr>
            <w:r>
              <w:t>Qualified Refundable Tax Credit</w:t>
            </w:r>
          </w:p>
        </w:tc>
        <w:tc>
          <w:tcPr>
            <w:tcW w:w="5367" w:type="dxa"/>
          </w:tcPr>
          <w:p w14:paraId="7F29D162" w14:textId="77777777" w:rsidR="00162ED0" w:rsidRPr="00FD365F" w:rsidRDefault="00162ED0" w:rsidP="00162ED0">
            <w:pPr>
              <w:pStyle w:val="Tabletext"/>
            </w:pPr>
            <w:r w:rsidRPr="00FD365F">
              <w:t xml:space="preserve">A Refundable Tax Credit is a </w:t>
            </w:r>
            <w:r w:rsidRPr="00FD365F">
              <w:rPr>
                <w:b/>
                <w:i/>
              </w:rPr>
              <w:t>Qualified Refundable Tax Credit</w:t>
            </w:r>
            <w:r w:rsidRPr="00FD365F">
              <w:t xml:space="preserve"> to the extent that it must be paid as cash or available as cash equivalents within 4 years from when a Constituent Entity [first] satisfies the conditions for receiving the credit under the laws of the jurisdiction granting the credit.</w:t>
            </w:r>
          </w:p>
          <w:p w14:paraId="02529444" w14:textId="77777777" w:rsidR="00162ED0" w:rsidRPr="00FD365F" w:rsidRDefault="00162ED0" w:rsidP="00162ED0">
            <w:pPr>
              <w:pStyle w:val="Tabletext"/>
            </w:pPr>
            <w:r w:rsidRPr="00FD365F">
              <w:lastRenderedPageBreak/>
              <w:t xml:space="preserve">However, the Refundable Tax Credit is </w:t>
            </w:r>
            <w:r w:rsidRPr="00FD365F">
              <w:rPr>
                <w:i/>
              </w:rPr>
              <w:t>not</w:t>
            </w:r>
            <w:r w:rsidRPr="00FD365F">
              <w:t xml:space="preserve"> a </w:t>
            </w:r>
            <w:r w:rsidRPr="00FD365F">
              <w:rPr>
                <w:b/>
                <w:i/>
              </w:rPr>
              <w:t>Qualified Refundable Tax Credit</w:t>
            </w:r>
            <w:r w:rsidRPr="00FD365F">
              <w:t>:</w:t>
            </w:r>
          </w:p>
          <w:p w14:paraId="350EAB54" w14:textId="77777777" w:rsidR="00162ED0" w:rsidRPr="00FD365F" w:rsidRDefault="00162ED0" w:rsidP="00162ED0">
            <w:pPr>
              <w:pStyle w:val="Tabledotpoint1"/>
            </w:pPr>
            <w:r w:rsidRPr="00FD365F">
              <w:t>if it is issued under a tax credit regime with a refund mechanism that has no practical significance for those taxpayers that will be entitled to the tax credit; or</w:t>
            </w:r>
          </w:p>
          <w:p w14:paraId="0ECF78F5" w14:textId="77777777" w:rsidR="00162ED0" w:rsidRPr="001F2C81" w:rsidRDefault="00162ED0" w:rsidP="00162ED0">
            <w:pPr>
              <w:pStyle w:val="Tabledotpoint1"/>
            </w:pPr>
            <w:r w:rsidRPr="00FD365F">
              <w:t>to the extent that it includes an amount of Tax creditable or refundable under a Qualified Imputation Tax or a Disqualified Refundable Imputation Tax.</w:t>
            </w:r>
          </w:p>
        </w:tc>
      </w:tr>
      <w:tr w:rsidR="00162ED0" w:rsidRPr="00020288" w14:paraId="11FE97EA" w14:textId="77777777" w:rsidTr="00AF7204">
        <w:tc>
          <w:tcPr>
            <w:tcW w:w="2334" w:type="dxa"/>
            <w:gridSpan w:val="2"/>
          </w:tcPr>
          <w:p w14:paraId="26BC1550" w14:textId="77777777" w:rsidR="00162ED0" w:rsidRDefault="00162ED0" w:rsidP="00162ED0">
            <w:pPr>
              <w:pStyle w:val="Tabletext"/>
            </w:pPr>
            <w:r>
              <w:lastRenderedPageBreak/>
              <w:t>Qualified UTPR</w:t>
            </w:r>
          </w:p>
        </w:tc>
        <w:tc>
          <w:tcPr>
            <w:tcW w:w="5367" w:type="dxa"/>
          </w:tcPr>
          <w:p w14:paraId="188A7030" w14:textId="3935D74A" w:rsidR="00162ED0" w:rsidRPr="001F2C81" w:rsidRDefault="00162ED0" w:rsidP="00162ED0">
            <w:pPr>
              <w:pStyle w:val="Tabletext"/>
            </w:pPr>
            <w:r>
              <w:t>A tax that is imposed under a law of a jurisdiction and specified in a determination under paragraph 10</w:t>
            </w:r>
            <w:r>
              <w:noBreakHyphen/>
            </w:r>
            <w:r w:rsidR="005A1B25">
              <w:t>15</w:t>
            </w:r>
            <w:r>
              <w:t>(c).</w:t>
            </w:r>
          </w:p>
        </w:tc>
      </w:tr>
      <w:tr w:rsidR="00162ED0" w:rsidRPr="00020288" w14:paraId="3F100669" w14:textId="77777777" w:rsidTr="00AF7204">
        <w:tc>
          <w:tcPr>
            <w:tcW w:w="2334" w:type="dxa"/>
            <w:gridSpan w:val="2"/>
          </w:tcPr>
          <w:p w14:paraId="6F16A181" w14:textId="77777777" w:rsidR="00162ED0" w:rsidRDefault="00162ED0" w:rsidP="00162ED0">
            <w:pPr>
              <w:pStyle w:val="Tabletext"/>
            </w:pPr>
            <w:r>
              <w:t>Recapture Account Loss Carry</w:t>
            </w:r>
            <w:r>
              <w:noBreakHyphen/>
              <w:t>forward</w:t>
            </w:r>
          </w:p>
          <w:p w14:paraId="523EC63A" w14:textId="77777777" w:rsidR="00162ED0" w:rsidRDefault="00162ED0" w:rsidP="00162ED0">
            <w:pPr>
              <w:pStyle w:val="Tabletext"/>
            </w:pPr>
            <w:r>
              <w:t>7-60(2)</w:t>
            </w:r>
          </w:p>
        </w:tc>
        <w:tc>
          <w:tcPr>
            <w:tcW w:w="5367" w:type="dxa"/>
          </w:tcPr>
          <w:p w14:paraId="4D477C5B" w14:textId="77777777" w:rsidR="00162ED0" w:rsidRPr="00EE1A1B" w:rsidRDefault="00162ED0" w:rsidP="00162ED0">
            <w:pPr>
              <w:pStyle w:val="Tabletext"/>
            </w:pPr>
            <w:r>
              <w:t>A</w:t>
            </w:r>
            <w:r w:rsidRPr="00EE1A1B">
              <w:t>t the end of the Fiscal Year</w:t>
            </w:r>
            <w:r>
              <w:t xml:space="preserve"> a</w:t>
            </w:r>
            <w:r w:rsidRPr="00EE1A1B">
              <w:t xml:space="preserve"> </w:t>
            </w:r>
            <w:r w:rsidRPr="00EE1A1B">
              <w:rPr>
                <w:b/>
                <w:i/>
              </w:rPr>
              <w:t>Recapture Account Loss Carry</w:t>
            </w:r>
            <w:r w:rsidRPr="00EE1A1B">
              <w:rPr>
                <w:b/>
                <w:i/>
              </w:rPr>
              <w:noBreakHyphen/>
              <w:t>forward</w:t>
            </w:r>
            <w:r w:rsidRPr="00EE1A1B">
              <w:t xml:space="preserve"> is established for the Fiscal Year for the jurisdiction for the MNE Group</w:t>
            </w:r>
            <w:r>
              <w:t xml:space="preserve"> if:</w:t>
            </w:r>
          </w:p>
          <w:p w14:paraId="4A7A8E5E" w14:textId="77777777" w:rsidR="00162ED0" w:rsidRPr="00EE1A1B" w:rsidRDefault="00162ED0" w:rsidP="00162ED0">
            <w:pPr>
              <w:pStyle w:val="Tabledotpoint1"/>
            </w:pPr>
            <w:r w:rsidRPr="00EE1A1B">
              <w:t>there is a Net GloBE Loss for a Fiscal Year of an MNE Group for a jurisdiction; and</w:t>
            </w:r>
          </w:p>
          <w:p w14:paraId="5AB487C9" w14:textId="77777777" w:rsidR="00162ED0" w:rsidRPr="00EE1A1B" w:rsidRDefault="00162ED0" w:rsidP="00162ED0">
            <w:pPr>
              <w:pStyle w:val="Tabledotpoint1"/>
            </w:pPr>
            <w:r w:rsidRPr="00EE1A1B">
              <w:t>at the end of the Fiscal Year, the amount mentioned in paragraph 7</w:t>
            </w:r>
            <w:r w:rsidRPr="00EE1A1B">
              <w:noBreakHyphen/>
              <w:t xml:space="preserve">55(4)(b) (Net GloBE Loss for current year multiplied by </w:t>
            </w:r>
            <w:r>
              <w:t>15 per cent</w:t>
            </w:r>
            <w:r w:rsidRPr="00EE1A1B">
              <w:t>) in respect of that Net GloBE Loss has not been applied fully under subsection 7</w:t>
            </w:r>
            <w:r w:rsidRPr="00EE1A1B">
              <w:noBreakHyphen/>
              <w:t>55(4); and</w:t>
            </w:r>
          </w:p>
          <w:p w14:paraId="5ACA097A" w14:textId="77777777" w:rsidR="00162ED0" w:rsidRDefault="00162ED0" w:rsidP="00162ED0">
            <w:pPr>
              <w:pStyle w:val="Tabledotpoint1"/>
            </w:pPr>
            <w:r w:rsidRPr="00EE1A1B">
              <w:t>there is at least there one or Recapture Account Loss Carry</w:t>
            </w:r>
            <w:r w:rsidRPr="00EE1A1B">
              <w:noBreakHyphen/>
              <w:t>forward for the jurisdiction for the MNE Group for an earlier Fiscal Yea</w:t>
            </w:r>
            <w:r>
              <w:t>r,</w:t>
            </w:r>
          </w:p>
          <w:p w14:paraId="13DA76E6" w14:textId="77777777" w:rsidR="00162ED0" w:rsidRPr="001F2C81" w:rsidRDefault="00162ED0" w:rsidP="00162ED0">
            <w:pPr>
              <w:pStyle w:val="Tabletext"/>
            </w:pPr>
            <w:r>
              <w:t>T</w:t>
            </w:r>
            <w:r w:rsidRPr="00EE1A1B">
              <w:t>he balance of the Recapture Account Loss Carry</w:t>
            </w:r>
            <w:r w:rsidRPr="00EE1A1B">
              <w:noBreakHyphen/>
              <w:t>forward is the amount mentioned in paragraph 7</w:t>
            </w:r>
            <w:r w:rsidRPr="00EE1A1B">
              <w:noBreakHyphen/>
              <w:t>55(4)(b), to the extent that it has not been so applied.</w:t>
            </w:r>
          </w:p>
        </w:tc>
      </w:tr>
      <w:tr w:rsidR="00162ED0" w:rsidRPr="00020288" w14:paraId="584171EA" w14:textId="77777777" w:rsidTr="00AF7204">
        <w:tc>
          <w:tcPr>
            <w:tcW w:w="2334" w:type="dxa"/>
            <w:gridSpan w:val="2"/>
          </w:tcPr>
          <w:p w14:paraId="64D2AE1A" w14:textId="77777777" w:rsidR="00162ED0" w:rsidRDefault="00162ED0" w:rsidP="00162ED0">
            <w:pPr>
              <w:pStyle w:val="Tabletext"/>
            </w:pPr>
            <w:r>
              <w:t>Recaptured Deferred Tax Liability</w:t>
            </w:r>
          </w:p>
          <w:p w14:paraId="016E11FC" w14:textId="10203C7D" w:rsidR="00162ED0" w:rsidRDefault="00162ED0" w:rsidP="00162ED0">
            <w:pPr>
              <w:pStyle w:val="Tabletext"/>
            </w:pPr>
            <w:r>
              <w:t>4-</w:t>
            </w:r>
            <w:r w:rsidR="00FF5BA1">
              <w:t>105</w:t>
            </w:r>
          </w:p>
        </w:tc>
        <w:tc>
          <w:tcPr>
            <w:tcW w:w="5367" w:type="dxa"/>
          </w:tcPr>
          <w:p w14:paraId="76B4B1A8" w14:textId="77777777" w:rsidR="00162ED0" w:rsidRPr="00D83833" w:rsidRDefault="00162ED0" w:rsidP="00162ED0">
            <w:pPr>
              <w:pStyle w:val="Tabletext"/>
            </w:pPr>
            <w:r w:rsidRPr="00D83833">
              <w:t xml:space="preserve">The </w:t>
            </w:r>
            <w:r w:rsidRPr="00D83833">
              <w:rPr>
                <w:b/>
                <w:i/>
              </w:rPr>
              <w:t>Recaptured Deferred Tax Liability</w:t>
            </w:r>
            <w:r w:rsidRPr="00D83833">
              <w:t xml:space="preserve"> for a Constituent Entity for a Fiscal Year is the amount of a deferred tax liability, to the extent that the deferred tax liability:</w:t>
            </w:r>
          </w:p>
          <w:p w14:paraId="0D107452" w14:textId="77777777" w:rsidR="00162ED0" w:rsidRPr="00D83833" w:rsidRDefault="00162ED0" w:rsidP="00162ED0">
            <w:pPr>
              <w:pStyle w:val="Tabledotpoint1"/>
            </w:pPr>
            <w:r w:rsidRPr="00D83833">
              <w:t>was included in the Total Deferred Tax Adjustment Amount for the Constituent Entity for the fifth preceding Fiscal Year; and</w:t>
            </w:r>
          </w:p>
          <w:p w14:paraId="4B4B1739" w14:textId="77777777" w:rsidR="00162ED0" w:rsidRPr="00D83833" w:rsidRDefault="00162ED0" w:rsidP="00162ED0">
            <w:pPr>
              <w:pStyle w:val="Tabledotpoint1"/>
            </w:pPr>
            <w:r w:rsidRPr="00D83833">
              <w:t>has not reversed by the end of the last day of the Fiscal Year; and</w:t>
            </w:r>
          </w:p>
          <w:p w14:paraId="1AC6D0B5" w14:textId="77777777" w:rsidR="00162ED0" w:rsidRPr="001F2C81" w:rsidRDefault="00162ED0" w:rsidP="00162ED0">
            <w:pPr>
              <w:pStyle w:val="Tabledotpoint1"/>
            </w:pPr>
            <w:r w:rsidRPr="00D83833">
              <w:t>does not relate to a Recapture Exception Accrual (see section 4</w:t>
            </w:r>
            <w:r w:rsidRPr="00D83833">
              <w:noBreakHyphen/>
              <w:t>90).</w:t>
            </w:r>
          </w:p>
        </w:tc>
      </w:tr>
      <w:tr w:rsidR="00162ED0" w:rsidRPr="00020288" w14:paraId="3EB658E8" w14:textId="77777777" w:rsidTr="00AF7204">
        <w:tc>
          <w:tcPr>
            <w:tcW w:w="2334" w:type="dxa"/>
            <w:gridSpan w:val="2"/>
          </w:tcPr>
          <w:p w14:paraId="61BC06C1" w14:textId="77777777" w:rsidR="00162ED0" w:rsidRDefault="00162ED0" w:rsidP="00162ED0">
            <w:pPr>
              <w:pStyle w:val="Tabletext"/>
            </w:pPr>
            <w:r>
              <w:t>Recapture Exception Accrual</w:t>
            </w:r>
          </w:p>
          <w:p w14:paraId="055C17C6" w14:textId="093A2786" w:rsidR="00162ED0" w:rsidRDefault="00162ED0" w:rsidP="00162ED0">
            <w:pPr>
              <w:pStyle w:val="Tabletext"/>
            </w:pPr>
            <w:r>
              <w:t>4-</w:t>
            </w:r>
            <w:r w:rsidR="00FF5BA1">
              <w:t>110</w:t>
            </w:r>
          </w:p>
        </w:tc>
        <w:tc>
          <w:tcPr>
            <w:tcW w:w="5367" w:type="dxa"/>
          </w:tcPr>
          <w:p w14:paraId="3908AB7F" w14:textId="77777777" w:rsidR="00162ED0" w:rsidRPr="00D83833" w:rsidRDefault="00162ED0" w:rsidP="00162ED0">
            <w:pPr>
              <w:pStyle w:val="Tabletext"/>
            </w:pPr>
            <w:r w:rsidRPr="00D83833">
              <w:t xml:space="preserve">A </w:t>
            </w:r>
            <w:r w:rsidRPr="00D83833">
              <w:rPr>
                <w:b/>
                <w:i/>
              </w:rPr>
              <w:t>Recapture Exception Accrual</w:t>
            </w:r>
            <w:r w:rsidRPr="00D83833">
              <w:t xml:space="preserve"> means a tax expense accrued in the financial accounts of a Constituent Entity attributable to changes in associated deferred tax liabilities, in respect of any of the following:</w:t>
            </w:r>
          </w:p>
          <w:p w14:paraId="1CA7F331" w14:textId="77777777" w:rsidR="00162ED0" w:rsidRPr="00D83833" w:rsidRDefault="00162ED0" w:rsidP="00162ED0">
            <w:pPr>
              <w:pStyle w:val="Tabledotpoint1"/>
            </w:pPr>
            <w:r w:rsidRPr="00D83833">
              <w:t>cost recovery allowances on tangible assets;</w:t>
            </w:r>
          </w:p>
          <w:p w14:paraId="72296049" w14:textId="77777777" w:rsidR="00162ED0" w:rsidRPr="00D83833" w:rsidRDefault="00162ED0" w:rsidP="00162ED0">
            <w:pPr>
              <w:pStyle w:val="Tabledotpoint1"/>
            </w:pPr>
            <w:r w:rsidRPr="00D83833">
              <w:lastRenderedPageBreak/>
              <w:t>the cost of a licence or similar arrangement from a government for the use of immovable property or exploitation of natural resources that entails significant investment in tangible assets;</w:t>
            </w:r>
          </w:p>
          <w:p w14:paraId="385FC748" w14:textId="77777777" w:rsidR="00162ED0" w:rsidRPr="00D83833" w:rsidRDefault="00162ED0" w:rsidP="00162ED0">
            <w:pPr>
              <w:pStyle w:val="Tabledotpoint1"/>
            </w:pPr>
            <w:r w:rsidRPr="00D83833">
              <w:t>research and development expenses;</w:t>
            </w:r>
          </w:p>
          <w:p w14:paraId="4D6CEB40" w14:textId="77777777" w:rsidR="00162ED0" w:rsidRPr="00D83833" w:rsidRDefault="00162ED0" w:rsidP="00162ED0">
            <w:pPr>
              <w:pStyle w:val="Tabledotpoint1"/>
            </w:pPr>
            <w:r w:rsidRPr="00D83833">
              <w:t>de</w:t>
            </w:r>
            <w:r w:rsidRPr="00D83833">
              <w:noBreakHyphen/>
              <w:t>commissioning and remediation expenses;</w:t>
            </w:r>
          </w:p>
          <w:p w14:paraId="6689C4C6" w14:textId="77777777" w:rsidR="00162ED0" w:rsidRPr="00D83833" w:rsidRDefault="00162ED0" w:rsidP="00162ED0">
            <w:pPr>
              <w:pStyle w:val="Tabledotpoint1"/>
            </w:pPr>
            <w:r w:rsidRPr="00D83833">
              <w:t>fair value accounting on unrealised net gains;</w:t>
            </w:r>
          </w:p>
          <w:p w14:paraId="4E4EC78E" w14:textId="77777777" w:rsidR="00162ED0" w:rsidRPr="00D83833" w:rsidRDefault="00162ED0" w:rsidP="00162ED0">
            <w:pPr>
              <w:pStyle w:val="Tabledotpoint1"/>
            </w:pPr>
            <w:r w:rsidRPr="00D83833">
              <w:t>foreign currency exchange net gains;</w:t>
            </w:r>
          </w:p>
          <w:p w14:paraId="3F4A7471" w14:textId="77777777" w:rsidR="00162ED0" w:rsidRPr="00D83833" w:rsidRDefault="00162ED0" w:rsidP="00162ED0">
            <w:pPr>
              <w:pStyle w:val="Tabledotpoint1"/>
            </w:pPr>
            <w:r w:rsidRPr="00D83833">
              <w:t>insurance reserves and insurance policy deferred acquisition costs;</w:t>
            </w:r>
          </w:p>
          <w:p w14:paraId="2661F56F" w14:textId="77777777" w:rsidR="00162ED0" w:rsidRPr="00D83833" w:rsidRDefault="00162ED0" w:rsidP="00162ED0">
            <w:pPr>
              <w:pStyle w:val="Tabledotpoint1"/>
            </w:pPr>
            <w:r w:rsidRPr="00D83833">
              <w:t>a gain that is:</w:t>
            </w:r>
          </w:p>
          <w:p w14:paraId="171169C2" w14:textId="558412E6" w:rsidR="00162ED0" w:rsidRPr="00D83833" w:rsidRDefault="00162ED0" w:rsidP="00B7652D">
            <w:pPr>
              <w:pStyle w:val="Tabledotpoint2"/>
              <w:keepNext/>
              <w:ind w:left="817" w:hanging="426"/>
            </w:pPr>
            <w:r w:rsidRPr="00D83833">
              <w:t>from the sale of tangible property located in the jurisdiction in which the Constituent Entity is located; and</w:t>
            </w:r>
          </w:p>
          <w:p w14:paraId="1213076E" w14:textId="46D5E7AF" w:rsidR="00162ED0" w:rsidRPr="00D83833" w:rsidRDefault="00162ED0" w:rsidP="00B7652D">
            <w:pPr>
              <w:pStyle w:val="Tabledotpoint2"/>
              <w:keepNext/>
              <w:ind w:left="817" w:hanging="426"/>
            </w:pPr>
            <w:r w:rsidRPr="00D83833">
              <w:t>reinvested in tangible property in that jurisdiction;</w:t>
            </w:r>
          </w:p>
          <w:p w14:paraId="7F10B32A" w14:textId="77777777" w:rsidR="00162ED0" w:rsidRPr="001F2C81" w:rsidRDefault="00162ED0" w:rsidP="00162ED0">
            <w:pPr>
              <w:pStyle w:val="Tabledotpoint1"/>
            </w:pPr>
            <w:r w:rsidRPr="00D83833">
              <w:t>an additional amount accrued as a result of accounting principle changes with respect to a matter mentioned in any of paragraphs (a) to (h).</w:t>
            </w:r>
          </w:p>
        </w:tc>
      </w:tr>
      <w:tr w:rsidR="00162ED0" w:rsidRPr="00020288" w14:paraId="43A163BB" w14:textId="77777777" w:rsidTr="00AF7204">
        <w:tc>
          <w:tcPr>
            <w:tcW w:w="2334" w:type="dxa"/>
            <w:gridSpan w:val="2"/>
          </w:tcPr>
          <w:p w14:paraId="747D7F7D" w14:textId="77777777" w:rsidR="00162ED0" w:rsidRDefault="00162ED0" w:rsidP="00162ED0">
            <w:pPr>
              <w:pStyle w:val="Tabletext"/>
            </w:pPr>
            <w:r>
              <w:lastRenderedPageBreak/>
              <w:t>Reductions to Covered Taxes</w:t>
            </w:r>
          </w:p>
          <w:p w14:paraId="0D90DBFE" w14:textId="77777777" w:rsidR="00162ED0" w:rsidRDefault="00162ED0" w:rsidP="00162ED0">
            <w:pPr>
              <w:pStyle w:val="Tabletext"/>
            </w:pPr>
            <w:r>
              <w:t>4-20</w:t>
            </w:r>
          </w:p>
        </w:tc>
        <w:tc>
          <w:tcPr>
            <w:tcW w:w="5367" w:type="dxa"/>
          </w:tcPr>
          <w:p w14:paraId="0954633D" w14:textId="77777777" w:rsidR="00162ED0" w:rsidRPr="0064621C" w:rsidRDefault="00162ED0" w:rsidP="00162ED0">
            <w:pPr>
              <w:pStyle w:val="Tabletext"/>
            </w:pPr>
            <w:r w:rsidRPr="0064621C">
              <w:t xml:space="preserve">The </w:t>
            </w:r>
            <w:r w:rsidRPr="0064621C">
              <w:rPr>
                <w:b/>
                <w:i/>
              </w:rPr>
              <w:t>Reductions to Covered Taxes</w:t>
            </w:r>
            <w:r w:rsidRPr="0064621C">
              <w:t xml:space="preserve"> of a Constituent Entity for a Fiscal Year is the sum of the following:</w:t>
            </w:r>
          </w:p>
          <w:p w14:paraId="056FC4F9" w14:textId="77777777" w:rsidR="00162ED0" w:rsidRPr="0064621C" w:rsidRDefault="00162ED0" w:rsidP="00162ED0">
            <w:pPr>
              <w:pStyle w:val="Tabledotpoint1"/>
            </w:pPr>
            <w:r w:rsidRPr="0064621C">
              <w:t>if income is excluded from the computation of the Constituent Entity’s GloBE Income or Loss under Chapter 3—the sum of:</w:t>
            </w:r>
          </w:p>
          <w:p w14:paraId="2BE44592" w14:textId="1725EE28" w:rsidR="00162ED0" w:rsidRPr="0064621C" w:rsidRDefault="00162ED0" w:rsidP="00B7652D">
            <w:pPr>
              <w:pStyle w:val="Tabledotpoint2"/>
              <w:keepNext/>
              <w:ind w:left="817" w:hanging="426"/>
            </w:pPr>
            <w:r w:rsidRPr="0064621C">
              <w:t>the Constituent Entity’s</w:t>
            </w:r>
            <w:r w:rsidRPr="00B7652D">
              <w:t xml:space="preserve"> </w:t>
            </w:r>
            <w:r w:rsidRPr="0064621C">
              <w:t>Accrued Current Covered Tax Expense for the Fiscal Year that relates to the income; and</w:t>
            </w:r>
          </w:p>
          <w:p w14:paraId="6F4DC5F5" w14:textId="252E363F" w:rsidR="00162ED0" w:rsidRPr="0064621C" w:rsidRDefault="00162ED0" w:rsidP="00B7652D">
            <w:pPr>
              <w:pStyle w:val="Tabledotpoint2"/>
              <w:keepNext/>
              <w:ind w:left="817" w:hanging="426"/>
            </w:pPr>
            <w:r w:rsidRPr="0064621C">
              <w:t>the amount (if any) of Additions to Covered Taxes for the Fiscal Year of the Constituent Entity that relates to the income;</w:t>
            </w:r>
          </w:p>
          <w:p w14:paraId="15B032A1" w14:textId="1593C3CF" w:rsidR="00162ED0" w:rsidRPr="0064621C" w:rsidRDefault="00162ED0" w:rsidP="00162ED0">
            <w:pPr>
              <w:pStyle w:val="Tabledotpoint1"/>
            </w:pPr>
            <w:r w:rsidRPr="0064621C">
              <w:t xml:space="preserve">the amount </w:t>
            </w:r>
            <w:r>
              <w:t>o</w:t>
            </w:r>
            <w:r w:rsidRPr="0064621C">
              <w:t>f any credit or refund, in respect of a tax credit (other than a Qualified Refundable Tax Credit or a Marketable Transferable Tax Credit), that:</w:t>
            </w:r>
          </w:p>
          <w:p w14:paraId="23931040" w14:textId="78E3CDD3" w:rsidR="00162ED0" w:rsidRPr="0064621C" w:rsidRDefault="00162ED0" w:rsidP="00B7652D">
            <w:pPr>
              <w:pStyle w:val="Tabledotpoint2"/>
              <w:keepNext/>
              <w:ind w:left="817" w:hanging="426"/>
            </w:pPr>
            <w:r w:rsidRPr="0064621C">
              <w:t>is credited or refunded to the Constituent Entity in respect of Covered Taxes in the Fiscal Year; and</w:t>
            </w:r>
          </w:p>
          <w:p w14:paraId="5BE31ED8" w14:textId="565C07AB" w:rsidR="00162ED0" w:rsidRPr="0064621C" w:rsidRDefault="00162ED0" w:rsidP="00B7652D">
            <w:pPr>
              <w:pStyle w:val="Tabledotpoint2"/>
              <w:keepNext/>
              <w:ind w:left="817" w:hanging="426"/>
            </w:pPr>
            <w:r w:rsidRPr="0064621C">
              <w:t>is not recorded as a reduction to the Constituent Entity’s</w:t>
            </w:r>
            <w:r w:rsidRPr="00B7652D">
              <w:t xml:space="preserve"> </w:t>
            </w:r>
            <w:r w:rsidRPr="0064621C">
              <w:t>Accrued Current Covered Tax Expense for the Fiscal Year;</w:t>
            </w:r>
          </w:p>
          <w:p w14:paraId="33233C21" w14:textId="77777777" w:rsidR="00162ED0" w:rsidRPr="0064621C" w:rsidRDefault="00162ED0" w:rsidP="00162ED0">
            <w:pPr>
              <w:pStyle w:val="Tabledotpoint1"/>
            </w:pPr>
            <w:r w:rsidRPr="0064621C">
              <w:t>if the Constituent Entity transferred a Non</w:t>
            </w:r>
            <w:r w:rsidRPr="0064621C">
              <w:noBreakHyphen/>
              <w:t>Marketable Transferable Tax Credit during the Fiscal Year:</w:t>
            </w:r>
          </w:p>
          <w:p w14:paraId="69C69AE6" w14:textId="239F1A3E" w:rsidR="00162ED0" w:rsidRPr="0064621C" w:rsidRDefault="00162ED0" w:rsidP="00B7652D">
            <w:pPr>
              <w:pStyle w:val="Tabledotpoint2"/>
              <w:keepNext/>
              <w:ind w:left="817" w:hanging="426"/>
            </w:pPr>
            <w:r w:rsidRPr="0064621C">
              <w:lastRenderedPageBreak/>
              <w:t>where the Constituent Entity is the person to whom the tax credit was originally granted—the amount (if any) received by the Constituent Entity in exchange for the transfer; or</w:t>
            </w:r>
          </w:p>
          <w:p w14:paraId="03314C64" w14:textId="29BE7E50" w:rsidR="00162ED0" w:rsidRDefault="00162ED0" w:rsidP="00B7652D">
            <w:pPr>
              <w:pStyle w:val="Tabledotpoint2"/>
              <w:keepNext/>
              <w:ind w:left="817" w:hanging="426"/>
            </w:pPr>
            <w:r w:rsidRPr="0064621C">
              <w:t>where subparagraph (i) does not apply, and the transfer amount mentioned in subsection 3</w:t>
            </w:r>
            <w:r w:rsidRPr="0064621C">
              <w:noBreakHyphen/>
              <w:t>1</w:t>
            </w:r>
            <w:r w:rsidR="002359E2">
              <w:t>45</w:t>
            </w:r>
            <w:r w:rsidRPr="0064621C">
              <w:t>(3) is a positive number—that amount;</w:t>
            </w:r>
          </w:p>
          <w:p w14:paraId="154C3BD9" w14:textId="77777777" w:rsidR="00162ED0" w:rsidRPr="0064621C" w:rsidRDefault="00162ED0" w:rsidP="00162ED0">
            <w:pPr>
              <w:pStyle w:val="Tabledotpoint1"/>
            </w:pPr>
            <w:r w:rsidRPr="0064621C">
              <w:t>the amount (if any) of Covered Taxes refunded or credited to the Constituent Entity</w:t>
            </w:r>
            <w:r w:rsidRPr="0064621C">
              <w:rPr>
                <w:i/>
              </w:rPr>
              <w:t xml:space="preserve"> </w:t>
            </w:r>
            <w:r w:rsidRPr="0064621C">
              <w:t>(other than a Qualified Refundable Tax Credit or a Marketable Transferable Tax Credit) that is not treated as an adjustment to the Constituent Entity’s</w:t>
            </w:r>
            <w:r w:rsidRPr="0064621C">
              <w:rPr>
                <w:b/>
                <w:i/>
              </w:rPr>
              <w:t xml:space="preserve"> </w:t>
            </w:r>
            <w:r w:rsidRPr="0064621C">
              <w:t>Accrued Current Covered Tax Expense for the Fiscal Year;</w:t>
            </w:r>
          </w:p>
          <w:p w14:paraId="28A0AB0F" w14:textId="77777777" w:rsidR="00162ED0" w:rsidRPr="0064621C" w:rsidRDefault="00162ED0" w:rsidP="00162ED0">
            <w:pPr>
              <w:pStyle w:val="Tabledotpoint1"/>
            </w:pPr>
            <w:r w:rsidRPr="0064621C">
              <w:t>the amount (if any) of the Constituent Entity’s</w:t>
            </w:r>
            <w:r w:rsidRPr="0064621C">
              <w:rPr>
                <w:b/>
                <w:i/>
              </w:rPr>
              <w:t xml:space="preserve"> </w:t>
            </w:r>
            <w:r w:rsidRPr="0064621C">
              <w:t>Accrued Current Covered Tax Expense for the Fiscal Year that relates to an uncertain tax position;</w:t>
            </w:r>
          </w:p>
          <w:p w14:paraId="36CF23E9" w14:textId="5B7E8541" w:rsidR="00162ED0" w:rsidRPr="001F2C81" w:rsidRDefault="00162ED0" w:rsidP="00162ED0">
            <w:pPr>
              <w:pStyle w:val="Tabledotpoint1"/>
            </w:pPr>
            <w:r w:rsidRPr="0064621C">
              <w:t>the amount (if any) of the Constituent Entity’s</w:t>
            </w:r>
            <w:r w:rsidRPr="0064621C">
              <w:rPr>
                <w:b/>
                <w:i/>
              </w:rPr>
              <w:t xml:space="preserve"> </w:t>
            </w:r>
            <w:r w:rsidRPr="0064621C">
              <w:t>Accrued Current Covered Tax Expense for the Fiscal Year that is not expected to be paid within 3 years after the last day of the Fiscal Year</w:t>
            </w:r>
            <w:r>
              <w:t>.</w:t>
            </w:r>
          </w:p>
        </w:tc>
      </w:tr>
      <w:tr w:rsidR="00162ED0" w:rsidRPr="00020288" w14:paraId="682E52F5" w14:textId="77777777" w:rsidTr="00AF7204">
        <w:tc>
          <w:tcPr>
            <w:tcW w:w="2334" w:type="dxa"/>
            <w:gridSpan w:val="2"/>
          </w:tcPr>
          <w:p w14:paraId="217BDEB8" w14:textId="77777777" w:rsidR="00162ED0" w:rsidRDefault="00162ED0" w:rsidP="00162ED0">
            <w:pPr>
              <w:pStyle w:val="Tabletext"/>
            </w:pPr>
            <w:r>
              <w:lastRenderedPageBreak/>
              <w:t>Reference Jurisdiction</w:t>
            </w:r>
          </w:p>
          <w:p w14:paraId="281BEDE5" w14:textId="77777777" w:rsidR="00162ED0" w:rsidRDefault="00162ED0" w:rsidP="00162ED0">
            <w:pPr>
              <w:pStyle w:val="Tabletext"/>
            </w:pPr>
            <w:r>
              <w:t>9-50</w:t>
            </w:r>
          </w:p>
        </w:tc>
        <w:tc>
          <w:tcPr>
            <w:tcW w:w="5367" w:type="dxa"/>
          </w:tcPr>
          <w:p w14:paraId="528234BF" w14:textId="77777777" w:rsidR="00162ED0" w:rsidRPr="001F2C81" w:rsidRDefault="00162ED0" w:rsidP="00162ED0">
            <w:pPr>
              <w:pStyle w:val="Tabletext"/>
            </w:pPr>
            <w:r w:rsidRPr="005C22A1">
              <w:t xml:space="preserve">The </w:t>
            </w:r>
            <w:r w:rsidRPr="005C22A1">
              <w:rPr>
                <w:b/>
                <w:i/>
              </w:rPr>
              <w:t>Reference Jurisdiction</w:t>
            </w:r>
            <w:r w:rsidRPr="005C22A1">
              <w:t xml:space="preserve"> of an MNE Group is the jurisdiction where the MNE Group has the highest total value of Tangible Assets for the first Fiscal Year starting on or after 1 January 2024 for which the MNE Group is an Applicable MNE Group.</w:t>
            </w:r>
          </w:p>
        </w:tc>
      </w:tr>
      <w:tr w:rsidR="00162ED0" w:rsidRPr="00020288" w14:paraId="7DDD7F7E" w14:textId="77777777" w:rsidTr="00AF7204">
        <w:tc>
          <w:tcPr>
            <w:tcW w:w="2334" w:type="dxa"/>
            <w:gridSpan w:val="2"/>
          </w:tcPr>
          <w:p w14:paraId="54317D75" w14:textId="77777777" w:rsidR="00162ED0" w:rsidRDefault="00162ED0" w:rsidP="00162ED0">
            <w:pPr>
              <w:pStyle w:val="Tabletext"/>
            </w:pPr>
            <w:r>
              <w:t>Refundable Tax Credit</w:t>
            </w:r>
          </w:p>
          <w:p w14:paraId="09A6E665" w14:textId="58F03007" w:rsidR="00162ED0" w:rsidRDefault="00162ED0" w:rsidP="00162ED0">
            <w:pPr>
              <w:pStyle w:val="Tabletext"/>
            </w:pPr>
            <w:r>
              <w:t>3-</w:t>
            </w:r>
            <w:r w:rsidR="00FB222E">
              <w:t>125</w:t>
            </w:r>
            <w:r>
              <w:t>(4)</w:t>
            </w:r>
          </w:p>
        </w:tc>
        <w:tc>
          <w:tcPr>
            <w:tcW w:w="5367" w:type="dxa"/>
          </w:tcPr>
          <w:p w14:paraId="62E171F4" w14:textId="77777777" w:rsidR="00162ED0" w:rsidRPr="001F2C81" w:rsidRDefault="00162ED0" w:rsidP="00162ED0">
            <w:pPr>
              <w:pStyle w:val="Tabletext"/>
            </w:pPr>
            <w:r w:rsidRPr="0025066D">
              <w:t xml:space="preserve">A tax credit is a </w:t>
            </w:r>
            <w:r w:rsidRPr="0025066D">
              <w:rPr>
                <w:b/>
                <w:i/>
              </w:rPr>
              <w:t>Refundable Tax Credit</w:t>
            </w:r>
            <w:r w:rsidRPr="0025066D">
              <w:t xml:space="preserve"> if it is payable in cash or cash equivalents (including by way of discharge against a liability to a Tax which is not a Covered Tax)</w:t>
            </w:r>
            <w:r>
              <w:t xml:space="preserve"> </w:t>
            </w:r>
            <w:r w:rsidRPr="0025066D">
              <w:t>after it has been used to reduce or discharge any liability to Covered Taxes or</w:t>
            </w:r>
            <w:r>
              <w:t xml:space="preserve"> i</w:t>
            </w:r>
            <w:r w:rsidRPr="0025066D">
              <w:t>n the absence of any liability for Covered Taxes.</w:t>
            </w:r>
          </w:p>
        </w:tc>
      </w:tr>
      <w:tr w:rsidR="00162ED0" w:rsidRPr="00020288" w14:paraId="124D8EC5" w14:textId="77777777" w:rsidTr="00AF7204">
        <w:tc>
          <w:tcPr>
            <w:tcW w:w="2334" w:type="dxa"/>
            <w:gridSpan w:val="2"/>
          </w:tcPr>
          <w:p w14:paraId="35710D85" w14:textId="77777777" w:rsidR="00162ED0" w:rsidRDefault="00162ED0" w:rsidP="00162ED0">
            <w:pPr>
              <w:pStyle w:val="Tabletext"/>
            </w:pPr>
            <w:r>
              <w:t>Relevant CbC Regulations</w:t>
            </w:r>
          </w:p>
          <w:p w14:paraId="4D206DD3" w14:textId="3C52D19C" w:rsidR="00162ED0" w:rsidRDefault="00162ED0" w:rsidP="00162ED0">
            <w:pPr>
              <w:pStyle w:val="Tabletext"/>
            </w:pPr>
            <w:r>
              <w:t>8-</w:t>
            </w:r>
            <w:r w:rsidR="00C35B56">
              <w:t>195</w:t>
            </w:r>
            <w:r>
              <w:t>(1)</w:t>
            </w:r>
          </w:p>
        </w:tc>
        <w:tc>
          <w:tcPr>
            <w:tcW w:w="5367" w:type="dxa"/>
          </w:tcPr>
          <w:p w14:paraId="70220E91" w14:textId="77777777" w:rsidR="00162ED0" w:rsidRPr="00814703" w:rsidRDefault="00162ED0" w:rsidP="00162ED0">
            <w:pPr>
              <w:pStyle w:val="Tabletext"/>
            </w:pPr>
            <w:r w:rsidRPr="00814703">
              <w:rPr>
                <w:b/>
                <w:i/>
              </w:rPr>
              <w:t>Relevant CbC Regulations</w:t>
            </w:r>
            <w:r w:rsidRPr="00814703">
              <w:t xml:space="preserve"> of an MNE Group means:</w:t>
            </w:r>
          </w:p>
          <w:p w14:paraId="6595C57D" w14:textId="2875BE65" w:rsidR="00162ED0" w:rsidRPr="00814703" w:rsidRDefault="00162ED0" w:rsidP="00162ED0">
            <w:pPr>
              <w:pStyle w:val="Tabledotpoint1"/>
            </w:pPr>
            <w:r w:rsidRPr="00814703">
              <w:t xml:space="preserve">if the jurisdiction in which the </w:t>
            </w:r>
            <w:r>
              <w:t>UPE</w:t>
            </w:r>
            <w:r w:rsidRPr="00814703">
              <w:t xml:space="preserve"> of the MNE Group is located (the </w:t>
            </w:r>
            <w:r w:rsidRPr="00814703">
              <w:rPr>
                <w:b/>
                <w:i/>
              </w:rPr>
              <w:t>UPE jurisdiction</w:t>
            </w:r>
            <w:r w:rsidRPr="00814703">
              <w:t xml:space="preserve">) does not have </w:t>
            </w:r>
            <w:r>
              <w:t>CbC</w:t>
            </w:r>
            <w:r w:rsidRPr="00814703">
              <w:t xml:space="preserve"> Reporting regulations and the MNE Group is not required to file a </w:t>
            </w:r>
            <w:r>
              <w:t>CbC</w:t>
            </w:r>
            <w:r w:rsidRPr="00814703">
              <w:t xml:space="preserve"> Report in any jurisdiction—the following documents:</w:t>
            </w:r>
          </w:p>
          <w:p w14:paraId="3DC62D25" w14:textId="77777777" w:rsidR="00162ED0" w:rsidRDefault="00162ED0" w:rsidP="00B7652D">
            <w:pPr>
              <w:pStyle w:val="Tabledotpoint2"/>
              <w:keepNext/>
              <w:ind w:left="817" w:hanging="426"/>
            </w:pPr>
            <w:r w:rsidRPr="00814703">
              <w:t>the Transfer Pricing Guidelines for Multinational Enterprises and Tax Administrations, as approved by the Council of the OECD and last amended on 7 January 2022;</w:t>
            </w:r>
          </w:p>
          <w:p w14:paraId="76BEAB05" w14:textId="77777777" w:rsidR="00162ED0" w:rsidRPr="00814703" w:rsidRDefault="00162ED0" w:rsidP="00B7652D">
            <w:pPr>
              <w:pStyle w:val="Tabledotpoint2"/>
              <w:keepNext/>
              <w:ind w:left="817" w:hanging="426"/>
            </w:pPr>
            <w:r w:rsidRPr="00B7652D">
              <w:t>Guidance on the Implementation of Country</w:t>
            </w:r>
            <w:r w:rsidRPr="00B7652D">
              <w:noBreakHyphen/>
              <w:t>by</w:t>
            </w:r>
            <w:r w:rsidRPr="00B7652D">
              <w:noBreakHyphen/>
              <w:t>Country Reporting: BEPS Action 13</w:t>
            </w:r>
            <w:r w:rsidRPr="00814703">
              <w:t xml:space="preserve"> (2022) of the OECD; or</w:t>
            </w:r>
          </w:p>
          <w:p w14:paraId="0BB3E312" w14:textId="58EDC587" w:rsidR="00162ED0" w:rsidRPr="00814703" w:rsidRDefault="00162ED0" w:rsidP="00162ED0">
            <w:pPr>
              <w:pStyle w:val="Tabledotpoint1"/>
            </w:pPr>
            <w:r w:rsidRPr="00814703">
              <w:t xml:space="preserve">if paragraph (a) does not apply and the MNE Group is does not file a </w:t>
            </w:r>
            <w:r>
              <w:t>CbC</w:t>
            </w:r>
            <w:r w:rsidRPr="00814703">
              <w:t xml:space="preserve"> Report in the UPE Jurisdiction—the </w:t>
            </w:r>
            <w:r>
              <w:t>CbC</w:t>
            </w:r>
            <w:r w:rsidRPr="00814703">
              <w:t xml:space="preserve"> Reporting regulations of the surrogate parent entity jurisdiction (determined in accordance with the documents mentioned in subparagraphs (a)(i) and (ii)); or</w:t>
            </w:r>
          </w:p>
          <w:p w14:paraId="0F1ACD95" w14:textId="224598CE" w:rsidR="00162ED0" w:rsidRPr="001F2C81" w:rsidRDefault="00162ED0" w:rsidP="00162ED0">
            <w:pPr>
              <w:pStyle w:val="Tabledotpoint1"/>
            </w:pPr>
            <w:r w:rsidRPr="00814703">
              <w:lastRenderedPageBreak/>
              <w:t xml:space="preserve">otherwise—the </w:t>
            </w:r>
            <w:r>
              <w:t>CbC</w:t>
            </w:r>
            <w:r w:rsidRPr="00814703">
              <w:t xml:space="preserve"> Reporting regulations of the UPE jurisdiction.</w:t>
            </w:r>
          </w:p>
        </w:tc>
      </w:tr>
      <w:tr w:rsidR="00465A2F" w:rsidRPr="00020288" w14:paraId="65368972" w14:textId="77777777" w:rsidTr="00AF7204">
        <w:tc>
          <w:tcPr>
            <w:tcW w:w="2334" w:type="dxa"/>
            <w:gridSpan w:val="2"/>
          </w:tcPr>
          <w:p w14:paraId="072FF2EC" w14:textId="77777777" w:rsidR="00465A2F" w:rsidRDefault="00465A2F">
            <w:pPr>
              <w:pStyle w:val="Tabletext"/>
            </w:pPr>
            <w:r>
              <w:lastRenderedPageBreak/>
              <w:t>Restricted Tier One Capital</w:t>
            </w:r>
          </w:p>
          <w:p w14:paraId="22DDA4A5" w14:textId="62097336" w:rsidR="00465A2F" w:rsidRDefault="00E75A2C">
            <w:pPr>
              <w:pStyle w:val="Tabletext"/>
            </w:pPr>
            <w:r>
              <w:t>3-</w:t>
            </w:r>
            <w:r w:rsidR="00C35B56">
              <w:t>210</w:t>
            </w:r>
            <w:r>
              <w:t>(</w:t>
            </w:r>
            <w:r w:rsidR="00125CD2">
              <w:t>2</w:t>
            </w:r>
            <w:r>
              <w:t>)</w:t>
            </w:r>
          </w:p>
        </w:tc>
        <w:tc>
          <w:tcPr>
            <w:tcW w:w="5367" w:type="dxa"/>
          </w:tcPr>
          <w:p w14:paraId="6D074A3D" w14:textId="77777777" w:rsidR="00465A2F" w:rsidRDefault="00BF1F0D" w:rsidP="00AB22A5">
            <w:pPr>
              <w:pStyle w:val="Tabletext"/>
            </w:pPr>
            <w:r>
              <w:t xml:space="preserve">An instrument issued by a Constituent Entity of an MNE Group pursuant to prudential regulatory requirements that is convertible </w:t>
            </w:r>
            <w:r w:rsidR="00B83644">
              <w:t xml:space="preserve">to </w:t>
            </w:r>
            <w:r>
              <w:t xml:space="preserve">equity or written </w:t>
            </w:r>
            <w:r w:rsidR="00B83644">
              <w:t xml:space="preserve">down if a pre-specified trigger event occurs </w:t>
            </w:r>
            <w:r w:rsidR="00F644A1">
              <w:t>and that has other features which are designed to aid loss absorbency in the event of a financial crisis</w:t>
            </w:r>
            <w:r w:rsidR="00CC1D36">
              <w:t xml:space="preserve"> is:</w:t>
            </w:r>
          </w:p>
          <w:p w14:paraId="2C020996" w14:textId="7654C042" w:rsidR="00CC1D36" w:rsidRPr="00AB22A5" w:rsidRDefault="00CC1D36" w:rsidP="00AB22A5">
            <w:pPr>
              <w:pStyle w:val="Tabledotpoint1"/>
            </w:pPr>
            <w:r>
              <w:t xml:space="preserve">if the requirements are applicable to the insurance sector – </w:t>
            </w:r>
            <w:r>
              <w:rPr>
                <w:b/>
                <w:i/>
              </w:rPr>
              <w:t>Restricted T</w:t>
            </w:r>
            <w:r w:rsidR="0072550A">
              <w:rPr>
                <w:b/>
                <w:i/>
              </w:rPr>
              <w:t>ier One Capital</w:t>
            </w:r>
            <w:r w:rsidR="0072550A">
              <w:rPr>
                <w:b/>
              </w:rPr>
              <w:t>.</w:t>
            </w:r>
          </w:p>
        </w:tc>
      </w:tr>
      <w:tr w:rsidR="00162ED0" w:rsidRPr="00020288" w14:paraId="0DF7AAFC" w14:textId="77777777" w:rsidTr="00AF7204">
        <w:tc>
          <w:tcPr>
            <w:tcW w:w="2334" w:type="dxa"/>
            <w:gridSpan w:val="2"/>
          </w:tcPr>
          <w:p w14:paraId="446AD38A" w14:textId="77777777" w:rsidR="00162ED0" w:rsidRDefault="00162ED0" w:rsidP="00162ED0">
            <w:pPr>
              <w:pStyle w:val="Tabletext"/>
            </w:pPr>
            <w:r>
              <w:t>Reverse Hybrid Entity</w:t>
            </w:r>
          </w:p>
          <w:p w14:paraId="514222E8" w14:textId="707D8DD8" w:rsidR="00162ED0" w:rsidRDefault="00162ED0" w:rsidP="00162ED0">
            <w:pPr>
              <w:pStyle w:val="Tabletext"/>
            </w:pPr>
            <w:r>
              <w:t>10-</w:t>
            </w:r>
            <w:r w:rsidR="00C35B56">
              <w:t>40</w:t>
            </w:r>
          </w:p>
        </w:tc>
        <w:tc>
          <w:tcPr>
            <w:tcW w:w="5367" w:type="dxa"/>
          </w:tcPr>
          <w:p w14:paraId="71420CF3" w14:textId="5DB1F288" w:rsidR="00162ED0" w:rsidRPr="001F2C81" w:rsidRDefault="00162ED0" w:rsidP="00162ED0">
            <w:pPr>
              <w:pStyle w:val="Tabletext"/>
            </w:pPr>
            <w:r w:rsidRPr="00EE1A1B">
              <w:t>A Flow</w:t>
            </w:r>
            <w:r w:rsidRPr="00EE1A1B">
              <w:noBreakHyphen/>
            </w:r>
            <w:r w:rsidR="002330EF">
              <w:t>t</w:t>
            </w:r>
            <w:r w:rsidRPr="00EE1A1B">
              <w:t xml:space="preserve">hrough Entity is a </w:t>
            </w:r>
            <w:r w:rsidRPr="00EE1A1B">
              <w:rPr>
                <w:b/>
                <w:i/>
              </w:rPr>
              <w:t>Reverse Hybrid Entity</w:t>
            </w:r>
            <w:r w:rsidRPr="00EE1A1B">
              <w:t xml:space="preserve"> with respect to its income, expenditure, profit or loss to the extent that it is not fiscally transparent in the jurisdiction in which the owner is located.</w:t>
            </w:r>
          </w:p>
        </w:tc>
      </w:tr>
      <w:tr w:rsidR="00162ED0" w:rsidRPr="00020288" w14:paraId="57CC3274" w14:textId="77777777" w:rsidTr="00AF7204">
        <w:tc>
          <w:tcPr>
            <w:tcW w:w="2334" w:type="dxa"/>
            <w:gridSpan w:val="2"/>
          </w:tcPr>
          <w:p w14:paraId="71673DD1" w14:textId="77777777" w:rsidR="00162ED0" w:rsidRDefault="00162ED0" w:rsidP="00162ED0">
            <w:pPr>
              <w:pStyle w:val="Tabletext"/>
            </w:pPr>
            <w:r>
              <w:t>Routine profits test</w:t>
            </w:r>
          </w:p>
          <w:p w14:paraId="20BB6494" w14:textId="42EBC458" w:rsidR="00162ED0" w:rsidRDefault="00162ED0" w:rsidP="00162ED0">
            <w:pPr>
              <w:pStyle w:val="Tabletext"/>
            </w:pPr>
            <w:r>
              <w:t>8-</w:t>
            </w:r>
            <w:r w:rsidR="00C35B56">
              <w:t>60</w:t>
            </w:r>
          </w:p>
        </w:tc>
        <w:tc>
          <w:tcPr>
            <w:tcW w:w="5367" w:type="dxa"/>
          </w:tcPr>
          <w:p w14:paraId="500E39BD" w14:textId="77777777" w:rsidR="00162ED0" w:rsidRDefault="00162ED0" w:rsidP="00162ED0">
            <w:pPr>
              <w:pStyle w:val="Tabletext"/>
            </w:pPr>
            <w:r w:rsidRPr="002421C9">
              <w:t xml:space="preserve">An MNE Group meets the </w:t>
            </w:r>
            <w:r w:rsidRPr="002421C9">
              <w:rPr>
                <w:b/>
                <w:i/>
              </w:rPr>
              <w:t>Routine profits test</w:t>
            </w:r>
            <w:r w:rsidRPr="002421C9">
              <w:t xml:space="preserve"> for a jurisdiction for a Fiscal Year if the MNE Group’s Profit (Loss) before Income Tax for the jurisdiction for the Fiscal Year is equal to or less than the MNE Group’s Substance</w:t>
            </w:r>
            <w:r w:rsidRPr="002421C9">
              <w:noBreakHyphen/>
              <w:t>based Income Exclusion Amount for the jurisdiction for the Fiscal Year.</w:t>
            </w:r>
          </w:p>
          <w:p w14:paraId="4CC9D56F" w14:textId="77777777" w:rsidR="00162ED0" w:rsidRPr="002421C9" w:rsidRDefault="00162ED0" w:rsidP="00162ED0">
            <w:pPr>
              <w:pStyle w:val="Tabletext"/>
            </w:pPr>
            <w:r>
              <w:t>I</w:t>
            </w:r>
            <w:r w:rsidRPr="002421C9">
              <w:t>n computing the Substance</w:t>
            </w:r>
            <w:r w:rsidRPr="002421C9">
              <w:noBreakHyphen/>
              <w:t>based Income Exclusion Amount mentioned in that subsection, treat a Constituent Entity of the MNE Group as being located in the jurisdiction for the Fiscal Year if, and only if the Constituent Entity is:</w:t>
            </w:r>
          </w:p>
          <w:p w14:paraId="760DF1FE" w14:textId="4B05CB5B" w:rsidR="00162ED0" w:rsidRPr="002421C9" w:rsidRDefault="00162ED0" w:rsidP="00162ED0">
            <w:pPr>
              <w:pStyle w:val="Tabledotpoint1"/>
            </w:pPr>
            <w:r w:rsidRPr="002421C9">
              <w:t>a CbC</w:t>
            </w:r>
            <w:r w:rsidR="009A187E">
              <w:t xml:space="preserve"> </w:t>
            </w:r>
            <w:r w:rsidRPr="002421C9">
              <w:t>R</w:t>
            </w:r>
            <w:r w:rsidR="009A187E">
              <w:t>eporting</w:t>
            </w:r>
            <w:r w:rsidRPr="002421C9">
              <w:t xml:space="preserve"> Resident of the jurisdiction for the Fiscal Year; and</w:t>
            </w:r>
          </w:p>
          <w:p w14:paraId="100981FB" w14:textId="77777777" w:rsidR="00162ED0" w:rsidRPr="001F2C81" w:rsidRDefault="00162ED0" w:rsidP="00162ED0">
            <w:pPr>
              <w:pStyle w:val="Tabledotpoint1"/>
            </w:pPr>
            <w:r w:rsidRPr="002421C9">
              <w:t>is located in the jurisdiction.</w:t>
            </w:r>
          </w:p>
        </w:tc>
      </w:tr>
      <w:tr w:rsidR="00162ED0" w:rsidRPr="00020288" w14:paraId="699CB4A6" w14:textId="77777777" w:rsidTr="00AF7204">
        <w:tc>
          <w:tcPr>
            <w:tcW w:w="2334" w:type="dxa"/>
            <w:gridSpan w:val="2"/>
          </w:tcPr>
          <w:p w14:paraId="277B981C" w14:textId="77777777" w:rsidR="00162ED0" w:rsidRDefault="00162ED0" w:rsidP="00162ED0">
            <w:pPr>
              <w:pStyle w:val="Tabletext"/>
            </w:pPr>
            <w:r>
              <w:t>SC De minimis test</w:t>
            </w:r>
          </w:p>
          <w:p w14:paraId="4B8740DD" w14:textId="55CFB218" w:rsidR="00162ED0" w:rsidRDefault="00162ED0" w:rsidP="00162ED0">
            <w:pPr>
              <w:pStyle w:val="Tabletext"/>
            </w:pPr>
            <w:r>
              <w:t>8-1</w:t>
            </w:r>
            <w:r w:rsidR="005A1B25">
              <w:t>60</w:t>
            </w:r>
          </w:p>
        </w:tc>
        <w:tc>
          <w:tcPr>
            <w:tcW w:w="5367" w:type="dxa"/>
          </w:tcPr>
          <w:p w14:paraId="1ED03E32" w14:textId="77777777" w:rsidR="00162ED0" w:rsidRPr="005A776A" w:rsidRDefault="00162ED0" w:rsidP="00162ED0">
            <w:pPr>
              <w:pStyle w:val="Tabletext"/>
            </w:pPr>
            <w:r w:rsidRPr="005A776A">
              <w:t xml:space="preserve">An MNE Group meets the </w:t>
            </w:r>
            <w:r w:rsidRPr="005A776A">
              <w:rPr>
                <w:b/>
                <w:i/>
              </w:rPr>
              <w:t>SC</w:t>
            </w:r>
            <w:r w:rsidRPr="005A776A">
              <w:rPr>
                <w:i/>
              </w:rPr>
              <w:t xml:space="preserve"> </w:t>
            </w:r>
            <w:r w:rsidRPr="005A776A">
              <w:rPr>
                <w:b/>
                <w:i/>
              </w:rPr>
              <w:t>De minimis test</w:t>
            </w:r>
            <w:r w:rsidRPr="005A776A">
              <w:t xml:space="preserve"> for a jurisdiction for a Fiscal Year if:</w:t>
            </w:r>
          </w:p>
          <w:p w14:paraId="35EECAD3" w14:textId="77777777" w:rsidR="00162ED0" w:rsidRPr="005A776A" w:rsidRDefault="00162ED0" w:rsidP="00162ED0">
            <w:pPr>
              <w:pStyle w:val="Tabledotpoint1"/>
            </w:pPr>
            <w:r w:rsidRPr="005A776A">
              <w:t>the MNE Group’s Average GloBE Revenue for the jurisdiction for the Fiscal Year, computed in accordance with this Division, is less than 10 million Euros; and</w:t>
            </w:r>
          </w:p>
          <w:p w14:paraId="24E7BF25" w14:textId="77777777" w:rsidR="00162ED0" w:rsidRPr="001F2C81" w:rsidRDefault="00162ED0" w:rsidP="00162ED0">
            <w:pPr>
              <w:pStyle w:val="Tabledotpoint1"/>
            </w:pPr>
            <w:r w:rsidRPr="005A776A">
              <w:t>the MNE Group’s Average GloBE Income or Loss for the jurisdiction for the Fiscal Year, computed in accordance with this Division, is less than 1 million Euros.</w:t>
            </w:r>
          </w:p>
        </w:tc>
      </w:tr>
      <w:tr w:rsidR="00162ED0" w:rsidRPr="00020288" w14:paraId="16E385FE" w14:textId="77777777" w:rsidTr="00AF7204">
        <w:tc>
          <w:tcPr>
            <w:tcW w:w="2334" w:type="dxa"/>
            <w:gridSpan w:val="2"/>
          </w:tcPr>
          <w:p w14:paraId="3BCB25B6" w14:textId="77777777" w:rsidR="00162ED0" w:rsidRDefault="00162ED0" w:rsidP="00162ED0">
            <w:pPr>
              <w:pStyle w:val="Tabletext"/>
            </w:pPr>
            <w:r>
              <w:t>SC ETR test</w:t>
            </w:r>
          </w:p>
          <w:p w14:paraId="7B72960C" w14:textId="76D4B309" w:rsidR="00162ED0" w:rsidRDefault="00162ED0" w:rsidP="00162ED0">
            <w:pPr>
              <w:pStyle w:val="Tabletext"/>
            </w:pPr>
            <w:r>
              <w:t>8-</w:t>
            </w:r>
            <w:r w:rsidR="00C35B56">
              <w:t>165</w:t>
            </w:r>
          </w:p>
        </w:tc>
        <w:tc>
          <w:tcPr>
            <w:tcW w:w="5367" w:type="dxa"/>
          </w:tcPr>
          <w:p w14:paraId="75F34FE1" w14:textId="77777777" w:rsidR="00162ED0" w:rsidRDefault="00162ED0" w:rsidP="00162ED0">
            <w:pPr>
              <w:pStyle w:val="Tabletext"/>
            </w:pPr>
            <w:r w:rsidRPr="005A776A">
              <w:t xml:space="preserve">An MNE Group meets the </w:t>
            </w:r>
            <w:r w:rsidRPr="005A776A">
              <w:rPr>
                <w:b/>
                <w:i/>
              </w:rPr>
              <w:t>SC</w:t>
            </w:r>
            <w:r w:rsidRPr="005A776A">
              <w:rPr>
                <w:i/>
              </w:rPr>
              <w:t xml:space="preserve"> </w:t>
            </w:r>
            <w:r w:rsidRPr="005A776A">
              <w:rPr>
                <w:b/>
                <w:i/>
              </w:rPr>
              <w:t>ETR test</w:t>
            </w:r>
            <w:r w:rsidRPr="005A776A">
              <w:t xml:space="preserve"> for a jurisdiction for a Fiscal Year if the MNE Group’s Effective Tax Rate for the jurisdiction for the Fiscal Year, computed in accordance with this Division, is equal to or greater than the Minimum Rate.</w:t>
            </w:r>
          </w:p>
          <w:p w14:paraId="124C5EF5" w14:textId="77777777" w:rsidR="00162ED0" w:rsidRPr="001F2C81" w:rsidRDefault="00162ED0" w:rsidP="00162ED0">
            <w:pPr>
              <w:pStyle w:val="Tabletext"/>
            </w:pPr>
            <w:r w:rsidRPr="005A776A">
              <w:t xml:space="preserve">However, the MNE Group does not meet the </w:t>
            </w:r>
            <w:r w:rsidRPr="005A776A">
              <w:rPr>
                <w:b/>
                <w:i/>
              </w:rPr>
              <w:t>SC</w:t>
            </w:r>
            <w:r w:rsidRPr="005A776A">
              <w:rPr>
                <w:i/>
              </w:rPr>
              <w:t xml:space="preserve"> </w:t>
            </w:r>
            <w:r w:rsidRPr="005A776A">
              <w:rPr>
                <w:b/>
                <w:i/>
              </w:rPr>
              <w:t>ETR test</w:t>
            </w:r>
            <w:r w:rsidRPr="005A776A">
              <w:t xml:space="preserve"> for the jurisdiction for the Fiscal Year if the jurisdiction is a jurisdiction in which a Stateless Constituent Entity is taken to be located under section 5</w:t>
            </w:r>
            <w:r w:rsidRPr="005A776A">
              <w:noBreakHyphen/>
              <w:t>45.</w:t>
            </w:r>
          </w:p>
        </w:tc>
      </w:tr>
      <w:tr w:rsidR="00162ED0" w:rsidRPr="00020288" w14:paraId="1428F876" w14:textId="77777777" w:rsidTr="00AF7204">
        <w:tc>
          <w:tcPr>
            <w:tcW w:w="2334" w:type="dxa"/>
            <w:gridSpan w:val="2"/>
          </w:tcPr>
          <w:p w14:paraId="31982276" w14:textId="77777777" w:rsidR="00162ED0" w:rsidRDefault="00162ED0" w:rsidP="00162ED0">
            <w:pPr>
              <w:pStyle w:val="Tabletext"/>
            </w:pPr>
            <w:r>
              <w:lastRenderedPageBreak/>
              <w:t>SC Routine profits test</w:t>
            </w:r>
          </w:p>
          <w:p w14:paraId="346EE3C2" w14:textId="0B2DD9F5" w:rsidR="00162ED0" w:rsidRDefault="00162ED0" w:rsidP="00162ED0">
            <w:pPr>
              <w:pStyle w:val="Tabletext"/>
            </w:pPr>
            <w:r>
              <w:t>8-</w:t>
            </w:r>
            <w:r w:rsidR="00C35B56">
              <w:t>170</w:t>
            </w:r>
          </w:p>
        </w:tc>
        <w:tc>
          <w:tcPr>
            <w:tcW w:w="5367" w:type="dxa"/>
          </w:tcPr>
          <w:p w14:paraId="1D24499E" w14:textId="77777777" w:rsidR="00162ED0" w:rsidRPr="001F2C81" w:rsidRDefault="00162ED0" w:rsidP="00162ED0">
            <w:pPr>
              <w:pStyle w:val="Tabletext"/>
            </w:pPr>
            <w:r w:rsidRPr="005A776A">
              <w:t xml:space="preserve">An MNE Group meets the </w:t>
            </w:r>
            <w:r w:rsidRPr="005A776A">
              <w:rPr>
                <w:b/>
                <w:i/>
              </w:rPr>
              <w:t>SC Routine profits test</w:t>
            </w:r>
            <w:r w:rsidRPr="005A776A">
              <w:t xml:space="preserve"> for a jurisdiction for a Fiscal Year if the MNE Group’s Net GloBE Income for the jurisdiction for the Fiscal Year, computed in accordance with this Division, is equal to or less than the MNE Group’s Substance</w:t>
            </w:r>
            <w:r w:rsidRPr="005A776A">
              <w:noBreakHyphen/>
              <w:t>based Income Exclusion Amount for the jurisdiction for the Fiscal Year.</w:t>
            </w:r>
          </w:p>
        </w:tc>
      </w:tr>
      <w:tr w:rsidR="00BC30EA" w:rsidRPr="00020288" w14:paraId="7655C229" w14:textId="77777777" w:rsidTr="00AF7204">
        <w:tc>
          <w:tcPr>
            <w:tcW w:w="2334" w:type="dxa"/>
            <w:gridSpan w:val="2"/>
          </w:tcPr>
          <w:p w14:paraId="26C7E888" w14:textId="77777777" w:rsidR="00BC30EA" w:rsidRDefault="003720F8">
            <w:pPr>
              <w:pStyle w:val="Tabletext"/>
            </w:pPr>
            <w:r>
              <w:t>Securitisation Arrangement</w:t>
            </w:r>
          </w:p>
          <w:p w14:paraId="537CB59A" w14:textId="05EE6101" w:rsidR="003720F8" w:rsidRDefault="003720F8">
            <w:pPr>
              <w:pStyle w:val="Tabletext"/>
            </w:pPr>
            <w:r>
              <w:t>8-</w:t>
            </w:r>
            <w:r w:rsidR="00C35B56">
              <w:t>220</w:t>
            </w:r>
          </w:p>
        </w:tc>
        <w:tc>
          <w:tcPr>
            <w:tcW w:w="5367" w:type="dxa"/>
          </w:tcPr>
          <w:p w14:paraId="6CB69F42" w14:textId="77777777" w:rsidR="00BC30EA" w:rsidRDefault="00311937">
            <w:pPr>
              <w:pStyle w:val="Tabletext"/>
            </w:pPr>
            <w:r>
              <w:t xml:space="preserve">A </w:t>
            </w:r>
            <w:r>
              <w:rPr>
                <w:b/>
                <w:i/>
              </w:rPr>
              <w:t>Securitisation</w:t>
            </w:r>
            <w:r>
              <w:t xml:space="preserve"> </w:t>
            </w:r>
            <w:r>
              <w:rPr>
                <w:b/>
                <w:i/>
              </w:rPr>
              <w:t xml:space="preserve">Arrangement </w:t>
            </w:r>
            <w:r>
              <w:t>means an arrangement that satisfies the following conditions:</w:t>
            </w:r>
          </w:p>
          <w:p w14:paraId="20BFEF8C" w14:textId="2E15D280" w:rsidR="00311937" w:rsidRDefault="008C6D67" w:rsidP="00AB22A5">
            <w:pPr>
              <w:pStyle w:val="Tabledotpoint1"/>
            </w:pPr>
            <w:r>
              <w:t>it is implemented for the purpose of pooling and repackaging a portfolio of assets (or exposures to assets) for investors in a manner that legally segregates on or more identified pools of assets</w:t>
            </w:r>
            <w:r w:rsidR="001C40FE">
              <w:t>;</w:t>
            </w:r>
          </w:p>
          <w:p w14:paraId="724FB167" w14:textId="56A745FC" w:rsidR="00BC30EA" w:rsidRPr="005A776A" w:rsidRDefault="001C40FE" w:rsidP="00AB22A5">
            <w:pPr>
              <w:pStyle w:val="Tabledotpoint1"/>
            </w:pPr>
            <w:r>
              <w:t>it seeks through contractual agreements to limit the exposure of those investors to the risk of insolvency of an Entity holding the legally segregated assets by controlling the ability of identified creditors of that Entity (or of another Entity in the arrangement) to make claims against it through legally binding documentation entered into by those creditors</w:t>
            </w:r>
            <w:r w:rsidR="00221C49">
              <w:t>.</w:t>
            </w:r>
          </w:p>
        </w:tc>
      </w:tr>
      <w:tr w:rsidR="003720F8" w:rsidRPr="00020288" w14:paraId="76744309" w14:textId="77777777" w:rsidTr="00AF7204">
        <w:tc>
          <w:tcPr>
            <w:tcW w:w="2334" w:type="dxa"/>
            <w:gridSpan w:val="2"/>
          </w:tcPr>
          <w:p w14:paraId="13660523" w14:textId="77777777" w:rsidR="003720F8" w:rsidRDefault="00AE4CA3">
            <w:pPr>
              <w:pStyle w:val="Tabletext"/>
            </w:pPr>
            <w:r>
              <w:t>Securitisation Entity</w:t>
            </w:r>
          </w:p>
          <w:p w14:paraId="6568F484" w14:textId="34803D7B" w:rsidR="00AE4CA3" w:rsidRDefault="00AE4CA3">
            <w:pPr>
              <w:pStyle w:val="Tabletext"/>
            </w:pPr>
            <w:r>
              <w:t>10-</w:t>
            </w:r>
            <w:r w:rsidR="006138CC">
              <w:t>25</w:t>
            </w:r>
          </w:p>
        </w:tc>
        <w:tc>
          <w:tcPr>
            <w:tcW w:w="5367" w:type="dxa"/>
          </w:tcPr>
          <w:p w14:paraId="68CDCEDD" w14:textId="77777777" w:rsidR="003720F8" w:rsidRDefault="007623A8">
            <w:pPr>
              <w:pStyle w:val="Tabletext"/>
            </w:pPr>
            <w:r>
              <w:t xml:space="preserve">An Entity is a </w:t>
            </w:r>
            <w:r>
              <w:rPr>
                <w:b/>
                <w:i/>
              </w:rPr>
              <w:t>Securitisation</w:t>
            </w:r>
            <w:r>
              <w:t xml:space="preserve"> </w:t>
            </w:r>
            <w:r>
              <w:rPr>
                <w:b/>
                <w:i/>
              </w:rPr>
              <w:t xml:space="preserve">Entity </w:t>
            </w:r>
            <w:r>
              <w:t>for a period if it meets the conditions in subsection 820</w:t>
            </w:r>
            <w:r>
              <w:noBreakHyphen/>
              <w:t xml:space="preserve">39(3) of the </w:t>
            </w:r>
            <w:r>
              <w:rPr>
                <w:i/>
              </w:rPr>
              <w:t>Income Tax Assessment Act 1997</w:t>
            </w:r>
            <w:r>
              <w:t xml:space="preserve"> throughout the period</w:t>
            </w:r>
            <w:r w:rsidR="001E7A23">
              <w:t>.</w:t>
            </w:r>
          </w:p>
          <w:p w14:paraId="06794C64" w14:textId="19CE4B38" w:rsidR="001E7A23" w:rsidRPr="00AB22A5" w:rsidRDefault="00702EEC">
            <w:pPr>
              <w:pStyle w:val="Tabletext"/>
              <w:rPr>
                <w:b/>
                <w:bCs/>
                <w:i/>
                <w:iCs/>
              </w:rPr>
            </w:pPr>
            <w:r>
              <w:t>To avoid doubt, subsections 820</w:t>
            </w:r>
            <w:r>
              <w:noBreakHyphen/>
              <w:t xml:space="preserve">39(4) and (5) of that Act apply for the purposes of the meaning of </w:t>
            </w:r>
            <w:r>
              <w:rPr>
                <w:b/>
                <w:i/>
                <w:iCs/>
              </w:rPr>
              <w:t>S</w:t>
            </w:r>
            <w:r>
              <w:rPr>
                <w:b/>
                <w:bCs/>
                <w:i/>
                <w:iCs/>
              </w:rPr>
              <w:t>ecuritisation Entity</w:t>
            </w:r>
          </w:p>
        </w:tc>
      </w:tr>
      <w:tr w:rsidR="00162ED0" w:rsidRPr="00020288" w14:paraId="5C11DE09" w14:textId="77777777" w:rsidTr="00AF7204">
        <w:tc>
          <w:tcPr>
            <w:tcW w:w="2334" w:type="dxa"/>
            <w:gridSpan w:val="2"/>
          </w:tcPr>
          <w:p w14:paraId="1BEEDBF6" w14:textId="77777777" w:rsidR="00162ED0" w:rsidRDefault="00162ED0" w:rsidP="00162ED0">
            <w:pPr>
              <w:pStyle w:val="Tabletext"/>
            </w:pPr>
            <w:r>
              <w:t>Short</w:t>
            </w:r>
            <w:r>
              <w:noBreakHyphen/>
              <w:t>term Portfolio Shareholding</w:t>
            </w:r>
          </w:p>
          <w:p w14:paraId="35793A72" w14:textId="32F452B4" w:rsidR="00162ED0" w:rsidRDefault="00162ED0" w:rsidP="00162ED0">
            <w:pPr>
              <w:pStyle w:val="Tabletext"/>
            </w:pPr>
            <w:r>
              <w:t>3-</w:t>
            </w:r>
            <w:r w:rsidR="006138CC">
              <w:t>25</w:t>
            </w:r>
            <w:r>
              <w:t>(</w:t>
            </w:r>
            <w:r w:rsidR="005A1B25">
              <w:t>3</w:t>
            </w:r>
            <w:r>
              <w:t>)</w:t>
            </w:r>
          </w:p>
        </w:tc>
        <w:tc>
          <w:tcPr>
            <w:tcW w:w="5367" w:type="dxa"/>
          </w:tcPr>
          <w:p w14:paraId="06C3E53C" w14:textId="77777777" w:rsidR="00162ED0" w:rsidRPr="003C5EAE" w:rsidRDefault="00162ED0" w:rsidP="00162ED0">
            <w:pPr>
              <w:pStyle w:val="Tabletext"/>
            </w:pPr>
            <w:r>
              <w:t>T</w:t>
            </w:r>
            <w:r w:rsidRPr="003C5EAE">
              <w:t xml:space="preserve">he Portfolio Shareholding is a </w:t>
            </w:r>
            <w:r w:rsidRPr="003C5EAE">
              <w:rPr>
                <w:b/>
                <w:i/>
              </w:rPr>
              <w:t>Short</w:t>
            </w:r>
            <w:r w:rsidRPr="003C5EAE">
              <w:rPr>
                <w:b/>
                <w:i/>
              </w:rPr>
              <w:noBreakHyphen/>
              <w:t>term Portfolio Shareholding</w:t>
            </w:r>
            <w:r w:rsidRPr="003C5EAE">
              <w:t xml:space="preserve"> in the Entity, of the Constituent Entity, in respect of the distributions</w:t>
            </w:r>
            <w:r>
              <w:t>,</w:t>
            </w:r>
            <w:r w:rsidRPr="003C5EAE">
              <w:t xml:space="preserve"> </w:t>
            </w:r>
            <w:r>
              <w:t>i</w:t>
            </w:r>
            <w:r w:rsidRPr="003C5EAE">
              <w:t>f</w:t>
            </w:r>
            <w:r>
              <w:t>:</w:t>
            </w:r>
          </w:p>
          <w:p w14:paraId="243DDCA8" w14:textId="77777777" w:rsidR="00162ED0" w:rsidRPr="003C5EAE" w:rsidRDefault="00162ED0" w:rsidP="00162ED0">
            <w:pPr>
              <w:pStyle w:val="Tabledotpoint1"/>
            </w:pPr>
            <w:r w:rsidRPr="003C5EAE">
              <w:t>a Constituent Entity of an MNE Group receives or accrues dividends or other distributions as a result of a Portfolio Shareholding of the Constituent Entity in an Entity; and</w:t>
            </w:r>
          </w:p>
          <w:p w14:paraId="7446D2CC" w14:textId="77777777" w:rsidR="00162ED0" w:rsidRPr="001F2C81" w:rsidRDefault="00162ED0" w:rsidP="00162ED0">
            <w:pPr>
              <w:pStyle w:val="Tabledotpoint1"/>
            </w:pPr>
            <w:r w:rsidRPr="003C5EAE">
              <w:t>the Portfolio Shareholding has been economically held by the Constituent Entity for less than one year at the date of the distribution</w:t>
            </w:r>
            <w:r>
              <w:t>.</w:t>
            </w:r>
          </w:p>
        </w:tc>
      </w:tr>
      <w:tr w:rsidR="00162ED0" w:rsidRPr="00020288" w14:paraId="645DA830" w14:textId="77777777" w:rsidTr="00AF7204">
        <w:tc>
          <w:tcPr>
            <w:tcW w:w="2334" w:type="dxa"/>
            <w:gridSpan w:val="2"/>
          </w:tcPr>
          <w:p w14:paraId="347FD7E9" w14:textId="77777777" w:rsidR="00162ED0" w:rsidRDefault="00162ED0" w:rsidP="00162ED0">
            <w:pPr>
              <w:pStyle w:val="Tabletext"/>
            </w:pPr>
            <w:r>
              <w:t>Simplified Covered Taxes</w:t>
            </w:r>
          </w:p>
          <w:p w14:paraId="278ADAEA" w14:textId="333F6FC3" w:rsidR="00162ED0" w:rsidRDefault="00162ED0" w:rsidP="00162ED0">
            <w:pPr>
              <w:pStyle w:val="Tabletext"/>
            </w:pPr>
            <w:r>
              <w:t>8-</w:t>
            </w:r>
            <w:r w:rsidR="006138CC">
              <w:t>50</w:t>
            </w:r>
          </w:p>
        </w:tc>
        <w:tc>
          <w:tcPr>
            <w:tcW w:w="5367" w:type="dxa"/>
          </w:tcPr>
          <w:p w14:paraId="14FD119C" w14:textId="77777777" w:rsidR="00162ED0" w:rsidRDefault="00162ED0" w:rsidP="00162ED0">
            <w:pPr>
              <w:pStyle w:val="Tabletext"/>
            </w:pPr>
            <w:r w:rsidRPr="002421C9">
              <w:t xml:space="preserve">An MNE Group’s </w:t>
            </w:r>
            <w:r w:rsidRPr="002421C9">
              <w:rPr>
                <w:b/>
                <w:i/>
              </w:rPr>
              <w:t>Simplified Covered Taxes</w:t>
            </w:r>
            <w:r w:rsidRPr="002421C9">
              <w:t xml:space="preserve"> for a jurisdiction for a Fiscal Year is its income tax expense for the jurisdiction for the Fiscal Year that would be reported in its Qualified Financial Statements for the Fiscal Year, if the</w:t>
            </w:r>
            <w:r>
              <w:t xml:space="preserve"> following</w:t>
            </w:r>
            <w:r w:rsidRPr="002421C9">
              <w:t xml:space="preserve"> assumptions were made</w:t>
            </w:r>
            <w:r>
              <w:t>:</w:t>
            </w:r>
          </w:p>
          <w:p w14:paraId="4B9955E7" w14:textId="77777777" w:rsidR="00162ED0" w:rsidRPr="002421C9" w:rsidRDefault="00162ED0" w:rsidP="00162ED0">
            <w:pPr>
              <w:pStyle w:val="Tabledotpoint1"/>
            </w:pPr>
            <w:r w:rsidRPr="002421C9">
              <w:t>the following were disregarded:</w:t>
            </w:r>
          </w:p>
          <w:p w14:paraId="54815CA7" w14:textId="77777777" w:rsidR="00162ED0" w:rsidRPr="002421C9" w:rsidRDefault="00162ED0" w:rsidP="00B7652D">
            <w:pPr>
              <w:pStyle w:val="Tabledotpoint2"/>
              <w:keepNext/>
              <w:ind w:left="817" w:hanging="426"/>
            </w:pPr>
            <w:r w:rsidRPr="002421C9">
              <w:lastRenderedPageBreak/>
              <w:t>taxes that are not included in the MNE Group’s Qualified CbC Report in relation to the jurisdiction for the Fiscal Year;</w:t>
            </w:r>
          </w:p>
          <w:p w14:paraId="01CC556D" w14:textId="77777777" w:rsidR="00162ED0" w:rsidRPr="002421C9" w:rsidRDefault="00162ED0" w:rsidP="00B7652D">
            <w:pPr>
              <w:pStyle w:val="Tabledotpoint2"/>
              <w:keepNext/>
              <w:ind w:left="817" w:hanging="426"/>
            </w:pPr>
            <w:r w:rsidRPr="002421C9">
              <w:t>taxes that are not Covered Taxes;</w:t>
            </w:r>
          </w:p>
          <w:p w14:paraId="16F5F983" w14:textId="77777777" w:rsidR="00162ED0" w:rsidRPr="002421C9" w:rsidRDefault="00162ED0" w:rsidP="00B7652D">
            <w:pPr>
              <w:pStyle w:val="Tabledotpoint2"/>
              <w:keepNext/>
              <w:ind w:left="817" w:hanging="426"/>
            </w:pPr>
            <w:r w:rsidRPr="002421C9">
              <w:t>uncertain tax positions.</w:t>
            </w:r>
          </w:p>
          <w:p w14:paraId="7571D1EF" w14:textId="77777777" w:rsidR="00162ED0" w:rsidRPr="002421C9" w:rsidRDefault="00162ED0" w:rsidP="00162ED0">
            <w:pPr>
              <w:pStyle w:val="Tabledotpoint1"/>
            </w:pPr>
            <w:r w:rsidRPr="002421C9">
              <w:t>sections 4</w:t>
            </w:r>
            <w:r w:rsidRPr="002421C9">
              <w:noBreakHyphen/>
              <w:t>40, 4</w:t>
            </w:r>
            <w:r w:rsidRPr="002421C9">
              <w:noBreakHyphen/>
              <w:t>50 and 4</w:t>
            </w:r>
            <w:r w:rsidRPr="002421C9">
              <w:noBreakHyphen/>
              <w:t>55 applied in</w:t>
            </w:r>
            <w:r>
              <w:t xml:space="preserve"> </w:t>
            </w:r>
            <w:r w:rsidRPr="002421C9">
              <w:t>relation to the MNE Group’s income tax expense for the jurisdiction for the Fiscal Year; and</w:t>
            </w:r>
          </w:p>
          <w:p w14:paraId="2A8FA946" w14:textId="77777777" w:rsidR="00162ED0" w:rsidRPr="003C5EAE" w:rsidRDefault="00162ED0" w:rsidP="00162ED0">
            <w:pPr>
              <w:pStyle w:val="Tabledotpoint1"/>
            </w:pPr>
            <w:r w:rsidRPr="002421C9">
              <w:t>a reference in those sections to Covered Taxes were a reference to that income tax expense.</w:t>
            </w:r>
          </w:p>
        </w:tc>
      </w:tr>
      <w:tr w:rsidR="00162ED0" w:rsidRPr="00020288" w14:paraId="247499EA" w14:textId="77777777" w:rsidTr="00AF7204">
        <w:tc>
          <w:tcPr>
            <w:tcW w:w="2334" w:type="dxa"/>
            <w:gridSpan w:val="2"/>
          </w:tcPr>
          <w:p w14:paraId="780A1765" w14:textId="77777777" w:rsidR="00162ED0" w:rsidRDefault="00162ED0" w:rsidP="00162ED0">
            <w:pPr>
              <w:pStyle w:val="Tabletext"/>
            </w:pPr>
            <w:r>
              <w:lastRenderedPageBreak/>
              <w:t>Simplified ETR</w:t>
            </w:r>
          </w:p>
          <w:p w14:paraId="3630755A" w14:textId="7D139847" w:rsidR="00162ED0" w:rsidRDefault="00162ED0" w:rsidP="00162ED0">
            <w:pPr>
              <w:pStyle w:val="Tabletext"/>
            </w:pPr>
            <w:r>
              <w:t>8-</w:t>
            </w:r>
            <w:r w:rsidR="006138CC">
              <w:t>45</w:t>
            </w:r>
          </w:p>
        </w:tc>
        <w:tc>
          <w:tcPr>
            <w:tcW w:w="5367" w:type="dxa"/>
          </w:tcPr>
          <w:p w14:paraId="7C12DAAE" w14:textId="77777777" w:rsidR="00162ED0" w:rsidRPr="002421C9" w:rsidRDefault="00162ED0" w:rsidP="00162ED0">
            <w:pPr>
              <w:pStyle w:val="Tabletext"/>
            </w:pPr>
            <w:r w:rsidRPr="002421C9">
              <w:t xml:space="preserve">An MNE Group’s </w:t>
            </w:r>
            <w:r w:rsidRPr="002421C9">
              <w:rPr>
                <w:b/>
                <w:i/>
              </w:rPr>
              <w:t>Simplified ETR</w:t>
            </w:r>
            <w:r w:rsidRPr="002421C9">
              <w:t>, for a jurisdiction for a Fiscal Year,</w:t>
            </w:r>
            <w:r w:rsidRPr="002421C9">
              <w:rPr>
                <w:b/>
                <w:i/>
              </w:rPr>
              <w:t xml:space="preserve"> </w:t>
            </w:r>
            <w:r w:rsidRPr="002421C9">
              <w:t>is the amount equal to:</w:t>
            </w:r>
          </w:p>
          <w:p w14:paraId="7A5C2F02" w14:textId="77777777" w:rsidR="00162ED0" w:rsidRPr="002421C9" w:rsidRDefault="00162ED0" w:rsidP="00162ED0">
            <w:pPr>
              <w:pStyle w:val="Tabledotpoint1"/>
            </w:pPr>
            <w:r w:rsidRPr="002421C9">
              <w:t>the MNE Group’s Simplified Covered Taxes for the jurisdiction for the Fiscal Year;</w:t>
            </w:r>
          </w:p>
          <w:p w14:paraId="3D844BD9" w14:textId="77777777" w:rsidR="00162ED0" w:rsidRPr="002421C9" w:rsidRDefault="00162ED0" w:rsidP="00162ED0">
            <w:pPr>
              <w:pStyle w:val="Tabledotpoint1"/>
            </w:pPr>
            <w:r w:rsidRPr="002421C9">
              <w:t>divided by:</w:t>
            </w:r>
          </w:p>
          <w:p w14:paraId="175EA1DF" w14:textId="77777777" w:rsidR="00162ED0" w:rsidRPr="003C5EAE" w:rsidRDefault="00162ED0" w:rsidP="00162ED0">
            <w:pPr>
              <w:pStyle w:val="Tabledotpoint1"/>
            </w:pPr>
            <w:r w:rsidRPr="002421C9">
              <w:t>the MNE Group’s Profit (Loss) before Income Tax for the jurisdiction for the Fiscal Year.</w:t>
            </w:r>
          </w:p>
        </w:tc>
      </w:tr>
      <w:tr w:rsidR="00162ED0" w:rsidRPr="00020288" w14:paraId="2904E014" w14:textId="77777777" w:rsidTr="00AF7204">
        <w:tc>
          <w:tcPr>
            <w:tcW w:w="2334" w:type="dxa"/>
            <w:gridSpan w:val="2"/>
          </w:tcPr>
          <w:p w14:paraId="28417ECD" w14:textId="77777777" w:rsidR="00162ED0" w:rsidRDefault="00162ED0" w:rsidP="00162ED0">
            <w:pPr>
              <w:pStyle w:val="Tabletext"/>
            </w:pPr>
            <w:r>
              <w:t>Simplified ETR test</w:t>
            </w:r>
          </w:p>
          <w:p w14:paraId="73AA3B50" w14:textId="6F129749" w:rsidR="00162ED0" w:rsidRDefault="00162ED0" w:rsidP="00162ED0">
            <w:pPr>
              <w:pStyle w:val="Tabletext"/>
            </w:pPr>
            <w:r>
              <w:t>8-</w:t>
            </w:r>
            <w:r w:rsidR="006138CC">
              <w:t>40</w:t>
            </w:r>
          </w:p>
        </w:tc>
        <w:tc>
          <w:tcPr>
            <w:tcW w:w="5367" w:type="dxa"/>
          </w:tcPr>
          <w:p w14:paraId="64B258C8" w14:textId="77777777" w:rsidR="00162ED0" w:rsidRPr="003C5EAE" w:rsidRDefault="00162ED0" w:rsidP="00162ED0">
            <w:pPr>
              <w:pStyle w:val="Tabletext"/>
            </w:pPr>
            <w:r w:rsidRPr="002421C9">
              <w:t xml:space="preserve">An MNE Group meets the </w:t>
            </w:r>
            <w:r w:rsidRPr="002421C9">
              <w:rPr>
                <w:b/>
                <w:i/>
              </w:rPr>
              <w:t>Simplified ETR test</w:t>
            </w:r>
            <w:r w:rsidRPr="002421C9">
              <w:t xml:space="preserve"> for a jurisdiction for a Fiscal Year if the MNE Group’s Simplified ETR for the jurisdiction for the Fiscal Year is equal to or greater than the Transition Rate for the Fiscal Year. </w:t>
            </w:r>
          </w:p>
        </w:tc>
      </w:tr>
      <w:tr w:rsidR="00162ED0" w:rsidRPr="00020288" w14:paraId="0590F5C1" w14:textId="77777777" w:rsidTr="00AF7204">
        <w:tc>
          <w:tcPr>
            <w:tcW w:w="2334" w:type="dxa"/>
            <w:gridSpan w:val="2"/>
          </w:tcPr>
          <w:p w14:paraId="3B151690" w14:textId="77777777" w:rsidR="00162ED0" w:rsidRDefault="00162ED0" w:rsidP="00162ED0">
            <w:pPr>
              <w:pStyle w:val="Tabletext"/>
            </w:pPr>
            <w:r>
              <w:t>Stapled Structure</w:t>
            </w:r>
          </w:p>
          <w:p w14:paraId="330F6E1A" w14:textId="3B480ED8" w:rsidR="00162ED0" w:rsidRDefault="00162ED0" w:rsidP="00162ED0">
            <w:pPr>
              <w:pStyle w:val="Tabletext"/>
            </w:pPr>
            <w:r>
              <w:t>6-</w:t>
            </w:r>
            <w:r w:rsidR="006138CC">
              <w:t>85</w:t>
            </w:r>
            <w:r>
              <w:t>(3)</w:t>
            </w:r>
          </w:p>
        </w:tc>
        <w:tc>
          <w:tcPr>
            <w:tcW w:w="5367" w:type="dxa"/>
          </w:tcPr>
          <w:p w14:paraId="71FFA27A" w14:textId="77777777" w:rsidR="00162ED0" w:rsidRPr="00B56EFD" w:rsidRDefault="00162ED0" w:rsidP="00162ED0">
            <w:pPr>
              <w:pStyle w:val="Tabletext"/>
            </w:pPr>
            <w:r w:rsidRPr="00B56EFD">
              <w:rPr>
                <w:b/>
                <w:i/>
              </w:rPr>
              <w:t>Stapled Structure</w:t>
            </w:r>
            <w:r w:rsidRPr="00B56EFD">
              <w:t xml:space="preserve"> means an arrangement entered into by two or more Ultimate Parent Entities of separate Groups, under which all of the following apply:</w:t>
            </w:r>
          </w:p>
          <w:p w14:paraId="770903A6" w14:textId="217B2F9C" w:rsidR="00162ED0" w:rsidRPr="00B56EFD" w:rsidRDefault="005A1B25" w:rsidP="00162ED0">
            <w:pPr>
              <w:pStyle w:val="Tabledotpoint1"/>
            </w:pPr>
            <w:r>
              <w:t>at least 50 per cent</w:t>
            </w:r>
            <w:r w:rsidR="00162ED0" w:rsidRPr="00B56EFD">
              <w:t xml:space="preserve"> of the Ownership Interests in the </w:t>
            </w:r>
            <w:r>
              <w:t xml:space="preserve">UPEs </w:t>
            </w:r>
            <w:r w:rsidR="00162ED0" w:rsidRPr="00B56EFD">
              <w:t>of the separate Groups are (by reason of form of ownership, restrictions on transfer, or other terms or conditions) combined with each other;</w:t>
            </w:r>
          </w:p>
          <w:p w14:paraId="2FDDF5B6" w14:textId="77777777" w:rsidR="00162ED0" w:rsidRPr="00B56EFD" w:rsidRDefault="00162ED0" w:rsidP="00162ED0">
            <w:pPr>
              <w:pStyle w:val="Tabledotpoint1"/>
            </w:pPr>
            <w:r w:rsidRPr="00B56EFD">
              <w:t>those combined Ownership Interests cannot be transferred or traded independently;</w:t>
            </w:r>
          </w:p>
          <w:p w14:paraId="71280B13" w14:textId="77777777" w:rsidR="00162ED0" w:rsidRPr="00B56EFD" w:rsidRDefault="00162ED0" w:rsidP="00162ED0">
            <w:pPr>
              <w:pStyle w:val="Tabledotpoint1"/>
            </w:pPr>
            <w:r w:rsidRPr="00B56EFD">
              <w:t>if the combined Ownership Interests are listed—they are quoted at a single price;</w:t>
            </w:r>
          </w:p>
          <w:p w14:paraId="283DCE71" w14:textId="15E55A21" w:rsidR="00162ED0" w:rsidRPr="00B56EFD" w:rsidRDefault="00162ED0" w:rsidP="00162ED0">
            <w:pPr>
              <w:pStyle w:val="Tabledotpoint1"/>
            </w:pPr>
            <w:r w:rsidRPr="00B56EFD">
              <w:t xml:space="preserve">one of the </w:t>
            </w:r>
            <w:r w:rsidR="005A1B25">
              <w:t xml:space="preserve">UPEs </w:t>
            </w:r>
            <w:r w:rsidRPr="00B56EFD">
              <w:t xml:space="preserve">prepares </w:t>
            </w:r>
            <w:r>
              <w:t>CFS</w:t>
            </w:r>
            <w:r w:rsidRPr="00B56EFD">
              <w:t>:</w:t>
            </w:r>
          </w:p>
          <w:p w14:paraId="66258650" w14:textId="0C0088F9" w:rsidR="00162ED0" w:rsidRPr="00B56EFD" w:rsidRDefault="00162ED0" w:rsidP="00B7652D">
            <w:pPr>
              <w:pStyle w:val="Tabledotpoint2"/>
              <w:keepNext/>
              <w:ind w:left="817" w:hanging="426"/>
            </w:pPr>
            <w:r w:rsidRPr="00B56EFD">
              <w:t>in which the assets, liabilities, income, expenses and cash flows of all the Entities that comprise the Groups are presented together as those of a single economic unit; and</w:t>
            </w:r>
          </w:p>
          <w:p w14:paraId="489E8CEB" w14:textId="0B937DFE" w:rsidR="00162ED0" w:rsidRPr="003C5EAE" w:rsidRDefault="00162ED0" w:rsidP="00B7652D">
            <w:pPr>
              <w:pStyle w:val="Tabledotpoint2"/>
              <w:keepNext/>
              <w:ind w:left="817" w:hanging="426"/>
            </w:pPr>
            <w:r w:rsidRPr="00B56EFD">
              <w:t>that are required by a regulatory regime to be externally audited.</w:t>
            </w:r>
          </w:p>
        </w:tc>
      </w:tr>
      <w:tr w:rsidR="00162ED0" w:rsidRPr="00020288" w14:paraId="0C01A421" w14:textId="77777777" w:rsidTr="00AF7204">
        <w:tc>
          <w:tcPr>
            <w:tcW w:w="2334" w:type="dxa"/>
            <w:gridSpan w:val="2"/>
          </w:tcPr>
          <w:p w14:paraId="2530B38C" w14:textId="77777777" w:rsidR="00162ED0" w:rsidRDefault="00162ED0" w:rsidP="00162ED0">
            <w:pPr>
              <w:pStyle w:val="Tabletext"/>
            </w:pPr>
            <w:r>
              <w:lastRenderedPageBreak/>
              <w:t>Substance</w:t>
            </w:r>
            <w:r>
              <w:noBreakHyphen/>
              <w:t>based Income Exclusion Amount</w:t>
            </w:r>
          </w:p>
          <w:p w14:paraId="5864D1CF" w14:textId="77777777" w:rsidR="00162ED0" w:rsidRDefault="00162ED0" w:rsidP="00162ED0">
            <w:pPr>
              <w:pStyle w:val="Tabletext"/>
            </w:pPr>
            <w:r>
              <w:t>5</w:t>
            </w:r>
            <w:r>
              <w:noBreakHyphen/>
              <w:t>50</w:t>
            </w:r>
          </w:p>
        </w:tc>
        <w:tc>
          <w:tcPr>
            <w:tcW w:w="5367" w:type="dxa"/>
          </w:tcPr>
          <w:p w14:paraId="2ED1C4C6" w14:textId="77777777" w:rsidR="00162ED0" w:rsidRPr="00B1025D" w:rsidRDefault="00162ED0" w:rsidP="00162ED0">
            <w:pPr>
              <w:pStyle w:val="Tabletext"/>
            </w:pPr>
            <w:r w:rsidRPr="00B1025D">
              <w:t xml:space="preserve">The </w:t>
            </w:r>
            <w:r w:rsidRPr="00B1025D">
              <w:rPr>
                <w:b/>
                <w:i/>
              </w:rPr>
              <w:t>Substance</w:t>
            </w:r>
            <w:r w:rsidRPr="00B1025D">
              <w:rPr>
                <w:b/>
                <w:i/>
              </w:rPr>
              <w:noBreakHyphen/>
              <w:t>based Income Exclusion Amount</w:t>
            </w:r>
            <w:r w:rsidRPr="00B1025D">
              <w:t xml:space="preserve"> of an MNE Group for a jurisdiction for a Fiscal Year is the sum of the following:</w:t>
            </w:r>
          </w:p>
          <w:p w14:paraId="407699D9" w14:textId="77777777" w:rsidR="00162ED0" w:rsidRPr="00B1025D" w:rsidRDefault="00162ED0" w:rsidP="00162ED0">
            <w:pPr>
              <w:pStyle w:val="Tabledotpoint1"/>
            </w:pPr>
            <w:r w:rsidRPr="00B1025D">
              <w:t>the sum of the Payroll Carve</w:t>
            </w:r>
            <w:r w:rsidRPr="00B1025D">
              <w:noBreakHyphen/>
              <w:t>out Amounts for each Constituent Entity of the MNE Group located in the jurisdiction, for the Fiscal Year;</w:t>
            </w:r>
          </w:p>
          <w:p w14:paraId="20F90355" w14:textId="77777777" w:rsidR="00162ED0" w:rsidRPr="003C5EAE" w:rsidRDefault="00162ED0" w:rsidP="00162ED0">
            <w:pPr>
              <w:pStyle w:val="Tabledotpoint1"/>
            </w:pPr>
            <w:r w:rsidRPr="00B1025D">
              <w:t>the sum of the Tangible Asset Carve</w:t>
            </w:r>
            <w:r w:rsidRPr="00B1025D">
              <w:noBreakHyphen/>
              <w:t>out Amounts for each Constituent Entity of the MNE Group located in the jurisdiction, for the Fiscal Year.</w:t>
            </w:r>
          </w:p>
        </w:tc>
      </w:tr>
      <w:tr w:rsidR="00162ED0" w:rsidRPr="00020288" w14:paraId="753AA0CC" w14:textId="77777777" w:rsidTr="00AF7204">
        <w:tc>
          <w:tcPr>
            <w:tcW w:w="2334" w:type="dxa"/>
            <w:gridSpan w:val="2"/>
          </w:tcPr>
          <w:p w14:paraId="36024E12" w14:textId="77777777" w:rsidR="00162ED0" w:rsidRDefault="00162ED0" w:rsidP="00162ED0">
            <w:pPr>
              <w:pStyle w:val="Tabletext"/>
            </w:pPr>
            <w:r>
              <w:t>Substitute Loss Carry</w:t>
            </w:r>
            <w:r>
              <w:noBreakHyphen/>
              <w:t>forward DTA</w:t>
            </w:r>
          </w:p>
          <w:p w14:paraId="1179D857" w14:textId="4865FF9E" w:rsidR="00162ED0" w:rsidRDefault="00162ED0" w:rsidP="00162ED0">
            <w:pPr>
              <w:pStyle w:val="Tabletext"/>
            </w:pPr>
            <w:r>
              <w:t>4-</w:t>
            </w:r>
            <w:r w:rsidR="006138CC">
              <w:t>95</w:t>
            </w:r>
          </w:p>
        </w:tc>
        <w:tc>
          <w:tcPr>
            <w:tcW w:w="5367" w:type="dxa"/>
          </w:tcPr>
          <w:p w14:paraId="0A6D463E" w14:textId="77777777" w:rsidR="00162ED0" w:rsidRPr="00D83833" w:rsidRDefault="00162ED0" w:rsidP="00162ED0">
            <w:pPr>
              <w:pStyle w:val="Tabletext"/>
            </w:pPr>
            <w:r w:rsidRPr="00D83833">
              <w:t xml:space="preserve">A Constituent Entity of an MNE Group has a </w:t>
            </w:r>
            <w:r w:rsidRPr="00D83833">
              <w:rPr>
                <w:b/>
                <w:i/>
              </w:rPr>
              <w:t>Substitute Loss Carry</w:t>
            </w:r>
            <w:r w:rsidRPr="00D83833">
              <w:rPr>
                <w:b/>
                <w:i/>
              </w:rPr>
              <w:noBreakHyphen/>
              <w:t>forward DTA</w:t>
            </w:r>
            <w:r w:rsidRPr="00D83833">
              <w:t xml:space="preserve"> that arises in a Fiscal Year if:</w:t>
            </w:r>
          </w:p>
          <w:p w14:paraId="1D2C7AB0" w14:textId="358B34AD" w:rsidR="00162ED0" w:rsidRPr="00D83833" w:rsidRDefault="00162ED0">
            <w:pPr>
              <w:pStyle w:val="Tabledotpoint1"/>
            </w:pPr>
            <w:r w:rsidRPr="00D83833">
              <w:t xml:space="preserve">the jurisdiction in which the Constituent Entity is located requires that foreign source income </w:t>
            </w:r>
            <w:r w:rsidR="00877A5E">
              <w:t xml:space="preserve">that is </w:t>
            </w:r>
            <w:r w:rsidR="00877A5E" w:rsidRPr="00877A5E">
              <w:t>income of a CFC of a Constituent Entity of an MNE Group</w:t>
            </w:r>
            <w:r w:rsidR="00877A5E">
              <w:t xml:space="preserve"> and </w:t>
            </w:r>
            <w:r w:rsidR="00877A5E" w:rsidRPr="00877A5E">
              <w:t xml:space="preserve">the Constituent Entity is taxed on the foreign source income under a </w:t>
            </w:r>
            <w:r w:rsidR="00877A5E">
              <w:t xml:space="preserve">CFC </w:t>
            </w:r>
            <w:r w:rsidR="00877A5E" w:rsidRPr="00877A5E">
              <w:t>Tax Regime</w:t>
            </w:r>
            <w:r w:rsidRPr="00D83833">
              <w:t xml:space="preserve"> offset domestic source losses before foreign tax credits may be applied against tax imposed on foreign source income; and</w:t>
            </w:r>
          </w:p>
          <w:p w14:paraId="4E6B7453" w14:textId="77777777" w:rsidR="00162ED0" w:rsidRPr="00D83833" w:rsidRDefault="00162ED0" w:rsidP="00162ED0">
            <w:pPr>
              <w:pStyle w:val="Tabledotpoint1"/>
            </w:pPr>
            <w:r w:rsidRPr="00D83833">
              <w:t>the Constituent Entity has, in relation to the jurisdiction:</w:t>
            </w:r>
          </w:p>
          <w:p w14:paraId="0B5A6B73" w14:textId="34554254" w:rsidR="00162ED0" w:rsidRPr="00D83833" w:rsidRDefault="00162ED0" w:rsidP="00B7652D">
            <w:pPr>
              <w:pStyle w:val="Tabledotpoint2"/>
              <w:keepNext/>
              <w:ind w:left="817" w:hanging="426"/>
            </w:pPr>
            <w:r w:rsidRPr="00D83833">
              <w:t>a foreign tax credit; and</w:t>
            </w:r>
          </w:p>
          <w:p w14:paraId="26D8BF58" w14:textId="45DE6E2D" w:rsidR="00162ED0" w:rsidRPr="00D83833" w:rsidRDefault="00162ED0" w:rsidP="00B7652D">
            <w:pPr>
              <w:pStyle w:val="Tabledotpoint2"/>
              <w:keepNext/>
              <w:ind w:left="817" w:hanging="426"/>
            </w:pPr>
            <w:r w:rsidRPr="00D83833">
              <w:t>a domestic tax loss that is fully or partially offset by foreign source income; and</w:t>
            </w:r>
          </w:p>
          <w:p w14:paraId="64315F05" w14:textId="77777777" w:rsidR="00162ED0" w:rsidRPr="00D83833" w:rsidRDefault="00162ED0" w:rsidP="00162ED0">
            <w:pPr>
              <w:pStyle w:val="Tabledotpoint1"/>
            </w:pPr>
            <w:r w:rsidRPr="00D83833">
              <w:t>the tax law of the jurisdiction allows foreign tax credits to be used to offset a tax liability in a subsequent Fiscal Year in relation to income that is included in the computation of the Constituent Entity’s GloBE Income or Loss for that subsequent Fiscal Year.</w:t>
            </w:r>
          </w:p>
          <w:p w14:paraId="55172AAB" w14:textId="77777777" w:rsidR="00162ED0" w:rsidRPr="00D83833" w:rsidRDefault="00162ED0" w:rsidP="00162ED0">
            <w:pPr>
              <w:pStyle w:val="Tabletext"/>
            </w:pPr>
            <w:r w:rsidRPr="00D83833">
              <w:t>The amount of the Substitute Loss Carry</w:t>
            </w:r>
            <w:r w:rsidRPr="00D83833">
              <w:noBreakHyphen/>
              <w:t>forward DTA is the lesser of the following:</w:t>
            </w:r>
          </w:p>
          <w:p w14:paraId="023978E0" w14:textId="4A9A4912" w:rsidR="00877A5E" w:rsidRPr="00877A5E" w:rsidRDefault="00877A5E" w:rsidP="00877A5E">
            <w:pPr>
              <w:pStyle w:val="Tabledotpoint1"/>
            </w:pPr>
            <w:r w:rsidRPr="00877A5E">
              <w:t>the amount of the foreign tax credit that the tax law of the jurisdiction allows to be carried forward from the Fiscal Year in Substitute Loss Carry forward DTA arises to a subsequent Fiscal Year; and</w:t>
            </w:r>
          </w:p>
          <w:p w14:paraId="6BE96E55" w14:textId="7B49C2C7" w:rsidR="00162ED0" w:rsidRPr="003C5EAE" w:rsidRDefault="00877A5E" w:rsidP="00877A5E">
            <w:pPr>
              <w:pStyle w:val="Tabledotpoint1"/>
            </w:pPr>
            <w:r w:rsidRPr="00877A5E">
              <w:t xml:space="preserve">the amount of the Constituent Entity’s tax loss that is offset, multiplied by the </w:t>
            </w:r>
            <w:r>
              <w:t xml:space="preserve">applicable </w:t>
            </w:r>
            <w:r w:rsidRPr="00877A5E">
              <w:t>tax rate in the jurisdiction.</w:t>
            </w:r>
          </w:p>
        </w:tc>
      </w:tr>
      <w:tr w:rsidR="00162ED0" w:rsidRPr="00020288" w14:paraId="350E8AF4" w14:textId="77777777" w:rsidTr="00AF7204">
        <w:tc>
          <w:tcPr>
            <w:tcW w:w="2334" w:type="dxa"/>
            <w:gridSpan w:val="2"/>
          </w:tcPr>
          <w:p w14:paraId="65379DEE" w14:textId="77777777" w:rsidR="00162ED0" w:rsidRDefault="00162ED0" w:rsidP="00162ED0">
            <w:pPr>
              <w:pStyle w:val="Tabletext"/>
            </w:pPr>
            <w:r>
              <w:t>Tangible Asset Carveout Amount</w:t>
            </w:r>
          </w:p>
          <w:p w14:paraId="21B29BFD" w14:textId="77777777" w:rsidR="00162ED0" w:rsidRDefault="00162ED0" w:rsidP="00162ED0">
            <w:pPr>
              <w:pStyle w:val="Tabletext"/>
            </w:pPr>
            <w:r>
              <w:t>5</w:t>
            </w:r>
            <w:r>
              <w:noBreakHyphen/>
              <w:t>65(1)</w:t>
            </w:r>
          </w:p>
        </w:tc>
        <w:tc>
          <w:tcPr>
            <w:tcW w:w="5367" w:type="dxa"/>
          </w:tcPr>
          <w:p w14:paraId="5C16FB4C" w14:textId="77777777" w:rsidR="00162ED0" w:rsidRPr="009274E0" w:rsidRDefault="00162ED0" w:rsidP="00162ED0">
            <w:pPr>
              <w:pStyle w:val="Tabletext"/>
            </w:pPr>
            <w:r w:rsidRPr="009274E0">
              <w:t xml:space="preserve">The </w:t>
            </w:r>
            <w:r w:rsidRPr="009274E0">
              <w:rPr>
                <w:b/>
                <w:i/>
              </w:rPr>
              <w:t>Tangible Asset Carve</w:t>
            </w:r>
            <w:r w:rsidRPr="009274E0">
              <w:rPr>
                <w:b/>
                <w:i/>
              </w:rPr>
              <w:noBreakHyphen/>
              <w:t>out Amount</w:t>
            </w:r>
            <w:r w:rsidRPr="009274E0">
              <w:t xml:space="preserve"> for a Constituent Entity of an MNE Group located in a jurisdiction, for a Fiscal Year, is computed as follows:</w:t>
            </w:r>
          </w:p>
          <w:p w14:paraId="78B369E6" w14:textId="77777777" w:rsidR="00162ED0" w:rsidRPr="009274E0" w:rsidRDefault="00162ED0" w:rsidP="00162ED0">
            <w:pPr>
              <w:pStyle w:val="Tabledotpoint1"/>
            </w:pPr>
            <w:r w:rsidRPr="009274E0">
              <w:t>first, compute the total amount of the carrying values for the Fiscal Year of each Eligible Tangible Asset of the Constituent Entity;</w:t>
            </w:r>
          </w:p>
          <w:p w14:paraId="15F28DD9" w14:textId="77777777" w:rsidR="00162ED0" w:rsidRPr="009274E0" w:rsidRDefault="00162ED0" w:rsidP="00162ED0">
            <w:pPr>
              <w:pStyle w:val="Tabledotpoint1"/>
            </w:pPr>
            <w:r w:rsidRPr="009274E0">
              <w:lastRenderedPageBreak/>
              <w:t>next, exclude from the result of paragraph (a) amounts to the extent they are the carrying value of property (including land or buildings) that is held for sale, lease or investment;</w:t>
            </w:r>
          </w:p>
          <w:p w14:paraId="153889E3" w14:textId="77777777" w:rsidR="00162ED0" w:rsidRPr="003C5EAE" w:rsidRDefault="00162ED0" w:rsidP="00162ED0">
            <w:pPr>
              <w:pStyle w:val="Tabledotpoint1"/>
            </w:pPr>
            <w:bookmarkStart w:id="320" w:name="_Ref145704971"/>
            <w:r w:rsidRPr="009274E0">
              <w:t>next, multiply the result of paragraph (b) by 5%.</w:t>
            </w:r>
            <w:bookmarkEnd w:id="320"/>
          </w:p>
        </w:tc>
      </w:tr>
      <w:tr w:rsidR="00162ED0" w:rsidRPr="00020288" w14:paraId="60738A39" w14:textId="77777777" w:rsidTr="00AF7204">
        <w:tc>
          <w:tcPr>
            <w:tcW w:w="2334" w:type="dxa"/>
            <w:gridSpan w:val="2"/>
          </w:tcPr>
          <w:p w14:paraId="09F5830B" w14:textId="77777777" w:rsidR="00162ED0" w:rsidRDefault="00162ED0" w:rsidP="00162ED0">
            <w:pPr>
              <w:pStyle w:val="Tabletext"/>
            </w:pPr>
            <w:r>
              <w:lastRenderedPageBreak/>
              <w:t>Tax</w:t>
            </w:r>
          </w:p>
        </w:tc>
        <w:tc>
          <w:tcPr>
            <w:tcW w:w="5367" w:type="dxa"/>
          </w:tcPr>
          <w:p w14:paraId="2AB0ECA7" w14:textId="77777777" w:rsidR="00162ED0" w:rsidRPr="003C5EAE" w:rsidRDefault="00162ED0" w:rsidP="00162ED0">
            <w:pPr>
              <w:pStyle w:val="Tabletext"/>
            </w:pPr>
            <w:r>
              <w:t>A compulsory unrequited payment to general government.</w:t>
            </w:r>
          </w:p>
        </w:tc>
      </w:tr>
      <w:tr w:rsidR="00162ED0" w:rsidRPr="00020288" w14:paraId="1E0CAB20" w14:textId="77777777" w:rsidTr="00AF7204">
        <w:tc>
          <w:tcPr>
            <w:tcW w:w="2334" w:type="dxa"/>
            <w:gridSpan w:val="2"/>
          </w:tcPr>
          <w:p w14:paraId="4B8A9874" w14:textId="35A61BF7" w:rsidR="00162ED0" w:rsidRDefault="0020129C" w:rsidP="00162ED0">
            <w:pPr>
              <w:pStyle w:val="Tabletext"/>
            </w:pPr>
            <w:r>
              <w:t>t</w:t>
            </w:r>
            <w:r w:rsidR="00581411">
              <w:t xml:space="preserve">ax </w:t>
            </w:r>
            <w:r>
              <w:t>f</w:t>
            </w:r>
            <w:r w:rsidR="00581411">
              <w:t xml:space="preserve">unctional </w:t>
            </w:r>
            <w:r>
              <w:t>c</w:t>
            </w:r>
            <w:r w:rsidR="00581411">
              <w:t>urrency</w:t>
            </w:r>
          </w:p>
          <w:p w14:paraId="1F077BA0" w14:textId="556AC3B2" w:rsidR="00162ED0" w:rsidRDefault="00162ED0" w:rsidP="00162ED0">
            <w:pPr>
              <w:pStyle w:val="Tabletext"/>
            </w:pPr>
            <w:r>
              <w:t>3-</w:t>
            </w:r>
            <w:r w:rsidR="00772169">
              <w:t>60</w:t>
            </w:r>
            <w:r>
              <w:t>(1)</w:t>
            </w:r>
          </w:p>
        </w:tc>
        <w:tc>
          <w:tcPr>
            <w:tcW w:w="5367" w:type="dxa"/>
          </w:tcPr>
          <w:p w14:paraId="7D1E68A9" w14:textId="3921FE97" w:rsidR="00162ED0" w:rsidRPr="00554252" w:rsidRDefault="00162ED0" w:rsidP="00162ED0">
            <w:pPr>
              <w:pStyle w:val="Tabletext"/>
            </w:pPr>
            <w:r w:rsidRPr="00554252">
              <w:t xml:space="preserve">A Constituent Entity’s </w:t>
            </w:r>
            <w:r w:rsidR="007A4BFD">
              <w:rPr>
                <w:b/>
                <w:i/>
              </w:rPr>
              <w:t>t</w:t>
            </w:r>
            <w:r w:rsidR="00581411" w:rsidRPr="00554252">
              <w:rPr>
                <w:b/>
                <w:i/>
              </w:rPr>
              <w:t xml:space="preserve">ax </w:t>
            </w:r>
            <w:r w:rsidR="007A4BFD">
              <w:rPr>
                <w:b/>
                <w:i/>
              </w:rPr>
              <w:t>f</w:t>
            </w:r>
            <w:r w:rsidR="00581411" w:rsidRPr="00554252">
              <w:rPr>
                <w:b/>
                <w:i/>
              </w:rPr>
              <w:t xml:space="preserve">unctional </w:t>
            </w:r>
            <w:r w:rsidR="007A4BFD">
              <w:rPr>
                <w:b/>
                <w:i/>
              </w:rPr>
              <w:t>c</w:t>
            </w:r>
            <w:r w:rsidR="00581411" w:rsidRPr="00554252">
              <w:rPr>
                <w:b/>
                <w:i/>
              </w:rPr>
              <w:t>urrency</w:t>
            </w:r>
            <w:r w:rsidRPr="00554252">
              <w:t xml:space="preserve"> for a Fiscal Year is the functional currency used to compute the Constituent Entity’s taxable income or loss for the Fiscal year for a Covered Tax:</w:t>
            </w:r>
          </w:p>
          <w:p w14:paraId="12A21CCC" w14:textId="77777777" w:rsidR="00162ED0" w:rsidRPr="00554252" w:rsidRDefault="00162ED0" w:rsidP="00162ED0">
            <w:pPr>
              <w:pStyle w:val="Tabledotpoint1"/>
            </w:pPr>
            <w:r w:rsidRPr="00554252">
              <w:t>unless paragraph (b) applies—in the jurisdiction in which it is located; or</w:t>
            </w:r>
          </w:p>
          <w:p w14:paraId="70378C42" w14:textId="77777777" w:rsidR="00162ED0" w:rsidRPr="003C5EAE" w:rsidRDefault="00162ED0" w:rsidP="00162ED0">
            <w:pPr>
              <w:pStyle w:val="Tabledotpoint1"/>
            </w:pPr>
            <w:r w:rsidRPr="00554252">
              <w:t>if the Constituent Entity is a Stateless Constituent Entity—in the jurisdiction in which it is created.</w:t>
            </w:r>
          </w:p>
        </w:tc>
      </w:tr>
      <w:tr w:rsidR="00162ED0" w:rsidRPr="00020288" w14:paraId="00283F65" w14:textId="77777777" w:rsidTr="00AF7204">
        <w:tc>
          <w:tcPr>
            <w:tcW w:w="2334" w:type="dxa"/>
            <w:gridSpan w:val="2"/>
          </w:tcPr>
          <w:p w14:paraId="670DBADF" w14:textId="77777777" w:rsidR="00162ED0" w:rsidRDefault="00162ED0" w:rsidP="00162ED0">
            <w:pPr>
              <w:pStyle w:val="Tabletext"/>
            </w:pPr>
            <w:r>
              <w:t>Tax Transparent Entity</w:t>
            </w:r>
          </w:p>
          <w:p w14:paraId="14C6EB75" w14:textId="7C5A226D" w:rsidR="00162ED0" w:rsidRDefault="00162ED0" w:rsidP="00162ED0">
            <w:pPr>
              <w:pStyle w:val="Tabletext"/>
            </w:pPr>
            <w:r>
              <w:t>10-</w:t>
            </w:r>
            <w:r w:rsidR="00772169">
              <w:t>35</w:t>
            </w:r>
          </w:p>
        </w:tc>
        <w:tc>
          <w:tcPr>
            <w:tcW w:w="5367" w:type="dxa"/>
          </w:tcPr>
          <w:p w14:paraId="2E43B74E" w14:textId="1285442D" w:rsidR="00162ED0" w:rsidRPr="005C22A1" w:rsidRDefault="00162ED0" w:rsidP="00162ED0">
            <w:pPr>
              <w:pStyle w:val="Tabletext"/>
            </w:pPr>
            <w:r w:rsidRPr="00EE1A1B">
              <w:t>A Flow</w:t>
            </w:r>
            <w:r w:rsidRPr="00EE1A1B">
              <w:noBreakHyphen/>
            </w:r>
            <w:r w:rsidR="002330EF">
              <w:t>t</w:t>
            </w:r>
            <w:r w:rsidRPr="00EE1A1B">
              <w:t xml:space="preserve">hrough Entity is a </w:t>
            </w:r>
            <w:r w:rsidRPr="00EE1A1B">
              <w:rPr>
                <w:b/>
                <w:i/>
              </w:rPr>
              <w:t>Tax Transparent Entity</w:t>
            </w:r>
            <w:r w:rsidRPr="00EE1A1B">
              <w:t xml:space="preserve"> with respect to its income, expenditure, profit or loss to the extent that it is fiscally transparent in the jurisdiction in which its owner is located</w:t>
            </w:r>
            <w:r>
              <w:t>, i</w:t>
            </w:r>
            <w:r w:rsidRPr="005C22A1">
              <w:t>f a Constituent Entity:</w:t>
            </w:r>
          </w:p>
          <w:p w14:paraId="76DBEFF8" w14:textId="77777777" w:rsidR="00162ED0" w:rsidRPr="005C22A1" w:rsidRDefault="00162ED0" w:rsidP="00162ED0">
            <w:pPr>
              <w:pStyle w:val="Tabledotpoint1"/>
            </w:pPr>
            <w:r w:rsidRPr="005C22A1">
              <w:t>is not a tax resident of any jurisdiction; and</w:t>
            </w:r>
          </w:p>
          <w:p w14:paraId="6E91E59E" w14:textId="7433DC6B" w:rsidR="00162ED0" w:rsidRPr="005C22A1" w:rsidRDefault="00162ED0" w:rsidP="00162ED0">
            <w:pPr>
              <w:pStyle w:val="Tabledotpoint1"/>
            </w:pPr>
            <w:r w:rsidRPr="005C22A1">
              <w:t xml:space="preserve">is not subject to a Covered Tax or a </w:t>
            </w:r>
            <w:r w:rsidR="005D7D94">
              <w:t xml:space="preserve">QDMTT </w:t>
            </w:r>
            <w:r w:rsidRPr="005C22A1">
              <w:t>based on its place of management, place of creation, or similar criteria</w:t>
            </w:r>
            <w:r>
              <w:t>;</w:t>
            </w:r>
          </w:p>
          <w:p w14:paraId="6E22C738" w14:textId="231DEE49" w:rsidR="00162ED0" w:rsidRPr="005C22A1" w:rsidRDefault="00162ED0" w:rsidP="00162ED0">
            <w:pPr>
              <w:pStyle w:val="Tabledotpoint1"/>
            </w:pPr>
            <w:r w:rsidRPr="005C22A1">
              <w:t>treat the Constituent Entity as a Flow</w:t>
            </w:r>
            <w:r w:rsidRPr="005C22A1">
              <w:noBreakHyphen/>
            </w:r>
            <w:r w:rsidR="002330EF">
              <w:t>t</w:t>
            </w:r>
            <w:r w:rsidRPr="005C22A1">
              <w:t xml:space="preserve">hrough Entity and a </w:t>
            </w:r>
            <w:r w:rsidRPr="00622BBD">
              <w:rPr>
                <w:b/>
                <w:i/>
              </w:rPr>
              <w:t>Tax Transparent Entity</w:t>
            </w:r>
            <w:r w:rsidRPr="005C22A1">
              <w:t xml:space="preserve"> in respect of its income, expenditure, profit or loss to the extent that:</w:t>
            </w:r>
          </w:p>
          <w:p w14:paraId="4741B40B" w14:textId="77777777" w:rsidR="00162ED0" w:rsidRPr="005C22A1" w:rsidRDefault="00162ED0" w:rsidP="00B7652D">
            <w:pPr>
              <w:pStyle w:val="Tabledotpoint2"/>
              <w:keepNext/>
              <w:ind w:left="817" w:hanging="426"/>
            </w:pPr>
            <w:r w:rsidRPr="005C22A1">
              <w:t>its owners are located in a jurisdiction that treats the Entity as fiscally transparent; and</w:t>
            </w:r>
          </w:p>
          <w:p w14:paraId="3EA4D7D9" w14:textId="77777777" w:rsidR="00162ED0" w:rsidRPr="005C22A1" w:rsidRDefault="00162ED0" w:rsidP="00B7652D">
            <w:pPr>
              <w:pStyle w:val="Tabledotpoint2"/>
              <w:keepNext/>
              <w:ind w:left="817" w:hanging="426"/>
            </w:pPr>
            <w:r w:rsidRPr="005C22A1">
              <w:t>it does not have a place of business in the jurisdiction where it was created; and</w:t>
            </w:r>
          </w:p>
          <w:p w14:paraId="54F96F1B" w14:textId="77777777" w:rsidR="00162ED0" w:rsidRPr="003C5EAE" w:rsidRDefault="00162ED0" w:rsidP="00B7652D">
            <w:pPr>
              <w:pStyle w:val="Tabledotpoint2"/>
              <w:keepNext/>
              <w:ind w:left="817" w:hanging="426"/>
            </w:pPr>
            <w:r w:rsidRPr="005C22A1">
              <w:t>the income, expenditure, profit or loss is not attributable to a Permanent Establishment in respect of which it is the Main Entity.</w:t>
            </w:r>
          </w:p>
        </w:tc>
      </w:tr>
      <w:tr w:rsidR="00162ED0" w:rsidRPr="00020288" w14:paraId="3E68F6C0" w14:textId="77777777" w:rsidTr="00AF7204">
        <w:tc>
          <w:tcPr>
            <w:tcW w:w="2334" w:type="dxa"/>
            <w:gridSpan w:val="2"/>
          </w:tcPr>
          <w:p w14:paraId="2314BE57" w14:textId="77777777" w:rsidR="00162ED0" w:rsidRDefault="00162ED0" w:rsidP="00162ED0">
            <w:pPr>
              <w:pStyle w:val="Tabletext"/>
            </w:pPr>
            <w:r>
              <w:t>Tax Transparent Structure</w:t>
            </w:r>
          </w:p>
          <w:p w14:paraId="6DD6CF5E" w14:textId="2826DE8E" w:rsidR="00162ED0" w:rsidRDefault="00162ED0" w:rsidP="00162ED0">
            <w:pPr>
              <w:pStyle w:val="Tabletext"/>
            </w:pPr>
            <w:r>
              <w:t>10-</w:t>
            </w:r>
            <w:r w:rsidR="00C33621">
              <w:t xml:space="preserve">45 </w:t>
            </w:r>
          </w:p>
        </w:tc>
        <w:tc>
          <w:tcPr>
            <w:tcW w:w="5367" w:type="dxa"/>
          </w:tcPr>
          <w:p w14:paraId="64DE477A" w14:textId="77777777" w:rsidR="00162ED0" w:rsidRPr="003C5EAE" w:rsidRDefault="00162ED0" w:rsidP="00162ED0">
            <w:pPr>
              <w:pStyle w:val="Tabletext"/>
            </w:pPr>
            <w:r w:rsidRPr="00EE1A1B">
              <w:t xml:space="preserve">An Ownership Interest in an Entity or a Permanent Establishment that is a Constituent Entity is held through a </w:t>
            </w:r>
            <w:r w:rsidRPr="00EE1A1B">
              <w:rPr>
                <w:b/>
                <w:i/>
              </w:rPr>
              <w:t xml:space="preserve">Tax Transparent Structure </w:t>
            </w:r>
            <w:r w:rsidRPr="00EE1A1B">
              <w:t>if that Ownership Interest is an Indirect Ownership Interest held through a chain of Tax Transparent Entities.</w:t>
            </w:r>
          </w:p>
        </w:tc>
      </w:tr>
      <w:tr w:rsidR="00162ED0" w:rsidRPr="00020288" w14:paraId="144E62A2" w14:textId="77777777" w:rsidTr="00AF7204">
        <w:tc>
          <w:tcPr>
            <w:tcW w:w="2334" w:type="dxa"/>
            <w:gridSpan w:val="2"/>
          </w:tcPr>
          <w:p w14:paraId="5BCEFF03" w14:textId="77777777" w:rsidR="00162ED0" w:rsidRDefault="00162ED0" w:rsidP="00162ED0">
            <w:pPr>
              <w:pStyle w:val="Tabletext"/>
            </w:pPr>
            <w:r>
              <w:t>Top</w:t>
            </w:r>
            <w:r>
              <w:noBreakHyphen/>
              <w:t>up Tax</w:t>
            </w:r>
          </w:p>
          <w:p w14:paraId="2F19F912" w14:textId="77777777" w:rsidR="00162ED0" w:rsidRDefault="00162ED0" w:rsidP="00162ED0">
            <w:pPr>
              <w:pStyle w:val="Tabletext"/>
            </w:pPr>
            <w:r>
              <w:t>5-40</w:t>
            </w:r>
          </w:p>
        </w:tc>
        <w:tc>
          <w:tcPr>
            <w:tcW w:w="5367" w:type="dxa"/>
          </w:tcPr>
          <w:p w14:paraId="1274FF5C" w14:textId="77777777" w:rsidR="00162ED0" w:rsidRPr="00B1025D" w:rsidRDefault="00162ED0" w:rsidP="00162ED0">
            <w:pPr>
              <w:pStyle w:val="Tabletext"/>
            </w:pPr>
            <w:r>
              <w:t>I</w:t>
            </w:r>
            <w:r w:rsidRPr="00B1025D">
              <w:t>f an MNE Group has Net GloBE Income for a jurisdiction for a Fiscal Year</w:t>
            </w:r>
            <w:r>
              <w:t>, t</w:t>
            </w:r>
            <w:r w:rsidRPr="00B1025D">
              <w:t xml:space="preserve">he </w:t>
            </w:r>
            <w:r w:rsidRPr="00B1025D">
              <w:rPr>
                <w:b/>
                <w:i/>
              </w:rPr>
              <w:t>Top</w:t>
            </w:r>
            <w:r w:rsidRPr="00B1025D">
              <w:rPr>
                <w:b/>
                <w:i/>
              </w:rPr>
              <w:noBreakHyphen/>
              <w:t>up Tax</w:t>
            </w:r>
            <w:r w:rsidRPr="00B1025D">
              <w:t xml:space="preserve"> of a Constituent Entity of the MNE Group, located in the jurisdiction, for a Fiscal Year is the amount computed in accordance with the following formula:</w:t>
            </w:r>
          </w:p>
          <w:p w14:paraId="2D751B67" w14:textId="77777777" w:rsidR="00162ED0" w:rsidRPr="00B1025D" w:rsidRDefault="00162ED0" w:rsidP="00162ED0">
            <w:pPr>
              <w:pStyle w:val="Tabletext"/>
            </w:pPr>
            <w:r w:rsidRPr="00B1025D">
              <w:rPr>
                <w:noProof/>
              </w:rPr>
              <w:lastRenderedPageBreak/>
              <w:drawing>
                <wp:inline distT="0" distB="0" distL="0" distR="0" wp14:anchorId="05702F80" wp14:editId="19FA524B">
                  <wp:extent cx="3352800" cy="513660"/>
                  <wp:effectExtent l="0" t="0" r="0" b="0"/>
                  <wp:docPr id="1231977994" name="Picture 2" descr="Formula for Jurisdictional Top-up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77994" name="Picture 2" descr="Formula for Jurisdictional Top-up Tax"/>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378226" cy="517555"/>
                          </a:xfrm>
                          <a:prstGeom prst="rect">
                            <a:avLst/>
                          </a:prstGeom>
                          <a:noFill/>
                          <a:ln>
                            <a:noFill/>
                          </a:ln>
                        </pic:spPr>
                      </pic:pic>
                    </a:graphicData>
                  </a:graphic>
                </wp:inline>
              </w:drawing>
            </w:r>
          </w:p>
          <w:p w14:paraId="00A913FE" w14:textId="77777777" w:rsidR="00162ED0" w:rsidRPr="00B1025D" w:rsidRDefault="00162ED0" w:rsidP="00162ED0">
            <w:pPr>
              <w:pStyle w:val="Tabletext"/>
            </w:pPr>
            <w:r w:rsidRPr="00B1025D">
              <w:t>where:</w:t>
            </w:r>
          </w:p>
          <w:p w14:paraId="71709504" w14:textId="65A4648D" w:rsidR="00162ED0" w:rsidRPr="00B1025D" w:rsidRDefault="00162ED0" w:rsidP="00162ED0">
            <w:pPr>
              <w:pStyle w:val="Tabletext"/>
            </w:pPr>
            <w:r w:rsidRPr="00B1025D">
              <w:rPr>
                <w:b/>
                <w:i/>
              </w:rPr>
              <w:t>Aggregate GloBE Income of all CEs</w:t>
            </w:r>
            <w:r w:rsidRPr="00B1025D">
              <w:t xml:space="preserve"> is the sum of the GloBE Income of all Constituent Entities of the MNE Group that have GloBE Income for the Fiscal Year included in the computation of Net GloBE Income in accordance with section 5</w:t>
            </w:r>
            <w:r w:rsidRPr="00B1025D">
              <w:noBreakHyphen/>
              <w:t>10 for the jurisdiction for the Fiscal Year.</w:t>
            </w:r>
          </w:p>
          <w:p w14:paraId="0711BEEE" w14:textId="77777777" w:rsidR="00162ED0" w:rsidRPr="00B1025D" w:rsidRDefault="00162ED0" w:rsidP="00162ED0">
            <w:pPr>
              <w:pStyle w:val="Tabletext"/>
            </w:pPr>
            <w:r w:rsidRPr="00B1025D">
              <w:rPr>
                <w:b/>
                <w:i/>
              </w:rPr>
              <w:t>GloBE Income of the CE</w:t>
            </w:r>
            <w:r w:rsidRPr="00B1025D">
              <w:t xml:space="preserve"> is the GloBE Income of the Constituent Entity for the jurisdiction for the Fiscal Year.</w:t>
            </w:r>
          </w:p>
          <w:p w14:paraId="4ED674DF" w14:textId="77777777" w:rsidR="00162ED0" w:rsidRPr="003C5EAE" w:rsidRDefault="00162ED0" w:rsidP="00162ED0">
            <w:pPr>
              <w:pStyle w:val="Tabletext"/>
            </w:pPr>
            <w:r w:rsidRPr="00B1025D">
              <w:rPr>
                <w:b/>
                <w:i/>
              </w:rPr>
              <w:t>Jurisdictional Top</w:t>
            </w:r>
            <w:r w:rsidRPr="00B1025D">
              <w:rPr>
                <w:b/>
                <w:i/>
              </w:rPr>
              <w:noBreakHyphen/>
              <w:t>up Tax</w:t>
            </w:r>
            <w:r w:rsidRPr="00B1025D">
              <w:t xml:space="preserve"> is the Jurisdictional Top</w:t>
            </w:r>
            <w:r w:rsidRPr="00B1025D">
              <w:noBreakHyphen/>
              <w:t>up Tax of the MNE Group for the jurisdiction for the Fiscal Year.</w:t>
            </w:r>
          </w:p>
        </w:tc>
      </w:tr>
      <w:tr w:rsidR="00162ED0" w:rsidRPr="00020288" w14:paraId="63F76D97" w14:textId="77777777" w:rsidTr="00AF7204">
        <w:tc>
          <w:tcPr>
            <w:tcW w:w="2334" w:type="dxa"/>
            <w:gridSpan w:val="2"/>
          </w:tcPr>
          <w:p w14:paraId="1E2AAF9B" w14:textId="77777777" w:rsidR="00162ED0" w:rsidRDefault="00162ED0" w:rsidP="00162ED0">
            <w:pPr>
              <w:pStyle w:val="Tabletext"/>
            </w:pPr>
            <w:r>
              <w:lastRenderedPageBreak/>
              <w:t>Top</w:t>
            </w:r>
            <w:r>
              <w:noBreakHyphen/>
              <w:t>up Tax Percentage</w:t>
            </w:r>
          </w:p>
          <w:p w14:paraId="669F7D1C" w14:textId="77777777" w:rsidR="00162ED0" w:rsidRDefault="00162ED0" w:rsidP="00162ED0">
            <w:pPr>
              <w:pStyle w:val="Tabletext"/>
            </w:pPr>
            <w:r>
              <w:t>5-20</w:t>
            </w:r>
          </w:p>
        </w:tc>
        <w:tc>
          <w:tcPr>
            <w:tcW w:w="5367" w:type="dxa"/>
          </w:tcPr>
          <w:p w14:paraId="0F8F9708" w14:textId="77777777" w:rsidR="00162ED0" w:rsidRPr="002D3144" w:rsidRDefault="00162ED0" w:rsidP="00162ED0">
            <w:pPr>
              <w:pStyle w:val="Tabletext"/>
            </w:pPr>
            <w:r>
              <w:t xml:space="preserve">If </w:t>
            </w:r>
            <w:r w:rsidRPr="002D3144">
              <w:t>an MNE Group for a jurisdiction for a Fiscal Year has an Effective Tax Rate for the jurisdiction for the Fiscal Year</w:t>
            </w:r>
            <w:r>
              <w:t>, t</w:t>
            </w:r>
            <w:r w:rsidRPr="002D3144">
              <w:t xml:space="preserve">he </w:t>
            </w:r>
            <w:r w:rsidRPr="002D3144">
              <w:rPr>
                <w:b/>
                <w:i/>
              </w:rPr>
              <w:t>Top</w:t>
            </w:r>
            <w:r w:rsidRPr="002D3144">
              <w:rPr>
                <w:b/>
                <w:i/>
              </w:rPr>
              <w:noBreakHyphen/>
              <w:t>up Tax Percentage</w:t>
            </w:r>
            <w:r w:rsidRPr="002D3144">
              <w:t xml:space="preserve"> of the MNE Group for the jurisdiction for the Fiscal Year is the amount computed in accordance with the following formula (but not less than zero):</w:t>
            </w:r>
          </w:p>
          <w:p w14:paraId="12A1CB0D" w14:textId="77777777" w:rsidR="00162ED0" w:rsidRPr="003C5EAE" w:rsidRDefault="00162ED0" w:rsidP="00162ED0">
            <w:pPr>
              <w:pStyle w:val="Tabletext"/>
            </w:pPr>
            <m:oMathPara>
              <m:oMath>
                <m:r>
                  <w:rPr>
                    <w:rFonts w:ascii="Cambria Math" w:hAnsi="Cambria Math"/>
                    <w:noProof/>
                  </w:rPr>
                  <m:t xml:space="preserve">Minimum rate – ETR </m:t>
                </m:r>
              </m:oMath>
            </m:oMathPara>
          </w:p>
        </w:tc>
      </w:tr>
      <w:tr w:rsidR="00162ED0" w:rsidRPr="00020288" w14:paraId="677D65FB" w14:textId="77777777" w:rsidTr="00AF7204">
        <w:tc>
          <w:tcPr>
            <w:tcW w:w="2334" w:type="dxa"/>
            <w:gridSpan w:val="2"/>
          </w:tcPr>
          <w:p w14:paraId="263418B7" w14:textId="77777777" w:rsidR="00162ED0" w:rsidRDefault="00162ED0" w:rsidP="00162ED0">
            <w:pPr>
              <w:pStyle w:val="Tabletext"/>
            </w:pPr>
            <w:r>
              <w:t>Total Deferred Tax Adjustment Amount</w:t>
            </w:r>
          </w:p>
          <w:p w14:paraId="37A4FCAC" w14:textId="331F14FB" w:rsidR="00162ED0" w:rsidRDefault="00162ED0" w:rsidP="00162ED0">
            <w:pPr>
              <w:pStyle w:val="Tabletext"/>
            </w:pPr>
            <w:r>
              <w:t>4</w:t>
            </w:r>
            <w:r>
              <w:noBreakHyphen/>
            </w:r>
            <w:r w:rsidR="00C068EA">
              <w:t>85</w:t>
            </w:r>
            <w:r w:rsidR="00B81E4C">
              <w:t xml:space="preserve"> and 4-90</w:t>
            </w:r>
          </w:p>
        </w:tc>
        <w:tc>
          <w:tcPr>
            <w:tcW w:w="5367" w:type="dxa"/>
          </w:tcPr>
          <w:p w14:paraId="4F7E244E" w14:textId="77777777" w:rsidR="00162ED0" w:rsidRPr="00D83833" w:rsidRDefault="00162ED0" w:rsidP="00162ED0">
            <w:pPr>
              <w:pStyle w:val="Tabletext"/>
            </w:pPr>
            <w:r>
              <w:t>T</w:t>
            </w:r>
            <w:r w:rsidRPr="00D83833">
              <w:t xml:space="preserve">he </w:t>
            </w:r>
            <w:r w:rsidRPr="00D83833">
              <w:rPr>
                <w:b/>
                <w:i/>
              </w:rPr>
              <w:t>Total Deferred Tax Adjustment Amount</w:t>
            </w:r>
            <w:r w:rsidRPr="00D83833">
              <w:t xml:space="preserve"> for a Constituent Entity for a Fiscal Year is equal to:</w:t>
            </w:r>
          </w:p>
          <w:p w14:paraId="3543ABAA" w14:textId="77777777" w:rsidR="00162ED0" w:rsidRPr="00D83833" w:rsidRDefault="00162ED0" w:rsidP="00162ED0">
            <w:pPr>
              <w:pStyle w:val="Tabledotpoint1"/>
            </w:pPr>
            <w:r w:rsidRPr="00D83833">
              <w:t>if the applicable domestic tax rate is below the Minimum Rate—the deferred tax expense accrued in its financial accounts, to the extent that it:</w:t>
            </w:r>
          </w:p>
          <w:p w14:paraId="001D5EBF" w14:textId="77777777" w:rsidR="00162ED0" w:rsidRPr="00D83833" w:rsidRDefault="00162ED0" w:rsidP="00B7652D">
            <w:pPr>
              <w:pStyle w:val="Tabledotpoint2"/>
              <w:keepNext/>
              <w:ind w:left="817" w:hanging="426"/>
            </w:pPr>
            <w:r w:rsidRPr="00D83833">
              <w:t xml:space="preserve">is in respect of Covered Taxes for the Fiscal Year (the </w:t>
            </w:r>
            <w:r w:rsidRPr="00B7652D">
              <w:t>relevant deferred tax expense</w:t>
            </w:r>
            <w:r w:rsidRPr="00D83833">
              <w:t>); and</w:t>
            </w:r>
          </w:p>
          <w:p w14:paraId="01C86B88" w14:textId="77777777" w:rsidR="00162ED0" w:rsidRPr="00D83833" w:rsidRDefault="00162ED0" w:rsidP="00B7652D">
            <w:pPr>
              <w:pStyle w:val="Tabledotpoint2"/>
              <w:keepNext/>
              <w:ind w:left="817" w:hanging="426"/>
            </w:pPr>
            <w:r w:rsidRPr="00D83833">
              <w:t>relates to amounts included in the computation of the Constituent entity’s GloBE Income for the Fiscal Year; or</w:t>
            </w:r>
          </w:p>
          <w:p w14:paraId="00D1DEFC" w14:textId="77777777" w:rsidR="00162ED0" w:rsidRPr="00D83833" w:rsidRDefault="00162ED0" w:rsidP="00162ED0">
            <w:pPr>
              <w:pStyle w:val="Tabledotpoint1"/>
            </w:pPr>
            <w:r w:rsidRPr="00D83833">
              <w:t>otherwise—that deferred tax expense, to that extent, recast at the Minimum Rate</w:t>
            </w:r>
            <w:r>
              <w:t>,</w:t>
            </w:r>
          </w:p>
          <w:p w14:paraId="0E64093C" w14:textId="77777777" w:rsidR="00162ED0" w:rsidRDefault="00162ED0" w:rsidP="00162ED0">
            <w:pPr>
              <w:pStyle w:val="Tabledotpoint1"/>
            </w:pPr>
            <w:r>
              <w:t>but does not include any of the following:</w:t>
            </w:r>
          </w:p>
          <w:p w14:paraId="2EC2F004" w14:textId="77777777" w:rsidR="00162ED0" w:rsidRPr="00D83833" w:rsidRDefault="00162ED0" w:rsidP="00162ED0">
            <w:pPr>
              <w:pStyle w:val="Tabledotpoint1"/>
            </w:pPr>
            <w:r w:rsidRPr="00D83833">
              <w:t>the amount of the relevant deferred tax expense that is in respect of items excluded from the computation of GloBE Income or Loss under Chapter 3;</w:t>
            </w:r>
          </w:p>
          <w:p w14:paraId="077E9C67" w14:textId="77777777" w:rsidR="00162ED0" w:rsidRPr="00D83833" w:rsidRDefault="00162ED0" w:rsidP="00162ED0">
            <w:pPr>
              <w:pStyle w:val="Tabledotpoint1"/>
            </w:pPr>
            <w:r w:rsidRPr="00D83833">
              <w:t>the amount of the relevant deferred tax expense that is in respect of Disallowed Accruals and Unclaimed Accruals;</w:t>
            </w:r>
          </w:p>
          <w:p w14:paraId="1F42D1D1" w14:textId="77777777" w:rsidR="00162ED0" w:rsidRPr="00D83833" w:rsidRDefault="00162ED0" w:rsidP="00162ED0">
            <w:pPr>
              <w:pStyle w:val="Tabledotpoint1"/>
            </w:pPr>
            <w:r w:rsidRPr="00D83833">
              <w:t>the impact of a valuation adjustment or accounting recognition adjustment with respect to a deferred tax asset;</w:t>
            </w:r>
          </w:p>
          <w:p w14:paraId="617813D1" w14:textId="77777777" w:rsidR="00162ED0" w:rsidRPr="00D83833" w:rsidRDefault="00162ED0" w:rsidP="00B7652D">
            <w:pPr>
              <w:pStyle w:val="Tabledotpoint2"/>
              <w:keepNext/>
              <w:ind w:left="817" w:hanging="426"/>
            </w:pPr>
            <w:r w:rsidRPr="00D83833">
              <w:lastRenderedPageBreak/>
              <w:t>the amount of the relevant deferred tax expense that arises from a re</w:t>
            </w:r>
            <w:r w:rsidRPr="00D83833">
              <w:noBreakHyphen/>
              <w:t>measurement with respect to a change in the applicable domestic tax rate;</w:t>
            </w:r>
          </w:p>
          <w:p w14:paraId="569D3169" w14:textId="77777777" w:rsidR="00162ED0" w:rsidRPr="003C5EAE" w:rsidRDefault="00162ED0" w:rsidP="00B7652D">
            <w:pPr>
              <w:pStyle w:val="Tabledotpoint2"/>
              <w:keepNext/>
              <w:ind w:left="817" w:hanging="426"/>
            </w:pPr>
            <w:r w:rsidRPr="00D83833">
              <w:t>the amount of the relevant deferred tax expense that is in respect of the generation and use of tax credits.</w:t>
            </w:r>
          </w:p>
        </w:tc>
      </w:tr>
      <w:tr w:rsidR="00162ED0" w:rsidRPr="00020288" w14:paraId="54641C8F" w14:textId="77777777" w:rsidTr="00AF7204">
        <w:tc>
          <w:tcPr>
            <w:tcW w:w="2334" w:type="dxa"/>
            <w:gridSpan w:val="2"/>
          </w:tcPr>
          <w:p w14:paraId="50BE2A0C" w14:textId="77777777" w:rsidR="00162ED0" w:rsidRDefault="00162ED0" w:rsidP="00162ED0">
            <w:pPr>
              <w:pStyle w:val="Tabletext"/>
            </w:pPr>
            <w:r>
              <w:lastRenderedPageBreak/>
              <w:t>Total Revenue</w:t>
            </w:r>
          </w:p>
          <w:p w14:paraId="2A5FDC5D" w14:textId="48093E9A" w:rsidR="00162ED0" w:rsidRDefault="00162ED0" w:rsidP="00162ED0">
            <w:pPr>
              <w:pStyle w:val="Tabletext"/>
            </w:pPr>
            <w:r>
              <w:t>8-</w:t>
            </w:r>
            <w:r w:rsidR="009740AB">
              <w:t xml:space="preserve">25 </w:t>
            </w:r>
            <w:r>
              <w:t>and 8-</w:t>
            </w:r>
            <w:r w:rsidR="009740AB">
              <w:t>190</w:t>
            </w:r>
          </w:p>
        </w:tc>
        <w:tc>
          <w:tcPr>
            <w:tcW w:w="5367" w:type="dxa"/>
          </w:tcPr>
          <w:p w14:paraId="3A9592A2" w14:textId="77777777" w:rsidR="00162ED0" w:rsidRDefault="00162ED0" w:rsidP="00162ED0">
            <w:pPr>
              <w:pStyle w:val="Tabletext"/>
            </w:pPr>
            <w:r w:rsidRPr="00E9126A">
              <w:t xml:space="preserve">The </w:t>
            </w:r>
            <w:r w:rsidRPr="00E9126A">
              <w:rPr>
                <w:b/>
                <w:i/>
              </w:rPr>
              <w:t>Total Revenue</w:t>
            </w:r>
            <w:r w:rsidRPr="00E9126A">
              <w:t xml:space="preserve"> of a Constituent Entity of an MNE Group for a Fiscal Year</w:t>
            </w:r>
            <w:r w:rsidRPr="00E9126A">
              <w:rPr>
                <w:b/>
                <w:i/>
              </w:rPr>
              <w:t xml:space="preserve"> </w:t>
            </w:r>
            <w:r w:rsidRPr="00E9126A">
              <w:t>means the Constituent Entity’s total revenue for the Fiscal Year as determined in accordance with the MNE Group’s Relevant CbC Regulations.</w:t>
            </w:r>
          </w:p>
          <w:p w14:paraId="17272932" w14:textId="77777777" w:rsidR="00162ED0" w:rsidRPr="003C5EAE" w:rsidRDefault="00162ED0" w:rsidP="00162ED0">
            <w:pPr>
              <w:pStyle w:val="Tabletext"/>
            </w:pPr>
            <w:r w:rsidRPr="00814703">
              <w:t xml:space="preserve">An MNE Group’s </w:t>
            </w:r>
            <w:r w:rsidRPr="00814703">
              <w:rPr>
                <w:b/>
                <w:i/>
              </w:rPr>
              <w:t>Total Revenue</w:t>
            </w:r>
            <w:r w:rsidRPr="00814703">
              <w:t>, for a jurisdiction for a Fiscal Year,</w:t>
            </w:r>
            <w:r w:rsidRPr="00814703">
              <w:rPr>
                <w:b/>
                <w:i/>
              </w:rPr>
              <w:t xml:space="preserve"> </w:t>
            </w:r>
            <w:r w:rsidRPr="00814703">
              <w:t>means the MNE Group’s total revenues in the jurisdiction, as reported on its Qualified CbC Report in relation to the jurisdiction for the Fiscal Year</w:t>
            </w:r>
            <w:r>
              <w:t>, including the amount of any intragroup payment that is treated as income in the Qualified Financial Statements of the recipient Group Entity and is treated as expense in the Qualified Financial Statements of the paying Group Entity.</w:t>
            </w:r>
          </w:p>
        </w:tc>
      </w:tr>
      <w:tr w:rsidR="00162ED0" w:rsidRPr="00020288" w14:paraId="1C9DDD1F" w14:textId="77777777" w:rsidTr="00AF7204">
        <w:tc>
          <w:tcPr>
            <w:tcW w:w="2334" w:type="dxa"/>
            <w:gridSpan w:val="2"/>
          </w:tcPr>
          <w:p w14:paraId="1FA87909" w14:textId="77777777" w:rsidR="00162ED0" w:rsidRDefault="00162ED0" w:rsidP="00162ED0">
            <w:pPr>
              <w:pStyle w:val="Tabletext"/>
            </w:pPr>
            <w:r>
              <w:t>Total UTPR Top</w:t>
            </w:r>
            <w:r>
              <w:noBreakHyphen/>
              <w:t>up Tax Amount</w:t>
            </w:r>
          </w:p>
          <w:p w14:paraId="1D381501" w14:textId="77777777" w:rsidR="00162ED0" w:rsidRDefault="00162ED0" w:rsidP="00162ED0">
            <w:pPr>
              <w:pStyle w:val="Tabletext"/>
            </w:pPr>
            <w:r>
              <w:t>2-55(1)</w:t>
            </w:r>
          </w:p>
        </w:tc>
        <w:tc>
          <w:tcPr>
            <w:tcW w:w="5367" w:type="dxa"/>
          </w:tcPr>
          <w:p w14:paraId="0B8A8CD3" w14:textId="77777777" w:rsidR="00162ED0" w:rsidRPr="006A2ECE" w:rsidRDefault="00162ED0" w:rsidP="00162ED0">
            <w:pPr>
              <w:pStyle w:val="Tabletext"/>
            </w:pPr>
            <w:r w:rsidRPr="006A2ECE">
              <w:t xml:space="preserve">The </w:t>
            </w:r>
            <w:r w:rsidRPr="006A2ECE">
              <w:rPr>
                <w:b/>
                <w:i/>
              </w:rPr>
              <w:t>Total UTPR Top</w:t>
            </w:r>
            <w:r w:rsidRPr="006A2ECE">
              <w:rPr>
                <w:b/>
                <w:i/>
              </w:rPr>
              <w:noBreakHyphen/>
              <w:t>up Tax Amount</w:t>
            </w:r>
            <w:r w:rsidRPr="006A2ECE">
              <w:t xml:space="preserve"> for an MNE Group for a Fiscal Year is the sum of the following:</w:t>
            </w:r>
          </w:p>
          <w:p w14:paraId="5D493CBD" w14:textId="4785108C" w:rsidR="00162ED0" w:rsidRPr="006A2ECE" w:rsidRDefault="00162ED0" w:rsidP="00162ED0">
            <w:pPr>
              <w:pStyle w:val="Tabledotpoint1"/>
            </w:pPr>
            <w:r w:rsidRPr="0020515A">
              <w:t>the total of the Top</w:t>
            </w:r>
            <w:r w:rsidRPr="0020515A">
              <w:noBreakHyphen/>
              <w:t xml:space="preserve">up Tax for the </w:t>
            </w:r>
            <w:r w:rsidRPr="006A2ECE">
              <w:t xml:space="preserve">Fiscal Year of each </w:t>
            </w:r>
            <w:r>
              <w:t>LTCE</w:t>
            </w:r>
            <w:r w:rsidRPr="006A2ECE">
              <w:t xml:space="preserve"> for the Fiscal Year of the MNE Group, as adjusted in accordance with this section;</w:t>
            </w:r>
          </w:p>
          <w:p w14:paraId="5DAC0071" w14:textId="358D013F" w:rsidR="00162ED0" w:rsidRDefault="00162ED0" w:rsidP="00162ED0">
            <w:pPr>
              <w:pStyle w:val="Tabledotpoint1"/>
            </w:pPr>
            <w:r w:rsidRPr="006A2ECE">
              <w:t xml:space="preserve">if there are one or more JV Groups of the MNE Group—the total of the </w:t>
            </w:r>
            <w:r>
              <w:t>UPE</w:t>
            </w:r>
            <w:r w:rsidRPr="006A2ECE">
              <w:t>’s Allocable Share of the Top</w:t>
            </w:r>
            <w:r w:rsidRPr="006A2ECE">
              <w:noBreakHyphen/>
              <w:t xml:space="preserve">up Tax of each </w:t>
            </w:r>
            <w:r>
              <w:t>JV</w:t>
            </w:r>
            <w:r w:rsidRPr="006A2ECE">
              <w:t>, and of each of its JV Subsidiaries (if any), that comprise each such JV Group, as adjusted in accordance with this section.</w:t>
            </w:r>
          </w:p>
          <w:p w14:paraId="2A99CA77" w14:textId="4DF7326F" w:rsidR="00162ED0" w:rsidRPr="006A2ECE" w:rsidRDefault="00162ED0" w:rsidP="00162ED0">
            <w:pPr>
              <w:pStyle w:val="Tabletext"/>
            </w:pPr>
            <w:r>
              <w:t>However, for the purposes of paragraph (a), r</w:t>
            </w:r>
            <w:r w:rsidRPr="006A2ECE">
              <w:t>educe the Top</w:t>
            </w:r>
            <w:r w:rsidRPr="006A2ECE">
              <w:noBreakHyphen/>
              <w:t xml:space="preserve">up Tax for the Fiscal Year of a </w:t>
            </w:r>
            <w:r>
              <w:t>LTCE</w:t>
            </w:r>
            <w:r w:rsidRPr="006A2ECE">
              <w:t xml:space="preserve"> to zero if:</w:t>
            </w:r>
          </w:p>
          <w:p w14:paraId="68F901C8" w14:textId="019FEEFF" w:rsidR="00162ED0" w:rsidRPr="006A2ECE" w:rsidRDefault="00162ED0" w:rsidP="00162ED0">
            <w:pPr>
              <w:pStyle w:val="Tabledotpoint1"/>
            </w:pPr>
            <w:r w:rsidRPr="006A2ECE">
              <w:t xml:space="preserve">all of the Ownership Interests in the </w:t>
            </w:r>
            <w:r>
              <w:t>LTCE</w:t>
            </w:r>
            <w:r w:rsidRPr="006A2ECE">
              <w:t xml:space="preserve"> held by the MNE Group’s </w:t>
            </w:r>
            <w:r>
              <w:t>UPE</w:t>
            </w:r>
            <w:r w:rsidRPr="006A2ECE">
              <w:t xml:space="preserve"> are any of the following:</w:t>
            </w:r>
          </w:p>
          <w:p w14:paraId="33C64B98" w14:textId="77777777" w:rsidR="00162ED0" w:rsidRPr="006A2ECE" w:rsidRDefault="00162ED0" w:rsidP="00B7652D">
            <w:pPr>
              <w:pStyle w:val="Tabledotpoint2"/>
              <w:keepNext/>
              <w:ind w:left="817" w:hanging="426"/>
            </w:pPr>
            <w:r w:rsidRPr="006A2ECE">
              <w:t>Direct Ownership Interests;</w:t>
            </w:r>
          </w:p>
          <w:p w14:paraId="594EDC4F" w14:textId="77777777" w:rsidR="00162ED0" w:rsidRPr="006A2ECE" w:rsidRDefault="00162ED0" w:rsidP="00B7652D">
            <w:pPr>
              <w:pStyle w:val="Tabledotpoint2"/>
              <w:keepNext/>
              <w:ind w:left="817" w:hanging="426"/>
            </w:pPr>
            <w:r w:rsidRPr="006A2ECE">
              <w:t>Indirect Ownership Interests held through one or more Parent Entities of the MNE Group; and</w:t>
            </w:r>
          </w:p>
          <w:p w14:paraId="4166B796" w14:textId="76888AB9" w:rsidR="00162ED0" w:rsidRPr="003C5EAE" w:rsidRDefault="00162ED0" w:rsidP="00162ED0">
            <w:pPr>
              <w:pStyle w:val="Tabledotpoint1"/>
            </w:pPr>
            <w:r w:rsidRPr="006A2ECE">
              <w:t xml:space="preserve">the </w:t>
            </w:r>
            <w:r>
              <w:t>UPE</w:t>
            </w:r>
            <w:r w:rsidRPr="006A2ECE">
              <w:t xml:space="preserve">, and each of those Parent Entities mentioned in paragraph (2)(b), is required to apply a Qualified IIR for that Fiscal Year </w:t>
            </w:r>
            <w:r w:rsidRPr="0020515A">
              <w:t xml:space="preserve">in the jurisdiction in which it is located with respect to that </w:t>
            </w:r>
            <w:r>
              <w:t>LTCE</w:t>
            </w:r>
            <w:r w:rsidRPr="006A2ECE">
              <w:rPr>
                <w:iCs/>
              </w:rPr>
              <w:t>.</w:t>
            </w:r>
          </w:p>
        </w:tc>
      </w:tr>
      <w:tr w:rsidR="00162ED0" w:rsidRPr="00020288" w14:paraId="3846B351" w14:textId="77777777" w:rsidTr="00AF7204">
        <w:tc>
          <w:tcPr>
            <w:tcW w:w="2334" w:type="dxa"/>
            <w:gridSpan w:val="2"/>
          </w:tcPr>
          <w:p w14:paraId="4D13392A" w14:textId="77777777" w:rsidR="00581411" w:rsidRDefault="00162ED0">
            <w:pPr>
              <w:pStyle w:val="Tabletext"/>
            </w:pPr>
            <w:r>
              <w:t>Transition Period</w:t>
            </w:r>
          </w:p>
          <w:p w14:paraId="6F38A9C1" w14:textId="5BBA635C" w:rsidR="00162ED0" w:rsidRDefault="00E25591" w:rsidP="00162ED0">
            <w:pPr>
              <w:pStyle w:val="Tabletext"/>
            </w:pPr>
            <w:r>
              <w:t>8-</w:t>
            </w:r>
            <w:r w:rsidR="00A467A8">
              <w:t>15</w:t>
            </w:r>
          </w:p>
        </w:tc>
        <w:tc>
          <w:tcPr>
            <w:tcW w:w="5367" w:type="dxa"/>
          </w:tcPr>
          <w:p w14:paraId="6BD5337E" w14:textId="77777777" w:rsidR="00162ED0" w:rsidRPr="00554252" w:rsidRDefault="00162ED0" w:rsidP="00162ED0">
            <w:pPr>
              <w:pStyle w:val="Tabletext"/>
            </w:pPr>
            <w:r>
              <w:t>T</w:t>
            </w:r>
            <w:r w:rsidRPr="00554252">
              <w:t>he</w:t>
            </w:r>
            <w:r w:rsidRPr="00554252">
              <w:rPr>
                <w:b/>
                <w:bCs/>
                <w:i/>
                <w:iCs/>
              </w:rPr>
              <w:t xml:space="preserve"> Transition Period </w:t>
            </w:r>
            <w:r w:rsidRPr="00554252">
              <w:t>covers a Fiscal Year that:  </w:t>
            </w:r>
          </w:p>
          <w:p w14:paraId="6D2555A4" w14:textId="77777777" w:rsidR="00162ED0" w:rsidRPr="00554252" w:rsidRDefault="00162ED0" w:rsidP="00162ED0">
            <w:pPr>
              <w:pStyle w:val="Tabledotpoint1"/>
            </w:pPr>
            <w:r w:rsidRPr="00554252">
              <w:t>starts on or before 31 December 2026; and </w:t>
            </w:r>
          </w:p>
          <w:p w14:paraId="4C5371EF" w14:textId="77777777" w:rsidR="00162ED0" w:rsidRPr="003C5EAE" w:rsidRDefault="00162ED0" w:rsidP="00162ED0">
            <w:pPr>
              <w:pStyle w:val="Tabledotpoint1"/>
            </w:pPr>
            <w:r w:rsidRPr="00554252">
              <w:t>ends on or before 30 June 2028. </w:t>
            </w:r>
          </w:p>
        </w:tc>
      </w:tr>
      <w:tr w:rsidR="00162ED0" w:rsidRPr="00020288" w14:paraId="57DD86E3" w14:textId="77777777" w:rsidTr="00AF7204">
        <w:tc>
          <w:tcPr>
            <w:tcW w:w="2334" w:type="dxa"/>
            <w:gridSpan w:val="2"/>
          </w:tcPr>
          <w:p w14:paraId="0B5A0DEF" w14:textId="77777777" w:rsidR="00162ED0" w:rsidRDefault="00162ED0" w:rsidP="00162ED0">
            <w:pPr>
              <w:pStyle w:val="Tabletext"/>
            </w:pPr>
            <w:r>
              <w:lastRenderedPageBreak/>
              <w:t>Transition Rate</w:t>
            </w:r>
          </w:p>
          <w:p w14:paraId="18D545B2" w14:textId="4468E454" w:rsidR="00162ED0" w:rsidRDefault="00162ED0" w:rsidP="00162ED0">
            <w:pPr>
              <w:pStyle w:val="Tabletext"/>
            </w:pPr>
            <w:r>
              <w:t>8</w:t>
            </w:r>
            <w:r>
              <w:noBreakHyphen/>
            </w:r>
            <w:r w:rsidR="009740AB">
              <w:t>55</w:t>
            </w:r>
          </w:p>
        </w:tc>
        <w:tc>
          <w:tcPr>
            <w:tcW w:w="5367" w:type="dxa"/>
          </w:tcPr>
          <w:p w14:paraId="48DF7629" w14:textId="77777777" w:rsidR="00162ED0" w:rsidRPr="00814703" w:rsidRDefault="00162ED0" w:rsidP="00162ED0">
            <w:pPr>
              <w:pStyle w:val="Tabletext"/>
            </w:pPr>
            <w:r w:rsidRPr="00814703">
              <w:t>The</w:t>
            </w:r>
            <w:r w:rsidRPr="00814703">
              <w:rPr>
                <w:b/>
                <w:i/>
              </w:rPr>
              <w:t xml:space="preserve"> Transition Rate </w:t>
            </w:r>
            <w:r w:rsidRPr="00814703">
              <w:t xml:space="preserve">for a Fiscal Year means: </w:t>
            </w:r>
          </w:p>
          <w:p w14:paraId="3FC4DB16" w14:textId="77777777" w:rsidR="00162ED0" w:rsidRPr="00814703" w:rsidRDefault="00162ED0" w:rsidP="00162ED0">
            <w:pPr>
              <w:pStyle w:val="Tabledotpoint1"/>
            </w:pPr>
            <w:r w:rsidRPr="00814703">
              <w:t>if the Fiscal Year starts in the 2023 or 2024 calendar year—15%; or</w:t>
            </w:r>
          </w:p>
          <w:p w14:paraId="7E15ACCF" w14:textId="77777777" w:rsidR="00162ED0" w:rsidRPr="00814703" w:rsidRDefault="00162ED0" w:rsidP="00162ED0">
            <w:pPr>
              <w:pStyle w:val="Tabledotpoint1"/>
            </w:pPr>
            <w:r w:rsidRPr="00814703">
              <w:t>if the Fiscal Year starts in the 2025 calendar year—16%; or</w:t>
            </w:r>
          </w:p>
          <w:p w14:paraId="20938EE4" w14:textId="77777777" w:rsidR="00162ED0" w:rsidRPr="003C5EAE" w:rsidRDefault="00162ED0" w:rsidP="00162ED0">
            <w:pPr>
              <w:pStyle w:val="Tabledotpoint1"/>
            </w:pPr>
            <w:r w:rsidRPr="00814703">
              <w:t>if the Fiscal Year starts in the 2026 calendar year—17%.</w:t>
            </w:r>
          </w:p>
        </w:tc>
      </w:tr>
      <w:tr w:rsidR="00162ED0" w:rsidRPr="00020288" w14:paraId="627C47E3" w14:textId="77777777" w:rsidTr="00AF7204">
        <w:tc>
          <w:tcPr>
            <w:tcW w:w="2334" w:type="dxa"/>
            <w:gridSpan w:val="2"/>
          </w:tcPr>
          <w:p w14:paraId="688C85EF" w14:textId="77777777" w:rsidR="00162ED0" w:rsidRDefault="00162ED0" w:rsidP="00162ED0">
            <w:pPr>
              <w:pStyle w:val="Tabletext"/>
            </w:pPr>
            <w:r>
              <w:t>Transition Year</w:t>
            </w:r>
          </w:p>
          <w:p w14:paraId="71FB08FF" w14:textId="77777777" w:rsidR="00162ED0" w:rsidRDefault="00162ED0" w:rsidP="00162ED0">
            <w:pPr>
              <w:pStyle w:val="Tabletext"/>
            </w:pPr>
            <w:r>
              <w:t>9</w:t>
            </w:r>
            <w:r>
              <w:noBreakHyphen/>
              <w:t>20</w:t>
            </w:r>
          </w:p>
        </w:tc>
        <w:tc>
          <w:tcPr>
            <w:tcW w:w="5367" w:type="dxa"/>
          </w:tcPr>
          <w:p w14:paraId="46952369" w14:textId="77777777" w:rsidR="00162ED0" w:rsidRPr="003C5EAE" w:rsidRDefault="00162ED0" w:rsidP="00162ED0">
            <w:pPr>
              <w:pStyle w:val="Tabletext"/>
            </w:pPr>
            <w:r w:rsidRPr="00814703">
              <w:rPr>
                <w:b/>
                <w:i/>
              </w:rPr>
              <w:t>Transition Year</w:t>
            </w:r>
            <w:r w:rsidRPr="00814703">
              <w:t>, for a jurisdiction, means the first Fiscal Year that the MNE Group comes within the scope of the GloBE Rules in respect of that jurisdiction.</w:t>
            </w:r>
          </w:p>
        </w:tc>
      </w:tr>
      <w:tr w:rsidR="00162ED0" w:rsidRPr="00020288" w14:paraId="65EC425A" w14:textId="77777777" w:rsidTr="00AF7204">
        <w:tc>
          <w:tcPr>
            <w:tcW w:w="2334" w:type="dxa"/>
            <w:gridSpan w:val="2"/>
          </w:tcPr>
          <w:p w14:paraId="54DEBA03" w14:textId="77777777" w:rsidR="00162ED0" w:rsidRDefault="00162ED0" w:rsidP="00162ED0">
            <w:pPr>
              <w:pStyle w:val="Tabletext"/>
            </w:pPr>
            <w:r>
              <w:t>Unclaimed Accrual</w:t>
            </w:r>
          </w:p>
          <w:p w14:paraId="7F92EA2A" w14:textId="69B92DD0" w:rsidR="00162ED0" w:rsidRDefault="00162ED0" w:rsidP="00162ED0">
            <w:pPr>
              <w:pStyle w:val="Tabletext"/>
            </w:pPr>
            <w:r>
              <w:t>4</w:t>
            </w:r>
            <w:r>
              <w:noBreakHyphen/>
            </w:r>
            <w:r w:rsidR="00A467A8">
              <w:t>115</w:t>
            </w:r>
            <w:r>
              <w:t>(2)</w:t>
            </w:r>
          </w:p>
        </w:tc>
        <w:tc>
          <w:tcPr>
            <w:tcW w:w="5367" w:type="dxa"/>
          </w:tcPr>
          <w:p w14:paraId="422E4EBC" w14:textId="77777777" w:rsidR="00162ED0" w:rsidRPr="0058184C" w:rsidRDefault="00162ED0" w:rsidP="00162ED0">
            <w:pPr>
              <w:pStyle w:val="Tabletext"/>
            </w:pPr>
            <w:r w:rsidRPr="0058184C">
              <w:t xml:space="preserve">An </w:t>
            </w:r>
            <w:r w:rsidRPr="0058184C">
              <w:rPr>
                <w:b/>
                <w:i/>
              </w:rPr>
              <w:t>Unclaimed Accrual</w:t>
            </w:r>
            <w:r w:rsidRPr="0058184C">
              <w:t xml:space="preserve">, of a Constituent Entity of an MNE Group for a Fiscal Year, means an increase in a deferred tax liability recorded in the financial accounts of the Constituent Entity for the Fiscal Year (the </w:t>
            </w:r>
            <w:r w:rsidRPr="0058184C">
              <w:rPr>
                <w:b/>
                <w:i/>
              </w:rPr>
              <w:t>current year</w:t>
            </w:r>
            <w:r w:rsidRPr="0058184C">
              <w:t>) if:</w:t>
            </w:r>
          </w:p>
          <w:p w14:paraId="058F5758" w14:textId="77777777" w:rsidR="00162ED0" w:rsidRPr="0058184C" w:rsidRDefault="00162ED0" w:rsidP="00162ED0">
            <w:pPr>
              <w:pStyle w:val="Tabledotpoint1"/>
            </w:pPr>
            <w:r w:rsidRPr="0058184C">
              <w:t>it is not expected to be reversed by the end of the fifth following Fiscal Year; and</w:t>
            </w:r>
          </w:p>
          <w:p w14:paraId="671684A9" w14:textId="77777777" w:rsidR="00162ED0" w:rsidRPr="003C5EAE" w:rsidRDefault="00162ED0" w:rsidP="00162ED0">
            <w:pPr>
              <w:pStyle w:val="Tabledotpoint1"/>
            </w:pPr>
            <w:r w:rsidRPr="0058184C">
              <w:t>an election under subsection (3) applies to the Constituent Entity for the current year.</w:t>
            </w:r>
          </w:p>
        </w:tc>
      </w:tr>
      <w:tr w:rsidR="00162ED0" w:rsidRPr="00020288" w14:paraId="25D9EDAC" w14:textId="77777777" w:rsidTr="00AF7204">
        <w:tc>
          <w:tcPr>
            <w:tcW w:w="2334" w:type="dxa"/>
            <w:gridSpan w:val="2"/>
          </w:tcPr>
          <w:p w14:paraId="33BA534F" w14:textId="77777777" w:rsidR="00162ED0" w:rsidRDefault="00162ED0" w:rsidP="00162ED0">
            <w:pPr>
              <w:pStyle w:val="Tabletext"/>
            </w:pPr>
            <w:r>
              <w:t>Undistributed Net GloBE Income Account</w:t>
            </w:r>
          </w:p>
          <w:p w14:paraId="0E1AC4A9" w14:textId="3D5D24B3" w:rsidR="00162ED0" w:rsidRDefault="00162ED0" w:rsidP="00162ED0">
            <w:pPr>
              <w:pStyle w:val="Tabletext"/>
            </w:pPr>
            <w:r>
              <w:t>7</w:t>
            </w:r>
            <w:r>
              <w:noBreakHyphen/>
            </w:r>
            <w:r w:rsidR="00A467A8">
              <w:t>160</w:t>
            </w:r>
          </w:p>
        </w:tc>
        <w:tc>
          <w:tcPr>
            <w:tcW w:w="5367" w:type="dxa"/>
          </w:tcPr>
          <w:p w14:paraId="33F73B65" w14:textId="77777777" w:rsidR="00162ED0" w:rsidRPr="00EE1A1B" w:rsidRDefault="00162ED0" w:rsidP="00162ED0">
            <w:pPr>
              <w:pStyle w:val="Tabletext"/>
              <w:ind w:left="0"/>
            </w:pPr>
            <w:r>
              <w:t>A</w:t>
            </w:r>
            <w:r w:rsidRPr="00EE1A1B">
              <w:t xml:space="preserve">t the end of the tested year, an </w:t>
            </w:r>
            <w:r w:rsidRPr="00EE1A1B">
              <w:rPr>
                <w:b/>
                <w:i/>
              </w:rPr>
              <w:t>Undistributed Net GloBE Income Account</w:t>
            </w:r>
            <w:r w:rsidRPr="00EE1A1B">
              <w:t xml:space="preserve"> is established for the Investment Entity for the tested year</w:t>
            </w:r>
            <w:r>
              <w:t>, i</w:t>
            </w:r>
            <w:r w:rsidRPr="00EE1A1B">
              <w:t>f:</w:t>
            </w:r>
          </w:p>
          <w:p w14:paraId="2EAE6DC8" w14:textId="31D0927B" w:rsidR="00162ED0" w:rsidRPr="00EE1A1B" w:rsidRDefault="00162ED0" w:rsidP="00162ED0">
            <w:pPr>
              <w:pStyle w:val="Tabledotpoint1"/>
            </w:pPr>
            <w:r w:rsidRPr="00EE1A1B">
              <w:t>an election under subsection 7</w:t>
            </w:r>
            <w:r w:rsidRPr="00EE1A1B">
              <w:noBreakHyphen/>
              <w:t>135(1) applies to:</w:t>
            </w:r>
          </w:p>
          <w:p w14:paraId="74B64E32" w14:textId="77777777" w:rsidR="00162ED0" w:rsidRPr="00EE1A1B" w:rsidRDefault="00162ED0" w:rsidP="00B7652D">
            <w:pPr>
              <w:pStyle w:val="Tabledotpoint2"/>
              <w:keepNext/>
              <w:ind w:left="817" w:hanging="426"/>
            </w:pPr>
            <w:r w:rsidRPr="00EE1A1B">
              <w:t>an Investment Entity that is a Constituent Entity of an MNE Group; and</w:t>
            </w:r>
          </w:p>
          <w:p w14:paraId="10E2CB61" w14:textId="77777777" w:rsidR="00162ED0" w:rsidRPr="00EE1A1B" w:rsidRDefault="00162ED0" w:rsidP="00B7652D">
            <w:pPr>
              <w:pStyle w:val="Tabledotpoint2"/>
              <w:keepNext/>
              <w:ind w:left="817" w:hanging="426"/>
            </w:pPr>
            <w:r w:rsidRPr="00EE1A1B">
              <w:t xml:space="preserve">a Fiscal Year (the </w:t>
            </w:r>
            <w:r w:rsidRPr="00B7652D">
              <w:t>tested year</w:t>
            </w:r>
            <w:r w:rsidRPr="00EE1A1B">
              <w:t>); and</w:t>
            </w:r>
          </w:p>
          <w:p w14:paraId="67A0FB6A" w14:textId="77777777" w:rsidR="00162ED0" w:rsidRPr="003C5EAE" w:rsidRDefault="00162ED0" w:rsidP="00162ED0">
            <w:pPr>
              <w:pStyle w:val="Tabledotpoint1"/>
            </w:pPr>
            <w:r w:rsidRPr="00EE1A1B">
              <w:t>the Investment Entity has GloBE Income for the tested year.</w:t>
            </w:r>
          </w:p>
        </w:tc>
      </w:tr>
      <w:tr w:rsidR="00162ED0" w:rsidRPr="00020288" w14:paraId="5FE5129F" w14:textId="77777777" w:rsidTr="00AF7204">
        <w:tc>
          <w:tcPr>
            <w:tcW w:w="2334" w:type="dxa"/>
            <w:gridSpan w:val="2"/>
          </w:tcPr>
          <w:p w14:paraId="347FA2FF" w14:textId="77777777" w:rsidR="00162ED0" w:rsidRDefault="00162ED0" w:rsidP="00162ED0">
            <w:pPr>
              <w:pStyle w:val="Tabletext"/>
            </w:pPr>
            <w:r>
              <w:t>UTPR</w:t>
            </w:r>
          </w:p>
        </w:tc>
        <w:tc>
          <w:tcPr>
            <w:tcW w:w="5367" w:type="dxa"/>
          </w:tcPr>
          <w:p w14:paraId="1F9CDD5E" w14:textId="77777777" w:rsidR="00162ED0" w:rsidRPr="003C5EAE" w:rsidRDefault="00162ED0" w:rsidP="00162ED0">
            <w:pPr>
              <w:pStyle w:val="Tabletext"/>
            </w:pPr>
            <w:r>
              <w:t>A</w:t>
            </w:r>
            <w:r w:rsidRPr="007A00F8">
              <w:t>ny law of a jurisdiction that may reasonably be considered to have been enacted with the intention of implementing, in whole or in part, Articles 2.4 to 2.6 of the GloBE Rules.</w:t>
            </w:r>
          </w:p>
        </w:tc>
      </w:tr>
      <w:tr w:rsidR="00162ED0" w:rsidRPr="00020288" w14:paraId="5C557B62" w14:textId="77777777" w:rsidTr="00AF7204">
        <w:tc>
          <w:tcPr>
            <w:tcW w:w="2334" w:type="dxa"/>
            <w:gridSpan w:val="2"/>
          </w:tcPr>
          <w:p w14:paraId="720855CB" w14:textId="77777777" w:rsidR="00162ED0" w:rsidRDefault="00162ED0" w:rsidP="00162ED0">
            <w:pPr>
              <w:pStyle w:val="Tabletext"/>
            </w:pPr>
            <w:r>
              <w:t>UTPR Percentage</w:t>
            </w:r>
          </w:p>
          <w:p w14:paraId="44D04C80" w14:textId="75E1465F" w:rsidR="00162ED0" w:rsidRDefault="00162ED0" w:rsidP="00162ED0">
            <w:pPr>
              <w:pStyle w:val="Tabletext"/>
            </w:pPr>
            <w:r>
              <w:t>2-</w:t>
            </w:r>
            <w:r w:rsidR="00A467A8">
              <w:t>65</w:t>
            </w:r>
          </w:p>
        </w:tc>
        <w:tc>
          <w:tcPr>
            <w:tcW w:w="5367" w:type="dxa"/>
          </w:tcPr>
          <w:p w14:paraId="061398CE" w14:textId="77777777" w:rsidR="00162ED0" w:rsidRPr="006A2ECE" w:rsidRDefault="00162ED0" w:rsidP="00162ED0">
            <w:pPr>
              <w:pStyle w:val="Tabletext"/>
            </w:pPr>
            <w:r w:rsidRPr="006A2ECE">
              <w:t xml:space="preserve">An MNE Group’s </w:t>
            </w:r>
            <w:r w:rsidRPr="006A2ECE">
              <w:rPr>
                <w:b/>
                <w:i/>
              </w:rPr>
              <w:t>UTPR Percentage</w:t>
            </w:r>
            <w:r w:rsidRPr="006A2ECE">
              <w:rPr>
                <w:i/>
              </w:rPr>
              <w:t xml:space="preserve"> </w:t>
            </w:r>
            <w:r w:rsidRPr="006A2ECE">
              <w:t>for a Fiscal Year of a jurisdiction that has a Qualified UTPR in force for the Fiscal Year is the percentage computed under the following formula:</w:t>
            </w:r>
          </w:p>
          <w:p w14:paraId="46CC8B36" w14:textId="7DB029E7" w:rsidR="001A1F22" w:rsidRDefault="001A1F22" w:rsidP="00162ED0">
            <w:pPr>
              <w:pStyle w:val="Tabletext"/>
            </w:pPr>
            <w:r>
              <w:rPr>
                <w:noProof/>
              </w:rPr>
              <w:drawing>
                <wp:inline distT="0" distB="0" distL="0" distR="0" wp14:anchorId="15999C76" wp14:editId="74DE3852">
                  <wp:extent cx="3279775" cy="615950"/>
                  <wp:effectExtent l="0" t="0" r="0" b="0"/>
                  <wp:docPr id="1740791512" name="Picture 47" descr="Formula for UTPR Perce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91512" name="Picture 47" descr="Formula for UTPR Percentage"/>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279775" cy="615950"/>
                          </a:xfrm>
                          <a:prstGeom prst="rect">
                            <a:avLst/>
                          </a:prstGeom>
                          <a:noFill/>
                        </pic:spPr>
                      </pic:pic>
                    </a:graphicData>
                  </a:graphic>
                </wp:inline>
              </w:drawing>
            </w:r>
          </w:p>
          <w:p w14:paraId="15221D06" w14:textId="754A8490" w:rsidR="00162ED0" w:rsidRPr="006A2ECE" w:rsidRDefault="00162ED0" w:rsidP="00162ED0">
            <w:pPr>
              <w:pStyle w:val="Tabletext"/>
            </w:pPr>
            <w:r w:rsidRPr="006A2ECE">
              <w:t>where:</w:t>
            </w:r>
          </w:p>
          <w:p w14:paraId="58C02A12" w14:textId="77777777" w:rsidR="00162ED0" w:rsidRPr="006A2ECE" w:rsidRDefault="00162ED0" w:rsidP="00162ED0">
            <w:pPr>
              <w:pStyle w:val="Tabledotpoint1"/>
            </w:pPr>
            <w:r w:rsidRPr="006A2ECE">
              <w:rPr>
                <w:b/>
                <w:i/>
              </w:rPr>
              <w:t xml:space="preserve">Number of employees in all UTPR Jurisdictions </w:t>
            </w:r>
            <w:r w:rsidRPr="006A2ECE">
              <w:t>means</w:t>
            </w:r>
            <w:r w:rsidRPr="006A2ECE">
              <w:rPr>
                <w:b/>
                <w:i/>
              </w:rPr>
              <w:t xml:space="preserve"> </w:t>
            </w:r>
            <w:r w:rsidRPr="006A2ECE">
              <w:t xml:space="preserve">the total number of employees of all Constituent Entities of the </w:t>
            </w:r>
            <w:r w:rsidRPr="006A2ECE">
              <w:lastRenderedPageBreak/>
              <w:t>MNE Group located in each jurisdiction that has a Qualified UTPR in force for the Fiscal Year.</w:t>
            </w:r>
          </w:p>
          <w:p w14:paraId="5F1AEBE6" w14:textId="77777777" w:rsidR="00162ED0" w:rsidRPr="006A2ECE" w:rsidRDefault="00162ED0" w:rsidP="00162ED0">
            <w:pPr>
              <w:pStyle w:val="Tabledotpoint1"/>
            </w:pPr>
            <w:r w:rsidRPr="006A2ECE">
              <w:rPr>
                <w:b/>
                <w:i/>
              </w:rPr>
              <w:t xml:space="preserve">Number of employees in the jurisdiction </w:t>
            </w:r>
            <w:r w:rsidRPr="006A2ECE">
              <w:t>means the total number of employees of all Constituent Entities of the MNE Group located in the jurisdiction.</w:t>
            </w:r>
          </w:p>
          <w:p w14:paraId="26D8BDF5" w14:textId="77777777" w:rsidR="00162ED0" w:rsidRPr="006A2ECE" w:rsidRDefault="00162ED0" w:rsidP="00162ED0">
            <w:pPr>
              <w:pStyle w:val="Tabledotpoint1"/>
            </w:pPr>
            <w:r w:rsidRPr="006A2ECE">
              <w:rPr>
                <w:b/>
                <w:i/>
              </w:rPr>
              <w:t xml:space="preserve">Total value of tangible assets in all UTPR Jurisdictions </w:t>
            </w:r>
            <w:r w:rsidRPr="006A2ECE">
              <w:t>means the sum of the Net Book Value of Tangible Assets for the Fiscal Year of all Constituent Entities of the MNE Group located in each jurisdiction that has a Qualified UTPR in force for the Fiscal Year.</w:t>
            </w:r>
          </w:p>
          <w:p w14:paraId="63FC2CF4" w14:textId="77777777" w:rsidR="00162ED0" w:rsidRPr="003C5EAE" w:rsidRDefault="00162ED0" w:rsidP="00162ED0">
            <w:pPr>
              <w:pStyle w:val="Tabledotpoint1"/>
            </w:pPr>
            <w:r w:rsidRPr="006A2ECE">
              <w:rPr>
                <w:b/>
                <w:i/>
              </w:rPr>
              <w:t xml:space="preserve">Total value of tangible assets in the jurisdiction </w:t>
            </w:r>
            <w:r w:rsidRPr="006A2ECE">
              <w:t>means the sum of the Net Book Value of Tangible Assets for the Fiscal Year of all Constituent Entities of the MNE Group located in the jurisdiction.</w:t>
            </w:r>
          </w:p>
        </w:tc>
      </w:tr>
      <w:tr w:rsidR="00162ED0" w:rsidRPr="00020288" w14:paraId="71922DDC" w14:textId="77777777" w:rsidTr="00AF7204">
        <w:tc>
          <w:tcPr>
            <w:tcW w:w="2334" w:type="dxa"/>
            <w:gridSpan w:val="2"/>
          </w:tcPr>
          <w:p w14:paraId="566B4A46" w14:textId="77777777" w:rsidR="00162ED0" w:rsidRDefault="00162ED0" w:rsidP="00162ED0">
            <w:pPr>
              <w:pStyle w:val="Tabletext"/>
            </w:pPr>
            <w:r>
              <w:lastRenderedPageBreak/>
              <w:t>UTPR Top</w:t>
            </w:r>
            <w:r>
              <w:noBreakHyphen/>
              <w:t>up Tax Amount</w:t>
            </w:r>
          </w:p>
          <w:p w14:paraId="6D0D39F1" w14:textId="663BA9B7" w:rsidR="00162ED0" w:rsidRDefault="00162ED0" w:rsidP="00162ED0">
            <w:pPr>
              <w:pStyle w:val="Tabletext"/>
            </w:pPr>
            <w:r>
              <w:t>2-</w:t>
            </w:r>
            <w:r w:rsidR="00A467A8">
              <w:t>45</w:t>
            </w:r>
          </w:p>
        </w:tc>
        <w:tc>
          <w:tcPr>
            <w:tcW w:w="5367" w:type="dxa"/>
          </w:tcPr>
          <w:p w14:paraId="2F74BC93" w14:textId="77777777" w:rsidR="00162ED0" w:rsidRPr="006A2ECE" w:rsidRDefault="00162ED0" w:rsidP="00162ED0">
            <w:pPr>
              <w:pStyle w:val="Tabletext"/>
            </w:pPr>
            <w:r>
              <w:t>A</w:t>
            </w:r>
            <w:r w:rsidRPr="006A2ECE">
              <w:t xml:space="preserve"> Constituent Entity </w:t>
            </w:r>
            <w:r>
              <w:t xml:space="preserve">of an Applicable MNE Group for a Fiscal Year that is located in Australia </w:t>
            </w:r>
            <w:r w:rsidRPr="006A2ECE">
              <w:t xml:space="preserve">has an </w:t>
            </w:r>
            <w:r w:rsidRPr="006A2ECE">
              <w:rPr>
                <w:b/>
                <w:i/>
              </w:rPr>
              <w:t>UTPR Top</w:t>
            </w:r>
            <w:r w:rsidRPr="006A2ECE">
              <w:rPr>
                <w:b/>
                <w:i/>
              </w:rPr>
              <w:noBreakHyphen/>
              <w:t>up Tax Amount</w:t>
            </w:r>
            <w:r w:rsidRPr="006A2ECE">
              <w:t xml:space="preserve"> for the Fiscal Year if:</w:t>
            </w:r>
          </w:p>
          <w:p w14:paraId="2C732E24" w14:textId="77777777" w:rsidR="00162ED0" w:rsidRPr="006A2ECE" w:rsidRDefault="00162ED0" w:rsidP="00162ED0">
            <w:pPr>
              <w:pStyle w:val="Tabledotpoint1"/>
            </w:pPr>
            <w:r w:rsidRPr="006A2ECE">
              <w:t>the Total UTPR Top</w:t>
            </w:r>
            <w:r w:rsidRPr="006A2ECE">
              <w:noBreakHyphen/>
              <w:t>up Tax Amount for the Applicable MNE Group for the Fiscal Year is greater than zero; and</w:t>
            </w:r>
          </w:p>
          <w:p w14:paraId="59BDF3A4" w14:textId="7621C431" w:rsidR="00162ED0" w:rsidRPr="006A2ECE" w:rsidRDefault="00162ED0" w:rsidP="00162ED0">
            <w:pPr>
              <w:pStyle w:val="Tabledotpoint1"/>
            </w:pPr>
            <w:r w:rsidRPr="006A2ECE">
              <w:t>an amount of the Total UTPR Top</w:t>
            </w:r>
            <w:r w:rsidRPr="006A2ECE">
              <w:noBreakHyphen/>
              <w:t>up Tax Amount is allocated to Australia under section 2</w:t>
            </w:r>
            <w:r w:rsidRPr="006A2ECE">
              <w:noBreakHyphen/>
              <w:t>70; and</w:t>
            </w:r>
          </w:p>
          <w:p w14:paraId="6738CF3D" w14:textId="23EDD4F1" w:rsidR="00162ED0" w:rsidRDefault="00162ED0" w:rsidP="00162ED0">
            <w:pPr>
              <w:pStyle w:val="Tabledotpoint1"/>
            </w:pPr>
            <w:r w:rsidRPr="006A2ECE">
              <w:t>an amount of that allocated amount is distributed to the Constituent Entity under section 2</w:t>
            </w:r>
            <w:r w:rsidRPr="006A2ECE">
              <w:noBreakHyphen/>
              <w:t>80.</w:t>
            </w:r>
          </w:p>
          <w:p w14:paraId="0973503F" w14:textId="77777777" w:rsidR="00162ED0" w:rsidRPr="006A2ECE" w:rsidRDefault="00162ED0" w:rsidP="00162ED0">
            <w:pPr>
              <w:pStyle w:val="Tabletext"/>
            </w:pPr>
            <w:r>
              <w:t xml:space="preserve">However, </w:t>
            </w:r>
            <w:r w:rsidRPr="006A2ECE">
              <w:t>if:</w:t>
            </w:r>
          </w:p>
          <w:p w14:paraId="27DA48BF" w14:textId="77777777" w:rsidR="00162ED0" w:rsidRPr="006A2ECE" w:rsidRDefault="00162ED0" w:rsidP="00162ED0">
            <w:pPr>
              <w:pStyle w:val="Tabledotpoint1"/>
            </w:pPr>
            <w:r w:rsidRPr="006A2ECE">
              <w:t>a Constituent Entity for a Fiscal Year of an Applicable MNE Group for the Fiscal Year is a Permanent Establishment of a Main Entity; and</w:t>
            </w:r>
          </w:p>
          <w:p w14:paraId="7C258247" w14:textId="77777777" w:rsidR="00162ED0" w:rsidRPr="006A2ECE" w:rsidRDefault="00162ED0" w:rsidP="00162ED0">
            <w:pPr>
              <w:pStyle w:val="Tabledotpoint1"/>
            </w:pPr>
            <w:r w:rsidRPr="006A2ECE">
              <w:t>the Constituent Entity is located in Australia for the Fiscal Year; and</w:t>
            </w:r>
          </w:p>
          <w:p w14:paraId="4603D527" w14:textId="77777777" w:rsidR="00162ED0" w:rsidRPr="006A2ECE" w:rsidRDefault="00162ED0" w:rsidP="00162ED0">
            <w:pPr>
              <w:pStyle w:val="Tabledotpoint1"/>
            </w:pPr>
            <w:r w:rsidRPr="006A2ECE">
              <w:t>the Main Entity is not located in Australia for the Fiscal Year</w:t>
            </w:r>
            <w:r>
              <w:t>,</w:t>
            </w:r>
          </w:p>
          <w:p w14:paraId="1C1520A5" w14:textId="77777777" w:rsidR="00162ED0" w:rsidRPr="003C5EAE" w:rsidRDefault="00162ED0" w:rsidP="00162ED0">
            <w:pPr>
              <w:pStyle w:val="Tabletext"/>
            </w:pPr>
            <w:r>
              <w:t xml:space="preserve">then if the Constituent Entity would otherwise have a </w:t>
            </w:r>
            <w:r>
              <w:rPr>
                <w:b/>
                <w:bCs/>
                <w:i/>
                <w:iCs/>
              </w:rPr>
              <w:t>UTPR Top-up Tax Amount</w:t>
            </w:r>
            <w:r>
              <w:t xml:space="preserve"> for the Fiscal Year, the Constituent Entity does not have a </w:t>
            </w:r>
            <w:r>
              <w:rPr>
                <w:b/>
                <w:bCs/>
                <w:i/>
                <w:iCs/>
              </w:rPr>
              <w:t>UTPR Top-up Tax Amount</w:t>
            </w:r>
            <w:r>
              <w:t xml:space="preserve"> for the Fiscal Year.</w:t>
            </w:r>
          </w:p>
        </w:tc>
      </w:tr>
    </w:tbl>
    <w:p w14:paraId="47B0D662" w14:textId="3170A32D" w:rsidR="0025163B" w:rsidRDefault="0025163B" w:rsidP="006479AC">
      <w:pPr>
        <w:pStyle w:val="Normalparatextnonumbers"/>
      </w:pPr>
    </w:p>
    <w:p w14:paraId="661D3AD0" w14:textId="77777777" w:rsidR="0025163B" w:rsidRDefault="0025163B" w:rsidP="00873094">
      <w:pPr>
        <w:spacing w:after="0" w:line="360" w:lineRule="auto"/>
        <w:contextualSpacing/>
      </w:pPr>
    </w:p>
    <w:p w14:paraId="7CBCCC33" w14:textId="541587DF" w:rsidR="00873094" w:rsidRDefault="00873094" w:rsidP="006479AC">
      <w:pPr>
        <w:pStyle w:val="Normalparatextnonumbers"/>
      </w:pPr>
    </w:p>
    <w:p w14:paraId="71F2C825" w14:textId="77777777" w:rsidR="00873094" w:rsidRDefault="00873094" w:rsidP="00873094">
      <w:pPr>
        <w:spacing w:after="0" w:line="360" w:lineRule="auto"/>
        <w:contextualSpacing/>
      </w:pPr>
      <w:bookmarkStart w:id="321" w:name="_Hlk83390738"/>
      <w:bookmarkEnd w:id="315"/>
    </w:p>
    <w:p w14:paraId="09F52AF5" w14:textId="77777777" w:rsidR="00873094" w:rsidRPr="00020288" w:rsidRDefault="00873094" w:rsidP="00873094">
      <w:pPr>
        <w:spacing w:after="0" w:line="360" w:lineRule="auto"/>
        <w:contextualSpacing/>
        <w:sectPr w:rsidR="00873094" w:rsidRPr="00020288" w:rsidSect="00250844">
          <w:headerReference w:type="even" r:id="rId120"/>
          <w:headerReference w:type="default" r:id="rId121"/>
          <w:footerReference w:type="even" r:id="rId122"/>
          <w:footerReference w:type="default" r:id="rId123"/>
          <w:headerReference w:type="first" r:id="rId124"/>
          <w:footerReference w:type="first" r:id="rId125"/>
          <w:type w:val="oddPage"/>
          <w:pgSz w:w="9979" w:h="14175" w:code="9"/>
          <w:pgMar w:top="567" w:right="1134" w:bottom="567" w:left="1134" w:header="709" w:footer="709" w:gutter="0"/>
          <w:cols w:space="708"/>
          <w:titlePg/>
          <w:docGrid w:linePitch="360"/>
        </w:sectPr>
      </w:pPr>
    </w:p>
    <w:p w14:paraId="1D7DA1B1" w14:textId="77777777" w:rsidR="005D0844" w:rsidRPr="005D0844" w:rsidRDefault="00873094" w:rsidP="005D0844">
      <w:pPr>
        <w:pStyle w:val="Chapterheading"/>
        <w:rPr>
          <w:rFonts w:hint="eastAsia"/>
        </w:rPr>
      </w:pPr>
      <w:bookmarkStart w:id="322" w:name="_Toc80097486"/>
      <w:bookmarkStart w:id="323" w:name="_Toc80097780"/>
      <w:bookmarkStart w:id="324" w:name="_Toc80115279"/>
      <w:bookmarkStart w:id="325" w:name="_Toc80172454"/>
      <w:bookmarkStart w:id="326" w:name="_Toc80197118"/>
      <w:bookmarkStart w:id="327" w:name="_Toc81852686"/>
      <w:bookmarkStart w:id="328" w:name="_Toc81852740"/>
      <w:bookmarkStart w:id="329" w:name="_Toc183417108"/>
      <w:bookmarkStart w:id="330" w:name="_Toc183786698"/>
      <w:bookmarkEnd w:id="321"/>
      <w:r w:rsidRPr="00A72DCC">
        <w:lastRenderedPageBreak/>
        <w:t>Statement of Compatibility with Human Rights</w:t>
      </w:r>
      <w:bookmarkEnd w:id="58"/>
      <w:bookmarkEnd w:id="59"/>
      <w:bookmarkEnd w:id="60"/>
      <w:bookmarkEnd w:id="61"/>
      <w:bookmarkEnd w:id="62"/>
      <w:bookmarkEnd w:id="322"/>
      <w:bookmarkEnd w:id="323"/>
      <w:bookmarkEnd w:id="324"/>
      <w:bookmarkEnd w:id="325"/>
      <w:bookmarkEnd w:id="326"/>
      <w:bookmarkEnd w:id="327"/>
      <w:bookmarkEnd w:id="328"/>
      <w:bookmarkEnd w:id="329"/>
      <w:bookmarkEnd w:id="330"/>
    </w:p>
    <w:p w14:paraId="77B0CEFA" w14:textId="06BCFC00" w:rsidR="005D0844" w:rsidRPr="005D0844" w:rsidRDefault="005D0844" w:rsidP="005D0844">
      <w:pPr>
        <w:pStyle w:val="Normalparatextnonumbers"/>
        <w:rPr>
          <w:i/>
          <w:iCs/>
        </w:rPr>
      </w:pPr>
      <w:bookmarkStart w:id="331" w:name="Chapter11"/>
      <w:r w:rsidRPr="005D0844">
        <w:rPr>
          <w:i/>
          <w:iCs/>
        </w:rPr>
        <w:t>Prepared in accordance with Part 3 of the Human Rights (Parliamentary Scrutiny</w:t>
      </w:r>
      <w:r w:rsidR="000E4D39">
        <w:rPr>
          <w:i/>
          <w:iCs/>
        </w:rPr>
        <w:t>)</w:t>
      </w:r>
      <w:r w:rsidRPr="005D0844">
        <w:rPr>
          <w:i/>
          <w:iCs/>
        </w:rPr>
        <w:t xml:space="preserve"> Act</w:t>
      </w:r>
      <w:r w:rsidR="000E4D39">
        <w:rPr>
          <w:i/>
          <w:iCs/>
        </w:rPr>
        <w:t> </w:t>
      </w:r>
      <w:r w:rsidRPr="005D0844">
        <w:rPr>
          <w:i/>
          <w:iCs/>
        </w:rPr>
        <w:t>2011</w:t>
      </w:r>
      <w:r>
        <w:rPr>
          <w:i/>
          <w:iCs/>
        </w:rPr>
        <w:t>.</w:t>
      </w:r>
    </w:p>
    <w:p w14:paraId="7A89C4C7" w14:textId="77777777" w:rsidR="000C23B6" w:rsidRDefault="000C23B6" w:rsidP="000C23B6">
      <w:pPr>
        <w:pStyle w:val="Heading3"/>
        <w:rPr>
          <w:rFonts w:ascii="Helvetica" w:hAnsi="Helvetica"/>
          <w:b/>
          <w:spacing w:val="-10"/>
          <w:kern w:val="28"/>
          <w:sz w:val="24"/>
          <w:szCs w:val="56"/>
        </w:rPr>
      </w:pPr>
      <w:bookmarkStart w:id="332" w:name="_Toc183786699"/>
      <w:bookmarkStart w:id="333" w:name="_Toc185508543"/>
      <w:bookmarkStart w:id="334" w:name="_Hlk82085634"/>
      <w:r w:rsidRPr="000C23B6">
        <w:rPr>
          <w:rFonts w:ascii="Helvetica" w:hAnsi="Helvetica"/>
          <w:b/>
          <w:spacing w:val="-10"/>
          <w:kern w:val="28"/>
          <w:sz w:val="24"/>
          <w:szCs w:val="56"/>
        </w:rPr>
        <w:t>Taxation (Multinational—Global and Domestic Minimum Tax) Rules 2024</w:t>
      </w:r>
      <w:bookmarkEnd w:id="332"/>
      <w:bookmarkEnd w:id="333"/>
      <w:r w:rsidRPr="000C23B6">
        <w:rPr>
          <w:rFonts w:ascii="Helvetica" w:hAnsi="Helvetica"/>
          <w:b/>
          <w:spacing w:val="-10"/>
          <w:kern w:val="28"/>
          <w:sz w:val="24"/>
          <w:szCs w:val="56"/>
        </w:rPr>
        <w:t xml:space="preserve"> </w:t>
      </w:r>
    </w:p>
    <w:p w14:paraId="002FBD5B" w14:textId="0E40D502" w:rsidR="005931AA" w:rsidRDefault="005931AA" w:rsidP="005931AA">
      <w:pPr>
        <w:pStyle w:val="TOCHeading"/>
      </w:pPr>
      <w:bookmarkStart w:id="335" w:name="_Toc183786700"/>
      <w:r>
        <w:t xml:space="preserve">Table of Contents: </w:t>
      </w:r>
    </w:p>
    <w:p w14:paraId="3CA5AF80" w14:textId="2378354D" w:rsidR="005931AA" w:rsidRDefault="005931AA" w:rsidP="00B7652D">
      <w:pPr>
        <w:pStyle w:val="TOC2"/>
        <w:rPr>
          <w:rFonts w:asciiTheme="minorHAnsi" w:eastAsiaTheme="minorEastAsia" w:hAnsiTheme="minorHAnsi"/>
          <w:kern w:val="2"/>
          <w:sz w:val="22"/>
          <w:lang w:eastAsia="en-AU"/>
          <w14:ligatures w14:val="standardContextual"/>
        </w:rPr>
      </w:pPr>
      <w:r>
        <w:fldChar w:fldCharType="begin"/>
      </w:r>
      <w:r>
        <w:instrText xml:space="preserve"> TOC \o "1-3" \z  \B Chapter11</w:instrText>
      </w:r>
      <w:r>
        <w:fldChar w:fldCharType="separate"/>
      </w:r>
      <w:r>
        <w:t>Overview of Legislative Instrument</w:t>
      </w:r>
      <w:r>
        <w:rPr>
          <w:webHidden/>
        </w:rPr>
        <w:tab/>
      </w:r>
      <w:r>
        <w:rPr>
          <w:webHidden/>
        </w:rPr>
        <w:fldChar w:fldCharType="begin"/>
      </w:r>
      <w:r>
        <w:rPr>
          <w:webHidden/>
        </w:rPr>
        <w:instrText xml:space="preserve"> PAGEREF _Toc185508544 \h </w:instrText>
      </w:r>
      <w:r>
        <w:rPr>
          <w:webHidden/>
        </w:rPr>
      </w:r>
      <w:r>
        <w:rPr>
          <w:webHidden/>
        </w:rPr>
        <w:fldChar w:fldCharType="separate"/>
      </w:r>
      <w:r w:rsidR="009D6D0D">
        <w:rPr>
          <w:webHidden/>
        </w:rPr>
        <w:t>245</w:t>
      </w:r>
      <w:r>
        <w:rPr>
          <w:webHidden/>
        </w:rPr>
        <w:fldChar w:fldCharType="end"/>
      </w:r>
    </w:p>
    <w:p w14:paraId="3B4AA48E" w14:textId="3245B361" w:rsidR="005931AA" w:rsidRDefault="005931AA">
      <w:pPr>
        <w:pStyle w:val="TOC2"/>
        <w:rPr>
          <w:rFonts w:asciiTheme="minorHAnsi" w:eastAsiaTheme="minorEastAsia" w:hAnsiTheme="minorHAnsi"/>
          <w:kern w:val="2"/>
          <w:sz w:val="22"/>
          <w:lang w:eastAsia="en-AU"/>
          <w14:ligatures w14:val="standardContextual"/>
        </w:rPr>
      </w:pPr>
      <w:r>
        <w:t>Human rights implications</w:t>
      </w:r>
      <w:r>
        <w:rPr>
          <w:webHidden/>
        </w:rPr>
        <w:tab/>
      </w:r>
      <w:r>
        <w:rPr>
          <w:webHidden/>
        </w:rPr>
        <w:fldChar w:fldCharType="begin"/>
      </w:r>
      <w:r>
        <w:rPr>
          <w:webHidden/>
        </w:rPr>
        <w:instrText xml:space="preserve"> PAGEREF _Toc185508545 \h </w:instrText>
      </w:r>
      <w:r>
        <w:rPr>
          <w:webHidden/>
        </w:rPr>
      </w:r>
      <w:r>
        <w:rPr>
          <w:webHidden/>
        </w:rPr>
        <w:fldChar w:fldCharType="separate"/>
      </w:r>
      <w:r w:rsidR="009D6D0D">
        <w:rPr>
          <w:webHidden/>
        </w:rPr>
        <w:t>246</w:t>
      </w:r>
      <w:r>
        <w:rPr>
          <w:webHidden/>
        </w:rPr>
        <w:fldChar w:fldCharType="end"/>
      </w:r>
    </w:p>
    <w:p w14:paraId="3997BA5F" w14:textId="7BD53E21" w:rsidR="005931AA" w:rsidRDefault="005931AA">
      <w:pPr>
        <w:pStyle w:val="TOC2"/>
        <w:rPr>
          <w:rFonts w:asciiTheme="minorHAnsi" w:eastAsiaTheme="minorEastAsia" w:hAnsiTheme="minorHAnsi"/>
          <w:kern w:val="2"/>
          <w:sz w:val="22"/>
          <w:lang w:eastAsia="en-AU"/>
          <w14:ligatures w14:val="standardContextual"/>
        </w:rPr>
      </w:pPr>
      <w:r>
        <w:t>Conclusion</w:t>
      </w:r>
      <w:r>
        <w:rPr>
          <w:webHidden/>
        </w:rPr>
        <w:tab/>
      </w:r>
      <w:r>
        <w:rPr>
          <w:webHidden/>
        </w:rPr>
        <w:fldChar w:fldCharType="begin"/>
      </w:r>
      <w:r>
        <w:rPr>
          <w:webHidden/>
        </w:rPr>
        <w:instrText xml:space="preserve"> PAGEREF _Toc185508546 \h </w:instrText>
      </w:r>
      <w:r>
        <w:rPr>
          <w:webHidden/>
        </w:rPr>
      </w:r>
      <w:r>
        <w:rPr>
          <w:webHidden/>
        </w:rPr>
        <w:fldChar w:fldCharType="separate"/>
      </w:r>
      <w:r w:rsidR="009D6D0D">
        <w:rPr>
          <w:webHidden/>
        </w:rPr>
        <w:t>246</w:t>
      </w:r>
      <w:r>
        <w:rPr>
          <w:webHidden/>
        </w:rPr>
        <w:fldChar w:fldCharType="end"/>
      </w:r>
    </w:p>
    <w:p w14:paraId="575D2965" w14:textId="0CD59FBD" w:rsidR="005931AA" w:rsidRPr="005931AA" w:rsidRDefault="005931AA" w:rsidP="00B7652D">
      <w:r>
        <w:fldChar w:fldCharType="end"/>
      </w:r>
    </w:p>
    <w:p w14:paraId="5EBD56D9" w14:textId="6E59A584" w:rsidR="005D0844" w:rsidRPr="005D0844" w:rsidRDefault="000C23B6" w:rsidP="00B7652D">
      <w:pPr>
        <w:pStyle w:val="Heading2"/>
        <w:rPr>
          <w:rFonts w:hint="eastAsia"/>
        </w:rPr>
      </w:pPr>
      <w:bookmarkStart w:id="336" w:name="_Toc185508544"/>
      <w:r>
        <w:t>Overview of Legislative Instrument</w:t>
      </w:r>
      <w:bookmarkEnd w:id="335"/>
      <w:bookmarkEnd w:id="336"/>
    </w:p>
    <w:bookmarkEnd w:id="334"/>
    <w:p w14:paraId="76E32A1E" w14:textId="77777777" w:rsidR="000C23B6" w:rsidRDefault="000C23B6" w:rsidP="000C23B6">
      <w:pPr>
        <w:pStyle w:val="Normalparatextwithnumbers"/>
        <w:numPr>
          <w:ilvl w:val="1"/>
          <w:numId w:val="17"/>
        </w:numPr>
      </w:pPr>
      <w:r w:rsidRPr="00B77D03">
        <w:t xml:space="preserve">This </w:t>
      </w:r>
      <w:r>
        <w:t>Legislative Instrument</w:t>
      </w:r>
      <w:r w:rsidRPr="00B77D03">
        <w:t xml:space="preserve"> is compatible with the human rights and freedoms recognised or declared in the international instruments listed in section 3 of the </w:t>
      </w:r>
      <w:r w:rsidRPr="00B77D03">
        <w:rPr>
          <w:i/>
          <w:iCs/>
        </w:rPr>
        <w:t>Human Rights (Parliamentary Scrutiny) Act 2011</w:t>
      </w:r>
      <w:r w:rsidRPr="00B77D03">
        <w:t>.</w:t>
      </w:r>
    </w:p>
    <w:p w14:paraId="03D3CA19" w14:textId="268D11C7" w:rsidR="000C23B6" w:rsidRPr="00AD069E" w:rsidRDefault="000C23B6" w:rsidP="000C23B6">
      <w:pPr>
        <w:pStyle w:val="Normalparatextwithnumbers"/>
        <w:numPr>
          <w:ilvl w:val="1"/>
          <w:numId w:val="16"/>
        </w:numPr>
      </w:pPr>
      <w:r w:rsidRPr="00AD069E">
        <w:t xml:space="preserve">The GloBE Rules under Pillar 2 ensure that in scope MNEs will be subject to a global minimum tax rate of 15 per cent. This is achieved through a set of rules which identify low taxed pools of income within a MNE Group and which allow parent jurisdictions, or in some cases, other jurisdictions, to claim taxing rights over that income. </w:t>
      </w:r>
    </w:p>
    <w:p w14:paraId="6EFCC4AC" w14:textId="77777777" w:rsidR="000C23B6" w:rsidRDefault="000C23B6" w:rsidP="000C23B6">
      <w:pPr>
        <w:pStyle w:val="Normalparatextwithnumbers"/>
        <w:numPr>
          <w:ilvl w:val="1"/>
          <w:numId w:val="16"/>
        </w:numPr>
      </w:pPr>
      <w:r w:rsidRPr="00AD069E">
        <w:t xml:space="preserve">The Rules implement the domestic framework for a multinational top up tax, by providing for the substantive computations of top up tax under the GloBE Rules and operate to ensure that future administrative guidance released by the OECD can be incorporated in a timely and efficient manner. It is imperative that the Rules reflect OECD approved documents so that Australia’s implementation of the GloBE Rules achieves qualified status, which can only be achieved if the Rules are implemented in a manner consistent with the GloBE Rules. </w:t>
      </w:r>
    </w:p>
    <w:p w14:paraId="7211DF09" w14:textId="77777777" w:rsidR="000C23B6" w:rsidRDefault="000C23B6" w:rsidP="000C23B6">
      <w:pPr>
        <w:pStyle w:val="Heading2"/>
        <w:rPr>
          <w:rFonts w:hint="eastAsia"/>
        </w:rPr>
      </w:pPr>
      <w:bookmarkStart w:id="337" w:name="_Toc183786701"/>
      <w:bookmarkStart w:id="338" w:name="_Toc185508545"/>
      <w:r>
        <w:lastRenderedPageBreak/>
        <w:t>Human rights implications</w:t>
      </w:r>
      <w:bookmarkEnd w:id="337"/>
      <w:bookmarkEnd w:id="338"/>
    </w:p>
    <w:p w14:paraId="32A6537B" w14:textId="77777777" w:rsidR="000C23B6" w:rsidRDefault="000C23B6" w:rsidP="000C23B6">
      <w:pPr>
        <w:pStyle w:val="Normalparatextwithnumbers"/>
      </w:pPr>
      <w:r w:rsidRPr="00B77D03">
        <w:t xml:space="preserve">This </w:t>
      </w:r>
      <w:r>
        <w:t>Legislative Instrument</w:t>
      </w:r>
      <w:r w:rsidRPr="00B77D03">
        <w:t xml:space="preserve"> does not engage any of the applicable rights or freedoms.</w:t>
      </w:r>
    </w:p>
    <w:p w14:paraId="31DD6F39" w14:textId="77777777" w:rsidR="000C23B6" w:rsidRDefault="000C23B6" w:rsidP="000C23B6">
      <w:pPr>
        <w:pStyle w:val="Normalparatextwithnumbers"/>
        <w:numPr>
          <w:ilvl w:val="1"/>
          <w:numId w:val="18"/>
        </w:numPr>
      </w:pPr>
      <w:r>
        <w:t>The computation of top-up taxes imposed under the Rules generally apply to multinational enterprises, and are not applicable to natural persons, therefore not engaging human rights.</w:t>
      </w:r>
    </w:p>
    <w:p w14:paraId="1700B9DF" w14:textId="77777777" w:rsidR="000C23B6" w:rsidRDefault="000C23B6" w:rsidP="000C23B6">
      <w:pPr>
        <w:pStyle w:val="Heading2"/>
        <w:rPr>
          <w:rFonts w:hint="eastAsia"/>
        </w:rPr>
      </w:pPr>
      <w:bookmarkStart w:id="339" w:name="_Toc183786702"/>
      <w:bookmarkStart w:id="340" w:name="_Toc185508546"/>
      <w:r>
        <w:t>Conclusion</w:t>
      </w:r>
      <w:bookmarkEnd w:id="339"/>
      <w:bookmarkEnd w:id="340"/>
    </w:p>
    <w:p w14:paraId="11E76386" w14:textId="77777777" w:rsidR="000C23B6" w:rsidRDefault="000C23B6" w:rsidP="000C23B6">
      <w:pPr>
        <w:pStyle w:val="Normalparatextwithnumbers"/>
        <w:spacing w:before="0" w:after="160" w:line="259" w:lineRule="auto"/>
      </w:pPr>
      <w:r w:rsidRPr="00B77D03">
        <w:t xml:space="preserve">This </w:t>
      </w:r>
      <w:r>
        <w:t>Legislative Instrument</w:t>
      </w:r>
      <w:r w:rsidRPr="00B77D03">
        <w:t xml:space="preserve"> is compatible with human rights as it does not raise any human rights issues.</w:t>
      </w:r>
    </w:p>
    <w:p w14:paraId="6F4A0515" w14:textId="77777777" w:rsidR="00873094" w:rsidRDefault="00873094" w:rsidP="00873094">
      <w:pPr>
        <w:pStyle w:val="Normalparatextnonumbers"/>
      </w:pPr>
    </w:p>
    <w:bookmarkEnd w:id="331"/>
    <w:p w14:paraId="05B1DF88" w14:textId="77777777" w:rsidR="004971E2" w:rsidRPr="00020288" w:rsidRDefault="004971E2" w:rsidP="00873094">
      <w:pPr>
        <w:pStyle w:val="Normalparatextnonumbers"/>
      </w:pPr>
    </w:p>
    <w:p w14:paraId="13D92346" w14:textId="77777777" w:rsidR="00873094" w:rsidRPr="00020288" w:rsidRDefault="00873094" w:rsidP="00873094">
      <w:pPr>
        <w:sectPr w:rsidR="00873094" w:rsidRPr="00020288" w:rsidSect="00000BFC">
          <w:headerReference w:type="even" r:id="rId126"/>
          <w:headerReference w:type="default" r:id="rId127"/>
          <w:headerReference w:type="first" r:id="rId128"/>
          <w:type w:val="oddPage"/>
          <w:pgSz w:w="9979" w:h="14175" w:code="9"/>
          <w:pgMar w:top="567" w:right="1134" w:bottom="567" w:left="1134" w:header="709" w:footer="709" w:gutter="0"/>
          <w:cols w:space="708"/>
          <w:titlePg/>
          <w:docGrid w:linePitch="360"/>
        </w:sectPr>
      </w:pPr>
    </w:p>
    <w:p w14:paraId="0C2AF71F" w14:textId="59968808" w:rsidR="00873094" w:rsidRPr="00020288" w:rsidRDefault="0025163B" w:rsidP="00AF50CE">
      <w:pPr>
        <w:pStyle w:val="AttachmentHeading"/>
        <w:rPr>
          <w:rFonts w:hint="eastAsia"/>
        </w:rPr>
      </w:pPr>
      <w:bookmarkStart w:id="341" w:name="_Toc183417109"/>
      <w:bookmarkStart w:id="342" w:name="_Toc183786703"/>
      <w:bookmarkEnd w:id="8"/>
      <w:r>
        <w:lastRenderedPageBreak/>
        <w:t>Conversion tables</w:t>
      </w:r>
      <w:bookmarkEnd w:id="341"/>
      <w:bookmarkEnd w:id="342"/>
      <w:r>
        <w:t xml:space="preserve"> </w:t>
      </w:r>
    </w:p>
    <w:p w14:paraId="51701D1A" w14:textId="4E0D5F5C" w:rsidR="005B43DC" w:rsidRDefault="005B43DC" w:rsidP="005B43DC">
      <w:pPr>
        <w:pStyle w:val="Normalparatextnonumbers"/>
      </w:pPr>
      <w:r>
        <w:t xml:space="preserve">The following conversion table has been included to assist readers in identifying the comparable legislative reference to the OECD GloBE Model Rules, Commentary and Agreed Administrative Guidance released by the OECD. The conversion tables identify </w:t>
      </w:r>
      <w:r w:rsidR="00574C52">
        <w:t xml:space="preserve">each </w:t>
      </w:r>
      <w:r>
        <w:t>provision</w:t>
      </w:r>
      <w:r w:rsidR="00574C52">
        <w:t>’s corresponding</w:t>
      </w:r>
      <w:r>
        <w:t xml:space="preserve"> Article in the OECD GloBE Model Rules, Commentary or Agreed Administrative Guidance. Where applicable, it may also refer to sections of the Agreed Administrative Guidance and Commentary relevant for each provision and Article.</w:t>
      </w:r>
    </w:p>
    <w:p w14:paraId="7EA68357" w14:textId="30A553A7" w:rsidR="005B43DC" w:rsidRDefault="005B43DC" w:rsidP="005B43DC">
      <w:pPr>
        <w:pStyle w:val="TableHeading"/>
      </w:pPr>
      <w:r>
        <w:t>Conversion Table 1: GloBE articles to Australian law</w:t>
      </w:r>
    </w:p>
    <w:tbl>
      <w:tblPr>
        <w:tblW w:w="7475" w:type="dxa"/>
        <w:tblLook w:val="04A0" w:firstRow="1" w:lastRow="0" w:firstColumn="1" w:lastColumn="0" w:noHBand="0" w:noVBand="1"/>
      </w:tblPr>
      <w:tblGrid>
        <w:gridCol w:w="1694"/>
        <w:gridCol w:w="3953"/>
        <w:gridCol w:w="1828"/>
      </w:tblGrid>
      <w:tr w:rsidR="00E01CB2" w:rsidRPr="00EB655C" w14:paraId="17720E15" w14:textId="77777777">
        <w:trPr>
          <w:trHeight w:val="533"/>
          <w:tblHeader/>
        </w:trPr>
        <w:tc>
          <w:tcPr>
            <w:tcW w:w="1694" w:type="dxa"/>
            <w:tcBorders>
              <w:top w:val="single" w:sz="4" w:space="0" w:color="auto"/>
              <w:left w:val="single" w:sz="4" w:space="0" w:color="auto"/>
              <w:bottom w:val="single" w:sz="4" w:space="0" w:color="auto"/>
              <w:right w:val="single" w:sz="4" w:space="0" w:color="auto"/>
            </w:tcBorders>
            <w:vAlign w:val="bottom"/>
          </w:tcPr>
          <w:p w14:paraId="3B42AF29" w14:textId="77777777" w:rsidR="00E01CB2" w:rsidRPr="00EB655C" w:rsidRDefault="00E01CB2">
            <w:pPr>
              <w:keepNext/>
              <w:numPr>
                <w:ilvl w:val="3"/>
                <w:numId w:val="0"/>
              </w:numPr>
              <w:outlineLvl w:val="3"/>
              <w:rPr>
                <w:rFonts w:ascii="Helvetica" w:eastAsia="Times New Roman" w:hAnsi="Helvetica" w:cs="Helvetica"/>
                <w:b/>
                <w:i/>
                <w:iCs/>
                <w:lang w:eastAsia="en-AU"/>
              </w:rPr>
            </w:pPr>
            <w:r w:rsidRPr="00EB655C">
              <w:rPr>
                <w:rFonts w:ascii="Helvetica" w:eastAsia="Times New Roman" w:hAnsi="Helvetica" w:cs="Helvetica"/>
                <w:b/>
                <w:i/>
                <w:iCs/>
                <w:lang w:eastAsia="en-AU"/>
              </w:rPr>
              <w:t>GloBE reference</w:t>
            </w:r>
          </w:p>
        </w:tc>
        <w:tc>
          <w:tcPr>
            <w:tcW w:w="3953" w:type="dxa"/>
            <w:tcBorders>
              <w:top w:val="single" w:sz="4" w:space="0" w:color="auto"/>
              <w:left w:val="single" w:sz="4" w:space="0" w:color="auto"/>
              <w:bottom w:val="single" w:sz="4" w:space="0" w:color="auto"/>
              <w:right w:val="single" w:sz="4" w:space="0" w:color="auto"/>
            </w:tcBorders>
            <w:vAlign w:val="bottom"/>
          </w:tcPr>
          <w:p w14:paraId="08468342" w14:textId="77777777" w:rsidR="00E01CB2" w:rsidRPr="00EB655C" w:rsidRDefault="00E01CB2">
            <w:pPr>
              <w:keepNext/>
              <w:numPr>
                <w:ilvl w:val="3"/>
                <w:numId w:val="0"/>
              </w:numPr>
              <w:outlineLvl w:val="3"/>
              <w:rPr>
                <w:rFonts w:ascii="Helvetica" w:eastAsia="Times New Roman" w:hAnsi="Helvetica" w:cs="Helvetica"/>
                <w:b/>
                <w:i/>
                <w:iCs/>
                <w:lang w:eastAsia="en-AU"/>
              </w:rPr>
            </w:pPr>
            <w:r w:rsidRPr="00EB655C">
              <w:rPr>
                <w:rFonts w:ascii="Helvetica" w:eastAsia="Times New Roman" w:hAnsi="Helvetica" w:cs="Helvetica"/>
                <w:b/>
                <w:i/>
                <w:iCs/>
                <w:lang w:eastAsia="en-AU"/>
              </w:rPr>
              <w:t xml:space="preserve">Brief description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62BFC" w14:textId="77777777" w:rsidR="00E01CB2" w:rsidRPr="00EB655C" w:rsidRDefault="00E01CB2">
            <w:pPr>
              <w:keepNext/>
              <w:numPr>
                <w:ilvl w:val="3"/>
                <w:numId w:val="0"/>
              </w:numPr>
              <w:outlineLvl w:val="3"/>
              <w:rPr>
                <w:rFonts w:ascii="Helvetica" w:eastAsia="Times New Roman" w:hAnsi="Helvetica" w:cs="Helvetica"/>
                <w:b/>
                <w:i/>
                <w:iCs/>
                <w:lang w:eastAsia="en-AU"/>
              </w:rPr>
            </w:pPr>
            <w:r w:rsidRPr="00EB655C">
              <w:rPr>
                <w:rFonts w:ascii="Helvetica" w:eastAsia="Times New Roman" w:hAnsi="Helvetica" w:cs="Helvetica"/>
                <w:b/>
                <w:i/>
                <w:iCs/>
                <w:lang w:eastAsia="en-AU"/>
              </w:rPr>
              <w:t>Rule section</w:t>
            </w:r>
          </w:p>
        </w:tc>
      </w:tr>
      <w:tr w:rsidR="00E01CB2" w:rsidRPr="00EB655C" w14:paraId="5BFC6D2C" w14:textId="77777777">
        <w:trPr>
          <w:trHeight w:val="300"/>
        </w:trPr>
        <w:tc>
          <w:tcPr>
            <w:tcW w:w="7475" w:type="dxa"/>
            <w:gridSpan w:val="3"/>
            <w:tcBorders>
              <w:top w:val="nil"/>
              <w:left w:val="single" w:sz="4" w:space="0" w:color="auto"/>
              <w:bottom w:val="single" w:sz="4" w:space="0" w:color="auto"/>
              <w:right w:val="single" w:sz="4" w:space="0" w:color="auto"/>
            </w:tcBorders>
            <w:vAlign w:val="bottom"/>
          </w:tcPr>
          <w:p w14:paraId="0D930390" w14:textId="77777777" w:rsidR="00E01CB2" w:rsidRDefault="00E01CB2" w:rsidP="00E01CB2">
            <w:pPr>
              <w:pStyle w:val="Tableheaderrowtext"/>
              <w:numPr>
                <w:ilvl w:val="3"/>
                <w:numId w:val="2"/>
              </w:numPr>
              <w:rPr>
                <w:lang w:eastAsia="en-AU"/>
              </w:rPr>
            </w:pPr>
            <w:r>
              <w:rPr>
                <w:lang w:eastAsia="en-AU"/>
              </w:rPr>
              <w:t xml:space="preserve">Chapter 1 – Scope </w:t>
            </w:r>
          </w:p>
        </w:tc>
      </w:tr>
      <w:tr w:rsidR="00E01CB2" w:rsidRPr="00EB655C" w14:paraId="6A655E54" w14:textId="77777777">
        <w:trPr>
          <w:trHeight w:val="300"/>
        </w:trPr>
        <w:tc>
          <w:tcPr>
            <w:tcW w:w="1694" w:type="dxa"/>
            <w:tcBorders>
              <w:top w:val="nil"/>
              <w:left w:val="single" w:sz="4" w:space="0" w:color="auto"/>
              <w:bottom w:val="single" w:sz="4" w:space="0" w:color="auto"/>
              <w:right w:val="single" w:sz="4" w:space="0" w:color="auto"/>
            </w:tcBorders>
            <w:vAlign w:val="bottom"/>
          </w:tcPr>
          <w:p w14:paraId="7DF52438" w14:textId="77777777" w:rsidR="00E01CB2" w:rsidRPr="00EB655C" w:rsidRDefault="00E01CB2">
            <w:pPr>
              <w:spacing w:before="60" w:after="60"/>
              <w:ind w:left="34"/>
              <w:rPr>
                <w:rFonts w:eastAsia="Times New Roman" w:cs="Times New Roman"/>
                <w:sz w:val="20"/>
                <w:szCs w:val="20"/>
                <w:lang w:eastAsia="en-AU"/>
              </w:rPr>
            </w:pPr>
            <w:r w:rsidRPr="00DE07EE">
              <w:rPr>
                <w:rFonts w:eastAsia="Times New Roman" w:cs="Times New Roman"/>
                <w:sz w:val="20"/>
                <w:szCs w:val="20"/>
                <w:lang w:eastAsia="en-AU"/>
              </w:rPr>
              <w:t xml:space="preserve">1.3 of the </w:t>
            </w:r>
            <w:r>
              <w:rPr>
                <w:rFonts w:eastAsia="Times New Roman" w:cs="Times New Roman"/>
                <w:sz w:val="20"/>
                <w:szCs w:val="20"/>
                <w:lang w:eastAsia="en-AU"/>
              </w:rPr>
              <w:t>February</w:t>
            </w:r>
            <w:r w:rsidRPr="00DE07EE">
              <w:rPr>
                <w:rFonts w:eastAsia="Times New Roman" w:cs="Times New Roman"/>
                <w:sz w:val="20"/>
                <w:szCs w:val="20"/>
                <w:lang w:eastAsia="en-AU"/>
              </w:rPr>
              <w:t xml:space="preserve"> 2023 AG</w:t>
            </w:r>
          </w:p>
        </w:tc>
        <w:tc>
          <w:tcPr>
            <w:tcW w:w="3953" w:type="dxa"/>
            <w:tcBorders>
              <w:top w:val="nil"/>
              <w:left w:val="single" w:sz="4" w:space="0" w:color="auto"/>
              <w:bottom w:val="single" w:sz="4" w:space="0" w:color="auto"/>
              <w:right w:val="single" w:sz="4" w:space="0" w:color="auto"/>
            </w:tcBorders>
            <w:vAlign w:val="bottom"/>
          </w:tcPr>
          <w:p w14:paraId="407B867C" w14:textId="77777777" w:rsidR="00E01CB2" w:rsidRPr="00EB655C" w:rsidRDefault="00E01CB2">
            <w:pPr>
              <w:spacing w:before="60" w:after="60"/>
              <w:ind w:left="34"/>
              <w:rPr>
                <w:rFonts w:eastAsia="Times New Roman" w:cs="Times New Roman"/>
                <w:sz w:val="20"/>
                <w:szCs w:val="20"/>
                <w:lang w:eastAsia="en-AU"/>
              </w:rPr>
            </w:pPr>
            <w:r w:rsidRPr="00E96D25">
              <w:rPr>
                <w:rFonts w:eastAsia="Times New Roman" w:cs="Times New Roman"/>
                <w:sz w:val="20"/>
                <w:szCs w:val="20"/>
                <w:lang w:eastAsia="en-AU"/>
              </w:rPr>
              <w:t>Consolidated deferred tax amounts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5DE30C8D" w14:textId="173A9DF7" w:rsidR="00E01CB2" w:rsidRPr="00EB655C" w:rsidRDefault="00E01CB2">
            <w:pPr>
              <w:spacing w:before="60" w:after="60"/>
              <w:ind w:left="34"/>
              <w:rPr>
                <w:rFonts w:eastAsia="Times New Roman" w:cs="Times New Roman"/>
                <w:sz w:val="20"/>
                <w:szCs w:val="20"/>
                <w:lang w:eastAsia="en-AU"/>
              </w:rPr>
            </w:pPr>
            <w:r>
              <w:rPr>
                <w:rFonts w:eastAsia="Times New Roman" w:cs="Times New Roman"/>
                <w:sz w:val="20"/>
                <w:szCs w:val="20"/>
                <w:lang w:eastAsia="en-AU"/>
              </w:rPr>
              <w:t>4-</w:t>
            </w:r>
            <w:r w:rsidR="002D548D">
              <w:rPr>
                <w:rFonts w:eastAsia="Times New Roman" w:cs="Times New Roman"/>
                <w:sz w:val="20"/>
                <w:szCs w:val="20"/>
                <w:lang w:eastAsia="en-AU"/>
              </w:rPr>
              <w:t>85</w:t>
            </w:r>
          </w:p>
        </w:tc>
      </w:tr>
      <w:tr w:rsidR="00E01CB2" w:rsidRPr="00EB655C" w14:paraId="30096D8E" w14:textId="77777777">
        <w:trPr>
          <w:trHeight w:val="300"/>
        </w:trPr>
        <w:tc>
          <w:tcPr>
            <w:tcW w:w="1694" w:type="dxa"/>
            <w:tcBorders>
              <w:top w:val="nil"/>
              <w:left w:val="single" w:sz="4" w:space="0" w:color="auto"/>
              <w:bottom w:val="single" w:sz="4" w:space="0" w:color="auto"/>
              <w:right w:val="single" w:sz="4" w:space="0" w:color="auto"/>
            </w:tcBorders>
            <w:vAlign w:val="bottom"/>
          </w:tcPr>
          <w:p w14:paraId="4DE0A5F0"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1.5</w:t>
            </w:r>
            <w:r>
              <w:rPr>
                <w:rFonts w:eastAsia="Times New Roman" w:cs="Times New Roman"/>
                <w:sz w:val="20"/>
                <w:szCs w:val="20"/>
                <w:lang w:eastAsia="en-AU"/>
              </w:rPr>
              <w:t>.2(b)</w:t>
            </w:r>
            <w:r w:rsidRPr="00EB655C">
              <w:rPr>
                <w:rFonts w:eastAsia="Times New Roman" w:cs="Times New Roman"/>
                <w:sz w:val="20"/>
                <w:szCs w:val="20"/>
                <w:lang w:eastAsia="en-AU"/>
              </w:rPr>
              <w:t xml:space="preserve"> of the </w:t>
            </w:r>
            <w:r>
              <w:rPr>
                <w:rFonts w:eastAsia="Times New Roman" w:cs="Times New Roman"/>
                <w:sz w:val="20"/>
                <w:szCs w:val="20"/>
                <w:lang w:eastAsia="en-AU"/>
              </w:rPr>
              <w:t>February</w:t>
            </w:r>
            <w:r w:rsidRPr="00EB655C">
              <w:rPr>
                <w:rFonts w:eastAsia="Times New Roman" w:cs="Times New Roman"/>
                <w:sz w:val="20"/>
                <w:szCs w:val="20"/>
                <w:lang w:eastAsia="en-AU"/>
              </w:rPr>
              <w:t xml:space="preserve"> </w:t>
            </w:r>
            <w:r>
              <w:rPr>
                <w:rFonts w:eastAsia="Times New Roman" w:cs="Times New Roman"/>
                <w:sz w:val="20"/>
                <w:szCs w:val="20"/>
                <w:lang w:eastAsia="en-AU"/>
              </w:rPr>
              <w:t xml:space="preserve">2023 </w:t>
            </w:r>
            <w:r w:rsidRPr="00EB655C">
              <w:rPr>
                <w:rFonts w:eastAsia="Times New Roman" w:cs="Times New Roman"/>
                <w:sz w:val="20"/>
                <w:szCs w:val="20"/>
                <w:lang w:eastAsia="en-AU"/>
              </w:rPr>
              <w:t>AG</w:t>
            </w:r>
          </w:p>
        </w:tc>
        <w:tc>
          <w:tcPr>
            <w:tcW w:w="3953" w:type="dxa"/>
            <w:tcBorders>
              <w:top w:val="nil"/>
              <w:left w:val="single" w:sz="4" w:space="0" w:color="auto"/>
              <w:bottom w:val="single" w:sz="4" w:space="0" w:color="auto"/>
              <w:right w:val="single" w:sz="4" w:space="0" w:color="auto"/>
            </w:tcBorders>
            <w:vAlign w:val="bottom"/>
          </w:tcPr>
          <w:p w14:paraId="3E4AD7D5"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Excluded entity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846D294"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1-20</w:t>
            </w:r>
          </w:p>
        </w:tc>
      </w:tr>
      <w:tr w:rsidR="00E01CB2" w:rsidRPr="00EB655C" w14:paraId="4904D79E" w14:textId="77777777">
        <w:trPr>
          <w:trHeight w:val="300"/>
        </w:trPr>
        <w:tc>
          <w:tcPr>
            <w:tcW w:w="1694" w:type="dxa"/>
            <w:tcBorders>
              <w:top w:val="nil"/>
              <w:left w:val="single" w:sz="4" w:space="0" w:color="auto"/>
              <w:bottom w:val="single" w:sz="4" w:space="0" w:color="auto"/>
              <w:right w:val="single" w:sz="4" w:space="0" w:color="auto"/>
            </w:tcBorders>
            <w:vAlign w:val="bottom"/>
          </w:tcPr>
          <w:p w14:paraId="74BCA8BD"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1.6 of the </w:t>
            </w:r>
            <w:r>
              <w:rPr>
                <w:rFonts w:eastAsia="Times New Roman" w:cs="Times New Roman"/>
                <w:sz w:val="20"/>
                <w:szCs w:val="20"/>
                <w:lang w:eastAsia="en-AU"/>
              </w:rPr>
              <w:t>February</w:t>
            </w:r>
            <w:r w:rsidRPr="00EB655C">
              <w:rPr>
                <w:rFonts w:eastAsia="Times New Roman" w:cs="Times New Roman"/>
                <w:sz w:val="20"/>
                <w:szCs w:val="20"/>
                <w:lang w:eastAsia="en-AU"/>
              </w:rPr>
              <w:t xml:space="preserve"> </w:t>
            </w:r>
            <w:r>
              <w:rPr>
                <w:rFonts w:eastAsia="Times New Roman" w:cs="Times New Roman"/>
                <w:sz w:val="20"/>
                <w:szCs w:val="20"/>
                <w:lang w:eastAsia="en-AU"/>
              </w:rPr>
              <w:t xml:space="preserve">2023 </w:t>
            </w:r>
            <w:r w:rsidRPr="00EB655C">
              <w:rPr>
                <w:rFonts w:eastAsia="Times New Roman" w:cs="Times New Roman"/>
                <w:sz w:val="20"/>
                <w:szCs w:val="20"/>
                <w:lang w:eastAsia="en-AU"/>
              </w:rPr>
              <w:t>AG</w:t>
            </w:r>
          </w:p>
        </w:tc>
        <w:tc>
          <w:tcPr>
            <w:tcW w:w="3953" w:type="dxa"/>
            <w:tcBorders>
              <w:top w:val="nil"/>
              <w:left w:val="single" w:sz="4" w:space="0" w:color="auto"/>
              <w:bottom w:val="single" w:sz="4" w:space="0" w:color="auto"/>
              <w:right w:val="single" w:sz="4" w:space="0" w:color="auto"/>
            </w:tcBorders>
            <w:vAlign w:val="bottom"/>
          </w:tcPr>
          <w:p w14:paraId="04A257CB"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Ancillary not-for-profits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30EC768"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1-20</w:t>
            </w:r>
          </w:p>
        </w:tc>
      </w:tr>
      <w:tr w:rsidR="00E01CB2" w:rsidRPr="00EB655C" w14:paraId="34CC374F" w14:textId="77777777">
        <w:trPr>
          <w:trHeight w:val="300"/>
        </w:trPr>
        <w:tc>
          <w:tcPr>
            <w:tcW w:w="1694" w:type="dxa"/>
            <w:tcBorders>
              <w:top w:val="nil"/>
              <w:left w:val="single" w:sz="4" w:space="0" w:color="auto"/>
              <w:bottom w:val="single" w:sz="4" w:space="0" w:color="auto"/>
              <w:right w:val="single" w:sz="4" w:space="0" w:color="auto"/>
            </w:tcBorders>
            <w:vAlign w:val="bottom"/>
          </w:tcPr>
          <w:p w14:paraId="59D0A562" w14:textId="77777777" w:rsidR="00E01CB2" w:rsidRPr="00EB655C" w:rsidRDefault="00E01CB2">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Chapter </w:t>
            </w:r>
            <w:r w:rsidRPr="00EB655C">
              <w:rPr>
                <w:rFonts w:eastAsia="Times New Roman" w:cs="Times New Roman"/>
                <w:sz w:val="20"/>
                <w:szCs w:val="20"/>
                <w:lang w:eastAsia="en-AU"/>
              </w:rPr>
              <w:t xml:space="preserve">1 of the July </w:t>
            </w:r>
            <w:r>
              <w:rPr>
                <w:rFonts w:eastAsia="Times New Roman" w:cs="Times New Roman"/>
                <w:sz w:val="20"/>
                <w:szCs w:val="20"/>
                <w:lang w:eastAsia="en-AU"/>
              </w:rPr>
              <w:t xml:space="preserve">2023 </w:t>
            </w:r>
            <w:r w:rsidRPr="00EB655C">
              <w:rPr>
                <w:rFonts w:eastAsia="Times New Roman" w:cs="Times New Roman"/>
                <w:sz w:val="20"/>
                <w:szCs w:val="20"/>
                <w:lang w:eastAsia="en-AU"/>
              </w:rPr>
              <w:t>AG</w:t>
            </w:r>
          </w:p>
        </w:tc>
        <w:tc>
          <w:tcPr>
            <w:tcW w:w="3953" w:type="dxa"/>
            <w:tcBorders>
              <w:top w:val="nil"/>
              <w:left w:val="single" w:sz="4" w:space="0" w:color="auto"/>
              <w:bottom w:val="single" w:sz="4" w:space="0" w:color="auto"/>
              <w:right w:val="single" w:sz="4" w:space="0" w:color="auto"/>
            </w:tcBorders>
            <w:vAlign w:val="bottom"/>
          </w:tcPr>
          <w:p w14:paraId="34658A67"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Currency guidance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67B572D" w14:textId="77777777" w:rsidR="00E01CB2" w:rsidRPr="00EB655C" w:rsidRDefault="00E01CB2">
            <w:pPr>
              <w:spacing w:before="0" w:after="0"/>
              <w:rPr>
                <w:rFonts w:eastAsia="Times New Roman" w:cs="Times New Roman"/>
                <w:sz w:val="20"/>
                <w:szCs w:val="20"/>
                <w:lang w:eastAsia="en-AU"/>
              </w:rPr>
            </w:pPr>
            <w:r>
              <w:rPr>
                <w:rFonts w:eastAsia="Times New Roman" w:cs="Times New Roman"/>
                <w:sz w:val="20"/>
                <w:szCs w:val="20"/>
                <w:lang w:eastAsia="en-AU"/>
              </w:rPr>
              <w:t>1-25</w:t>
            </w:r>
          </w:p>
        </w:tc>
      </w:tr>
      <w:tr w:rsidR="00E01CB2" w:rsidRPr="00EB655C" w14:paraId="4E30AE2E" w14:textId="77777777">
        <w:trPr>
          <w:trHeight w:val="300"/>
        </w:trPr>
        <w:tc>
          <w:tcPr>
            <w:tcW w:w="1694" w:type="dxa"/>
            <w:tcBorders>
              <w:top w:val="nil"/>
              <w:left w:val="single" w:sz="4" w:space="0" w:color="auto"/>
              <w:bottom w:val="single" w:sz="4" w:space="0" w:color="auto"/>
              <w:right w:val="single" w:sz="4" w:space="0" w:color="auto"/>
            </w:tcBorders>
            <w:vAlign w:val="bottom"/>
          </w:tcPr>
          <w:p w14:paraId="1972A300" w14:textId="77777777" w:rsidR="00E01CB2"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1.1 of the </w:t>
            </w:r>
            <w:r>
              <w:rPr>
                <w:rFonts w:eastAsia="Times New Roman" w:cs="Times New Roman"/>
                <w:sz w:val="20"/>
                <w:szCs w:val="20"/>
                <w:lang w:eastAsia="en-AU"/>
              </w:rPr>
              <w:t>February</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5DE3ED8C"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Monetary thresholds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C1CF6B1" w14:textId="13DD9AB4" w:rsidR="00E01CB2" w:rsidRDefault="00E01CB2">
            <w:pPr>
              <w:spacing w:before="0" w:after="0"/>
              <w:rPr>
                <w:rFonts w:eastAsia="Times New Roman" w:cs="Times New Roman"/>
                <w:sz w:val="20"/>
                <w:szCs w:val="20"/>
                <w:lang w:eastAsia="en-AU"/>
              </w:rPr>
            </w:pPr>
            <w:r>
              <w:rPr>
                <w:rFonts w:eastAsia="Times New Roman" w:cs="Times New Roman"/>
                <w:sz w:val="20"/>
                <w:szCs w:val="20"/>
                <w:lang w:eastAsia="en-AU"/>
              </w:rPr>
              <w:t>No</w:t>
            </w:r>
            <w:r w:rsidR="00C33621">
              <w:rPr>
                <w:rFonts w:eastAsia="Times New Roman" w:cs="Times New Roman"/>
                <w:sz w:val="20"/>
                <w:szCs w:val="20"/>
                <w:lang w:eastAsia="en-AU"/>
              </w:rPr>
              <w:t xml:space="preserve"> equivalent</w:t>
            </w:r>
          </w:p>
        </w:tc>
      </w:tr>
      <w:tr w:rsidR="00E01CB2" w:rsidRPr="00EB655C" w14:paraId="06C0506F" w14:textId="77777777">
        <w:trPr>
          <w:trHeight w:val="300"/>
        </w:trPr>
        <w:tc>
          <w:tcPr>
            <w:tcW w:w="7475" w:type="dxa"/>
            <w:gridSpan w:val="3"/>
            <w:tcBorders>
              <w:top w:val="nil"/>
              <w:left w:val="single" w:sz="4" w:space="0" w:color="auto"/>
              <w:bottom w:val="single" w:sz="4" w:space="0" w:color="auto"/>
              <w:right w:val="single" w:sz="4" w:space="0" w:color="auto"/>
            </w:tcBorders>
            <w:vAlign w:val="bottom"/>
          </w:tcPr>
          <w:p w14:paraId="3C96F84C" w14:textId="77777777" w:rsidR="00E01CB2" w:rsidRPr="00EB655C" w:rsidRDefault="00E01CB2" w:rsidP="00E01CB2">
            <w:pPr>
              <w:pStyle w:val="Tableheaderrowtext"/>
              <w:numPr>
                <w:ilvl w:val="3"/>
                <w:numId w:val="2"/>
              </w:numPr>
              <w:rPr>
                <w:lang w:eastAsia="en-AU"/>
              </w:rPr>
            </w:pPr>
            <w:r>
              <w:rPr>
                <w:lang w:eastAsia="en-AU"/>
              </w:rPr>
              <w:t xml:space="preserve">Chapter 2 – Charging Provisions </w:t>
            </w:r>
          </w:p>
        </w:tc>
      </w:tr>
      <w:tr w:rsidR="00E01CB2" w:rsidRPr="00EB655C" w14:paraId="7982F8DC" w14:textId="77777777">
        <w:trPr>
          <w:trHeight w:val="300"/>
        </w:trPr>
        <w:tc>
          <w:tcPr>
            <w:tcW w:w="1694" w:type="dxa"/>
            <w:tcBorders>
              <w:top w:val="nil"/>
              <w:left w:val="single" w:sz="4" w:space="0" w:color="auto"/>
              <w:bottom w:val="single" w:sz="4" w:space="0" w:color="auto"/>
              <w:right w:val="single" w:sz="4" w:space="0" w:color="auto"/>
            </w:tcBorders>
            <w:vAlign w:val="bottom"/>
          </w:tcPr>
          <w:p w14:paraId="1ADA571E" w14:textId="77777777" w:rsidR="00E01CB2" w:rsidRPr="006D2FCE" w:rsidRDefault="00E01CB2">
            <w:pPr>
              <w:spacing w:before="60" w:after="60"/>
              <w:ind w:left="34"/>
              <w:rPr>
                <w:rFonts w:eastAsia="Times New Roman" w:cs="Times New Roman"/>
                <w:sz w:val="20"/>
                <w:szCs w:val="20"/>
                <w:lang w:eastAsia="en-AU"/>
              </w:rPr>
            </w:pPr>
            <w:r w:rsidRPr="006D2FCE">
              <w:rPr>
                <w:rFonts w:eastAsia="Times New Roman" w:cs="Times New Roman"/>
                <w:sz w:val="20"/>
                <w:szCs w:val="20"/>
                <w:lang w:eastAsia="en-AU"/>
              </w:rPr>
              <w:t>2.1</w:t>
            </w:r>
          </w:p>
        </w:tc>
        <w:tc>
          <w:tcPr>
            <w:tcW w:w="3953" w:type="dxa"/>
            <w:tcBorders>
              <w:top w:val="nil"/>
              <w:left w:val="single" w:sz="4" w:space="0" w:color="auto"/>
              <w:bottom w:val="single" w:sz="4" w:space="0" w:color="auto"/>
              <w:right w:val="single" w:sz="4" w:space="0" w:color="auto"/>
            </w:tcBorders>
            <w:vAlign w:val="bottom"/>
          </w:tcPr>
          <w:p w14:paraId="454CD47E" w14:textId="77777777" w:rsidR="00E01CB2" w:rsidRPr="006D2FCE" w:rsidRDefault="00E01CB2">
            <w:pPr>
              <w:spacing w:before="60" w:after="60"/>
              <w:ind w:left="34"/>
              <w:rPr>
                <w:rFonts w:eastAsia="Times New Roman" w:cs="Times New Roman"/>
                <w:sz w:val="20"/>
                <w:szCs w:val="20"/>
                <w:lang w:eastAsia="en-AU"/>
              </w:rPr>
            </w:pPr>
            <w:r w:rsidRPr="006D2FCE">
              <w:rPr>
                <w:rFonts w:eastAsia="Times New Roman" w:cs="Times New Roman"/>
                <w:sz w:val="20"/>
                <w:szCs w:val="20"/>
                <w:lang w:eastAsia="en-AU"/>
              </w:rPr>
              <w:t>Application of the IIR</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2F80C143" w14:textId="77777777" w:rsidR="00E01CB2" w:rsidRPr="006D2FCE" w:rsidRDefault="00E01CB2">
            <w:pPr>
              <w:spacing w:before="60" w:after="60"/>
              <w:ind w:left="34"/>
              <w:rPr>
                <w:rFonts w:eastAsia="Times New Roman" w:cs="Times New Roman"/>
                <w:sz w:val="20"/>
                <w:szCs w:val="20"/>
                <w:lang w:eastAsia="en-AU"/>
              </w:rPr>
            </w:pPr>
            <w:r w:rsidRPr="006D2FCE">
              <w:rPr>
                <w:rFonts w:eastAsia="Times New Roman" w:cs="Times New Roman"/>
                <w:sz w:val="20"/>
                <w:szCs w:val="20"/>
                <w:lang w:eastAsia="en-AU"/>
              </w:rPr>
              <w:t>Part 2-1</w:t>
            </w:r>
          </w:p>
        </w:tc>
      </w:tr>
      <w:tr w:rsidR="00E01CB2" w:rsidRPr="00EB655C" w14:paraId="250ACF56" w14:textId="77777777">
        <w:trPr>
          <w:trHeight w:val="900"/>
        </w:trPr>
        <w:tc>
          <w:tcPr>
            <w:tcW w:w="1694" w:type="dxa"/>
            <w:tcBorders>
              <w:top w:val="nil"/>
              <w:left w:val="single" w:sz="4" w:space="0" w:color="auto"/>
              <w:bottom w:val="single" w:sz="4" w:space="0" w:color="auto"/>
              <w:right w:val="single" w:sz="4" w:space="0" w:color="auto"/>
            </w:tcBorders>
            <w:vAlign w:val="bottom"/>
          </w:tcPr>
          <w:p w14:paraId="309201BD"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2.1.2</w:t>
            </w:r>
          </w:p>
        </w:tc>
        <w:tc>
          <w:tcPr>
            <w:tcW w:w="3953" w:type="dxa"/>
            <w:tcBorders>
              <w:top w:val="nil"/>
              <w:left w:val="single" w:sz="4" w:space="0" w:color="auto"/>
              <w:bottom w:val="single" w:sz="4" w:space="0" w:color="auto"/>
              <w:right w:val="single" w:sz="4" w:space="0" w:color="auto"/>
            </w:tcBorders>
            <w:vAlign w:val="bottom"/>
          </w:tcPr>
          <w:p w14:paraId="6C598633" w14:textId="77714162"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An Intermediate Parent Entity that owns an Ownership Interest in a LTCE will pay </w:t>
            </w:r>
            <w:r w:rsidR="009A301E" w:rsidRPr="00EB655C">
              <w:rPr>
                <w:rFonts w:eastAsia="Times New Roman" w:cs="Times New Roman"/>
                <w:sz w:val="20"/>
                <w:szCs w:val="20"/>
                <w:lang w:eastAsia="en-AU"/>
              </w:rPr>
              <w:t>Top</w:t>
            </w:r>
            <w:r w:rsidR="009A301E">
              <w:rPr>
                <w:rFonts w:eastAsia="Times New Roman" w:cs="Times New Roman"/>
                <w:sz w:val="20"/>
                <w:szCs w:val="20"/>
                <w:lang w:eastAsia="en-AU"/>
              </w:rPr>
              <w:t>-</w:t>
            </w:r>
            <w:r w:rsidRPr="00EB655C">
              <w:rPr>
                <w:rFonts w:eastAsia="Times New Roman" w:cs="Times New Roman"/>
                <w:sz w:val="20"/>
                <w:szCs w:val="20"/>
                <w:lang w:eastAsia="en-AU"/>
              </w:rPr>
              <w:t xml:space="preserve">up </w:t>
            </w:r>
            <w:r w:rsidR="009A301E" w:rsidRPr="00EB655C">
              <w:rPr>
                <w:rFonts w:eastAsia="Times New Roman" w:cs="Times New Roman"/>
                <w:sz w:val="20"/>
                <w:szCs w:val="20"/>
                <w:lang w:eastAsia="en-AU"/>
              </w:rPr>
              <w:t>Tax</w:t>
            </w:r>
            <w:r w:rsidRPr="00EB655C">
              <w:rPr>
                <w:rFonts w:eastAsia="Times New Roman" w:cs="Times New Roman"/>
                <w:sz w:val="20"/>
                <w:szCs w:val="20"/>
                <w:lang w:eastAsia="en-AU"/>
              </w:rPr>
              <w:t xml:space="preserve"> equal to its Allocable Share of the Top-</w:t>
            </w:r>
            <w:r w:rsidR="00E44E87">
              <w:rPr>
                <w:rFonts w:eastAsia="Times New Roman" w:cs="Times New Roman"/>
                <w:sz w:val="20"/>
                <w:szCs w:val="20"/>
                <w:lang w:eastAsia="en-AU"/>
              </w:rPr>
              <w:t>u</w:t>
            </w:r>
            <w:r w:rsidRPr="00EB655C">
              <w:rPr>
                <w:rFonts w:eastAsia="Times New Roman" w:cs="Times New Roman"/>
                <w:sz w:val="20"/>
                <w:szCs w:val="20"/>
                <w:lang w:eastAsia="en-AU"/>
              </w:rPr>
              <w:t>p Tax of that LTCE for the Fiscal Year</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417E4ADD"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2-5(1) (a)-(b) and 10-5 </w:t>
            </w:r>
          </w:p>
        </w:tc>
      </w:tr>
      <w:tr w:rsidR="00E01CB2" w:rsidRPr="00EB655C" w14:paraId="557A1DB0" w14:textId="77777777">
        <w:trPr>
          <w:trHeight w:val="600"/>
        </w:trPr>
        <w:tc>
          <w:tcPr>
            <w:tcW w:w="1694" w:type="dxa"/>
            <w:tcBorders>
              <w:top w:val="nil"/>
              <w:left w:val="single" w:sz="4" w:space="0" w:color="auto"/>
              <w:bottom w:val="single" w:sz="4" w:space="0" w:color="auto"/>
              <w:right w:val="single" w:sz="4" w:space="0" w:color="auto"/>
            </w:tcBorders>
            <w:vAlign w:val="bottom"/>
          </w:tcPr>
          <w:p w14:paraId="2AC0E1EC"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2.1.3</w:t>
            </w:r>
          </w:p>
        </w:tc>
        <w:tc>
          <w:tcPr>
            <w:tcW w:w="3953" w:type="dxa"/>
            <w:tcBorders>
              <w:top w:val="nil"/>
              <w:left w:val="single" w:sz="4" w:space="0" w:color="auto"/>
              <w:bottom w:val="single" w:sz="4" w:space="0" w:color="auto"/>
              <w:right w:val="single" w:sz="4" w:space="0" w:color="auto"/>
            </w:tcBorders>
            <w:vAlign w:val="bottom"/>
          </w:tcPr>
          <w:p w14:paraId="44A7DFBE"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The IPE under 2.1.2 only applies an IIR if the UPE has not applied an IIR or another IPE has applied the IIR </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773F6106"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2-5(5)(a)</w:t>
            </w:r>
          </w:p>
        </w:tc>
      </w:tr>
      <w:tr w:rsidR="00E01CB2" w:rsidRPr="00EB655C" w14:paraId="6613FFDD" w14:textId="77777777">
        <w:trPr>
          <w:trHeight w:val="600"/>
        </w:trPr>
        <w:tc>
          <w:tcPr>
            <w:tcW w:w="1694" w:type="dxa"/>
            <w:tcBorders>
              <w:top w:val="nil"/>
              <w:left w:val="single" w:sz="4" w:space="0" w:color="auto"/>
              <w:bottom w:val="single" w:sz="4" w:space="0" w:color="auto"/>
              <w:right w:val="single" w:sz="4" w:space="0" w:color="auto"/>
            </w:tcBorders>
            <w:vAlign w:val="bottom"/>
          </w:tcPr>
          <w:p w14:paraId="48D1C22D"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lastRenderedPageBreak/>
              <w:t>2.1.4</w:t>
            </w:r>
          </w:p>
        </w:tc>
        <w:tc>
          <w:tcPr>
            <w:tcW w:w="3953" w:type="dxa"/>
            <w:tcBorders>
              <w:top w:val="nil"/>
              <w:left w:val="single" w:sz="4" w:space="0" w:color="auto"/>
              <w:bottom w:val="single" w:sz="4" w:space="0" w:color="auto"/>
              <w:right w:val="single" w:sz="4" w:space="0" w:color="auto"/>
            </w:tcBorders>
            <w:vAlign w:val="bottom"/>
          </w:tcPr>
          <w:p w14:paraId="32131F00" w14:textId="4B0D4E5D" w:rsidR="00E01CB2" w:rsidRPr="00EB655C" w:rsidRDefault="00E01CB2">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A </w:t>
            </w:r>
            <w:r w:rsidRPr="00EB655C">
              <w:rPr>
                <w:rFonts w:eastAsia="Times New Roman" w:cs="Times New Roman"/>
                <w:sz w:val="20"/>
                <w:szCs w:val="20"/>
                <w:lang w:eastAsia="en-AU"/>
              </w:rPr>
              <w:t xml:space="preserve">POPE will pay a tax equal to its Allocable Share of the Top-up Tax of that </w:t>
            </w:r>
            <w:r>
              <w:rPr>
                <w:rFonts w:eastAsia="Times New Roman" w:cs="Times New Roman"/>
                <w:sz w:val="20"/>
                <w:szCs w:val="20"/>
                <w:lang w:eastAsia="en-AU"/>
              </w:rPr>
              <w:t>LTCE</w:t>
            </w:r>
            <w:r w:rsidRPr="00EB655C">
              <w:rPr>
                <w:rFonts w:eastAsia="Times New Roman" w:cs="Times New Roman"/>
                <w:sz w:val="20"/>
                <w:szCs w:val="20"/>
                <w:lang w:eastAsia="en-AU"/>
              </w:rPr>
              <w:t xml:space="preserve"> for the Fiscal Year</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229916FF"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2-5(1) (a)-(b) and 10-5 </w:t>
            </w:r>
          </w:p>
        </w:tc>
      </w:tr>
      <w:tr w:rsidR="00E01CB2" w:rsidRPr="00EB655C" w14:paraId="7843296B" w14:textId="77777777">
        <w:trPr>
          <w:trHeight w:val="600"/>
        </w:trPr>
        <w:tc>
          <w:tcPr>
            <w:tcW w:w="1694" w:type="dxa"/>
            <w:tcBorders>
              <w:top w:val="nil"/>
              <w:left w:val="single" w:sz="4" w:space="0" w:color="auto"/>
              <w:bottom w:val="single" w:sz="4" w:space="0" w:color="auto"/>
              <w:right w:val="single" w:sz="4" w:space="0" w:color="auto"/>
            </w:tcBorders>
            <w:vAlign w:val="bottom"/>
          </w:tcPr>
          <w:p w14:paraId="284BA936"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2.1.5</w:t>
            </w:r>
          </w:p>
        </w:tc>
        <w:tc>
          <w:tcPr>
            <w:tcW w:w="3953" w:type="dxa"/>
            <w:tcBorders>
              <w:top w:val="nil"/>
              <w:left w:val="single" w:sz="4" w:space="0" w:color="auto"/>
              <w:bottom w:val="single" w:sz="4" w:space="0" w:color="auto"/>
              <w:right w:val="single" w:sz="4" w:space="0" w:color="auto"/>
            </w:tcBorders>
            <w:vAlign w:val="bottom"/>
          </w:tcPr>
          <w:p w14:paraId="79A753FB" w14:textId="77777777" w:rsidR="00E01CB2" w:rsidRPr="00EB655C" w:rsidRDefault="00E01CB2">
            <w:pPr>
              <w:spacing w:before="60" w:after="60"/>
              <w:ind w:left="34"/>
              <w:rPr>
                <w:rFonts w:eastAsia="Times New Roman" w:cs="Times New Roman"/>
                <w:sz w:val="20"/>
                <w:szCs w:val="20"/>
                <w:lang w:eastAsia="en-AU"/>
              </w:rPr>
            </w:pPr>
            <w:r>
              <w:rPr>
                <w:rFonts w:eastAsia="Times New Roman" w:cs="Times New Roman"/>
                <w:sz w:val="20"/>
                <w:szCs w:val="20"/>
                <w:lang w:eastAsia="en-AU"/>
              </w:rPr>
              <w:t>Wholly</w:t>
            </w:r>
            <w:r w:rsidRPr="00EB655C">
              <w:rPr>
                <w:rFonts w:eastAsia="Times New Roman" w:cs="Times New Roman"/>
                <w:sz w:val="20"/>
                <w:szCs w:val="20"/>
                <w:lang w:eastAsia="en-AU"/>
              </w:rPr>
              <w:t xml:space="preserve"> owned POPE's (owned by another POPE) will not apply an IIR (2.1.4 does not apply to </w:t>
            </w:r>
            <w:r>
              <w:rPr>
                <w:rFonts w:eastAsia="Times New Roman" w:cs="Times New Roman"/>
                <w:sz w:val="20"/>
                <w:szCs w:val="20"/>
                <w:lang w:eastAsia="en-AU"/>
              </w:rPr>
              <w:t>a</w:t>
            </w:r>
            <w:r w:rsidRPr="00EB655C">
              <w:rPr>
                <w:rFonts w:eastAsia="Times New Roman" w:cs="Times New Roman"/>
                <w:sz w:val="20"/>
                <w:szCs w:val="20"/>
                <w:lang w:eastAsia="en-AU"/>
              </w:rPr>
              <w:t xml:space="preserve"> POPE that is wholly owned </w:t>
            </w:r>
            <w:r>
              <w:rPr>
                <w:rFonts w:eastAsia="Times New Roman" w:cs="Times New Roman"/>
                <w:sz w:val="20"/>
                <w:szCs w:val="20"/>
                <w:lang w:eastAsia="en-AU"/>
              </w:rPr>
              <w:t xml:space="preserve">by </w:t>
            </w:r>
            <w:r w:rsidRPr="00EB655C">
              <w:rPr>
                <w:rFonts w:eastAsia="Times New Roman" w:cs="Times New Roman"/>
                <w:sz w:val="20"/>
                <w:szCs w:val="20"/>
                <w:lang w:eastAsia="en-AU"/>
              </w:rPr>
              <w:t>another POPE</w:t>
            </w:r>
            <w:r>
              <w:rPr>
                <w:rFonts w:eastAsia="Times New Roman" w:cs="Times New Roman"/>
                <w:sz w:val="20"/>
                <w:szCs w:val="20"/>
                <w:lang w:eastAsia="en-AU"/>
              </w:rPr>
              <w:t xml:space="preserve"> that is required to apply a Qualified IIR</w:t>
            </w:r>
            <w:r w:rsidRPr="00EB655C">
              <w:rPr>
                <w:rFonts w:eastAsia="Times New Roman" w:cs="Times New Roman"/>
                <w:sz w:val="20"/>
                <w:szCs w:val="20"/>
                <w:lang w:eastAsia="en-AU"/>
              </w:rPr>
              <w:t xml:space="preserve">) </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234DBC72"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 2-5(5)(b) </w:t>
            </w:r>
          </w:p>
        </w:tc>
      </w:tr>
      <w:tr w:rsidR="00E01CB2" w:rsidRPr="00EB655C" w14:paraId="53269BF1" w14:textId="77777777">
        <w:trPr>
          <w:trHeight w:val="300"/>
        </w:trPr>
        <w:tc>
          <w:tcPr>
            <w:tcW w:w="1694" w:type="dxa"/>
            <w:tcBorders>
              <w:top w:val="nil"/>
              <w:left w:val="single" w:sz="4" w:space="0" w:color="auto"/>
              <w:bottom w:val="single" w:sz="4" w:space="0" w:color="auto"/>
              <w:right w:val="single" w:sz="4" w:space="0" w:color="auto"/>
            </w:tcBorders>
            <w:vAlign w:val="bottom"/>
          </w:tcPr>
          <w:p w14:paraId="4398DD11"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2.1.6</w:t>
            </w:r>
          </w:p>
        </w:tc>
        <w:tc>
          <w:tcPr>
            <w:tcW w:w="3953" w:type="dxa"/>
            <w:tcBorders>
              <w:top w:val="nil"/>
              <w:left w:val="single" w:sz="4" w:space="0" w:color="auto"/>
              <w:bottom w:val="single" w:sz="4" w:space="0" w:color="auto"/>
              <w:right w:val="single" w:sz="4" w:space="0" w:color="auto"/>
            </w:tcBorders>
            <w:vAlign w:val="bottom"/>
          </w:tcPr>
          <w:p w14:paraId="5A659DEE"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Parent entities may apply the IIR to entities not located in the same jurisdiction </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07689B9D"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 2-5(1)(c) </w:t>
            </w:r>
          </w:p>
        </w:tc>
      </w:tr>
      <w:tr w:rsidR="00E01CB2" w:rsidRPr="00EB655C" w14:paraId="1C8D3C6C" w14:textId="77777777">
        <w:trPr>
          <w:trHeight w:val="300"/>
        </w:trPr>
        <w:tc>
          <w:tcPr>
            <w:tcW w:w="1694" w:type="dxa"/>
            <w:tcBorders>
              <w:top w:val="nil"/>
              <w:left w:val="single" w:sz="4" w:space="0" w:color="auto"/>
              <w:bottom w:val="single" w:sz="4" w:space="0" w:color="auto"/>
              <w:right w:val="single" w:sz="4" w:space="0" w:color="auto"/>
            </w:tcBorders>
            <w:vAlign w:val="bottom"/>
          </w:tcPr>
          <w:p w14:paraId="0B395873" w14:textId="77777777" w:rsidR="00E01CB2" w:rsidRPr="00416384" w:rsidRDefault="00E01CB2">
            <w:pPr>
              <w:spacing w:before="60" w:after="60"/>
              <w:ind w:left="34"/>
              <w:rPr>
                <w:rFonts w:eastAsia="Times New Roman" w:cs="Times New Roman"/>
                <w:b/>
                <w:bCs/>
                <w:sz w:val="20"/>
                <w:szCs w:val="20"/>
                <w:lang w:eastAsia="en-AU"/>
              </w:rPr>
            </w:pPr>
            <w:r w:rsidRPr="00416384">
              <w:rPr>
                <w:rFonts w:eastAsia="Times New Roman" w:cs="Times New Roman"/>
                <w:b/>
                <w:bCs/>
                <w:sz w:val="20"/>
                <w:szCs w:val="20"/>
                <w:lang w:eastAsia="en-AU"/>
              </w:rPr>
              <w:t>2.2</w:t>
            </w:r>
          </w:p>
        </w:tc>
        <w:tc>
          <w:tcPr>
            <w:tcW w:w="3953" w:type="dxa"/>
            <w:tcBorders>
              <w:top w:val="nil"/>
              <w:left w:val="single" w:sz="4" w:space="0" w:color="auto"/>
              <w:bottom w:val="single" w:sz="4" w:space="0" w:color="auto"/>
              <w:right w:val="single" w:sz="4" w:space="0" w:color="auto"/>
            </w:tcBorders>
            <w:vAlign w:val="bottom"/>
          </w:tcPr>
          <w:p w14:paraId="3202FCD5" w14:textId="782668AB" w:rsidR="00E01CB2" w:rsidRPr="00416384" w:rsidRDefault="00E01CB2">
            <w:pPr>
              <w:spacing w:before="60" w:after="60"/>
              <w:ind w:left="34"/>
              <w:rPr>
                <w:rFonts w:eastAsia="Times New Roman" w:cs="Times New Roman"/>
                <w:b/>
                <w:bCs/>
                <w:sz w:val="20"/>
                <w:szCs w:val="20"/>
                <w:lang w:eastAsia="en-AU"/>
              </w:rPr>
            </w:pPr>
            <w:r w:rsidRPr="00416384">
              <w:rPr>
                <w:rFonts w:eastAsia="Times New Roman" w:cs="Times New Roman"/>
                <w:b/>
                <w:bCs/>
                <w:sz w:val="20"/>
                <w:szCs w:val="20"/>
                <w:lang w:eastAsia="en-AU"/>
              </w:rPr>
              <w:t>Allocation of Top-</w:t>
            </w:r>
            <w:r w:rsidR="00E44E87">
              <w:rPr>
                <w:rFonts w:eastAsia="Times New Roman" w:cs="Times New Roman"/>
                <w:b/>
                <w:bCs/>
                <w:sz w:val="20"/>
                <w:szCs w:val="20"/>
                <w:lang w:eastAsia="en-AU"/>
              </w:rPr>
              <w:t>u</w:t>
            </w:r>
            <w:r w:rsidRPr="00416384">
              <w:rPr>
                <w:rFonts w:eastAsia="Times New Roman" w:cs="Times New Roman"/>
                <w:b/>
                <w:bCs/>
                <w:sz w:val="20"/>
                <w:szCs w:val="20"/>
                <w:lang w:eastAsia="en-AU"/>
              </w:rPr>
              <w:t>p Tax under the IIR</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37AA550A" w14:textId="77777777" w:rsidR="00E01CB2" w:rsidRPr="00416384" w:rsidRDefault="00E01CB2">
            <w:pPr>
              <w:spacing w:before="60" w:after="60"/>
              <w:ind w:left="34"/>
              <w:rPr>
                <w:rFonts w:eastAsia="Times New Roman" w:cs="Times New Roman"/>
                <w:b/>
                <w:bCs/>
                <w:sz w:val="20"/>
                <w:szCs w:val="20"/>
                <w:lang w:eastAsia="en-AU"/>
              </w:rPr>
            </w:pPr>
            <w:r w:rsidRPr="00416384">
              <w:rPr>
                <w:rFonts w:eastAsia="Times New Roman" w:cs="Times New Roman"/>
                <w:b/>
                <w:bCs/>
                <w:sz w:val="20"/>
                <w:szCs w:val="20"/>
                <w:lang w:eastAsia="en-AU"/>
              </w:rPr>
              <w:t>Part 2-2</w:t>
            </w:r>
          </w:p>
        </w:tc>
      </w:tr>
      <w:tr w:rsidR="00E01CB2" w:rsidRPr="00EB655C" w14:paraId="522079F2" w14:textId="77777777">
        <w:trPr>
          <w:trHeight w:val="900"/>
        </w:trPr>
        <w:tc>
          <w:tcPr>
            <w:tcW w:w="1694" w:type="dxa"/>
            <w:tcBorders>
              <w:top w:val="nil"/>
              <w:left w:val="single" w:sz="4" w:space="0" w:color="auto"/>
              <w:bottom w:val="single" w:sz="4" w:space="0" w:color="auto"/>
              <w:right w:val="single" w:sz="4" w:space="0" w:color="auto"/>
            </w:tcBorders>
            <w:vAlign w:val="bottom"/>
          </w:tcPr>
          <w:p w14:paraId="7153C244"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2.2.1</w:t>
            </w:r>
          </w:p>
        </w:tc>
        <w:tc>
          <w:tcPr>
            <w:tcW w:w="3953" w:type="dxa"/>
            <w:tcBorders>
              <w:top w:val="nil"/>
              <w:left w:val="single" w:sz="4" w:space="0" w:color="auto"/>
              <w:bottom w:val="single" w:sz="4" w:space="0" w:color="auto"/>
              <w:right w:val="single" w:sz="4" w:space="0" w:color="auto"/>
            </w:tcBorders>
            <w:vAlign w:val="bottom"/>
          </w:tcPr>
          <w:p w14:paraId="35508C09" w14:textId="0ADA51CA"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 Parent Entity’s Allocable Share of the Top-up Tax of a LTC</w:t>
            </w:r>
            <w:r w:rsidR="007159E6">
              <w:rPr>
                <w:rFonts w:eastAsia="Times New Roman" w:cs="Times New Roman"/>
                <w:sz w:val="20"/>
                <w:szCs w:val="20"/>
                <w:lang w:eastAsia="en-AU"/>
              </w:rPr>
              <w:t>E</w:t>
            </w:r>
            <w:r w:rsidRPr="00EB655C">
              <w:rPr>
                <w:rFonts w:eastAsia="Times New Roman" w:cs="Times New Roman"/>
                <w:sz w:val="20"/>
                <w:szCs w:val="20"/>
                <w:lang w:eastAsia="en-AU"/>
              </w:rPr>
              <w:t xml:space="preserve"> equals the Top-up Tax of the LTCE multiplied by the Parent Entity’s Inclusion Ratio for the LTCE for the Fiscal Year.</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6E190D4F"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2-5(2) and 2-10</w:t>
            </w:r>
          </w:p>
        </w:tc>
      </w:tr>
      <w:tr w:rsidR="00E01CB2" w:rsidRPr="00EB655C" w14:paraId="4FB1DC94" w14:textId="77777777">
        <w:trPr>
          <w:trHeight w:val="300"/>
        </w:trPr>
        <w:tc>
          <w:tcPr>
            <w:tcW w:w="1694" w:type="dxa"/>
            <w:tcBorders>
              <w:top w:val="nil"/>
              <w:left w:val="single" w:sz="4" w:space="0" w:color="auto"/>
              <w:bottom w:val="single" w:sz="4" w:space="0" w:color="auto"/>
              <w:right w:val="single" w:sz="4" w:space="0" w:color="auto"/>
            </w:tcBorders>
            <w:vAlign w:val="bottom"/>
          </w:tcPr>
          <w:p w14:paraId="42F328A2"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2.2.2</w:t>
            </w:r>
          </w:p>
        </w:tc>
        <w:tc>
          <w:tcPr>
            <w:tcW w:w="3953" w:type="dxa"/>
            <w:tcBorders>
              <w:top w:val="nil"/>
              <w:left w:val="single" w:sz="4" w:space="0" w:color="auto"/>
              <w:bottom w:val="single" w:sz="4" w:space="0" w:color="auto"/>
              <w:right w:val="single" w:sz="4" w:space="0" w:color="auto"/>
            </w:tcBorders>
            <w:vAlign w:val="bottom"/>
          </w:tcPr>
          <w:p w14:paraId="056AA207" w14:textId="620689D1"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Formula of </w:t>
            </w:r>
            <w:r w:rsidR="007159E6" w:rsidRPr="00EB655C">
              <w:rPr>
                <w:rFonts w:eastAsia="Times New Roman" w:cs="Times New Roman"/>
                <w:sz w:val="20"/>
                <w:szCs w:val="20"/>
                <w:lang w:eastAsia="en-AU"/>
              </w:rPr>
              <w:t>Parent Entity's</w:t>
            </w:r>
            <w:r w:rsidRPr="00EB655C">
              <w:rPr>
                <w:rFonts w:eastAsia="Times New Roman" w:cs="Times New Roman"/>
                <w:sz w:val="20"/>
                <w:szCs w:val="20"/>
                <w:lang w:eastAsia="en-AU"/>
              </w:rPr>
              <w:t xml:space="preserve"> Inclusion </w:t>
            </w:r>
            <w:r>
              <w:rPr>
                <w:rFonts w:eastAsia="Times New Roman" w:cs="Times New Roman"/>
                <w:sz w:val="20"/>
                <w:szCs w:val="20"/>
                <w:lang w:eastAsia="en-AU"/>
              </w:rPr>
              <w:t>R</w:t>
            </w:r>
            <w:r w:rsidRPr="00EB655C">
              <w:rPr>
                <w:rFonts w:eastAsia="Times New Roman" w:cs="Times New Roman"/>
                <w:sz w:val="20"/>
                <w:szCs w:val="20"/>
                <w:lang w:eastAsia="en-AU"/>
              </w:rPr>
              <w:t>atio</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66D68B7B"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2-15(1)</w:t>
            </w:r>
          </w:p>
        </w:tc>
      </w:tr>
      <w:tr w:rsidR="00E01CB2" w:rsidRPr="00EB655C" w14:paraId="42114387" w14:textId="77777777">
        <w:trPr>
          <w:trHeight w:val="600"/>
        </w:trPr>
        <w:tc>
          <w:tcPr>
            <w:tcW w:w="1694" w:type="dxa"/>
            <w:tcBorders>
              <w:top w:val="nil"/>
              <w:left w:val="single" w:sz="4" w:space="0" w:color="auto"/>
              <w:bottom w:val="single" w:sz="4" w:space="0" w:color="auto"/>
              <w:right w:val="single" w:sz="4" w:space="0" w:color="auto"/>
            </w:tcBorders>
            <w:vAlign w:val="bottom"/>
          </w:tcPr>
          <w:p w14:paraId="7567ED02"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2.2.3</w:t>
            </w:r>
          </w:p>
        </w:tc>
        <w:tc>
          <w:tcPr>
            <w:tcW w:w="3953" w:type="dxa"/>
            <w:tcBorders>
              <w:top w:val="nil"/>
              <w:left w:val="single" w:sz="4" w:space="0" w:color="auto"/>
              <w:bottom w:val="single" w:sz="4" w:space="0" w:color="auto"/>
              <w:right w:val="single" w:sz="4" w:space="0" w:color="auto"/>
            </w:tcBorders>
            <w:vAlign w:val="bottom"/>
          </w:tcPr>
          <w:p w14:paraId="2EFC5E5D"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Hypothetical income attributable to ownership interests in LTCE held by other owners</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22BCDA59"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2-15(2)</w:t>
            </w:r>
          </w:p>
        </w:tc>
      </w:tr>
      <w:tr w:rsidR="00E01CB2" w:rsidRPr="00EB655C" w14:paraId="738D12C6" w14:textId="77777777">
        <w:trPr>
          <w:trHeight w:val="600"/>
        </w:trPr>
        <w:tc>
          <w:tcPr>
            <w:tcW w:w="1694" w:type="dxa"/>
            <w:tcBorders>
              <w:top w:val="nil"/>
              <w:left w:val="single" w:sz="4" w:space="0" w:color="auto"/>
              <w:bottom w:val="single" w:sz="4" w:space="0" w:color="auto"/>
              <w:right w:val="single" w:sz="4" w:space="0" w:color="auto"/>
            </w:tcBorders>
            <w:vAlign w:val="bottom"/>
          </w:tcPr>
          <w:p w14:paraId="2B58588D"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2.2.4</w:t>
            </w:r>
          </w:p>
        </w:tc>
        <w:tc>
          <w:tcPr>
            <w:tcW w:w="3953" w:type="dxa"/>
            <w:tcBorders>
              <w:top w:val="nil"/>
              <w:left w:val="single" w:sz="4" w:space="0" w:color="auto"/>
              <w:bottom w:val="single" w:sz="4" w:space="0" w:color="auto"/>
              <w:right w:val="single" w:sz="4" w:space="0" w:color="auto"/>
            </w:tcBorders>
            <w:vAlign w:val="bottom"/>
          </w:tcPr>
          <w:p w14:paraId="7749F023"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If a Flow-through Entity:  exclude any income allocated, pursuant to Article 3.5.3, to an owner that is not a Group Entity.</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6A8E6387"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2-15(3) </w:t>
            </w:r>
          </w:p>
        </w:tc>
      </w:tr>
      <w:tr w:rsidR="00E01CB2" w:rsidRPr="00EB655C" w14:paraId="11DD29F0" w14:textId="77777777">
        <w:trPr>
          <w:trHeight w:val="600"/>
        </w:trPr>
        <w:tc>
          <w:tcPr>
            <w:tcW w:w="1694" w:type="dxa"/>
            <w:tcBorders>
              <w:top w:val="nil"/>
              <w:left w:val="single" w:sz="4" w:space="0" w:color="auto"/>
              <w:bottom w:val="single" w:sz="4" w:space="0" w:color="auto"/>
              <w:right w:val="single" w:sz="4" w:space="0" w:color="auto"/>
            </w:tcBorders>
            <w:vAlign w:val="bottom"/>
          </w:tcPr>
          <w:p w14:paraId="061622E1" w14:textId="77777777" w:rsidR="00E01CB2" w:rsidRPr="006D2FCE" w:rsidRDefault="00E01CB2">
            <w:pPr>
              <w:spacing w:before="60" w:after="60"/>
              <w:ind w:left="34"/>
              <w:rPr>
                <w:rFonts w:eastAsia="Times New Roman" w:cs="Times New Roman"/>
                <w:b/>
                <w:bCs/>
                <w:sz w:val="20"/>
                <w:szCs w:val="20"/>
                <w:lang w:eastAsia="en-AU"/>
              </w:rPr>
            </w:pPr>
            <w:r w:rsidRPr="006D2FCE">
              <w:rPr>
                <w:rFonts w:eastAsia="Times New Roman" w:cs="Times New Roman"/>
                <w:b/>
                <w:bCs/>
                <w:sz w:val="20"/>
                <w:szCs w:val="20"/>
                <w:lang w:eastAsia="en-AU"/>
              </w:rPr>
              <w:t>2.3</w:t>
            </w:r>
          </w:p>
        </w:tc>
        <w:tc>
          <w:tcPr>
            <w:tcW w:w="3953" w:type="dxa"/>
            <w:tcBorders>
              <w:top w:val="nil"/>
              <w:left w:val="single" w:sz="4" w:space="0" w:color="auto"/>
              <w:bottom w:val="single" w:sz="4" w:space="0" w:color="auto"/>
              <w:right w:val="single" w:sz="4" w:space="0" w:color="auto"/>
            </w:tcBorders>
            <w:vAlign w:val="bottom"/>
          </w:tcPr>
          <w:p w14:paraId="1A44C96A" w14:textId="7A7B2E50"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b/>
                <w:bCs/>
                <w:sz w:val="20"/>
                <w:szCs w:val="20"/>
                <w:lang w:eastAsia="en-AU"/>
              </w:rPr>
              <w:t xml:space="preserve">IIR </w:t>
            </w:r>
            <w:r w:rsidR="00CD69C7">
              <w:rPr>
                <w:rFonts w:eastAsia="Times New Roman" w:cs="Times New Roman"/>
                <w:b/>
                <w:bCs/>
                <w:sz w:val="20"/>
                <w:szCs w:val="20"/>
                <w:lang w:eastAsia="en-AU"/>
              </w:rPr>
              <w:t>o</w:t>
            </w:r>
            <w:r w:rsidRPr="00EB655C">
              <w:rPr>
                <w:rFonts w:eastAsia="Times New Roman" w:cs="Times New Roman"/>
                <w:b/>
                <w:bCs/>
                <w:sz w:val="20"/>
                <w:szCs w:val="20"/>
                <w:lang w:eastAsia="en-AU"/>
              </w:rPr>
              <w:t xml:space="preserve">ffset </w:t>
            </w:r>
            <w:r w:rsidR="00CD69C7">
              <w:rPr>
                <w:rFonts w:eastAsia="Times New Roman" w:cs="Times New Roman"/>
                <w:b/>
                <w:bCs/>
                <w:sz w:val="20"/>
                <w:szCs w:val="20"/>
                <w:lang w:eastAsia="en-AU"/>
              </w:rPr>
              <w:t>m</w:t>
            </w:r>
            <w:r w:rsidRPr="00EB655C">
              <w:rPr>
                <w:rFonts w:eastAsia="Times New Roman" w:cs="Times New Roman"/>
                <w:b/>
                <w:bCs/>
                <w:sz w:val="20"/>
                <w:szCs w:val="20"/>
                <w:lang w:eastAsia="en-AU"/>
              </w:rPr>
              <w:t>echanism</w:t>
            </w:r>
          </w:p>
        </w:tc>
        <w:tc>
          <w:tcPr>
            <w:tcW w:w="1828" w:type="dxa"/>
            <w:tcBorders>
              <w:top w:val="nil"/>
              <w:left w:val="single" w:sz="4" w:space="0" w:color="auto"/>
              <w:bottom w:val="single" w:sz="4" w:space="0" w:color="auto"/>
              <w:right w:val="single" w:sz="4" w:space="0" w:color="auto"/>
            </w:tcBorders>
            <w:shd w:val="clear" w:color="auto" w:fill="auto"/>
            <w:vAlign w:val="bottom"/>
          </w:tcPr>
          <w:p w14:paraId="5BEF9969" w14:textId="77777777" w:rsidR="00E01CB2" w:rsidRPr="006D2FCE" w:rsidRDefault="00E01CB2">
            <w:pPr>
              <w:spacing w:before="60" w:after="60"/>
              <w:ind w:left="34"/>
              <w:rPr>
                <w:rFonts w:eastAsia="Times New Roman" w:cs="Times New Roman"/>
                <w:b/>
                <w:bCs/>
                <w:sz w:val="20"/>
                <w:szCs w:val="20"/>
                <w:lang w:eastAsia="en-AU"/>
              </w:rPr>
            </w:pPr>
            <w:r w:rsidRPr="006D2FCE">
              <w:rPr>
                <w:rFonts w:eastAsia="Times New Roman" w:cs="Times New Roman"/>
                <w:b/>
                <w:bCs/>
                <w:sz w:val="20"/>
                <w:szCs w:val="20"/>
                <w:lang w:eastAsia="en-AU"/>
              </w:rPr>
              <w:t>Part 2-3</w:t>
            </w:r>
          </w:p>
        </w:tc>
      </w:tr>
      <w:tr w:rsidR="00E01CB2" w:rsidRPr="00EB655C" w14:paraId="52E6E323" w14:textId="77777777">
        <w:trPr>
          <w:trHeight w:val="1500"/>
        </w:trPr>
        <w:tc>
          <w:tcPr>
            <w:tcW w:w="1694" w:type="dxa"/>
            <w:tcBorders>
              <w:top w:val="nil"/>
              <w:left w:val="single" w:sz="4" w:space="0" w:color="auto"/>
              <w:bottom w:val="single" w:sz="4" w:space="0" w:color="auto"/>
              <w:right w:val="single" w:sz="4" w:space="0" w:color="auto"/>
            </w:tcBorders>
            <w:vAlign w:val="bottom"/>
          </w:tcPr>
          <w:p w14:paraId="6C9E9907"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2.3.1</w:t>
            </w:r>
          </w:p>
        </w:tc>
        <w:tc>
          <w:tcPr>
            <w:tcW w:w="3953" w:type="dxa"/>
            <w:tcBorders>
              <w:top w:val="nil"/>
              <w:left w:val="single" w:sz="4" w:space="0" w:color="auto"/>
              <w:bottom w:val="single" w:sz="4" w:space="0" w:color="auto"/>
              <w:right w:val="single" w:sz="4" w:space="0" w:color="auto"/>
            </w:tcBorders>
            <w:vAlign w:val="bottom"/>
          </w:tcPr>
          <w:p w14:paraId="1B618E44" w14:textId="3FB39D6C" w:rsidR="00E01CB2" w:rsidRPr="00EB655C" w:rsidRDefault="00E01CB2">
            <w:pPr>
              <w:spacing w:before="60" w:after="60"/>
              <w:ind w:left="34"/>
              <w:rPr>
                <w:rFonts w:eastAsia="Times New Roman" w:cs="Times New Roman"/>
                <w:b/>
                <w:bCs/>
                <w:sz w:val="20"/>
                <w:szCs w:val="20"/>
                <w:lang w:eastAsia="en-AU"/>
              </w:rPr>
            </w:pPr>
            <w:r w:rsidRPr="00EB655C">
              <w:rPr>
                <w:rFonts w:eastAsia="Times New Roman" w:cs="Times New Roman"/>
                <w:sz w:val="20"/>
                <w:szCs w:val="20"/>
                <w:lang w:eastAsia="en-AU"/>
              </w:rPr>
              <w:t xml:space="preserve">A Parent Entity that owns an Ownership Interest in a LTCE indirectly through an Intermediate Parent Entity or a POPE that is not eligible for an exclusion from the IIR under Article 2.1.3 or 2.1.5 shall reduce its </w:t>
            </w:r>
            <w:r w:rsidR="007159E6">
              <w:rPr>
                <w:rFonts w:eastAsia="Times New Roman" w:cs="Times New Roman"/>
                <w:sz w:val="20"/>
                <w:szCs w:val="20"/>
                <w:lang w:eastAsia="en-AU"/>
              </w:rPr>
              <w:t>A</w:t>
            </w:r>
            <w:r w:rsidRPr="00EB655C">
              <w:rPr>
                <w:rFonts w:eastAsia="Times New Roman" w:cs="Times New Roman"/>
                <w:sz w:val="20"/>
                <w:szCs w:val="20"/>
                <w:lang w:eastAsia="en-AU"/>
              </w:rPr>
              <w:t xml:space="preserve">llocable </w:t>
            </w:r>
            <w:r w:rsidR="007159E6">
              <w:rPr>
                <w:rFonts w:eastAsia="Times New Roman" w:cs="Times New Roman"/>
                <w:sz w:val="20"/>
                <w:szCs w:val="20"/>
                <w:lang w:eastAsia="en-AU"/>
              </w:rPr>
              <w:t>S</w:t>
            </w:r>
            <w:r w:rsidRPr="00EB655C">
              <w:rPr>
                <w:rFonts w:eastAsia="Times New Roman" w:cs="Times New Roman"/>
                <w:sz w:val="20"/>
                <w:szCs w:val="20"/>
                <w:lang w:eastAsia="en-AU"/>
              </w:rPr>
              <w:t>hare of a Top-up Tax of the LTCE in accordance with Article 2.3.2.</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089B8FC3"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2-20(1)</w:t>
            </w:r>
          </w:p>
        </w:tc>
      </w:tr>
      <w:tr w:rsidR="00E01CB2" w:rsidRPr="00EB655C" w14:paraId="2F551EA6" w14:textId="77777777">
        <w:trPr>
          <w:trHeight w:val="900"/>
        </w:trPr>
        <w:tc>
          <w:tcPr>
            <w:tcW w:w="1694" w:type="dxa"/>
            <w:tcBorders>
              <w:top w:val="nil"/>
              <w:left w:val="single" w:sz="4" w:space="0" w:color="auto"/>
              <w:bottom w:val="single" w:sz="4" w:space="0" w:color="auto"/>
              <w:right w:val="single" w:sz="4" w:space="0" w:color="auto"/>
            </w:tcBorders>
            <w:vAlign w:val="bottom"/>
          </w:tcPr>
          <w:p w14:paraId="7EA49180"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2.3.2</w:t>
            </w:r>
          </w:p>
        </w:tc>
        <w:tc>
          <w:tcPr>
            <w:tcW w:w="3953" w:type="dxa"/>
            <w:tcBorders>
              <w:top w:val="nil"/>
              <w:left w:val="single" w:sz="4" w:space="0" w:color="auto"/>
              <w:bottom w:val="single" w:sz="4" w:space="0" w:color="auto"/>
              <w:right w:val="single" w:sz="4" w:space="0" w:color="auto"/>
            </w:tcBorders>
            <w:vAlign w:val="bottom"/>
          </w:tcPr>
          <w:p w14:paraId="0A6EC8E6"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The reduction is equal to the portion of the Parent Entity’s Allocable Share of the Top-up Tax that is brought into charge by the Intermediate Parent Entity or the POPE under a Qualified IIR.</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571DDA86"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2-20(2)</w:t>
            </w:r>
          </w:p>
        </w:tc>
      </w:tr>
      <w:tr w:rsidR="00E01CB2" w:rsidRPr="00EB655C" w14:paraId="2A545622" w14:textId="77777777">
        <w:trPr>
          <w:trHeight w:val="600"/>
        </w:trPr>
        <w:tc>
          <w:tcPr>
            <w:tcW w:w="1694" w:type="dxa"/>
            <w:tcBorders>
              <w:top w:val="nil"/>
              <w:left w:val="single" w:sz="4" w:space="0" w:color="auto"/>
              <w:bottom w:val="single" w:sz="4" w:space="0" w:color="auto"/>
              <w:right w:val="single" w:sz="4" w:space="0" w:color="auto"/>
            </w:tcBorders>
            <w:vAlign w:val="bottom"/>
          </w:tcPr>
          <w:p w14:paraId="6F858338" w14:textId="77777777" w:rsidR="00E01CB2" w:rsidRPr="00EB655C" w:rsidRDefault="00E01CB2">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2.4</w:t>
            </w:r>
          </w:p>
        </w:tc>
        <w:tc>
          <w:tcPr>
            <w:tcW w:w="3953" w:type="dxa"/>
            <w:tcBorders>
              <w:top w:val="nil"/>
              <w:left w:val="single" w:sz="4" w:space="0" w:color="auto"/>
              <w:bottom w:val="single" w:sz="4" w:space="0" w:color="auto"/>
              <w:right w:val="single" w:sz="4" w:space="0" w:color="auto"/>
            </w:tcBorders>
            <w:vAlign w:val="bottom"/>
          </w:tcPr>
          <w:p w14:paraId="7007EF08" w14:textId="77777777" w:rsidR="00E01CB2" w:rsidRPr="00EB655C" w:rsidRDefault="00E01CB2">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Application of the UTPR</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7B69F120" w14:textId="77777777" w:rsidR="00E01CB2" w:rsidRPr="00EB655C" w:rsidRDefault="00E01CB2">
            <w:pPr>
              <w:spacing w:before="60" w:after="60"/>
              <w:ind w:left="34"/>
              <w:rPr>
                <w:rFonts w:eastAsia="Times New Roman" w:cs="Times New Roman"/>
                <w:b/>
                <w:sz w:val="20"/>
                <w:szCs w:val="20"/>
                <w:lang w:eastAsia="en-AU"/>
              </w:rPr>
            </w:pPr>
            <w:r>
              <w:rPr>
                <w:rFonts w:eastAsia="Times New Roman" w:cs="Times New Roman"/>
                <w:b/>
                <w:sz w:val="20"/>
                <w:szCs w:val="20"/>
                <w:lang w:eastAsia="en-AU"/>
              </w:rPr>
              <w:t xml:space="preserve">Part 2-5 </w:t>
            </w:r>
          </w:p>
        </w:tc>
      </w:tr>
      <w:tr w:rsidR="00E01CB2" w:rsidRPr="00EB655C" w14:paraId="181C3229" w14:textId="77777777">
        <w:trPr>
          <w:trHeight w:val="300"/>
        </w:trPr>
        <w:tc>
          <w:tcPr>
            <w:tcW w:w="1694" w:type="dxa"/>
            <w:tcBorders>
              <w:top w:val="nil"/>
              <w:left w:val="single" w:sz="4" w:space="0" w:color="auto"/>
              <w:bottom w:val="single" w:sz="4" w:space="0" w:color="auto"/>
              <w:right w:val="single" w:sz="4" w:space="0" w:color="auto"/>
            </w:tcBorders>
            <w:vAlign w:val="bottom"/>
          </w:tcPr>
          <w:p w14:paraId="0079136C"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lastRenderedPageBreak/>
              <w:t>2.4.1</w:t>
            </w:r>
          </w:p>
        </w:tc>
        <w:tc>
          <w:tcPr>
            <w:tcW w:w="3953" w:type="dxa"/>
            <w:tcBorders>
              <w:top w:val="nil"/>
              <w:left w:val="single" w:sz="4" w:space="0" w:color="auto"/>
              <w:bottom w:val="single" w:sz="4" w:space="0" w:color="auto"/>
              <w:right w:val="single" w:sz="4" w:space="0" w:color="auto"/>
            </w:tcBorders>
            <w:vAlign w:val="bottom"/>
          </w:tcPr>
          <w:p w14:paraId="3FEACB22" w14:textId="77777777" w:rsidR="00E01CB2" w:rsidRPr="00EB655C" w:rsidRDefault="00E01CB2">
            <w:pPr>
              <w:spacing w:before="60" w:after="60"/>
              <w:ind w:left="34"/>
              <w:rPr>
                <w:rFonts w:eastAsia="Times New Roman" w:cs="Times New Roman"/>
                <w:sz w:val="20"/>
                <w:szCs w:val="20"/>
                <w:lang w:eastAsia="en-AU"/>
              </w:rPr>
            </w:pPr>
            <w:r w:rsidRPr="0057365A">
              <w:rPr>
                <w:rFonts w:eastAsia="Times New Roman" w:cs="Times New Roman"/>
                <w:sz w:val="20"/>
                <w:szCs w:val="20"/>
                <w:lang w:eastAsia="en-AU"/>
              </w:rPr>
              <w:t>Constituent Entities of an MNE Group are required to make an equivalent adjustment equal to the UTPR Top-up Tax Amount.</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2D7FBA56" w14:textId="4D3B75E1" w:rsidR="00E01CB2" w:rsidRPr="00EB655C" w:rsidRDefault="00E01CB2">
            <w:pPr>
              <w:spacing w:before="60" w:after="60"/>
              <w:ind w:left="34"/>
              <w:rPr>
                <w:rFonts w:eastAsia="Times New Roman" w:cs="Times New Roman"/>
                <w:sz w:val="20"/>
                <w:szCs w:val="20"/>
                <w:lang w:eastAsia="en-AU"/>
              </w:rPr>
            </w:pPr>
            <w:r>
              <w:rPr>
                <w:rFonts w:eastAsia="Times New Roman" w:cs="Times New Roman"/>
                <w:sz w:val="20"/>
                <w:szCs w:val="20"/>
                <w:lang w:eastAsia="en-AU"/>
              </w:rPr>
              <w:t>2-</w:t>
            </w:r>
            <w:r w:rsidR="0082504A">
              <w:rPr>
                <w:rFonts w:eastAsia="Times New Roman" w:cs="Times New Roman"/>
                <w:sz w:val="20"/>
                <w:szCs w:val="20"/>
                <w:lang w:eastAsia="en-AU"/>
              </w:rPr>
              <w:t xml:space="preserve">45 </w:t>
            </w:r>
            <w:r>
              <w:rPr>
                <w:rFonts w:eastAsia="Times New Roman" w:cs="Times New Roman"/>
                <w:sz w:val="20"/>
                <w:szCs w:val="20"/>
                <w:lang w:eastAsia="en-AU"/>
              </w:rPr>
              <w:t>and 2-</w:t>
            </w:r>
            <w:r w:rsidR="0082504A">
              <w:rPr>
                <w:rFonts w:eastAsia="Times New Roman" w:cs="Times New Roman"/>
                <w:sz w:val="20"/>
                <w:szCs w:val="20"/>
                <w:lang w:eastAsia="en-AU"/>
              </w:rPr>
              <w:t>50</w:t>
            </w:r>
          </w:p>
        </w:tc>
      </w:tr>
      <w:tr w:rsidR="00E01CB2" w:rsidRPr="00EB655C" w14:paraId="19DD956A" w14:textId="77777777">
        <w:trPr>
          <w:trHeight w:val="300"/>
        </w:trPr>
        <w:tc>
          <w:tcPr>
            <w:tcW w:w="1694" w:type="dxa"/>
            <w:tcBorders>
              <w:top w:val="nil"/>
              <w:left w:val="single" w:sz="4" w:space="0" w:color="auto"/>
              <w:bottom w:val="single" w:sz="4" w:space="0" w:color="auto"/>
              <w:right w:val="single" w:sz="4" w:space="0" w:color="auto"/>
            </w:tcBorders>
            <w:vAlign w:val="bottom"/>
          </w:tcPr>
          <w:p w14:paraId="0CBD1C39"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2.4.2</w:t>
            </w:r>
          </w:p>
        </w:tc>
        <w:tc>
          <w:tcPr>
            <w:tcW w:w="3953" w:type="dxa"/>
            <w:tcBorders>
              <w:top w:val="nil"/>
              <w:left w:val="single" w:sz="4" w:space="0" w:color="auto"/>
              <w:bottom w:val="single" w:sz="4" w:space="0" w:color="auto"/>
              <w:right w:val="single" w:sz="4" w:space="0" w:color="auto"/>
            </w:tcBorders>
            <w:vAlign w:val="bottom"/>
          </w:tcPr>
          <w:p w14:paraId="4DF07B91" w14:textId="77777777" w:rsidR="00E01CB2" w:rsidRPr="00EB655C" w:rsidRDefault="00E01CB2">
            <w:pPr>
              <w:spacing w:before="60" w:after="60"/>
              <w:ind w:left="34"/>
              <w:rPr>
                <w:rFonts w:eastAsia="Times New Roman" w:cs="Times New Roman"/>
                <w:sz w:val="20"/>
                <w:szCs w:val="20"/>
                <w:lang w:eastAsia="en-AU"/>
              </w:rPr>
            </w:pPr>
            <w:r w:rsidRPr="00AB2CAB">
              <w:rPr>
                <w:rFonts w:eastAsia="Times New Roman" w:cs="Times New Roman"/>
                <w:sz w:val="20"/>
                <w:szCs w:val="20"/>
                <w:lang w:eastAsia="en-AU"/>
              </w:rPr>
              <w:t>Additional cash tax expense in relation to denial of deduction</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1DC140BF" w14:textId="02D21201" w:rsidR="00E01CB2" w:rsidRPr="00EB655C" w:rsidRDefault="00E01CB2">
            <w:pPr>
              <w:spacing w:before="60" w:after="60"/>
              <w:rPr>
                <w:rFonts w:eastAsia="Times New Roman" w:cs="Times New Roman"/>
                <w:sz w:val="20"/>
                <w:szCs w:val="20"/>
                <w:lang w:eastAsia="en-AU"/>
              </w:rPr>
            </w:pPr>
            <w:r>
              <w:rPr>
                <w:rFonts w:eastAsia="Times New Roman" w:cs="Times New Roman"/>
                <w:sz w:val="20"/>
                <w:szCs w:val="20"/>
                <w:lang w:eastAsia="en-AU"/>
              </w:rPr>
              <w:t>No</w:t>
            </w:r>
            <w:r w:rsidR="00C33621">
              <w:rPr>
                <w:rFonts w:eastAsia="Times New Roman" w:cs="Times New Roman"/>
                <w:sz w:val="20"/>
                <w:szCs w:val="20"/>
                <w:lang w:eastAsia="en-AU"/>
              </w:rPr>
              <w:t xml:space="preserve"> equivalent</w:t>
            </w:r>
          </w:p>
        </w:tc>
      </w:tr>
      <w:tr w:rsidR="00E01CB2" w:rsidRPr="00EB655C" w14:paraId="47CCBAAB" w14:textId="77777777">
        <w:trPr>
          <w:trHeight w:val="300"/>
        </w:trPr>
        <w:tc>
          <w:tcPr>
            <w:tcW w:w="1694" w:type="dxa"/>
            <w:tcBorders>
              <w:top w:val="nil"/>
              <w:left w:val="single" w:sz="4" w:space="0" w:color="auto"/>
              <w:bottom w:val="single" w:sz="4" w:space="0" w:color="auto"/>
              <w:right w:val="single" w:sz="4" w:space="0" w:color="auto"/>
            </w:tcBorders>
            <w:vAlign w:val="bottom"/>
          </w:tcPr>
          <w:p w14:paraId="64B9B58F"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2.4.3</w:t>
            </w:r>
          </w:p>
        </w:tc>
        <w:tc>
          <w:tcPr>
            <w:tcW w:w="3953" w:type="dxa"/>
            <w:tcBorders>
              <w:top w:val="nil"/>
              <w:left w:val="single" w:sz="4" w:space="0" w:color="auto"/>
              <w:bottom w:val="single" w:sz="4" w:space="0" w:color="auto"/>
              <w:right w:val="single" w:sz="4" w:space="0" w:color="auto"/>
            </w:tcBorders>
            <w:vAlign w:val="bottom"/>
          </w:tcPr>
          <w:p w14:paraId="437715AD" w14:textId="77777777" w:rsidR="00E01CB2" w:rsidRPr="00EB655C" w:rsidRDefault="00E01CB2">
            <w:pPr>
              <w:spacing w:before="60" w:after="60"/>
              <w:rPr>
                <w:rFonts w:eastAsia="Times New Roman" w:cs="Times New Roman"/>
                <w:sz w:val="20"/>
                <w:szCs w:val="20"/>
                <w:lang w:eastAsia="en-AU"/>
              </w:rPr>
            </w:pPr>
            <w:r>
              <w:rPr>
                <w:rFonts w:eastAsia="Times New Roman" w:cs="Times New Roman"/>
                <w:sz w:val="20"/>
                <w:szCs w:val="20"/>
                <w:lang w:eastAsia="en-AU"/>
              </w:rPr>
              <w:t>The</w:t>
            </w:r>
            <w:r w:rsidRPr="00A24A9E">
              <w:rPr>
                <w:rFonts w:eastAsia="Times New Roman" w:cs="Times New Roman"/>
                <w:sz w:val="20"/>
                <w:szCs w:val="20"/>
                <w:lang w:eastAsia="en-AU"/>
              </w:rPr>
              <w:t xml:space="preserve"> Constituent Entity does not have an UTPR Top up Tax Amount for the Fiscal Year if it is an Investment Entity or Insurance Investment Entity</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4A8768CF"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w:t>
            </w:r>
            <w:r>
              <w:rPr>
                <w:rFonts w:eastAsia="Times New Roman" w:cs="Times New Roman"/>
                <w:sz w:val="20"/>
                <w:szCs w:val="20"/>
                <w:lang w:eastAsia="en-AU"/>
              </w:rPr>
              <w:t>2-50(6)</w:t>
            </w:r>
          </w:p>
        </w:tc>
      </w:tr>
      <w:tr w:rsidR="00E01CB2" w:rsidRPr="00EB655C" w14:paraId="347A1EB1" w14:textId="77777777">
        <w:trPr>
          <w:trHeight w:val="300"/>
        </w:trPr>
        <w:tc>
          <w:tcPr>
            <w:tcW w:w="1694" w:type="dxa"/>
            <w:tcBorders>
              <w:top w:val="nil"/>
              <w:left w:val="single" w:sz="4" w:space="0" w:color="auto"/>
              <w:bottom w:val="single" w:sz="4" w:space="0" w:color="auto"/>
              <w:right w:val="single" w:sz="4" w:space="0" w:color="auto"/>
            </w:tcBorders>
            <w:vAlign w:val="bottom"/>
          </w:tcPr>
          <w:p w14:paraId="14221A6D" w14:textId="77777777" w:rsidR="00E01CB2" w:rsidRPr="00EB655C" w:rsidRDefault="00E01CB2">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2.5</w:t>
            </w:r>
          </w:p>
        </w:tc>
        <w:tc>
          <w:tcPr>
            <w:tcW w:w="3953" w:type="dxa"/>
            <w:tcBorders>
              <w:top w:val="nil"/>
              <w:left w:val="single" w:sz="4" w:space="0" w:color="auto"/>
              <w:bottom w:val="single" w:sz="4" w:space="0" w:color="auto"/>
              <w:right w:val="single" w:sz="4" w:space="0" w:color="auto"/>
            </w:tcBorders>
            <w:vAlign w:val="bottom"/>
          </w:tcPr>
          <w:p w14:paraId="7B5C7513" w14:textId="77777777" w:rsidR="00E01CB2" w:rsidRPr="00EB655C" w:rsidRDefault="00E01CB2">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UTPR Top-up Tax Amount</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50463EC" w14:textId="77777777" w:rsidR="00E01CB2" w:rsidRPr="006D2FCE" w:rsidRDefault="00E01CB2">
            <w:pPr>
              <w:spacing w:before="60" w:after="60"/>
              <w:ind w:left="34"/>
              <w:rPr>
                <w:rFonts w:eastAsia="Times New Roman" w:cs="Times New Roman"/>
                <w:b/>
                <w:sz w:val="20"/>
                <w:szCs w:val="20"/>
                <w:lang w:eastAsia="en-AU"/>
              </w:rPr>
            </w:pPr>
            <w:r w:rsidRPr="00EB655C">
              <w:rPr>
                <w:rFonts w:eastAsia="Times New Roman" w:cs="Times New Roman"/>
                <w:sz w:val="20"/>
                <w:szCs w:val="20"/>
                <w:lang w:eastAsia="en-AU"/>
              </w:rPr>
              <w:t> </w:t>
            </w:r>
            <w:r w:rsidRPr="006D2FCE">
              <w:rPr>
                <w:rFonts w:eastAsia="Times New Roman" w:cs="Times New Roman"/>
                <w:b/>
                <w:sz w:val="20"/>
                <w:szCs w:val="20"/>
                <w:lang w:eastAsia="en-AU"/>
              </w:rPr>
              <w:t>Part 2-5</w:t>
            </w:r>
          </w:p>
        </w:tc>
      </w:tr>
      <w:tr w:rsidR="00E01CB2" w:rsidRPr="00EB655C" w14:paraId="077F1F7C" w14:textId="77777777">
        <w:trPr>
          <w:trHeight w:val="300"/>
        </w:trPr>
        <w:tc>
          <w:tcPr>
            <w:tcW w:w="1694" w:type="dxa"/>
            <w:tcBorders>
              <w:top w:val="nil"/>
              <w:left w:val="single" w:sz="4" w:space="0" w:color="auto"/>
              <w:bottom w:val="single" w:sz="4" w:space="0" w:color="auto"/>
              <w:right w:val="single" w:sz="4" w:space="0" w:color="auto"/>
            </w:tcBorders>
            <w:vAlign w:val="bottom"/>
          </w:tcPr>
          <w:p w14:paraId="4BF82A7E"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2.5.1</w:t>
            </w:r>
          </w:p>
        </w:tc>
        <w:tc>
          <w:tcPr>
            <w:tcW w:w="3953" w:type="dxa"/>
            <w:tcBorders>
              <w:top w:val="nil"/>
              <w:left w:val="single" w:sz="4" w:space="0" w:color="auto"/>
              <w:bottom w:val="single" w:sz="4" w:space="0" w:color="auto"/>
              <w:right w:val="single" w:sz="4" w:space="0" w:color="auto"/>
            </w:tcBorders>
            <w:vAlign w:val="bottom"/>
          </w:tcPr>
          <w:p w14:paraId="0A82F47A" w14:textId="45F0CB70" w:rsidR="00E01CB2" w:rsidRPr="00EB655C" w:rsidRDefault="00E01CB2">
            <w:pPr>
              <w:spacing w:before="60" w:after="60"/>
              <w:rPr>
                <w:rFonts w:eastAsia="Times New Roman" w:cs="Times New Roman"/>
                <w:sz w:val="20"/>
                <w:szCs w:val="20"/>
                <w:lang w:eastAsia="en-AU"/>
              </w:rPr>
            </w:pPr>
            <w:r>
              <w:rPr>
                <w:rFonts w:eastAsia="Times New Roman" w:cs="Times New Roman"/>
                <w:sz w:val="20"/>
                <w:szCs w:val="20"/>
                <w:lang w:eastAsia="en-AU"/>
              </w:rPr>
              <w:t xml:space="preserve">The Total UTPR Top-up Tax Amount for a Fiscal Year equals the sum of the Top up Tax for each </w:t>
            </w:r>
            <w:r w:rsidR="00125D0E">
              <w:rPr>
                <w:rFonts w:eastAsia="Times New Roman" w:cs="Times New Roman"/>
                <w:sz w:val="20"/>
                <w:szCs w:val="20"/>
                <w:lang w:eastAsia="en-AU"/>
              </w:rPr>
              <w:t>LTCE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CE9917C"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w:t>
            </w:r>
            <w:r>
              <w:rPr>
                <w:rFonts w:eastAsia="Times New Roman" w:cs="Times New Roman"/>
                <w:sz w:val="20"/>
                <w:szCs w:val="20"/>
                <w:lang w:eastAsia="en-AU"/>
              </w:rPr>
              <w:t>2-55(1)</w:t>
            </w:r>
          </w:p>
        </w:tc>
      </w:tr>
      <w:tr w:rsidR="00E01CB2" w:rsidRPr="00EB655C" w14:paraId="575AC9BC" w14:textId="77777777">
        <w:trPr>
          <w:trHeight w:val="300"/>
        </w:trPr>
        <w:tc>
          <w:tcPr>
            <w:tcW w:w="1694" w:type="dxa"/>
            <w:tcBorders>
              <w:top w:val="nil"/>
              <w:left w:val="single" w:sz="4" w:space="0" w:color="auto"/>
              <w:bottom w:val="single" w:sz="4" w:space="0" w:color="auto"/>
              <w:right w:val="single" w:sz="4" w:space="0" w:color="auto"/>
            </w:tcBorders>
            <w:vAlign w:val="bottom"/>
          </w:tcPr>
          <w:p w14:paraId="32E79EEE"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2.5.2</w:t>
            </w:r>
          </w:p>
        </w:tc>
        <w:tc>
          <w:tcPr>
            <w:tcW w:w="3953" w:type="dxa"/>
            <w:tcBorders>
              <w:top w:val="nil"/>
              <w:left w:val="single" w:sz="4" w:space="0" w:color="auto"/>
              <w:bottom w:val="single" w:sz="4" w:space="0" w:color="auto"/>
              <w:right w:val="single" w:sz="4" w:space="0" w:color="auto"/>
            </w:tcBorders>
            <w:vAlign w:val="bottom"/>
          </w:tcPr>
          <w:p w14:paraId="7AC8E3DA" w14:textId="77777777" w:rsidR="00E01CB2" w:rsidRPr="00EB655C" w:rsidRDefault="00E01CB2">
            <w:pPr>
              <w:spacing w:before="60" w:after="60"/>
              <w:rPr>
                <w:rFonts w:eastAsia="Times New Roman" w:cs="Times New Roman"/>
                <w:sz w:val="20"/>
                <w:szCs w:val="20"/>
                <w:lang w:eastAsia="en-AU"/>
              </w:rPr>
            </w:pPr>
            <w:r>
              <w:rPr>
                <w:rFonts w:eastAsia="Times New Roman" w:cs="Times New Roman"/>
                <w:sz w:val="20"/>
                <w:szCs w:val="20"/>
                <w:lang w:eastAsia="en-AU"/>
              </w:rPr>
              <w:t>Where the Top up Tax is reduced to zero</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7DA28C5"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w:t>
            </w:r>
            <w:r>
              <w:rPr>
                <w:rFonts w:eastAsia="Times New Roman" w:cs="Times New Roman"/>
                <w:sz w:val="20"/>
                <w:szCs w:val="20"/>
                <w:lang w:eastAsia="en-AU"/>
              </w:rPr>
              <w:t>2-55(2)</w:t>
            </w:r>
          </w:p>
        </w:tc>
      </w:tr>
      <w:tr w:rsidR="00E01CB2" w:rsidRPr="00EB655C" w14:paraId="24D8EC7C" w14:textId="77777777">
        <w:trPr>
          <w:trHeight w:val="300"/>
        </w:trPr>
        <w:tc>
          <w:tcPr>
            <w:tcW w:w="1694" w:type="dxa"/>
            <w:tcBorders>
              <w:top w:val="nil"/>
              <w:left w:val="single" w:sz="4" w:space="0" w:color="auto"/>
              <w:bottom w:val="single" w:sz="4" w:space="0" w:color="auto"/>
              <w:right w:val="single" w:sz="4" w:space="0" w:color="auto"/>
            </w:tcBorders>
            <w:vAlign w:val="bottom"/>
          </w:tcPr>
          <w:p w14:paraId="50FA05AA"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2.5.3</w:t>
            </w:r>
          </w:p>
        </w:tc>
        <w:tc>
          <w:tcPr>
            <w:tcW w:w="3953" w:type="dxa"/>
            <w:tcBorders>
              <w:top w:val="nil"/>
              <w:left w:val="single" w:sz="4" w:space="0" w:color="auto"/>
              <w:bottom w:val="single" w:sz="4" w:space="0" w:color="auto"/>
              <w:right w:val="single" w:sz="4" w:space="0" w:color="auto"/>
            </w:tcBorders>
            <w:vAlign w:val="bottom"/>
          </w:tcPr>
          <w:p w14:paraId="22B838D4" w14:textId="77777777" w:rsidR="00E01CB2" w:rsidRPr="00EB655C" w:rsidRDefault="00E01CB2">
            <w:pPr>
              <w:spacing w:before="60" w:after="60"/>
              <w:rPr>
                <w:rFonts w:eastAsia="Times New Roman" w:cs="Times New Roman"/>
                <w:sz w:val="20"/>
                <w:szCs w:val="20"/>
                <w:lang w:eastAsia="en-AU"/>
              </w:rPr>
            </w:pPr>
            <w:r>
              <w:rPr>
                <w:rFonts w:eastAsia="Times New Roman" w:cs="Times New Roman"/>
                <w:sz w:val="20"/>
                <w:szCs w:val="20"/>
                <w:lang w:eastAsia="en-AU"/>
              </w:rPr>
              <w:t>Where the Top up Tax is not reduced to zero but by a Parent Entity’s Allocable Share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068F057"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w:t>
            </w:r>
            <w:r>
              <w:rPr>
                <w:rFonts w:eastAsia="Times New Roman" w:cs="Times New Roman"/>
                <w:sz w:val="20"/>
                <w:szCs w:val="20"/>
                <w:lang w:eastAsia="en-AU"/>
              </w:rPr>
              <w:t>2-55(4)</w:t>
            </w:r>
          </w:p>
        </w:tc>
      </w:tr>
      <w:tr w:rsidR="00E01CB2" w:rsidRPr="00EB655C" w14:paraId="6CEA94E3" w14:textId="77777777">
        <w:trPr>
          <w:trHeight w:val="300"/>
        </w:trPr>
        <w:tc>
          <w:tcPr>
            <w:tcW w:w="1694" w:type="dxa"/>
            <w:tcBorders>
              <w:top w:val="nil"/>
              <w:left w:val="single" w:sz="4" w:space="0" w:color="auto"/>
              <w:bottom w:val="single" w:sz="4" w:space="0" w:color="auto"/>
              <w:right w:val="single" w:sz="4" w:space="0" w:color="auto"/>
            </w:tcBorders>
            <w:vAlign w:val="bottom"/>
          </w:tcPr>
          <w:p w14:paraId="30F51156" w14:textId="77777777" w:rsidR="00E01CB2" w:rsidRPr="00EB655C" w:rsidRDefault="00E01CB2">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2.6</w:t>
            </w:r>
          </w:p>
        </w:tc>
        <w:tc>
          <w:tcPr>
            <w:tcW w:w="3953" w:type="dxa"/>
            <w:tcBorders>
              <w:top w:val="nil"/>
              <w:left w:val="single" w:sz="4" w:space="0" w:color="auto"/>
              <w:bottom w:val="single" w:sz="4" w:space="0" w:color="auto"/>
              <w:right w:val="single" w:sz="4" w:space="0" w:color="auto"/>
            </w:tcBorders>
            <w:vAlign w:val="bottom"/>
          </w:tcPr>
          <w:p w14:paraId="44A6E43D" w14:textId="171E67DF" w:rsidR="00E01CB2" w:rsidRPr="00EB655C" w:rsidRDefault="00E01CB2">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Allocation of Top-</w:t>
            </w:r>
            <w:r w:rsidR="00E44E87">
              <w:rPr>
                <w:rFonts w:eastAsia="Times New Roman" w:cs="Times New Roman"/>
                <w:b/>
                <w:bCs/>
                <w:sz w:val="20"/>
                <w:szCs w:val="20"/>
                <w:lang w:eastAsia="en-AU"/>
              </w:rPr>
              <w:t>u</w:t>
            </w:r>
            <w:r w:rsidRPr="00EB655C">
              <w:rPr>
                <w:rFonts w:eastAsia="Times New Roman" w:cs="Times New Roman"/>
                <w:b/>
                <w:bCs/>
                <w:sz w:val="20"/>
                <w:szCs w:val="20"/>
                <w:lang w:eastAsia="en-AU"/>
              </w:rPr>
              <w:t>p Tax for the UTPR</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18EC363" w14:textId="77777777" w:rsidR="00E01CB2" w:rsidRPr="006D2FCE" w:rsidRDefault="00E01CB2">
            <w:pPr>
              <w:spacing w:before="60" w:after="60"/>
              <w:ind w:left="34"/>
              <w:rPr>
                <w:rFonts w:eastAsia="Times New Roman" w:cs="Times New Roman"/>
                <w:b/>
                <w:sz w:val="20"/>
                <w:szCs w:val="20"/>
                <w:lang w:eastAsia="en-AU"/>
              </w:rPr>
            </w:pPr>
            <w:r w:rsidRPr="00EB655C">
              <w:rPr>
                <w:rFonts w:eastAsia="Times New Roman" w:cs="Times New Roman"/>
                <w:sz w:val="20"/>
                <w:szCs w:val="20"/>
                <w:lang w:eastAsia="en-AU"/>
              </w:rPr>
              <w:t> </w:t>
            </w:r>
            <w:r>
              <w:rPr>
                <w:rFonts w:eastAsia="Times New Roman" w:cs="Times New Roman"/>
                <w:b/>
                <w:sz w:val="20"/>
                <w:szCs w:val="20"/>
                <w:lang w:eastAsia="en-AU"/>
              </w:rPr>
              <w:t>Part</w:t>
            </w:r>
            <w:r>
              <w:rPr>
                <w:rFonts w:eastAsia="Times New Roman" w:cs="Times New Roman"/>
                <w:b/>
                <w:bCs/>
                <w:sz w:val="20"/>
                <w:szCs w:val="20"/>
                <w:lang w:eastAsia="en-AU"/>
              </w:rPr>
              <w:t xml:space="preserve"> 2-6</w:t>
            </w:r>
          </w:p>
        </w:tc>
      </w:tr>
      <w:tr w:rsidR="00E01CB2" w:rsidRPr="00EB655C" w14:paraId="33771BE7" w14:textId="77777777">
        <w:trPr>
          <w:trHeight w:val="300"/>
        </w:trPr>
        <w:tc>
          <w:tcPr>
            <w:tcW w:w="1694" w:type="dxa"/>
            <w:tcBorders>
              <w:top w:val="nil"/>
              <w:left w:val="single" w:sz="4" w:space="0" w:color="auto"/>
              <w:bottom w:val="single" w:sz="4" w:space="0" w:color="auto"/>
              <w:right w:val="single" w:sz="4" w:space="0" w:color="auto"/>
            </w:tcBorders>
            <w:vAlign w:val="bottom"/>
          </w:tcPr>
          <w:p w14:paraId="7E5EC631"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2.6.1</w:t>
            </w:r>
          </w:p>
        </w:tc>
        <w:tc>
          <w:tcPr>
            <w:tcW w:w="3953" w:type="dxa"/>
            <w:tcBorders>
              <w:top w:val="nil"/>
              <w:left w:val="single" w:sz="4" w:space="0" w:color="auto"/>
              <w:bottom w:val="single" w:sz="4" w:space="0" w:color="auto"/>
              <w:right w:val="single" w:sz="4" w:space="0" w:color="auto"/>
            </w:tcBorders>
            <w:vAlign w:val="bottom"/>
          </w:tcPr>
          <w:p w14:paraId="14E63E37" w14:textId="3E034FAC" w:rsidR="00E01CB2" w:rsidRPr="00EB655C" w:rsidRDefault="00E01CB2">
            <w:pPr>
              <w:spacing w:before="60" w:after="60"/>
              <w:ind w:left="34"/>
              <w:rPr>
                <w:rFonts w:eastAsia="Times New Roman" w:cs="Times New Roman"/>
                <w:sz w:val="20"/>
                <w:szCs w:val="20"/>
                <w:lang w:eastAsia="en-AU"/>
              </w:rPr>
            </w:pPr>
            <w:r w:rsidRPr="00A02463">
              <w:rPr>
                <w:rFonts w:eastAsia="Times New Roman" w:cs="Times New Roman"/>
                <w:sz w:val="20"/>
                <w:szCs w:val="20"/>
                <w:lang w:eastAsia="en-AU"/>
              </w:rPr>
              <w:t xml:space="preserve">Allocation of the Total UTPR </w:t>
            </w:r>
            <w:r w:rsidR="00F0159C" w:rsidRPr="00A02463">
              <w:rPr>
                <w:rFonts w:eastAsia="Times New Roman" w:cs="Times New Roman"/>
                <w:sz w:val="20"/>
                <w:szCs w:val="20"/>
                <w:lang w:eastAsia="en-AU"/>
              </w:rPr>
              <w:t>Top</w:t>
            </w:r>
            <w:r w:rsidR="00F0159C">
              <w:rPr>
                <w:rFonts w:eastAsia="Times New Roman" w:cs="Times New Roman"/>
                <w:sz w:val="20"/>
                <w:szCs w:val="20"/>
                <w:lang w:eastAsia="en-AU"/>
              </w:rPr>
              <w:t>-</w:t>
            </w:r>
            <w:r w:rsidRPr="00A02463">
              <w:rPr>
                <w:rFonts w:eastAsia="Times New Roman" w:cs="Times New Roman"/>
                <w:sz w:val="20"/>
                <w:szCs w:val="20"/>
                <w:lang w:eastAsia="en-AU"/>
              </w:rPr>
              <w:t xml:space="preserve">up </w:t>
            </w:r>
            <w:r w:rsidR="00F0159C">
              <w:rPr>
                <w:rFonts w:eastAsia="Times New Roman" w:cs="Times New Roman"/>
                <w:sz w:val="20"/>
                <w:szCs w:val="20"/>
                <w:lang w:eastAsia="en-AU"/>
              </w:rPr>
              <w:t>T</w:t>
            </w:r>
            <w:r w:rsidR="00F0159C" w:rsidRPr="00A02463">
              <w:rPr>
                <w:rFonts w:eastAsia="Times New Roman" w:cs="Times New Roman"/>
                <w:sz w:val="20"/>
                <w:szCs w:val="20"/>
                <w:lang w:eastAsia="en-AU"/>
              </w:rPr>
              <w:t xml:space="preserve">ax </w:t>
            </w:r>
            <w:r w:rsidRPr="00A02463">
              <w:rPr>
                <w:rFonts w:eastAsia="Times New Roman" w:cs="Times New Roman"/>
                <w:sz w:val="20"/>
                <w:szCs w:val="20"/>
                <w:lang w:eastAsia="en-AU"/>
              </w:rPr>
              <w:t>Amount to Australia by Australia’s UTPR Percentage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FED738F" w14:textId="7EC3EDD8"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w:t>
            </w:r>
            <w:r w:rsidRPr="000C4757">
              <w:rPr>
                <w:rFonts w:eastAsia="Times New Roman" w:cs="Times New Roman"/>
                <w:sz w:val="20"/>
                <w:szCs w:val="20"/>
                <w:lang w:eastAsia="en-AU"/>
              </w:rPr>
              <w:t>2-</w:t>
            </w:r>
            <w:r w:rsidR="0082504A">
              <w:rPr>
                <w:rFonts w:eastAsia="Times New Roman" w:cs="Times New Roman"/>
                <w:sz w:val="20"/>
                <w:szCs w:val="20"/>
                <w:lang w:eastAsia="en-AU"/>
              </w:rPr>
              <w:t>60</w:t>
            </w:r>
            <w:r w:rsidRPr="000C4757">
              <w:rPr>
                <w:rFonts w:eastAsia="Times New Roman" w:cs="Times New Roman"/>
                <w:sz w:val="20"/>
                <w:szCs w:val="20"/>
                <w:lang w:eastAsia="en-AU"/>
              </w:rPr>
              <w:t>, 2-</w:t>
            </w:r>
            <w:r w:rsidR="0082504A">
              <w:rPr>
                <w:rFonts w:eastAsia="Times New Roman" w:cs="Times New Roman"/>
                <w:sz w:val="20"/>
                <w:szCs w:val="20"/>
                <w:lang w:eastAsia="en-AU"/>
              </w:rPr>
              <w:t>65</w:t>
            </w:r>
            <w:r w:rsidRPr="000C4757">
              <w:rPr>
                <w:rFonts w:eastAsia="Times New Roman" w:cs="Times New Roman"/>
                <w:sz w:val="20"/>
                <w:szCs w:val="20"/>
                <w:lang w:eastAsia="en-AU"/>
              </w:rPr>
              <w:t>(1)-(2), 2-</w:t>
            </w:r>
            <w:r w:rsidR="0082504A">
              <w:rPr>
                <w:rFonts w:eastAsia="Times New Roman" w:cs="Times New Roman"/>
                <w:sz w:val="20"/>
                <w:szCs w:val="20"/>
                <w:lang w:eastAsia="en-AU"/>
              </w:rPr>
              <w:t>70</w:t>
            </w:r>
            <w:r w:rsidRPr="000C4757">
              <w:rPr>
                <w:rFonts w:eastAsia="Times New Roman" w:cs="Times New Roman"/>
                <w:sz w:val="20"/>
                <w:szCs w:val="20"/>
                <w:lang w:eastAsia="en-AU"/>
              </w:rPr>
              <w:t>, 2-</w:t>
            </w:r>
            <w:r w:rsidR="0082504A">
              <w:rPr>
                <w:rFonts w:eastAsia="Times New Roman" w:cs="Times New Roman"/>
                <w:sz w:val="20"/>
                <w:szCs w:val="20"/>
                <w:lang w:eastAsia="en-AU"/>
              </w:rPr>
              <w:t xml:space="preserve">75 </w:t>
            </w:r>
            <w:r>
              <w:rPr>
                <w:rFonts w:eastAsia="Times New Roman" w:cs="Times New Roman"/>
                <w:sz w:val="20"/>
                <w:szCs w:val="20"/>
                <w:lang w:eastAsia="en-AU"/>
              </w:rPr>
              <w:t xml:space="preserve">and </w:t>
            </w:r>
            <w:r w:rsidRPr="000C4757">
              <w:rPr>
                <w:rFonts w:eastAsia="Times New Roman" w:cs="Times New Roman"/>
                <w:sz w:val="20"/>
                <w:szCs w:val="20"/>
                <w:lang w:eastAsia="en-AU"/>
              </w:rPr>
              <w:t>2-</w:t>
            </w:r>
            <w:r w:rsidR="0082504A">
              <w:rPr>
                <w:rFonts w:eastAsia="Times New Roman" w:cs="Times New Roman"/>
                <w:sz w:val="20"/>
                <w:szCs w:val="20"/>
                <w:lang w:eastAsia="en-AU"/>
              </w:rPr>
              <w:t>85</w:t>
            </w:r>
          </w:p>
        </w:tc>
      </w:tr>
      <w:tr w:rsidR="00E01CB2" w:rsidRPr="00EB655C" w14:paraId="41ADE130" w14:textId="77777777">
        <w:trPr>
          <w:trHeight w:val="300"/>
        </w:trPr>
        <w:tc>
          <w:tcPr>
            <w:tcW w:w="1694" w:type="dxa"/>
            <w:tcBorders>
              <w:top w:val="nil"/>
              <w:left w:val="single" w:sz="4" w:space="0" w:color="auto"/>
              <w:bottom w:val="single" w:sz="4" w:space="0" w:color="auto"/>
              <w:right w:val="single" w:sz="4" w:space="0" w:color="auto"/>
            </w:tcBorders>
            <w:vAlign w:val="bottom"/>
          </w:tcPr>
          <w:p w14:paraId="7B76366B"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2.6.2</w:t>
            </w:r>
            <w:r>
              <w:rPr>
                <w:rFonts w:eastAsia="Times New Roman" w:cs="Times New Roman"/>
                <w:sz w:val="20"/>
                <w:szCs w:val="20"/>
                <w:lang w:eastAsia="en-AU"/>
              </w:rPr>
              <w:t>(a)</w:t>
            </w:r>
          </w:p>
        </w:tc>
        <w:tc>
          <w:tcPr>
            <w:tcW w:w="3953" w:type="dxa"/>
            <w:tcBorders>
              <w:top w:val="nil"/>
              <w:left w:val="single" w:sz="4" w:space="0" w:color="auto"/>
              <w:bottom w:val="single" w:sz="4" w:space="0" w:color="auto"/>
              <w:right w:val="single" w:sz="4" w:space="0" w:color="auto"/>
            </w:tcBorders>
            <w:vAlign w:val="bottom"/>
          </w:tcPr>
          <w:p w14:paraId="0112AE58" w14:textId="0145BFD3" w:rsidR="00E01CB2" w:rsidRPr="00EB655C" w:rsidRDefault="00E01CB2">
            <w:pPr>
              <w:spacing w:before="60" w:after="60"/>
              <w:ind w:left="34"/>
              <w:rPr>
                <w:rFonts w:eastAsia="Times New Roman" w:cs="Times New Roman"/>
                <w:sz w:val="20"/>
                <w:szCs w:val="20"/>
                <w:lang w:eastAsia="en-AU"/>
              </w:rPr>
            </w:pPr>
            <w:r w:rsidRPr="00507CD1">
              <w:rPr>
                <w:rFonts w:eastAsia="Times New Roman" w:cs="Times New Roman"/>
                <w:sz w:val="20"/>
                <w:szCs w:val="20"/>
                <w:lang w:eastAsia="en-AU"/>
              </w:rPr>
              <w:t>Allocation disregarding Investment Entities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4B72908" w14:textId="5C88FC82"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w:t>
            </w:r>
            <w:r>
              <w:rPr>
                <w:rFonts w:eastAsia="Times New Roman" w:cs="Times New Roman"/>
                <w:sz w:val="20"/>
                <w:szCs w:val="20"/>
                <w:lang w:eastAsia="en-AU"/>
              </w:rPr>
              <w:t>2-</w:t>
            </w:r>
            <w:r w:rsidR="005E1130">
              <w:rPr>
                <w:rFonts w:eastAsia="Times New Roman" w:cs="Times New Roman"/>
                <w:sz w:val="20"/>
                <w:szCs w:val="20"/>
                <w:lang w:eastAsia="en-AU"/>
              </w:rPr>
              <w:t>8</w:t>
            </w:r>
            <w:r>
              <w:rPr>
                <w:rFonts w:eastAsia="Times New Roman" w:cs="Times New Roman"/>
                <w:sz w:val="20"/>
                <w:szCs w:val="20"/>
                <w:lang w:eastAsia="en-AU"/>
              </w:rPr>
              <w:t>5</w:t>
            </w:r>
          </w:p>
        </w:tc>
      </w:tr>
      <w:tr w:rsidR="00E01CB2" w:rsidRPr="00EB655C" w14:paraId="7ABC871A" w14:textId="77777777">
        <w:trPr>
          <w:trHeight w:val="300"/>
        </w:trPr>
        <w:tc>
          <w:tcPr>
            <w:tcW w:w="1694" w:type="dxa"/>
            <w:tcBorders>
              <w:top w:val="nil"/>
              <w:left w:val="single" w:sz="4" w:space="0" w:color="auto"/>
              <w:bottom w:val="single" w:sz="4" w:space="0" w:color="auto"/>
              <w:right w:val="single" w:sz="4" w:space="0" w:color="auto"/>
            </w:tcBorders>
            <w:vAlign w:val="bottom"/>
          </w:tcPr>
          <w:p w14:paraId="46A4C61B" w14:textId="77777777" w:rsidR="00E01CB2" w:rsidRPr="00EB655C" w:rsidRDefault="00E01CB2">
            <w:pPr>
              <w:spacing w:before="60" w:after="60"/>
              <w:ind w:left="34"/>
              <w:rPr>
                <w:rFonts w:eastAsia="Times New Roman" w:cs="Times New Roman"/>
                <w:sz w:val="20"/>
                <w:szCs w:val="20"/>
                <w:lang w:eastAsia="en-AU"/>
              </w:rPr>
            </w:pPr>
            <w:r>
              <w:rPr>
                <w:rFonts w:eastAsia="Times New Roman" w:cs="Times New Roman"/>
                <w:sz w:val="20"/>
                <w:szCs w:val="20"/>
                <w:lang w:eastAsia="en-AU"/>
              </w:rPr>
              <w:t>2.6.2(b)</w:t>
            </w:r>
          </w:p>
        </w:tc>
        <w:tc>
          <w:tcPr>
            <w:tcW w:w="3953" w:type="dxa"/>
            <w:tcBorders>
              <w:top w:val="nil"/>
              <w:left w:val="single" w:sz="4" w:space="0" w:color="auto"/>
              <w:bottom w:val="single" w:sz="4" w:space="0" w:color="auto"/>
              <w:right w:val="single" w:sz="4" w:space="0" w:color="auto"/>
            </w:tcBorders>
            <w:vAlign w:val="bottom"/>
          </w:tcPr>
          <w:p w14:paraId="3A50C137" w14:textId="77777777" w:rsidR="00E01CB2" w:rsidRPr="00EB655C" w:rsidDel="00BB2C90" w:rsidRDefault="00E01CB2">
            <w:pPr>
              <w:spacing w:before="60" w:after="60"/>
              <w:ind w:left="34"/>
              <w:rPr>
                <w:rFonts w:eastAsia="Times New Roman" w:cs="Times New Roman"/>
                <w:sz w:val="20"/>
                <w:szCs w:val="20"/>
                <w:lang w:eastAsia="en-AU"/>
              </w:rPr>
            </w:pPr>
            <w:r w:rsidRPr="00A04E11">
              <w:rPr>
                <w:rFonts w:eastAsia="Times New Roman" w:cs="Times New Roman"/>
                <w:sz w:val="20"/>
                <w:szCs w:val="20"/>
                <w:lang w:eastAsia="en-AU"/>
              </w:rPr>
              <w:t>Employees and assets held by a Flow-through Entity</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471138CA" w14:textId="6EE71E27" w:rsidR="00E01CB2" w:rsidRPr="00EB655C" w:rsidRDefault="007F7FAB">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 </w:t>
            </w:r>
            <w:r w:rsidR="00E01CB2">
              <w:rPr>
                <w:rFonts w:eastAsia="Times New Roman" w:cs="Times New Roman"/>
                <w:sz w:val="20"/>
                <w:szCs w:val="20"/>
                <w:lang w:eastAsia="en-AU"/>
              </w:rPr>
              <w:t>2-</w:t>
            </w:r>
            <w:r w:rsidR="005E1130">
              <w:rPr>
                <w:rFonts w:eastAsia="Times New Roman" w:cs="Times New Roman"/>
                <w:sz w:val="20"/>
                <w:szCs w:val="20"/>
                <w:lang w:eastAsia="en-AU"/>
              </w:rPr>
              <w:t xml:space="preserve">90 </w:t>
            </w:r>
            <w:r w:rsidR="00E01CB2">
              <w:rPr>
                <w:rFonts w:eastAsia="Times New Roman" w:cs="Times New Roman"/>
                <w:sz w:val="20"/>
                <w:szCs w:val="20"/>
                <w:lang w:eastAsia="en-AU"/>
              </w:rPr>
              <w:t>and 2-</w:t>
            </w:r>
            <w:r w:rsidR="005E1130">
              <w:rPr>
                <w:rFonts w:eastAsia="Times New Roman" w:cs="Times New Roman"/>
                <w:sz w:val="20"/>
                <w:szCs w:val="20"/>
                <w:lang w:eastAsia="en-AU"/>
              </w:rPr>
              <w:t>95</w:t>
            </w:r>
          </w:p>
        </w:tc>
      </w:tr>
      <w:tr w:rsidR="00E01CB2" w:rsidRPr="00EB655C" w14:paraId="5D88C13D" w14:textId="77777777">
        <w:trPr>
          <w:trHeight w:val="300"/>
        </w:trPr>
        <w:tc>
          <w:tcPr>
            <w:tcW w:w="1694" w:type="dxa"/>
            <w:tcBorders>
              <w:top w:val="nil"/>
              <w:left w:val="single" w:sz="4" w:space="0" w:color="auto"/>
              <w:bottom w:val="single" w:sz="4" w:space="0" w:color="auto"/>
              <w:right w:val="single" w:sz="4" w:space="0" w:color="auto"/>
            </w:tcBorders>
            <w:vAlign w:val="bottom"/>
          </w:tcPr>
          <w:p w14:paraId="2D97FBF7"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2.6.3</w:t>
            </w:r>
          </w:p>
        </w:tc>
        <w:tc>
          <w:tcPr>
            <w:tcW w:w="3953" w:type="dxa"/>
            <w:tcBorders>
              <w:top w:val="nil"/>
              <w:left w:val="single" w:sz="4" w:space="0" w:color="auto"/>
              <w:bottom w:val="single" w:sz="4" w:space="0" w:color="auto"/>
              <w:right w:val="single" w:sz="4" w:space="0" w:color="auto"/>
            </w:tcBorders>
            <w:vAlign w:val="bottom"/>
          </w:tcPr>
          <w:p w14:paraId="3AA9EE99" w14:textId="330F32DD" w:rsidR="00E01CB2" w:rsidRPr="00EB655C" w:rsidRDefault="00E01CB2">
            <w:pPr>
              <w:spacing w:before="60" w:after="60"/>
              <w:ind w:left="34"/>
              <w:rPr>
                <w:rFonts w:eastAsia="Times New Roman" w:cs="Times New Roman"/>
                <w:sz w:val="20"/>
                <w:szCs w:val="20"/>
                <w:lang w:eastAsia="en-AU"/>
              </w:rPr>
            </w:pPr>
            <w:r w:rsidRPr="003F75B3">
              <w:rPr>
                <w:rFonts w:eastAsia="Times New Roman" w:cs="Times New Roman"/>
                <w:sz w:val="20"/>
                <w:szCs w:val="20"/>
                <w:lang w:eastAsia="en-AU"/>
              </w:rPr>
              <w:t>Where the UTPR Percentage is deemed to zero</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4334271" w14:textId="054BA00C"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w:t>
            </w:r>
            <w:r>
              <w:rPr>
                <w:rFonts w:eastAsia="Times New Roman" w:cs="Times New Roman"/>
                <w:sz w:val="20"/>
                <w:szCs w:val="20"/>
                <w:lang w:eastAsia="en-AU"/>
              </w:rPr>
              <w:t>2-</w:t>
            </w:r>
            <w:r w:rsidR="005E1130">
              <w:rPr>
                <w:rFonts w:eastAsia="Times New Roman" w:cs="Times New Roman"/>
                <w:sz w:val="20"/>
                <w:szCs w:val="20"/>
                <w:lang w:eastAsia="en-AU"/>
              </w:rPr>
              <w:t>65</w:t>
            </w:r>
            <w:r>
              <w:rPr>
                <w:rFonts w:eastAsia="Times New Roman" w:cs="Times New Roman"/>
                <w:sz w:val="20"/>
                <w:szCs w:val="20"/>
                <w:lang w:eastAsia="en-AU"/>
              </w:rPr>
              <w:t>(2) and (3)</w:t>
            </w:r>
          </w:p>
        </w:tc>
      </w:tr>
      <w:tr w:rsidR="00E01CB2" w:rsidRPr="00EB655C" w14:paraId="2012A4B9" w14:textId="77777777">
        <w:trPr>
          <w:trHeight w:val="300"/>
        </w:trPr>
        <w:tc>
          <w:tcPr>
            <w:tcW w:w="1694" w:type="dxa"/>
            <w:tcBorders>
              <w:top w:val="nil"/>
              <w:left w:val="single" w:sz="4" w:space="0" w:color="auto"/>
              <w:bottom w:val="single" w:sz="4" w:space="0" w:color="auto"/>
              <w:right w:val="single" w:sz="4" w:space="0" w:color="auto"/>
            </w:tcBorders>
            <w:vAlign w:val="bottom"/>
          </w:tcPr>
          <w:p w14:paraId="626A3958" w14:textId="77777777"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2.6.4</w:t>
            </w:r>
          </w:p>
        </w:tc>
        <w:tc>
          <w:tcPr>
            <w:tcW w:w="3953" w:type="dxa"/>
            <w:tcBorders>
              <w:top w:val="nil"/>
              <w:left w:val="single" w:sz="4" w:space="0" w:color="auto"/>
              <w:bottom w:val="single" w:sz="4" w:space="0" w:color="auto"/>
              <w:right w:val="single" w:sz="4" w:space="0" w:color="auto"/>
            </w:tcBorders>
            <w:vAlign w:val="bottom"/>
          </w:tcPr>
          <w:p w14:paraId="2026CC4C" w14:textId="77777777" w:rsidR="00E01CB2" w:rsidRPr="00EB655C" w:rsidRDefault="00E01CB2">
            <w:pPr>
              <w:spacing w:before="60" w:after="60"/>
              <w:rPr>
                <w:rFonts w:eastAsia="Times New Roman" w:cs="Times New Roman"/>
                <w:sz w:val="20"/>
                <w:szCs w:val="20"/>
                <w:lang w:eastAsia="en-AU"/>
              </w:rPr>
            </w:pPr>
            <w:r w:rsidRPr="00D82C6C">
              <w:rPr>
                <w:rFonts w:eastAsia="Times New Roman" w:cs="Times New Roman"/>
                <w:sz w:val="20"/>
                <w:szCs w:val="20"/>
                <w:lang w:eastAsia="en-AU"/>
              </w:rPr>
              <w:t>When Art 2.6.3 does not apply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B784599" w14:textId="3F1CB70B" w:rsidR="00E01CB2" w:rsidRPr="00EB655C" w:rsidRDefault="00E01CB2">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w:t>
            </w:r>
            <w:r>
              <w:rPr>
                <w:rFonts w:eastAsia="Times New Roman" w:cs="Times New Roman"/>
                <w:sz w:val="20"/>
                <w:szCs w:val="20"/>
                <w:lang w:eastAsia="en-AU"/>
              </w:rPr>
              <w:t>2-</w:t>
            </w:r>
            <w:r w:rsidR="005E1130">
              <w:rPr>
                <w:rFonts w:eastAsia="Times New Roman" w:cs="Times New Roman"/>
                <w:sz w:val="20"/>
                <w:szCs w:val="20"/>
                <w:lang w:eastAsia="en-AU"/>
              </w:rPr>
              <w:t>65</w:t>
            </w:r>
            <w:r>
              <w:rPr>
                <w:rFonts w:eastAsia="Times New Roman" w:cs="Times New Roman"/>
                <w:sz w:val="20"/>
                <w:szCs w:val="20"/>
                <w:lang w:eastAsia="en-AU"/>
              </w:rPr>
              <w:t>(4)</w:t>
            </w:r>
          </w:p>
        </w:tc>
      </w:tr>
      <w:tr w:rsidR="00E01CB2" w:rsidRPr="00EB655C" w14:paraId="6AC5F643" w14:textId="77777777">
        <w:trPr>
          <w:trHeight w:val="300"/>
        </w:trPr>
        <w:tc>
          <w:tcPr>
            <w:tcW w:w="1694" w:type="dxa"/>
            <w:tcBorders>
              <w:top w:val="nil"/>
              <w:left w:val="single" w:sz="4" w:space="0" w:color="auto"/>
              <w:bottom w:val="single" w:sz="4" w:space="0" w:color="auto"/>
              <w:right w:val="single" w:sz="4" w:space="0" w:color="auto"/>
            </w:tcBorders>
            <w:vAlign w:val="bottom"/>
          </w:tcPr>
          <w:p w14:paraId="06461225" w14:textId="77777777" w:rsidR="00E01CB2" w:rsidRPr="0010191F" w:rsidRDefault="00E01CB2">
            <w:pPr>
              <w:spacing w:before="60" w:after="60"/>
              <w:ind w:left="34"/>
              <w:rPr>
                <w:rFonts w:eastAsia="Times New Roman" w:cs="Times New Roman"/>
                <w:sz w:val="20"/>
                <w:szCs w:val="20"/>
                <w:lang w:eastAsia="en-AU"/>
              </w:rPr>
            </w:pPr>
            <w:r>
              <w:rPr>
                <w:rFonts w:eastAsia="Times New Roman" w:cs="Times New Roman"/>
                <w:sz w:val="20"/>
                <w:szCs w:val="20"/>
                <w:lang w:eastAsia="en-AU"/>
              </w:rPr>
              <w:t>Chapter 5 of February 2023 AG</w:t>
            </w:r>
          </w:p>
        </w:tc>
        <w:tc>
          <w:tcPr>
            <w:tcW w:w="3953" w:type="dxa"/>
            <w:tcBorders>
              <w:top w:val="nil"/>
              <w:left w:val="single" w:sz="4" w:space="0" w:color="auto"/>
              <w:bottom w:val="single" w:sz="4" w:space="0" w:color="auto"/>
              <w:right w:val="single" w:sz="4" w:space="0" w:color="auto"/>
            </w:tcBorders>
            <w:vAlign w:val="bottom"/>
          </w:tcPr>
          <w:p w14:paraId="4932CD1D" w14:textId="77777777" w:rsidR="00E01CB2" w:rsidRPr="006D2FCE" w:rsidDel="00235A05" w:rsidRDefault="00E01CB2">
            <w:pPr>
              <w:spacing w:before="60" w:after="60"/>
              <w:rPr>
                <w:rFonts w:eastAsia="Times New Roman" w:cs="Times New Roman"/>
                <w:b/>
                <w:bCs/>
                <w:sz w:val="20"/>
                <w:szCs w:val="20"/>
                <w:lang w:eastAsia="en-AU"/>
              </w:rPr>
            </w:pPr>
            <w:r w:rsidRPr="0010191F">
              <w:rPr>
                <w:rFonts w:eastAsia="Times New Roman" w:cs="Times New Roman"/>
                <w:b/>
                <w:bCs/>
                <w:sz w:val="20"/>
                <w:szCs w:val="20"/>
                <w:lang w:eastAsia="en-AU"/>
              </w:rPr>
              <w:t>Application of DMT</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CF3A9CD" w14:textId="77777777" w:rsidR="00E01CB2" w:rsidRPr="006D2FCE" w:rsidRDefault="00E01CB2">
            <w:pPr>
              <w:spacing w:before="60" w:after="60"/>
              <w:ind w:left="34"/>
              <w:rPr>
                <w:rFonts w:eastAsia="Times New Roman" w:cs="Times New Roman"/>
                <w:b/>
                <w:bCs/>
                <w:sz w:val="20"/>
                <w:szCs w:val="20"/>
                <w:lang w:eastAsia="en-AU"/>
              </w:rPr>
            </w:pPr>
            <w:r>
              <w:rPr>
                <w:rFonts w:eastAsia="Times New Roman" w:cs="Times New Roman"/>
                <w:b/>
                <w:bCs/>
                <w:sz w:val="20"/>
                <w:szCs w:val="20"/>
                <w:lang w:eastAsia="en-AU"/>
              </w:rPr>
              <w:t>Part 2-4</w:t>
            </w:r>
          </w:p>
        </w:tc>
      </w:tr>
      <w:tr w:rsidR="00E01CB2" w:rsidRPr="00EB655C" w14:paraId="27A89FD9" w14:textId="77777777">
        <w:trPr>
          <w:trHeight w:val="300"/>
        </w:trPr>
        <w:tc>
          <w:tcPr>
            <w:tcW w:w="1694" w:type="dxa"/>
            <w:tcBorders>
              <w:top w:val="nil"/>
              <w:left w:val="single" w:sz="4" w:space="0" w:color="auto"/>
              <w:bottom w:val="single" w:sz="4" w:space="0" w:color="auto"/>
              <w:right w:val="single" w:sz="4" w:space="0" w:color="auto"/>
            </w:tcBorders>
            <w:vAlign w:val="bottom"/>
          </w:tcPr>
          <w:p w14:paraId="47854B8B" w14:textId="204D6ACB" w:rsidR="00E01CB2" w:rsidRPr="00185291" w:rsidRDefault="00E01CB2">
            <w:pPr>
              <w:spacing w:before="60" w:after="60"/>
              <w:ind w:left="34"/>
              <w:rPr>
                <w:sz w:val="20"/>
                <w:szCs w:val="20"/>
              </w:rPr>
            </w:pPr>
            <w:r>
              <w:rPr>
                <w:rFonts w:eastAsia="Times New Roman" w:cs="Times New Roman"/>
                <w:sz w:val="20"/>
                <w:szCs w:val="20"/>
                <w:lang w:eastAsia="en-AU"/>
              </w:rPr>
              <w:t xml:space="preserve">118.10 Chapter </w:t>
            </w:r>
            <w:r w:rsidR="00B67FC3">
              <w:rPr>
                <w:rFonts w:eastAsia="Times New Roman" w:cs="Times New Roman"/>
                <w:sz w:val="20"/>
                <w:szCs w:val="20"/>
                <w:lang w:eastAsia="en-AU"/>
              </w:rPr>
              <w:t>5 </w:t>
            </w:r>
            <w:r>
              <w:rPr>
                <w:rFonts w:eastAsia="Times New Roman" w:cs="Times New Roman"/>
                <w:sz w:val="20"/>
                <w:szCs w:val="20"/>
                <w:lang w:eastAsia="en-AU"/>
              </w:rPr>
              <w:t>of February 2023 AG and Chapter 4 of July 2023 AG</w:t>
            </w:r>
          </w:p>
        </w:tc>
        <w:tc>
          <w:tcPr>
            <w:tcW w:w="3953" w:type="dxa"/>
            <w:tcBorders>
              <w:top w:val="nil"/>
              <w:left w:val="single" w:sz="4" w:space="0" w:color="auto"/>
              <w:bottom w:val="single" w:sz="4" w:space="0" w:color="auto"/>
              <w:right w:val="single" w:sz="4" w:space="0" w:color="auto"/>
            </w:tcBorders>
            <w:vAlign w:val="bottom"/>
          </w:tcPr>
          <w:p w14:paraId="5FB00037" w14:textId="370AF9CE" w:rsidR="00E01CB2" w:rsidRPr="00185291" w:rsidRDefault="00E406FE" w:rsidP="00E406FE">
            <w:pPr>
              <w:spacing w:before="60" w:after="60"/>
              <w:rPr>
                <w:sz w:val="20"/>
                <w:szCs w:val="20"/>
              </w:rPr>
            </w:pPr>
            <w:r>
              <w:rPr>
                <w:rFonts w:eastAsia="Times New Roman" w:cs="Times New Roman"/>
                <w:sz w:val="20"/>
                <w:szCs w:val="20"/>
                <w:lang w:eastAsia="en-AU"/>
              </w:rPr>
              <w:t>DMT –</w:t>
            </w:r>
            <w:r w:rsidRPr="00E406FE">
              <w:rPr>
                <w:sz w:val="20"/>
                <w:szCs w:val="20"/>
              </w:rPr>
              <w:t>jurisdiction may optionally</w:t>
            </w:r>
            <w:r>
              <w:rPr>
                <w:rFonts w:eastAsia="Times New Roman" w:cs="Times New Roman"/>
                <w:sz w:val="20"/>
                <w:szCs w:val="20"/>
                <w:lang w:eastAsia="en-AU"/>
              </w:rPr>
              <w:t xml:space="preserve"> limit their DMTT so that an MNE Group is only subject to the DMTT if wholly owned or 100% held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7E052D52" w14:textId="3A0E425A" w:rsidR="00E01CB2" w:rsidRPr="00185291" w:rsidRDefault="00B611BD">
            <w:pPr>
              <w:spacing w:before="60" w:after="60"/>
              <w:ind w:left="34"/>
              <w:rPr>
                <w:sz w:val="20"/>
                <w:szCs w:val="20"/>
              </w:rPr>
            </w:pPr>
            <w:r>
              <w:rPr>
                <w:sz w:val="20"/>
                <w:szCs w:val="20"/>
              </w:rPr>
              <w:t xml:space="preserve">No equivalent </w:t>
            </w:r>
          </w:p>
        </w:tc>
      </w:tr>
      <w:tr w:rsidR="00E01CB2" w:rsidRPr="00EB655C" w14:paraId="763E8CD8" w14:textId="77777777">
        <w:trPr>
          <w:trHeight w:val="300"/>
        </w:trPr>
        <w:tc>
          <w:tcPr>
            <w:tcW w:w="1694" w:type="dxa"/>
            <w:tcBorders>
              <w:top w:val="nil"/>
              <w:left w:val="single" w:sz="4" w:space="0" w:color="auto"/>
              <w:bottom w:val="single" w:sz="4" w:space="0" w:color="auto"/>
              <w:right w:val="single" w:sz="4" w:space="0" w:color="auto"/>
            </w:tcBorders>
            <w:vAlign w:val="bottom"/>
          </w:tcPr>
          <w:p w14:paraId="0B090175" w14:textId="77777777" w:rsidR="00E01CB2" w:rsidRPr="00185291" w:rsidRDefault="00E01CB2">
            <w:pPr>
              <w:spacing w:before="60" w:after="60"/>
              <w:ind w:left="34"/>
              <w:rPr>
                <w:sz w:val="20"/>
                <w:szCs w:val="20"/>
              </w:rPr>
            </w:pPr>
            <w:r>
              <w:rPr>
                <w:rFonts w:eastAsia="Times New Roman" w:cs="Times New Roman"/>
                <w:sz w:val="20"/>
                <w:szCs w:val="20"/>
                <w:lang w:eastAsia="en-AU"/>
              </w:rPr>
              <w:t xml:space="preserve">118.40.4 </w:t>
            </w:r>
          </w:p>
        </w:tc>
        <w:tc>
          <w:tcPr>
            <w:tcW w:w="3953" w:type="dxa"/>
            <w:tcBorders>
              <w:top w:val="nil"/>
              <w:left w:val="single" w:sz="4" w:space="0" w:color="auto"/>
              <w:bottom w:val="single" w:sz="4" w:space="0" w:color="auto"/>
              <w:right w:val="single" w:sz="4" w:space="0" w:color="auto"/>
            </w:tcBorders>
            <w:vAlign w:val="bottom"/>
          </w:tcPr>
          <w:p w14:paraId="73898CC3" w14:textId="495B737F" w:rsidR="00E01CB2" w:rsidRPr="00185291" w:rsidRDefault="004D2443">
            <w:pPr>
              <w:spacing w:before="60" w:after="60"/>
              <w:rPr>
                <w:sz w:val="20"/>
                <w:szCs w:val="20"/>
              </w:rPr>
            </w:pPr>
            <w:r w:rsidRPr="00E406FE">
              <w:rPr>
                <w:sz w:val="20"/>
                <w:szCs w:val="20"/>
              </w:rPr>
              <w:t>DMT – jurisdictions may optionally treat Investment Entities as Excluded Entities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7EEA1BEF" w14:textId="57F03F65" w:rsidR="00E01CB2" w:rsidRPr="00185291" w:rsidRDefault="004D2443">
            <w:pPr>
              <w:spacing w:before="60" w:after="60"/>
              <w:ind w:left="34"/>
              <w:rPr>
                <w:sz w:val="20"/>
                <w:szCs w:val="20"/>
              </w:rPr>
            </w:pPr>
            <w:r w:rsidRPr="004D2443">
              <w:rPr>
                <w:sz w:val="20"/>
                <w:szCs w:val="20"/>
              </w:rPr>
              <w:t>No equivalent</w:t>
            </w:r>
          </w:p>
        </w:tc>
      </w:tr>
      <w:tr w:rsidR="004D2443" w:rsidRPr="00EB655C" w14:paraId="58F3210B" w14:textId="77777777">
        <w:trPr>
          <w:trHeight w:val="300"/>
        </w:trPr>
        <w:tc>
          <w:tcPr>
            <w:tcW w:w="1694" w:type="dxa"/>
            <w:tcBorders>
              <w:top w:val="nil"/>
              <w:left w:val="single" w:sz="4" w:space="0" w:color="auto"/>
              <w:bottom w:val="single" w:sz="4" w:space="0" w:color="auto"/>
              <w:right w:val="single" w:sz="4" w:space="0" w:color="auto"/>
            </w:tcBorders>
            <w:vAlign w:val="bottom"/>
          </w:tcPr>
          <w:p w14:paraId="58AE1F65" w14:textId="77777777" w:rsidR="004D2443" w:rsidRPr="00185291" w:rsidRDefault="004D2443" w:rsidP="004D2443">
            <w:pPr>
              <w:spacing w:before="60" w:after="60"/>
              <w:ind w:left="34"/>
              <w:rPr>
                <w:sz w:val="20"/>
                <w:szCs w:val="20"/>
              </w:rPr>
            </w:pPr>
            <w:r>
              <w:rPr>
                <w:rFonts w:eastAsia="Times New Roman" w:cs="Times New Roman"/>
                <w:sz w:val="20"/>
                <w:szCs w:val="20"/>
                <w:lang w:eastAsia="en-AU"/>
              </w:rPr>
              <w:lastRenderedPageBreak/>
              <w:t xml:space="preserve">118.51 </w:t>
            </w:r>
          </w:p>
        </w:tc>
        <w:tc>
          <w:tcPr>
            <w:tcW w:w="3953" w:type="dxa"/>
            <w:tcBorders>
              <w:top w:val="nil"/>
              <w:left w:val="single" w:sz="4" w:space="0" w:color="auto"/>
              <w:bottom w:val="single" w:sz="4" w:space="0" w:color="auto"/>
              <w:right w:val="single" w:sz="4" w:space="0" w:color="auto"/>
            </w:tcBorders>
            <w:vAlign w:val="bottom"/>
          </w:tcPr>
          <w:p w14:paraId="2AF7594F" w14:textId="000E5392" w:rsidR="004D2443" w:rsidRPr="00185291" w:rsidRDefault="004D2443" w:rsidP="004D2443">
            <w:pPr>
              <w:spacing w:before="60" w:after="60"/>
              <w:rPr>
                <w:sz w:val="20"/>
                <w:szCs w:val="20"/>
              </w:rPr>
            </w:pPr>
            <w:r w:rsidRPr="00E406FE">
              <w:rPr>
                <w:sz w:val="20"/>
                <w:szCs w:val="20"/>
              </w:rPr>
              <w:t>DMT – jurisdictions may optionally exclude MNE Groups in the initial phase of international expansion from DMTT</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E29E996" w14:textId="008C6D05" w:rsidR="004D2443" w:rsidRPr="00185291" w:rsidRDefault="004D2443" w:rsidP="004D2443">
            <w:pPr>
              <w:spacing w:before="60" w:after="60"/>
              <w:ind w:left="34"/>
              <w:rPr>
                <w:sz w:val="20"/>
                <w:szCs w:val="20"/>
              </w:rPr>
            </w:pPr>
            <w:r w:rsidRPr="004D2443">
              <w:rPr>
                <w:sz w:val="20"/>
                <w:szCs w:val="20"/>
              </w:rPr>
              <w:t>No equivalent</w:t>
            </w:r>
          </w:p>
        </w:tc>
      </w:tr>
      <w:tr w:rsidR="004D2443" w:rsidRPr="00EB655C" w14:paraId="0A6D58DC" w14:textId="77777777">
        <w:trPr>
          <w:trHeight w:val="300"/>
        </w:trPr>
        <w:tc>
          <w:tcPr>
            <w:tcW w:w="1694" w:type="dxa"/>
            <w:tcBorders>
              <w:top w:val="nil"/>
              <w:left w:val="single" w:sz="4" w:space="0" w:color="auto"/>
              <w:bottom w:val="single" w:sz="4" w:space="0" w:color="auto"/>
              <w:right w:val="single" w:sz="4" w:space="0" w:color="auto"/>
            </w:tcBorders>
            <w:vAlign w:val="bottom"/>
          </w:tcPr>
          <w:p w14:paraId="02477F16" w14:textId="77777777" w:rsidR="004D2443" w:rsidRPr="00185291" w:rsidRDefault="004D2443" w:rsidP="004D2443">
            <w:pPr>
              <w:spacing w:before="60" w:after="60"/>
              <w:ind w:left="34"/>
              <w:rPr>
                <w:sz w:val="20"/>
                <w:szCs w:val="20"/>
              </w:rPr>
            </w:pPr>
            <w:r>
              <w:rPr>
                <w:rFonts w:eastAsia="Times New Roman" w:cs="Times New Roman"/>
                <w:sz w:val="20"/>
                <w:szCs w:val="20"/>
                <w:lang w:eastAsia="en-AU"/>
              </w:rPr>
              <w:t>118.1</w:t>
            </w:r>
          </w:p>
        </w:tc>
        <w:tc>
          <w:tcPr>
            <w:tcW w:w="3953" w:type="dxa"/>
            <w:tcBorders>
              <w:top w:val="nil"/>
              <w:left w:val="single" w:sz="4" w:space="0" w:color="auto"/>
              <w:bottom w:val="single" w:sz="4" w:space="0" w:color="auto"/>
              <w:right w:val="single" w:sz="4" w:space="0" w:color="auto"/>
            </w:tcBorders>
            <w:vAlign w:val="bottom"/>
          </w:tcPr>
          <w:p w14:paraId="0BE32B8A" w14:textId="0C9C7B08" w:rsidR="004D2443" w:rsidRPr="00185291" w:rsidRDefault="004D2443" w:rsidP="004D2443">
            <w:pPr>
              <w:spacing w:before="60" w:after="60"/>
              <w:rPr>
                <w:sz w:val="20"/>
                <w:szCs w:val="20"/>
              </w:rPr>
            </w:pPr>
            <w:r w:rsidRPr="00E406FE">
              <w:rPr>
                <w:sz w:val="20"/>
                <w:szCs w:val="20"/>
              </w:rPr>
              <w:t>DMT – jurisdictions may optionally apply to purely domestic groups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2509F79F" w14:textId="57D668BC" w:rsidR="004D2443" w:rsidRPr="00185291" w:rsidRDefault="004D2443" w:rsidP="004D2443">
            <w:pPr>
              <w:spacing w:before="60" w:after="60"/>
              <w:ind w:left="34"/>
              <w:rPr>
                <w:sz w:val="20"/>
                <w:szCs w:val="20"/>
              </w:rPr>
            </w:pPr>
            <w:r w:rsidRPr="004D2443">
              <w:rPr>
                <w:sz w:val="20"/>
                <w:szCs w:val="20"/>
              </w:rPr>
              <w:t>No equivalent</w:t>
            </w:r>
          </w:p>
        </w:tc>
      </w:tr>
      <w:tr w:rsidR="004D2443" w:rsidRPr="00EB655C" w14:paraId="78A16E13" w14:textId="77777777">
        <w:trPr>
          <w:trHeight w:val="300"/>
        </w:trPr>
        <w:tc>
          <w:tcPr>
            <w:tcW w:w="1694" w:type="dxa"/>
            <w:tcBorders>
              <w:top w:val="nil"/>
              <w:left w:val="single" w:sz="4" w:space="0" w:color="auto"/>
              <w:bottom w:val="single" w:sz="4" w:space="0" w:color="auto"/>
              <w:right w:val="single" w:sz="4" w:space="0" w:color="auto"/>
            </w:tcBorders>
            <w:vAlign w:val="bottom"/>
          </w:tcPr>
          <w:p w14:paraId="1FF6ACCE" w14:textId="77777777" w:rsidR="004D2443" w:rsidRPr="00185291" w:rsidRDefault="004D2443" w:rsidP="004D2443">
            <w:pPr>
              <w:spacing w:before="60" w:after="60"/>
              <w:ind w:left="34"/>
              <w:rPr>
                <w:sz w:val="20"/>
                <w:szCs w:val="20"/>
              </w:rPr>
            </w:pPr>
            <w:r>
              <w:rPr>
                <w:rFonts w:eastAsia="Times New Roman" w:cs="Times New Roman"/>
                <w:sz w:val="20"/>
                <w:szCs w:val="20"/>
                <w:lang w:eastAsia="en-AU"/>
              </w:rPr>
              <w:t>118.1</w:t>
            </w:r>
          </w:p>
        </w:tc>
        <w:tc>
          <w:tcPr>
            <w:tcW w:w="3953" w:type="dxa"/>
            <w:tcBorders>
              <w:top w:val="nil"/>
              <w:left w:val="single" w:sz="4" w:space="0" w:color="auto"/>
              <w:bottom w:val="single" w:sz="4" w:space="0" w:color="auto"/>
              <w:right w:val="single" w:sz="4" w:space="0" w:color="auto"/>
            </w:tcBorders>
            <w:vAlign w:val="bottom"/>
          </w:tcPr>
          <w:p w14:paraId="5550117F" w14:textId="7F56D927" w:rsidR="004D2443" w:rsidRPr="00185291" w:rsidRDefault="004F35BD" w:rsidP="004D2443">
            <w:pPr>
              <w:spacing w:before="60" w:after="60"/>
              <w:rPr>
                <w:sz w:val="20"/>
                <w:szCs w:val="20"/>
              </w:rPr>
            </w:pPr>
            <w:r w:rsidRPr="004F35BD">
              <w:rPr>
                <w:sz w:val="20"/>
                <w:szCs w:val="20"/>
              </w:rPr>
              <w:t>DMT – jurisdictions may optionally lower the revenue threshold</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7BBC0F3C" w14:textId="5D3608AF" w:rsidR="004D2443" w:rsidRPr="00185291" w:rsidRDefault="004D2443" w:rsidP="004D2443">
            <w:pPr>
              <w:spacing w:before="60" w:after="60"/>
              <w:ind w:left="34"/>
              <w:rPr>
                <w:sz w:val="20"/>
                <w:szCs w:val="20"/>
              </w:rPr>
            </w:pPr>
            <w:r w:rsidRPr="004D2443">
              <w:rPr>
                <w:sz w:val="20"/>
                <w:szCs w:val="20"/>
              </w:rPr>
              <w:t>No equivalent</w:t>
            </w:r>
          </w:p>
        </w:tc>
      </w:tr>
      <w:tr w:rsidR="004D2443" w:rsidRPr="00EB655C" w14:paraId="1C5E2A33" w14:textId="77777777">
        <w:trPr>
          <w:trHeight w:val="300"/>
        </w:trPr>
        <w:tc>
          <w:tcPr>
            <w:tcW w:w="1694" w:type="dxa"/>
            <w:tcBorders>
              <w:top w:val="nil"/>
              <w:left w:val="single" w:sz="4" w:space="0" w:color="auto"/>
              <w:bottom w:val="single" w:sz="4" w:space="0" w:color="auto"/>
              <w:right w:val="single" w:sz="4" w:space="0" w:color="auto"/>
            </w:tcBorders>
          </w:tcPr>
          <w:p w14:paraId="6408C3B7" w14:textId="77777777" w:rsidR="004D2443" w:rsidRPr="0010191F" w:rsidRDefault="004D2443" w:rsidP="004D2443">
            <w:pPr>
              <w:spacing w:before="60" w:after="60"/>
              <w:ind w:left="34"/>
              <w:rPr>
                <w:rFonts w:eastAsia="Times New Roman" w:cs="Times New Roman"/>
                <w:sz w:val="20"/>
                <w:szCs w:val="20"/>
                <w:lang w:eastAsia="en-AU"/>
              </w:rPr>
            </w:pPr>
            <w:r w:rsidRPr="006D2FCE">
              <w:rPr>
                <w:sz w:val="20"/>
                <w:szCs w:val="20"/>
              </w:rPr>
              <w:t>118.8.1</w:t>
            </w:r>
          </w:p>
        </w:tc>
        <w:tc>
          <w:tcPr>
            <w:tcW w:w="3953" w:type="dxa"/>
            <w:tcBorders>
              <w:top w:val="nil"/>
              <w:left w:val="single" w:sz="4" w:space="0" w:color="auto"/>
              <w:bottom w:val="single" w:sz="4" w:space="0" w:color="auto"/>
              <w:right w:val="single" w:sz="4" w:space="0" w:color="auto"/>
            </w:tcBorders>
          </w:tcPr>
          <w:p w14:paraId="3F492437" w14:textId="72EE2F42" w:rsidR="004D2443" w:rsidRPr="0010191F" w:rsidDel="00235A05" w:rsidRDefault="004D2443" w:rsidP="004D2443">
            <w:pPr>
              <w:spacing w:before="60" w:after="60"/>
              <w:rPr>
                <w:rFonts w:eastAsia="Times New Roman" w:cs="Times New Roman"/>
                <w:sz w:val="20"/>
                <w:szCs w:val="20"/>
                <w:lang w:eastAsia="en-AU"/>
              </w:rPr>
            </w:pPr>
            <w:r w:rsidRPr="006D2FCE">
              <w:rPr>
                <w:sz w:val="20"/>
                <w:szCs w:val="20"/>
              </w:rPr>
              <w:t>DMT may apply to Stateless Flow-</w:t>
            </w:r>
            <w:r w:rsidR="00FE521A">
              <w:rPr>
                <w:sz w:val="20"/>
                <w:szCs w:val="20"/>
              </w:rPr>
              <w:t>t</w:t>
            </w:r>
            <w:r w:rsidR="00FE521A" w:rsidRPr="006D2FCE">
              <w:rPr>
                <w:sz w:val="20"/>
                <w:szCs w:val="20"/>
              </w:rPr>
              <w:t xml:space="preserve">hrough </w:t>
            </w:r>
            <w:r w:rsidRPr="006D2FCE">
              <w:rPr>
                <w:sz w:val="20"/>
                <w:szCs w:val="20"/>
              </w:rPr>
              <w:t xml:space="preserve">Entities created in the DMT jurisdiction </w:t>
            </w:r>
          </w:p>
        </w:tc>
        <w:tc>
          <w:tcPr>
            <w:tcW w:w="1828" w:type="dxa"/>
            <w:tcBorders>
              <w:top w:val="nil"/>
              <w:left w:val="single" w:sz="4" w:space="0" w:color="auto"/>
              <w:bottom w:val="single" w:sz="4" w:space="0" w:color="auto"/>
              <w:right w:val="single" w:sz="4" w:space="0" w:color="auto"/>
            </w:tcBorders>
            <w:shd w:val="clear" w:color="auto" w:fill="auto"/>
            <w:noWrap/>
          </w:tcPr>
          <w:p w14:paraId="73FF188F" w14:textId="77777777" w:rsidR="004D2443" w:rsidRPr="0010191F" w:rsidRDefault="004D2443" w:rsidP="004D2443">
            <w:pPr>
              <w:spacing w:before="60" w:after="60"/>
              <w:ind w:left="34"/>
              <w:rPr>
                <w:rFonts w:eastAsia="Times New Roman" w:cs="Times New Roman"/>
                <w:sz w:val="20"/>
                <w:szCs w:val="20"/>
                <w:lang w:eastAsia="en-AU"/>
              </w:rPr>
            </w:pPr>
            <w:r w:rsidRPr="006D2FCE">
              <w:rPr>
                <w:sz w:val="20"/>
                <w:szCs w:val="20"/>
              </w:rPr>
              <w:t>2-25(1)(b) and (2)</w:t>
            </w:r>
          </w:p>
        </w:tc>
      </w:tr>
      <w:tr w:rsidR="004D2443" w:rsidRPr="00EB655C" w14:paraId="1424E3AB" w14:textId="77777777">
        <w:trPr>
          <w:trHeight w:val="300"/>
        </w:trPr>
        <w:tc>
          <w:tcPr>
            <w:tcW w:w="1694" w:type="dxa"/>
            <w:tcBorders>
              <w:top w:val="nil"/>
              <w:left w:val="single" w:sz="4" w:space="0" w:color="auto"/>
              <w:bottom w:val="single" w:sz="4" w:space="0" w:color="auto"/>
              <w:right w:val="single" w:sz="4" w:space="0" w:color="auto"/>
            </w:tcBorders>
          </w:tcPr>
          <w:p w14:paraId="6385B0EE" w14:textId="77777777" w:rsidR="004D2443" w:rsidRPr="0010191F" w:rsidRDefault="004D2443" w:rsidP="004D2443">
            <w:pPr>
              <w:spacing w:before="60" w:after="60"/>
              <w:ind w:left="34"/>
              <w:rPr>
                <w:rFonts w:eastAsia="Times New Roman" w:cs="Times New Roman"/>
                <w:sz w:val="20"/>
                <w:szCs w:val="20"/>
                <w:lang w:eastAsia="en-AU"/>
              </w:rPr>
            </w:pPr>
            <w:r w:rsidRPr="006D2FCE">
              <w:rPr>
                <w:sz w:val="20"/>
                <w:szCs w:val="20"/>
              </w:rPr>
              <w:t>118.8.1</w:t>
            </w:r>
          </w:p>
        </w:tc>
        <w:tc>
          <w:tcPr>
            <w:tcW w:w="3953" w:type="dxa"/>
            <w:tcBorders>
              <w:top w:val="nil"/>
              <w:left w:val="single" w:sz="4" w:space="0" w:color="auto"/>
              <w:bottom w:val="single" w:sz="4" w:space="0" w:color="auto"/>
              <w:right w:val="single" w:sz="4" w:space="0" w:color="auto"/>
            </w:tcBorders>
          </w:tcPr>
          <w:p w14:paraId="1AE18277" w14:textId="77777777" w:rsidR="004D2443" w:rsidRPr="0010191F" w:rsidDel="00235A05" w:rsidRDefault="004D2443" w:rsidP="004D2443">
            <w:pPr>
              <w:spacing w:before="60" w:after="60"/>
              <w:rPr>
                <w:rFonts w:eastAsia="Times New Roman" w:cs="Times New Roman"/>
                <w:sz w:val="20"/>
                <w:szCs w:val="20"/>
                <w:lang w:eastAsia="en-AU"/>
              </w:rPr>
            </w:pPr>
            <w:r w:rsidRPr="006D2FCE">
              <w:rPr>
                <w:sz w:val="20"/>
                <w:szCs w:val="20"/>
              </w:rPr>
              <w:t xml:space="preserve">DMT may apply to Stateless Permanent Establishments with a place of business or deemed place of business in the DMT jurisdiction </w:t>
            </w:r>
          </w:p>
        </w:tc>
        <w:tc>
          <w:tcPr>
            <w:tcW w:w="1828" w:type="dxa"/>
            <w:tcBorders>
              <w:top w:val="nil"/>
              <w:left w:val="single" w:sz="4" w:space="0" w:color="auto"/>
              <w:bottom w:val="single" w:sz="4" w:space="0" w:color="auto"/>
              <w:right w:val="single" w:sz="4" w:space="0" w:color="auto"/>
            </w:tcBorders>
            <w:shd w:val="clear" w:color="auto" w:fill="auto"/>
            <w:noWrap/>
          </w:tcPr>
          <w:p w14:paraId="5856C733" w14:textId="77777777" w:rsidR="004D2443" w:rsidRPr="0010191F" w:rsidRDefault="004D2443" w:rsidP="004D2443">
            <w:pPr>
              <w:spacing w:before="60" w:after="60"/>
              <w:ind w:left="34"/>
              <w:rPr>
                <w:rFonts w:eastAsia="Times New Roman" w:cs="Times New Roman"/>
                <w:sz w:val="20"/>
                <w:szCs w:val="20"/>
                <w:lang w:eastAsia="en-AU"/>
              </w:rPr>
            </w:pPr>
            <w:r w:rsidRPr="006D2FCE">
              <w:rPr>
                <w:sz w:val="20"/>
                <w:szCs w:val="20"/>
              </w:rPr>
              <w:t>2-25(1)(b) and (2)</w:t>
            </w:r>
          </w:p>
        </w:tc>
      </w:tr>
      <w:tr w:rsidR="004D2443" w:rsidRPr="00EB655C" w14:paraId="20A8D0F6" w14:textId="77777777">
        <w:trPr>
          <w:trHeight w:val="300"/>
        </w:trPr>
        <w:tc>
          <w:tcPr>
            <w:tcW w:w="1694" w:type="dxa"/>
            <w:tcBorders>
              <w:top w:val="nil"/>
              <w:left w:val="single" w:sz="4" w:space="0" w:color="auto"/>
              <w:bottom w:val="single" w:sz="4" w:space="0" w:color="auto"/>
              <w:right w:val="single" w:sz="4" w:space="0" w:color="auto"/>
            </w:tcBorders>
          </w:tcPr>
          <w:p w14:paraId="663EDF6D" w14:textId="77777777" w:rsidR="004D2443" w:rsidRPr="0010191F" w:rsidRDefault="004D2443" w:rsidP="004D2443">
            <w:pPr>
              <w:spacing w:before="60" w:after="60"/>
              <w:ind w:left="34"/>
              <w:rPr>
                <w:rFonts w:eastAsia="Times New Roman" w:cs="Times New Roman"/>
                <w:sz w:val="20"/>
                <w:szCs w:val="20"/>
                <w:lang w:eastAsia="en-AU"/>
              </w:rPr>
            </w:pPr>
            <w:r w:rsidRPr="006D2FCE">
              <w:rPr>
                <w:sz w:val="20"/>
                <w:szCs w:val="20"/>
              </w:rPr>
              <w:t>118.12</w:t>
            </w:r>
          </w:p>
        </w:tc>
        <w:tc>
          <w:tcPr>
            <w:tcW w:w="3953" w:type="dxa"/>
            <w:tcBorders>
              <w:top w:val="nil"/>
              <w:left w:val="single" w:sz="4" w:space="0" w:color="auto"/>
              <w:bottom w:val="single" w:sz="4" w:space="0" w:color="auto"/>
              <w:right w:val="single" w:sz="4" w:space="0" w:color="auto"/>
            </w:tcBorders>
          </w:tcPr>
          <w:p w14:paraId="150E3D4E" w14:textId="77777777" w:rsidR="004D2443" w:rsidRPr="0010191F" w:rsidDel="00235A05" w:rsidRDefault="004D2443" w:rsidP="004D2443">
            <w:pPr>
              <w:spacing w:before="60" w:after="60"/>
              <w:rPr>
                <w:rFonts w:eastAsia="Times New Roman" w:cs="Times New Roman"/>
                <w:sz w:val="20"/>
                <w:szCs w:val="20"/>
                <w:lang w:eastAsia="en-AU"/>
              </w:rPr>
            </w:pPr>
            <w:r w:rsidRPr="006D2FCE">
              <w:rPr>
                <w:sz w:val="20"/>
                <w:szCs w:val="20"/>
              </w:rPr>
              <w:t xml:space="preserve">Charging provision for DMT </w:t>
            </w:r>
          </w:p>
        </w:tc>
        <w:tc>
          <w:tcPr>
            <w:tcW w:w="1828" w:type="dxa"/>
            <w:tcBorders>
              <w:top w:val="nil"/>
              <w:left w:val="single" w:sz="4" w:space="0" w:color="auto"/>
              <w:bottom w:val="single" w:sz="4" w:space="0" w:color="auto"/>
              <w:right w:val="single" w:sz="4" w:space="0" w:color="auto"/>
            </w:tcBorders>
            <w:shd w:val="clear" w:color="auto" w:fill="auto"/>
            <w:noWrap/>
          </w:tcPr>
          <w:p w14:paraId="5E52919B" w14:textId="05BD0349" w:rsidR="004D2443" w:rsidRPr="0010191F" w:rsidRDefault="004D2443" w:rsidP="004D2443">
            <w:pPr>
              <w:spacing w:before="60" w:after="60"/>
              <w:ind w:left="34"/>
              <w:rPr>
                <w:rFonts w:eastAsia="Times New Roman" w:cs="Times New Roman"/>
                <w:sz w:val="20"/>
                <w:szCs w:val="20"/>
                <w:lang w:eastAsia="en-AU"/>
              </w:rPr>
            </w:pPr>
            <w:r w:rsidRPr="006D2FCE">
              <w:rPr>
                <w:sz w:val="20"/>
                <w:szCs w:val="20"/>
              </w:rPr>
              <w:t>2-25, 2-</w:t>
            </w:r>
            <w:r w:rsidR="00BD26B7">
              <w:rPr>
                <w:sz w:val="20"/>
                <w:szCs w:val="20"/>
              </w:rPr>
              <w:t>30</w:t>
            </w:r>
            <w:r w:rsidRPr="006D2FCE">
              <w:rPr>
                <w:sz w:val="20"/>
                <w:szCs w:val="20"/>
              </w:rPr>
              <w:t>, 2</w:t>
            </w:r>
            <w:r w:rsidR="004F35BD">
              <w:rPr>
                <w:sz w:val="20"/>
                <w:szCs w:val="20"/>
              </w:rPr>
              <w:noBreakHyphen/>
            </w:r>
            <w:r w:rsidR="00BD26B7" w:rsidRPr="006D2FCE">
              <w:rPr>
                <w:sz w:val="20"/>
                <w:szCs w:val="20"/>
              </w:rPr>
              <w:t>3</w:t>
            </w:r>
            <w:r w:rsidR="00BD26B7">
              <w:rPr>
                <w:sz w:val="20"/>
                <w:szCs w:val="20"/>
              </w:rPr>
              <w:t>5</w:t>
            </w:r>
            <w:r w:rsidR="00BD26B7" w:rsidRPr="006D2FCE">
              <w:rPr>
                <w:sz w:val="20"/>
                <w:szCs w:val="20"/>
              </w:rPr>
              <w:t xml:space="preserve"> </w:t>
            </w:r>
          </w:p>
        </w:tc>
      </w:tr>
      <w:tr w:rsidR="004D2443" w:rsidRPr="00EB655C" w14:paraId="218BD273" w14:textId="77777777">
        <w:trPr>
          <w:trHeight w:val="300"/>
        </w:trPr>
        <w:tc>
          <w:tcPr>
            <w:tcW w:w="1694" w:type="dxa"/>
            <w:tcBorders>
              <w:top w:val="nil"/>
              <w:left w:val="single" w:sz="4" w:space="0" w:color="auto"/>
              <w:bottom w:val="single" w:sz="4" w:space="0" w:color="auto"/>
              <w:right w:val="single" w:sz="4" w:space="0" w:color="auto"/>
            </w:tcBorders>
            <w:vAlign w:val="bottom"/>
          </w:tcPr>
          <w:p w14:paraId="4E5088A4" w14:textId="77777777" w:rsidR="004D2443" w:rsidRPr="00593CC2" w:rsidRDefault="004D2443" w:rsidP="00977D9B">
            <w:pPr>
              <w:spacing w:before="60" w:after="60"/>
              <w:rPr>
                <w:sz w:val="20"/>
                <w:szCs w:val="20"/>
              </w:rPr>
            </w:pPr>
            <w:r>
              <w:rPr>
                <w:rFonts w:eastAsia="Times New Roman" w:cs="Times New Roman"/>
                <w:sz w:val="20"/>
                <w:szCs w:val="20"/>
                <w:lang w:eastAsia="en-AU"/>
              </w:rPr>
              <w:t xml:space="preserve">118.14-118.15 </w:t>
            </w:r>
          </w:p>
        </w:tc>
        <w:tc>
          <w:tcPr>
            <w:tcW w:w="3953" w:type="dxa"/>
            <w:tcBorders>
              <w:top w:val="nil"/>
              <w:left w:val="single" w:sz="4" w:space="0" w:color="auto"/>
              <w:bottom w:val="single" w:sz="4" w:space="0" w:color="auto"/>
              <w:right w:val="single" w:sz="4" w:space="0" w:color="auto"/>
            </w:tcBorders>
            <w:vAlign w:val="bottom"/>
          </w:tcPr>
          <w:p w14:paraId="0296CC21" w14:textId="7AF8B20F" w:rsidR="004D2443" w:rsidRPr="00593CC2" w:rsidRDefault="004F35BD" w:rsidP="004D2443">
            <w:pPr>
              <w:spacing w:before="60" w:after="60"/>
              <w:rPr>
                <w:sz w:val="20"/>
                <w:szCs w:val="20"/>
              </w:rPr>
            </w:pPr>
            <w:r w:rsidRPr="004F35BD">
              <w:rPr>
                <w:sz w:val="20"/>
                <w:szCs w:val="20"/>
              </w:rPr>
              <w:t>DMT – jurisdictions may optionally implement the Local Financial Accounting Standard and local currency rule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E21CB94" w14:textId="37BAFB9E" w:rsidR="004D2443" w:rsidRPr="00593CC2" w:rsidRDefault="004D2443" w:rsidP="004D2443">
            <w:pPr>
              <w:spacing w:before="60" w:after="60"/>
              <w:ind w:left="34"/>
              <w:rPr>
                <w:sz w:val="20"/>
                <w:szCs w:val="20"/>
              </w:rPr>
            </w:pPr>
            <w:r w:rsidRPr="004D2443">
              <w:rPr>
                <w:rFonts w:eastAsia="Times New Roman" w:cs="Times New Roman"/>
                <w:sz w:val="20"/>
                <w:szCs w:val="20"/>
                <w:lang w:eastAsia="en-AU"/>
              </w:rPr>
              <w:t>No equivalent</w:t>
            </w:r>
          </w:p>
        </w:tc>
      </w:tr>
      <w:tr w:rsidR="004D2443" w:rsidRPr="00EB655C" w14:paraId="25C0BE99" w14:textId="77777777">
        <w:trPr>
          <w:trHeight w:val="300"/>
        </w:trPr>
        <w:tc>
          <w:tcPr>
            <w:tcW w:w="7475" w:type="dxa"/>
            <w:gridSpan w:val="3"/>
            <w:tcBorders>
              <w:top w:val="nil"/>
              <w:left w:val="single" w:sz="4" w:space="0" w:color="auto"/>
              <w:bottom w:val="single" w:sz="4" w:space="0" w:color="auto"/>
              <w:right w:val="single" w:sz="4" w:space="0" w:color="auto"/>
            </w:tcBorders>
            <w:vAlign w:val="bottom"/>
          </w:tcPr>
          <w:p w14:paraId="0C153C8E" w14:textId="77777777" w:rsidR="004D2443" w:rsidRDefault="004D2443" w:rsidP="004D2443">
            <w:pPr>
              <w:pStyle w:val="Tableheaderrowtext"/>
              <w:numPr>
                <w:ilvl w:val="3"/>
                <w:numId w:val="2"/>
              </w:numPr>
              <w:rPr>
                <w:lang w:eastAsia="en-AU"/>
              </w:rPr>
            </w:pPr>
            <w:r>
              <w:rPr>
                <w:lang w:eastAsia="en-AU"/>
              </w:rPr>
              <w:t>Chapter 3 – Computation of GloBE Income or Loss</w:t>
            </w:r>
          </w:p>
        </w:tc>
      </w:tr>
      <w:tr w:rsidR="004D2443" w:rsidRPr="00EB655C" w14:paraId="7FCF3223" w14:textId="77777777">
        <w:trPr>
          <w:trHeight w:val="300"/>
        </w:trPr>
        <w:tc>
          <w:tcPr>
            <w:tcW w:w="1694" w:type="dxa"/>
            <w:tcBorders>
              <w:top w:val="nil"/>
              <w:left w:val="single" w:sz="4" w:space="0" w:color="auto"/>
              <w:bottom w:val="single" w:sz="4" w:space="0" w:color="auto"/>
              <w:right w:val="single" w:sz="4" w:space="0" w:color="auto"/>
            </w:tcBorders>
            <w:vAlign w:val="bottom"/>
          </w:tcPr>
          <w:p w14:paraId="6E5CB118" w14:textId="77777777" w:rsidR="004D2443" w:rsidRPr="00EB655C" w:rsidRDefault="004D2443" w:rsidP="004D2443">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3.1</w:t>
            </w:r>
          </w:p>
        </w:tc>
        <w:tc>
          <w:tcPr>
            <w:tcW w:w="3953" w:type="dxa"/>
            <w:tcBorders>
              <w:top w:val="nil"/>
              <w:left w:val="single" w:sz="4" w:space="0" w:color="auto"/>
              <w:bottom w:val="single" w:sz="4" w:space="0" w:color="auto"/>
              <w:right w:val="single" w:sz="4" w:space="0" w:color="auto"/>
            </w:tcBorders>
            <w:vAlign w:val="bottom"/>
          </w:tcPr>
          <w:p w14:paraId="7502EACA" w14:textId="77777777" w:rsidR="004D2443" w:rsidRPr="00EB655C" w:rsidRDefault="004D2443" w:rsidP="004D2443">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 xml:space="preserve">Financial Accounts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BF63801"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Part 3-1</w:t>
            </w:r>
          </w:p>
        </w:tc>
      </w:tr>
      <w:tr w:rsidR="004D2443" w:rsidRPr="00EB655C" w14:paraId="1AF9B17C" w14:textId="77777777">
        <w:trPr>
          <w:trHeight w:val="900"/>
        </w:trPr>
        <w:tc>
          <w:tcPr>
            <w:tcW w:w="1694" w:type="dxa"/>
            <w:tcBorders>
              <w:top w:val="nil"/>
              <w:left w:val="single" w:sz="4" w:space="0" w:color="auto"/>
              <w:bottom w:val="single" w:sz="4" w:space="0" w:color="auto"/>
              <w:right w:val="single" w:sz="4" w:space="0" w:color="auto"/>
            </w:tcBorders>
            <w:vAlign w:val="bottom"/>
          </w:tcPr>
          <w:p w14:paraId="4AC35642"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3.1.1</w:t>
            </w:r>
          </w:p>
        </w:tc>
        <w:tc>
          <w:tcPr>
            <w:tcW w:w="3953" w:type="dxa"/>
            <w:tcBorders>
              <w:top w:val="nil"/>
              <w:left w:val="single" w:sz="4" w:space="0" w:color="auto"/>
              <w:bottom w:val="single" w:sz="4" w:space="0" w:color="auto"/>
              <w:right w:val="single" w:sz="4" w:space="0" w:color="auto"/>
            </w:tcBorders>
            <w:vAlign w:val="bottom"/>
          </w:tcPr>
          <w:p w14:paraId="42D11165" w14:textId="473B448E"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Definition of GloBE Income or Loss for each Constituent Entity: </w:t>
            </w:r>
            <w:r>
              <w:rPr>
                <w:rFonts w:eastAsia="Times New Roman" w:cs="Times New Roman"/>
                <w:sz w:val="20"/>
                <w:szCs w:val="20"/>
                <w:lang w:eastAsia="en-AU"/>
              </w:rPr>
              <w:t>FANIL</w:t>
            </w:r>
            <w:r w:rsidRPr="00EB655C">
              <w:rPr>
                <w:rFonts w:eastAsia="Times New Roman" w:cs="Times New Roman"/>
                <w:sz w:val="20"/>
                <w:szCs w:val="20"/>
                <w:lang w:eastAsia="en-AU"/>
              </w:rPr>
              <w:t xml:space="preserve"> of the Constituent Entity adjusted for the items described in Article 3.2 to Article 3.5</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9952D59"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3-5</w:t>
            </w:r>
          </w:p>
        </w:tc>
      </w:tr>
      <w:tr w:rsidR="004D2443" w:rsidRPr="00EB655C" w14:paraId="55C57C02" w14:textId="77777777">
        <w:trPr>
          <w:trHeight w:val="900"/>
        </w:trPr>
        <w:tc>
          <w:tcPr>
            <w:tcW w:w="1694" w:type="dxa"/>
            <w:tcBorders>
              <w:top w:val="nil"/>
              <w:left w:val="single" w:sz="4" w:space="0" w:color="auto"/>
              <w:bottom w:val="single" w:sz="4" w:space="0" w:color="auto"/>
              <w:right w:val="single" w:sz="4" w:space="0" w:color="auto"/>
            </w:tcBorders>
            <w:vAlign w:val="bottom"/>
          </w:tcPr>
          <w:p w14:paraId="781AA913"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3.1.2</w:t>
            </w:r>
          </w:p>
        </w:tc>
        <w:tc>
          <w:tcPr>
            <w:tcW w:w="3953" w:type="dxa"/>
            <w:tcBorders>
              <w:top w:val="nil"/>
              <w:left w:val="single" w:sz="4" w:space="0" w:color="auto"/>
              <w:bottom w:val="single" w:sz="4" w:space="0" w:color="auto"/>
              <w:right w:val="single" w:sz="4" w:space="0" w:color="auto"/>
            </w:tcBorders>
            <w:vAlign w:val="bottom"/>
          </w:tcPr>
          <w:p w14:paraId="31D54599" w14:textId="7011C031"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Definition of </w:t>
            </w:r>
            <w:r>
              <w:rPr>
                <w:rFonts w:eastAsia="Times New Roman" w:cs="Times New Roman"/>
                <w:sz w:val="20"/>
                <w:szCs w:val="20"/>
                <w:lang w:eastAsia="en-AU"/>
              </w:rPr>
              <w:t>FANIL</w:t>
            </w:r>
            <w:r w:rsidRPr="00EB655C">
              <w:rPr>
                <w:rFonts w:eastAsia="Times New Roman" w:cs="Times New Roman"/>
                <w:sz w:val="20"/>
                <w:szCs w:val="20"/>
                <w:lang w:eastAsia="en-AU"/>
              </w:rPr>
              <w:t xml:space="preserve"> is the net income or loss determined for a Constituent Entity (before any consolidation adjustments eliminating intra-group transactions) in preparing CFS of the UPE</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5DDBD69F"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3-10(1), (2), (4) and (5) and 3-15(1) and (2)</w:t>
            </w:r>
          </w:p>
        </w:tc>
      </w:tr>
      <w:tr w:rsidR="004D2443" w:rsidRPr="00EB655C" w14:paraId="70A45B3B" w14:textId="77777777">
        <w:trPr>
          <w:trHeight w:val="600"/>
        </w:trPr>
        <w:tc>
          <w:tcPr>
            <w:tcW w:w="1694" w:type="dxa"/>
            <w:tcBorders>
              <w:top w:val="nil"/>
              <w:left w:val="single" w:sz="4" w:space="0" w:color="auto"/>
              <w:bottom w:val="single" w:sz="4" w:space="0" w:color="auto"/>
              <w:right w:val="single" w:sz="4" w:space="0" w:color="auto"/>
            </w:tcBorders>
            <w:vAlign w:val="bottom"/>
          </w:tcPr>
          <w:p w14:paraId="1433484C"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3.1.3</w:t>
            </w:r>
          </w:p>
        </w:tc>
        <w:tc>
          <w:tcPr>
            <w:tcW w:w="3953" w:type="dxa"/>
            <w:tcBorders>
              <w:top w:val="nil"/>
              <w:left w:val="single" w:sz="4" w:space="0" w:color="auto"/>
              <w:bottom w:val="single" w:sz="4" w:space="0" w:color="auto"/>
              <w:right w:val="single" w:sz="4" w:space="0" w:color="auto"/>
            </w:tcBorders>
            <w:vAlign w:val="bottom"/>
          </w:tcPr>
          <w:p w14:paraId="0E6950D9"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Alternate option to determine FANIL using different accounting standard to UPE - conditions apply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94F4203"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3-10(6) and (7)</w:t>
            </w:r>
          </w:p>
        </w:tc>
      </w:tr>
      <w:tr w:rsidR="004D2443" w:rsidRPr="00EB655C" w14:paraId="4CE1E02B" w14:textId="77777777">
        <w:trPr>
          <w:trHeight w:val="300"/>
        </w:trPr>
        <w:tc>
          <w:tcPr>
            <w:tcW w:w="1694" w:type="dxa"/>
            <w:tcBorders>
              <w:top w:val="nil"/>
              <w:left w:val="single" w:sz="4" w:space="0" w:color="auto"/>
              <w:bottom w:val="single" w:sz="4" w:space="0" w:color="auto"/>
              <w:right w:val="single" w:sz="4" w:space="0" w:color="auto"/>
            </w:tcBorders>
            <w:vAlign w:val="bottom"/>
          </w:tcPr>
          <w:p w14:paraId="6C4CE73C" w14:textId="77777777" w:rsidR="004D2443" w:rsidRPr="00EB655C" w:rsidRDefault="004D2443" w:rsidP="004D2443">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3.2</w:t>
            </w:r>
          </w:p>
        </w:tc>
        <w:tc>
          <w:tcPr>
            <w:tcW w:w="3953" w:type="dxa"/>
            <w:tcBorders>
              <w:top w:val="nil"/>
              <w:left w:val="single" w:sz="4" w:space="0" w:color="auto"/>
              <w:bottom w:val="single" w:sz="4" w:space="0" w:color="auto"/>
              <w:right w:val="single" w:sz="4" w:space="0" w:color="auto"/>
            </w:tcBorders>
            <w:vAlign w:val="bottom"/>
          </w:tcPr>
          <w:p w14:paraId="5D4FCBED" w14:textId="77777777" w:rsidR="004D2443" w:rsidRPr="00EB655C" w:rsidRDefault="004D2443" w:rsidP="004D2443">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Adjustments to determine GloBE Income or Loss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94F28ED"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Part 3-2</w:t>
            </w:r>
          </w:p>
        </w:tc>
      </w:tr>
      <w:tr w:rsidR="004D2443" w:rsidRPr="00EB655C" w14:paraId="7FE3D038" w14:textId="77777777">
        <w:trPr>
          <w:trHeight w:val="300"/>
        </w:trPr>
        <w:tc>
          <w:tcPr>
            <w:tcW w:w="1694" w:type="dxa"/>
            <w:tcBorders>
              <w:top w:val="nil"/>
              <w:left w:val="single" w:sz="4" w:space="0" w:color="auto"/>
              <w:bottom w:val="single" w:sz="4" w:space="0" w:color="auto"/>
              <w:right w:val="single" w:sz="4" w:space="0" w:color="auto"/>
            </w:tcBorders>
            <w:vAlign w:val="bottom"/>
          </w:tcPr>
          <w:p w14:paraId="1061A3D2"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3.2.1(a)</w:t>
            </w:r>
          </w:p>
        </w:tc>
        <w:tc>
          <w:tcPr>
            <w:tcW w:w="3953" w:type="dxa"/>
            <w:tcBorders>
              <w:top w:val="nil"/>
              <w:left w:val="single" w:sz="4" w:space="0" w:color="auto"/>
              <w:bottom w:val="single" w:sz="4" w:space="0" w:color="auto"/>
              <w:right w:val="single" w:sz="4" w:space="0" w:color="auto"/>
            </w:tcBorders>
            <w:vAlign w:val="bottom"/>
          </w:tcPr>
          <w:p w14:paraId="0CD66CBC"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Net Taxes Expense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91619AD" w14:textId="4B5E18AE"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sidR="00BD26B7">
              <w:rPr>
                <w:rFonts w:eastAsia="Times New Roman" w:cs="Times New Roman"/>
                <w:sz w:val="20"/>
                <w:szCs w:val="20"/>
                <w:lang w:eastAsia="en-AU"/>
              </w:rPr>
              <w:t>15</w:t>
            </w:r>
          </w:p>
        </w:tc>
      </w:tr>
      <w:tr w:rsidR="004D2443" w:rsidRPr="00EB655C" w14:paraId="7CE42BD1" w14:textId="77777777">
        <w:trPr>
          <w:trHeight w:val="300"/>
        </w:trPr>
        <w:tc>
          <w:tcPr>
            <w:tcW w:w="1694" w:type="dxa"/>
            <w:tcBorders>
              <w:top w:val="nil"/>
              <w:left w:val="single" w:sz="4" w:space="0" w:color="auto"/>
              <w:bottom w:val="single" w:sz="4" w:space="0" w:color="auto"/>
              <w:right w:val="single" w:sz="4" w:space="0" w:color="auto"/>
            </w:tcBorders>
            <w:vAlign w:val="bottom"/>
          </w:tcPr>
          <w:p w14:paraId="61B7F465"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2.3 of the </w:t>
            </w:r>
            <w:r>
              <w:rPr>
                <w:rFonts w:eastAsia="Times New Roman" w:cs="Times New Roman"/>
                <w:sz w:val="20"/>
                <w:szCs w:val="20"/>
                <w:lang w:eastAsia="en-AU"/>
              </w:rPr>
              <w:t>February</w:t>
            </w:r>
            <w:r w:rsidRPr="00EB655C">
              <w:rPr>
                <w:rFonts w:eastAsia="Times New Roman" w:cs="Times New Roman"/>
                <w:sz w:val="20"/>
                <w:szCs w:val="20"/>
                <w:lang w:eastAsia="en-AU"/>
              </w:rPr>
              <w:t xml:space="preserve"> </w:t>
            </w:r>
            <w:r>
              <w:rPr>
                <w:rFonts w:eastAsia="Times New Roman" w:cs="Times New Roman"/>
                <w:sz w:val="20"/>
                <w:szCs w:val="20"/>
                <w:lang w:eastAsia="en-AU"/>
              </w:rPr>
              <w:t xml:space="preserve">2023 </w:t>
            </w:r>
            <w:r w:rsidRPr="00EB655C">
              <w:rPr>
                <w:rFonts w:eastAsia="Times New Roman" w:cs="Times New Roman"/>
                <w:sz w:val="20"/>
                <w:szCs w:val="20"/>
                <w:lang w:eastAsia="en-AU"/>
              </w:rPr>
              <w:t>AG</w:t>
            </w:r>
          </w:p>
        </w:tc>
        <w:tc>
          <w:tcPr>
            <w:tcW w:w="3953" w:type="dxa"/>
            <w:tcBorders>
              <w:top w:val="nil"/>
              <w:left w:val="single" w:sz="4" w:space="0" w:color="auto"/>
              <w:bottom w:val="single" w:sz="4" w:space="0" w:color="auto"/>
              <w:right w:val="single" w:sz="4" w:space="0" w:color="auto"/>
            </w:tcBorders>
            <w:vAlign w:val="bottom"/>
          </w:tcPr>
          <w:p w14:paraId="6927B0DD"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Excluded dividends</w:t>
            </w:r>
            <w:r>
              <w:rPr>
                <w:rFonts w:eastAsia="Times New Roman" w:cs="Times New Roman"/>
                <w:sz w:val="20"/>
                <w:szCs w:val="20"/>
                <w:lang w:eastAsia="en-AU"/>
              </w:rPr>
              <w:t xml:space="preserve"> - </w:t>
            </w:r>
            <w:r w:rsidRPr="008F5B18">
              <w:rPr>
                <w:rFonts w:eastAsia="Times New Roman" w:cs="Times New Roman"/>
                <w:sz w:val="20"/>
                <w:szCs w:val="20"/>
                <w:lang w:eastAsia="en-AU"/>
              </w:rPr>
              <w:t>Asymmetric treatment of dividends and distributions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2B8F6E3" w14:textId="26F03854"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sidR="00BD26B7">
              <w:rPr>
                <w:rFonts w:eastAsia="Times New Roman" w:cs="Times New Roman"/>
                <w:sz w:val="20"/>
                <w:szCs w:val="20"/>
                <w:lang w:eastAsia="en-AU"/>
              </w:rPr>
              <w:t>20</w:t>
            </w:r>
            <w:r w:rsidR="00BD26B7" w:rsidRPr="00EB655C">
              <w:rPr>
                <w:rFonts w:eastAsia="Times New Roman" w:cs="Times New Roman"/>
                <w:sz w:val="20"/>
                <w:szCs w:val="20"/>
                <w:lang w:eastAsia="en-AU"/>
              </w:rPr>
              <w:t xml:space="preserve"> </w:t>
            </w:r>
            <w:r w:rsidRPr="00EB655C">
              <w:rPr>
                <w:rFonts w:eastAsia="Times New Roman" w:cs="Times New Roman"/>
                <w:sz w:val="20"/>
                <w:szCs w:val="20"/>
                <w:lang w:eastAsia="en-AU"/>
              </w:rPr>
              <w:t>and 3-</w:t>
            </w:r>
            <w:r w:rsidR="00BD26B7">
              <w:rPr>
                <w:rFonts w:eastAsia="Times New Roman" w:cs="Times New Roman"/>
                <w:sz w:val="20"/>
                <w:szCs w:val="20"/>
                <w:lang w:eastAsia="en-AU"/>
              </w:rPr>
              <w:t>25</w:t>
            </w:r>
          </w:p>
        </w:tc>
      </w:tr>
      <w:tr w:rsidR="004D2443" w:rsidRPr="00EB655C" w14:paraId="1600AAFC" w14:textId="77777777">
        <w:trPr>
          <w:trHeight w:val="300"/>
        </w:trPr>
        <w:tc>
          <w:tcPr>
            <w:tcW w:w="1694" w:type="dxa"/>
            <w:tcBorders>
              <w:top w:val="nil"/>
              <w:left w:val="single" w:sz="4" w:space="0" w:color="auto"/>
              <w:bottom w:val="single" w:sz="4" w:space="0" w:color="auto"/>
              <w:right w:val="single" w:sz="4" w:space="0" w:color="auto"/>
            </w:tcBorders>
            <w:vAlign w:val="bottom"/>
          </w:tcPr>
          <w:p w14:paraId="5871EA75"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3.2.1(b)</w:t>
            </w:r>
          </w:p>
        </w:tc>
        <w:tc>
          <w:tcPr>
            <w:tcW w:w="3953" w:type="dxa"/>
            <w:tcBorders>
              <w:top w:val="nil"/>
              <w:left w:val="single" w:sz="4" w:space="0" w:color="auto"/>
              <w:bottom w:val="single" w:sz="4" w:space="0" w:color="auto"/>
              <w:right w:val="single" w:sz="4" w:space="0" w:color="auto"/>
            </w:tcBorders>
            <w:vAlign w:val="bottom"/>
          </w:tcPr>
          <w:p w14:paraId="253C7C52"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Excluded Dividends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C7A2C42" w14:textId="4EABC1DC"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sidR="00BD26B7">
              <w:rPr>
                <w:rFonts w:eastAsia="Times New Roman" w:cs="Times New Roman"/>
                <w:sz w:val="20"/>
                <w:szCs w:val="20"/>
                <w:lang w:eastAsia="en-AU"/>
              </w:rPr>
              <w:t>20</w:t>
            </w:r>
            <w:r w:rsidR="00BD26B7" w:rsidRPr="00EB655C">
              <w:rPr>
                <w:rFonts w:eastAsia="Times New Roman" w:cs="Times New Roman"/>
                <w:sz w:val="20"/>
                <w:szCs w:val="20"/>
                <w:lang w:eastAsia="en-AU"/>
              </w:rPr>
              <w:t xml:space="preserve"> </w:t>
            </w:r>
            <w:r w:rsidRPr="00EB655C">
              <w:rPr>
                <w:rFonts w:eastAsia="Times New Roman" w:cs="Times New Roman"/>
                <w:sz w:val="20"/>
                <w:szCs w:val="20"/>
                <w:lang w:eastAsia="en-AU"/>
              </w:rPr>
              <w:t>and 3-</w:t>
            </w:r>
            <w:r w:rsidR="00BD26B7">
              <w:rPr>
                <w:rFonts w:eastAsia="Times New Roman" w:cs="Times New Roman"/>
                <w:sz w:val="20"/>
                <w:szCs w:val="20"/>
                <w:lang w:eastAsia="en-AU"/>
              </w:rPr>
              <w:t>25</w:t>
            </w:r>
          </w:p>
        </w:tc>
      </w:tr>
      <w:tr w:rsidR="004D2443" w:rsidRPr="00EB655C" w14:paraId="7BE88643" w14:textId="77777777">
        <w:trPr>
          <w:trHeight w:val="600"/>
        </w:trPr>
        <w:tc>
          <w:tcPr>
            <w:tcW w:w="1694" w:type="dxa"/>
            <w:tcBorders>
              <w:top w:val="nil"/>
              <w:left w:val="single" w:sz="4" w:space="0" w:color="auto"/>
              <w:bottom w:val="single" w:sz="4" w:space="0" w:color="auto"/>
              <w:right w:val="single" w:sz="4" w:space="0" w:color="auto"/>
            </w:tcBorders>
            <w:vAlign w:val="bottom"/>
          </w:tcPr>
          <w:p w14:paraId="32AC3235"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lastRenderedPageBreak/>
              <w:t xml:space="preserve">3.4 of the </w:t>
            </w:r>
            <w:r>
              <w:rPr>
                <w:rFonts w:eastAsia="Times New Roman" w:cs="Times New Roman"/>
                <w:sz w:val="20"/>
                <w:szCs w:val="20"/>
                <w:lang w:eastAsia="en-AU"/>
              </w:rPr>
              <w:t>February 2023</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130ED8A0"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Liabilities related to Excluded Dividends and Excluded Equity Gain or Loss from securities held on behalf of policyholders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B991C89" w14:textId="255CCB63" w:rsidR="004D2443" w:rsidRPr="00EB655C" w:rsidRDefault="004D2443" w:rsidP="004D2443">
            <w:pPr>
              <w:spacing w:before="60" w:after="60"/>
              <w:ind w:left="34"/>
              <w:rPr>
                <w:rFonts w:eastAsia="Times New Roman" w:cs="Times New Roman"/>
                <w:sz w:val="20"/>
                <w:szCs w:val="20"/>
                <w:lang w:eastAsia="en-AU"/>
              </w:rPr>
            </w:pPr>
            <w:r>
              <w:rPr>
                <w:rFonts w:eastAsia="Times New Roman" w:cs="Times New Roman"/>
                <w:sz w:val="20"/>
                <w:szCs w:val="20"/>
                <w:lang w:eastAsia="en-AU"/>
              </w:rPr>
              <w:t>3-</w:t>
            </w:r>
            <w:r w:rsidR="00BD26B7">
              <w:rPr>
                <w:rFonts w:eastAsia="Times New Roman" w:cs="Times New Roman"/>
                <w:sz w:val="20"/>
                <w:szCs w:val="20"/>
                <w:lang w:eastAsia="en-AU"/>
              </w:rPr>
              <w:t>40</w:t>
            </w:r>
          </w:p>
        </w:tc>
      </w:tr>
      <w:tr w:rsidR="004D2443" w:rsidRPr="00EB655C" w14:paraId="72173CE5" w14:textId="77777777">
        <w:trPr>
          <w:trHeight w:val="300"/>
        </w:trPr>
        <w:tc>
          <w:tcPr>
            <w:tcW w:w="1694" w:type="dxa"/>
            <w:tcBorders>
              <w:top w:val="nil"/>
              <w:left w:val="single" w:sz="4" w:space="0" w:color="auto"/>
              <w:bottom w:val="single" w:sz="4" w:space="0" w:color="auto"/>
              <w:right w:val="single" w:sz="4" w:space="0" w:color="auto"/>
            </w:tcBorders>
            <w:vAlign w:val="bottom"/>
          </w:tcPr>
          <w:p w14:paraId="2273B805"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3.5 of the </w:t>
            </w:r>
            <w:r>
              <w:rPr>
                <w:rFonts w:eastAsia="Times New Roman" w:cs="Times New Roman"/>
                <w:sz w:val="20"/>
                <w:szCs w:val="20"/>
                <w:lang w:eastAsia="en-AU"/>
              </w:rPr>
              <w:t>February 2023</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4C675F13"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Simplification for Short-term Portfolio Shareholdings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4B72BC7" w14:textId="27291FD6"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sidR="00BD26B7">
              <w:rPr>
                <w:rFonts w:eastAsia="Times New Roman" w:cs="Times New Roman"/>
                <w:sz w:val="20"/>
                <w:szCs w:val="20"/>
                <w:lang w:eastAsia="en-AU"/>
              </w:rPr>
              <w:t>20</w:t>
            </w:r>
            <w:r>
              <w:rPr>
                <w:rFonts w:eastAsia="Times New Roman" w:cs="Times New Roman"/>
                <w:sz w:val="20"/>
                <w:szCs w:val="20"/>
                <w:lang w:eastAsia="en-AU"/>
              </w:rPr>
              <w:t>(1)(b) and (2)</w:t>
            </w:r>
          </w:p>
        </w:tc>
      </w:tr>
      <w:tr w:rsidR="004D2443" w:rsidRPr="00EB655C" w14:paraId="5E7386E2" w14:textId="77777777">
        <w:trPr>
          <w:trHeight w:val="300"/>
        </w:trPr>
        <w:tc>
          <w:tcPr>
            <w:tcW w:w="1694" w:type="dxa"/>
            <w:tcBorders>
              <w:top w:val="nil"/>
              <w:left w:val="single" w:sz="4" w:space="0" w:color="auto"/>
              <w:bottom w:val="single" w:sz="4" w:space="0" w:color="auto"/>
              <w:right w:val="single" w:sz="4" w:space="0" w:color="auto"/>
            </w:tcBorders>
            <w:vAlign w:val="bottom"/>
          </w:tcPr>
          <w:p w14:paraId="00880199"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3.2.1(c)</w:t>
            </w:r>
          </w:p>
        </w:tc>
        <w:tc>
          <w:tcPr>
            <w:tcW w:w="3953" w:type="dxa"/>
            <w:tcBorders>
              <w:top w:val="nil"/>
              <w:left w:val="single" w:sz="4" w:space="0" w:color="auto"/>
              <w:bottom w:val="single" w:sz="4" w:space="0" w:color="auto"/>
              <w:right w:val="single" w:sz="4" w:space="0" w:color="auto"/>
            </w:tcBorders>
            <w:vAlign w:val="bottom"/>
          </w:tcPr>
          <w:p w14:paraId="7CB20D57"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Excluded Equity Gain or Loss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5B6BCBD" w14:textId="765F2AFC"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sidR="00BD26B7">
              <w:rPr>
                <w:rFonts w:eastAsia="Times New Roman" w:cs="Times New Roman"/>
                <w:sz w:val="20"/>
                <w:szCs w:val="20"/>
                <w:lang w:eastAsia="en-AU"/>
              </w:rPr>
              <w:t>30</w:t>
            </w:r>
            <w:r w:rsidR="00BD26B7" w:rsidRPr="00EB655C">
              <w:rPr>
                <w:rFonts w:eastAsia="Times New Roman" w:cs="Times New Roman"/>
                <w:sz w:val="20"/>
                <w:szCs w:val="20"/>
                <w:lang w:eastAsia="en-AU"/>
              </w:rPr>
              <w:t xml:space="preserve"> </w:t>
            </w:r>
            <w:r w:rsidRPr="00EB655C">
              <w:rPr>
                <w:rFonts w:eastAsia="Times New Roman" w:cs="Times New Roman"/>
                <w:sz w:val="20"/>
                <w:szCs w:val="20"/>
                <w:lang w:eastAsia="en-AU"/>
              </w:rPr>
              <w:t>and 3-</w:t>
            </w:r>
            <w:r w:rsidR="00BD26B7">
              <w:rPr>
                <w:rFonts w:eastAsia="Times New Roman" w:cs="Times New Roman"/>
                <w:sz w:val="20"/>
                <w:szCs w:val="20"/>
                <w:lang w:eastAsia="en-AU"/>
              </w:rPr>
              <w:t>35</w:t>
            </w:r>
          </w:p>
        </w:tc>
      </w:tr>
      <w:tr w:rsidR="004D2443" w:rsidRPr="00EB655C" w14:paraId="7AB6B60B" w14:textId="77777777">
        <w:trPr>
          <w:trHeight w:val="300"/>
        </w:trPr>
        <w:tc>
          <w:tcPr>
            <w:tcW w:w="1694" w:type="dxa"/>
            <w:tcBorders>
              <w:top w:val="nil"/>
              <w:left w:val="single" w:sz="4" w:space="0" w:color="auto"/>
              <w:bottom w:val="single" w:sz="4" w:space="0" w:color="auto"/>
              <w:right w:val="single" w:sz="4" w:space="0" w:color="auto"/>
            </w:tcBorders>
            <w:vAlign w:val="bottom"/>
          </w:tcPr>
          <w:p w14:paraId="110A7F58"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2.2 of the </w:t>
            </w:r>
            <w:r>
              <w:rPr>
                <w:rFonts w:eastAsia="Times New Roman" w:cs="Times New Roman"/>
                <w:sz w:val="20"/>
                <w:szCs w:val="20"/>
                <w:lang w:eastAsia="en-AU"/>
              </w:rPr>
              <w:t>February 2023</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5AC41461"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Excluded equity gains or loss</w:t>
            </w:r>
            <w:r>
              <w:rPr>
                <w:rFonts w:eastAsia="Times New Roman" w:cs="Times New Roman"/>
                <w:sz w:val="20"/>
                <w:szCs w:val="20"/>
                <w:lang w:eastAsia="en-AU"/>
              </w:rPr>
              <w:t xml:space="preserve"> and hedged of investments in foreign operations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F4EBD08" w14:textId="3B7D452E"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sidR="00BD26B7">
              <w:rPr>
                <w:rFonts w:eastAsia="Times New Roman" w:cs="Times New Roman"/>
                <w:sz w:val="20"/>
                <w:szCs w:val="20"/>
                <w:lang w:eastAsia="en-AU"/>
              </w:rPr>
              <w:t>30</w:t>
            </w:r>
            <w:r w:rsidR="00BD26B7" w:rsidRPr="00EB655C">
              <w:rPr>
                <w:rFonts w:eastAsia="Times New Roman" w:cs="Times New Roman"/>
                <w:sz w:val="20"/>
                <w:szCs w:val="20"/>
                <w:lang w:eastAsia="en-AU"/>
              </w:rPr>
              <w:t xml:space="preserve"> </w:t>
            </w:r>
            <w:r w:rsidRPr="00EB655C">
              <w:rPr>
                <w:rFonts w:eastAsia="Times New Roman" w:cs="Times New Roman"/>
                <w:sz w:val="20"/>
                <w:szCs w:val="20"/>
                <w:lang w:eastAsia="en-AU"/>
              </w:rPr>
              <w:t>and 3-</w:t>
            </w:r>
            <w:r w:rsidR="00BD26B7">
              <w:rPr>
                <w:rFonts w:eastAsia="Times New Roman" w:cs="Times New Roman"/>
                <w:sz w:val="20"/>
                <w:szCs w:val="20"/>
                <w:lang w:eastAsia="en-AU"/>
              </w:rPr>
              <w:t>35</w:t>
            </w:r>
          </w:p>
        </w:tc>
      </w:tr>
      <w:tr w:rsidR="004D2443" w:rsidRPr="00EB655C" w14:paraId="490EB9E3" w14:textId="77777777">
        <w:trPr>
          <w:trHeight w:val="600"/>
        </w:trPr>
        <w:tc>
          <w:tcPr>
            <w:tcW w:w="1694" w:type="dxa"/>
            <w:tcBorders>
              <w:top w:val="nil"/>
              <w:left w:val="single" w:sz="4" w:space="0" w:color="auto"/>
              <w:bottom w:val="single" w:sz="4" w:space="0" w:color="auto"/>
              <w:right w:val="single" w:sz="4" w:space="0" w:color="auto"/>
            </w:tcBorders>
            <w:vAlign w:val="bottom"/>
          </w:tcPr>
          <w:p w14:paraId="4E72B18A"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2.9 of the </w:t>
            </w:r>
            <w:r>
              <w:rPr>
                <w:rFonts w:eastAsia="Times New Roman" w:cs="Times New Roman"/>
                <w:sz w:val="20"/>
                <w:szCs w:val="20"/>
                <w:lang w:eastAsia="en-AU"/>
              </w:rPr>
              <w:t>February</w:t>
            </w:r>
            <w:r w:rsidRPr="00EB655C">
              <w:rPr>
                <w:rFonts w:eastAsia="Times New Roman" w:cs="Times New Roman"/>
                <w:sz w:val="20"/>
                <w:szCs w:val="20"/>
                <w:lang w:eastAsia="en-AU"/>
              </w:rPr>
              <w:t xml:space="preserve"> </w:t>
            </w:r>
            <w:r>
              <w:rPr>
                <w:rFonts w:eastAsia="Times New Roman" w:cs="Times New Roman"/>
                <w:sz w:val="20"/>
                <w:szCs w:val="20"/>
                <w:lang w:eastAsia="en-AU"/>
              </w:rPr>
              <w:t xml:space="preserve">2023 </w:t>
            </w:r>
            <w:r w:rsidRPr="00EB655C">
              <w:rPr>
                <w:rFonts w:eastAsia="Times New Roman" w:cs="Times New Roman"/>
                <w:sz w:val="20"/>
                <w:szCs w:val="20"/>
                <w:lang w:eastAsia="en-AU"/>
              </w:rPr>
              <w:t>AG</w:t>
            </w:r>
          </w:p>
        </w:tc>
        <w:tc>
          <w:tcPr>
            <w:tcW w:w="3953" w:type="dxa"/>
            <w:tcBorders>
              <w:top w:val="nil"/>
              <w:left w:val="single" w:sz="4" w:space="0" w:color="auto"/>
              <w:bottom w:val="single" w:sz="4" w:space="0" w:color="auto"/>
              <w:right w:val="single" w:sz="4" w:space="0" w:color="auto"/>
            </w:tcBorders>
            <w:vAlign w:val="bottom"/>
          </w:tcPr>
          <w:p w14:paraId="2111EA8E" w14:textId="73E802F2"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Excluded Equity Gain or Loss inclusion election and </w:t>
            </w:r>
            <w:r>
              <w:rPr>
                <w:rFonts w:eastAsia="Times New Roman" w:cs="Times New Roman"/>
                <w:sz w:val="20"/>
                <w:szCs w:val="20"/>
                <w:lang w:eastAsia="en-AU"/>
              </w:rPr>
              <w:t>Q</w:t>
            </w:r>
            <w:r w:rsidRPr="00EB655C">
              <w:rPr>
                <w:rFonts w:eastAsia="Times New Roman" w:cs="Times New Roman"/>
                <w:sz w:val="20"/>
                <w:szCs w:val="20"/>
                <w:lang w:eastAsia="en-AU"/>
              </w:rPr>
              <w:t xml:space="preserve">ualified </w:t>
            </w:r>
            <w:r w:rsidR="000D6C2A">
              <w:rPr>
                <w:rFonts w:eastAsia="Times New Roman" w:cs="Times New Roman"/>
                <w:sz w:val="20"/>
                <w:szCs w:val="20"/>
                <w:lang w:eastAsia="en-AU"/>
              </w:rPr>
              <w:t>F</w:t>
            </w:r>
            <w:r w:rsidR="000D6C2A" w:rsidRPr="00EB655C">
              <w:rPr>
                <w:rFonts w:eastAsia="Times New Roman" w:cs="Times New Roman"/>
                <w:sz w:val="20"/>
                <w:szCs w:val="20"/>
                <w:lang w:eastAsia="en-AU"/>
              </w:rPr>
              <w:t>low</w:t>
            </w:r>
            <w:r w:rsidR="000D6C2A">
              <w:rPr>
                <w:rFonts w:eastAsia="Times New Roman" w:cs="Times New Roman"/>
                <w:sz w:val="20"/>
                <w:szCs w:val="20"/>
                <w:lang w:eastAsia="en-AU"/>
              </w:rPr>
              <w:t>-t</w:t>
            </w:r>
            <w:r w:rsidRPr="00EB655C">
              <w:rPr>
                <w:rFonts w:eastAsia="Times New Roman" w:cs="Times New Roman"/>
                <w:sz w:val="20"/>
                <w:szCs w:val="20"/>
                <w:lang w:eastAsia="en-AU"/>
              </w:rPr>
              <w:t xml:space="preserve">hrough tax benefits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76000E2" w14:textId="163234F5" w:rsidR="004D2443" w:rsidRPr="00EB655C" w:rsidRDefault="004D2443" w:rsidP="004D2443">
            <w:pPr>
              <w:spacing w:before="60" w:after="60"/>
              <w:ind w:left="34"/>
              <w:rPr>
                <w:rFonts w:eastAsia="Times New Roman" w:cs="Times New Roman"/>
                <w:sz w:val="20"/>
                <w:szCs w:val="20"/>
                <w:lang w:eastAsia="en-AU"/>
              </w:rPr>
            </w:pPr>
            <w:r>
              <w:rPr>
                <w:rFonts w:eastAsia="Times New Roman" w:cs="Times New Roman"/>
                <w:sz w:val="20"/>
                <w:szCs w:val="20"/>
                <w:lang w:eastAsia="en-AU"/>
              </w:rPr>
              <w:t>N</w:t>
            </w:r>
            <w:r w:rsidR="00C33621">
              <w:rPr>
                <w:rFonts w:eastAsia="Times New Roman" w:cs="Times New Roman"/>
                <w:sz w:val="20"/>
                <w:szCs w:val="20"/>
                <w:lang w:eastAsia="en-AU"/>
              </w:rPr>
              <w:t xml:space="preserve">o equivalent </w:t>
            </w:r>
          </w:p>
        </w:tc>
      </w:tr>
      <w:tr w:rsidR="004D2443" w:rsidRPr="00EB655C" w14:paraId="6C50510B" w14:textId="77777777">
        <w:trPr>
          <w:trHeight w:val="300"/>
        </w:trPr>
        <w:tc>
          <w:tcPr>
            <w:tcW w:w="1694" w:type="dxa"/>
            <w:tcBorders>
              <w:top w:val="nil"/>
              <w:left w:val="single" w:sz="4" w:space="0" w:color="auto"/>
              <w:bottom w:val="single" w:sz="4" w:space="0" w:color="auto"/>
              <w:right w:val="single" w:sz="4" w:space="0" w:color="auto"/>
            </w:tcBorders>
            <w:vAlign w:val="bottom"/>
          </w:tcPr>
          <w:p w14:paraId="54FE26DC"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3.2.1(d)</w:t>
            </w:r>
          </w:p>
        </w:tc>
        <w:tc>
          <w:tcPr>
            <w:tcW w:w="3953" w:type="dxa"/>
            <w:tcBorders>
              <w:top w:val="nil"/>
              <w:left w:val="single" w:sz="4" w:space="0" w:color="auto"/>
              <w:bottom w:val="single" w:sz="4" w:space="0" w:color="auto"/>
              <w:right w:val="single" w:sz="4" w:space="0" w:color="auto"/>
            </w:tcBorders>
            <w:vAlign w:val="bottom"/>
          </w:tcPr>
          <w:p w14:paraId="3525A741"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Included Revaluation Method Gain or Loss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08E4095" w14:textId="24EB0323"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sidR="00331926">
              <w:rPr>
                <w:rFonts w:eastAsia="Times New Roman" w:cs="Times New Roman"/>
                <w:sz w:val="20"/>
                <w:szCs w:val="20"/>
                <w:lang w:eastAsia="en-AU"/>
              </w:rPr>
              <w:t>45</w:t>
            </w:r>
            <w:r w:rsidR="00331926" w:rsidRPr="00EB655C">
              <w:rPr>
                <w:rFonts w:eastAsia="Times New Roman" w:cs="Times New Roman"/>
                <w:sz w:val="20"/>
                <w:szCs w:val="20"/>
                <w:lang w:eastAsia="en-AU"/>
              </w:rPr>
              <w:t xml:space="preserve"> </w:t>
            </w:r>
            <w:r w:rsidRPr="00EB655C">
              <w:rPr>
                <w:rFonts w:eastAsia="Times New Roman" w:cs="Times New Roman"/>
                <w:sz w:val="20"/>
                <w:szCs w:val="20"/>
                <w:lang w:eastAsia="en-AU"/>
              </w:rPr>
              <w:t>and 3-</w:t>
            </w:r>
            <w:r w:rsidR="00331926">
              <w:rPr>
                <w:rFonts w:eastAsia="Times New Roman" w:cs="Times New Roman"/>
                <w:sz w:val="20"/>
                <w:szCs w:val="20"/>
                <w:lang w:eastAsia="en-AU"/>
              </w:rPr>
              <w:t>50</w:t>
            </w:r>
          </w:p>
        </w:tc>
      </w:tr>
      <w:tr w:rsidR="004D2443" w:rsidRPr="00EB655C" w14:paraId="3D13D4E6" w14:textId="77777777">
        <w:trPr>
          <w:trHeight w:val="300"/>
        </w:trPr>
        <w:tc>
          <w:tcPr>
            <w:tcW w:w="1694" w:type="dxa"/>
            <w:tcBorders>
              <w:top w:val="nil"/>
              <w:left w:val="single" w:sz="4" w:space="0" w:color="auto"/>
              <w:bottom w:val="single" w:sz="4" w:space="0" w:color="auto"/>
              <w:right w:val="single" w:sz="4" w:space="0" w:color="auto"/>
            </w:tcBorders>
            <w:vAlign w:val="bottom"/>
          </w:tcPr>
          <w:p w14:paraId="604206AF"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3.2.1(e)</w:t>
            </w:r>
          </w:p>
        </w:tc>
        <w:tc>
          <w:tcPr>
            <w:tcW w:w="3953" w:type="dxa"/>
            <w:tcBorders>
              <w:top w:val="nil"/>
              <w:left w:val="single" w:sz="4" w:space="0" w:color="auto"/>
              <w:bottom w:val="single" w:sz="4" w:space="0" w:color="auto"/>
              <w:right w:val="single" w:sz="4" w:space="0" w:color="auto"/>
            </w:tcBorders>
            <w:vAlign w:val="bottom"/>
          </w:tcPr>
          <w:p w14:paraId="60075E55"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Gain or loss from disposition of assets and liabilities excluded under Article 6.3</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5BADF43" w14:textId="7E08D698" w:rsidR="004D2443" w:rsidRPr="00EB655C" w:rsidRDefault="009E7477" w:rsidP="004D2443">
            <w:pPr>
              <w:spacing w:before="60" w:after="60"/>
              <w:ind w:left="34"/>
              <w:rPr>
                <w:rFonts w:eastAsia="Times New Roman" w:cs="Times New Roman"/>
                <w:sz w:val="20"/>
                <w:szCs w:val="20"/>
                <w:lang w:eastAsia="en-AU"/>
              </w:rPr>
            </w:pPr>
            <w:r>
              <w:rPr>
                <w:rFonts w:eastAsia="Times New Roman" w:cs="Times New Roman"/>
                <w:sz w:val="20"/>
                <w:szCs w:val="20"/>
                <w:lang w:eastAsia="en-AU"/>
              </w:rPr>
              <w:t>6-</w:t>
            </w:r>
            <w:r w:rsidR="00C64E8E">
              <w:rPr>
                <w:rFonts w:eastAsia="Times New Roman" w:cs="Times New Roman"/>
                <w:sz w:val="20"/>
                <w:szCs w:val="20"/>
                <w:lang w:eastAsia="en-AU"/>
              </w:rPr>
              <w:t>55</w:t>
            </w:r>
            <w:r>
              <w:rPr>
                <w:rFonts w:eastAsia="Times New Roman" w:cs="Times New Roman"/>
                <w:sz w:val="20"/>
                <w:szCs w:val="20"/>
                <w:lang w:eastAsia="en-AU"/>
              </w:rPr>
              <w:t>(1)</w:t>
            </w:r>
          </w:p>
        </w:tc>
      </w:tr>
      <w:tr w:rsidR="004D2443" w:rsidRPr="00EB655C" w14:paraId="7B0A4737" w14:textId="77777777">
        <w:trPr>
          <w:trHeight w:val="300"/>
        </w:trPr>
        <w:tc>
          <w:tcPr>
            <w:tcW w:w="1694" w:type="dxa"/>
            <w:tcBorders>
              <w:top w:val="nil"/>
              <w:left w:val="single" w:sz="4" w:space="0" w:color="auto"/>
              <w:bottom w:val="single" w:sz="4" w:space="0" w:color="auto"/>
              <w:right w:val="single" w:sz="4" w:space="0" w:color="auto"/>
            </w:tcBorders>
            <w:vAlign w:val="bottom"/>
          </w:tcPr>
          <w:p w14:paraId="3CDB40F0"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3.2.1(f)</w:t>
            </w:r>
          </w:p>
        </w:tc>
        <w:tc>
          <w:tcPr>
            <w:tcW w:w="3953" w:type="dxa"/>
            <w:tcBorders>
              <w:top w:val="nil"/>
              <w:left w:val="single" w:sz="4" w:space="0" w:color="auto"/>
              <w:bottom w:val="single" w:sz="4" w:space="0" w:color="auto"/>
              <w:right w:val="single" w:sz="4" w:space="0" w:color="auto"/>
            </w:tcBorders>
            <w:vAlign w:val="bottom"/>
          </w:tcPr>
          <w:p w14:paraId="425718AB"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Asymmetric Foreign Currency Gains or Losses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25A3E07" w14:textId="76C0F101"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sidR="002A4481">
              <w:rPr>
                <w:rFonts w:eastAsia="Times New Roman" w:cs="Times New Roman"/>
                <w:sz w:val="20"/>
                <w:szCs w:val="20"/>
                <w:lang w:eastAsia="en-AU"/>
              </w:rPr>
              <w:t xml:space="preserve">55 </w:t>
            </w:r>
            <w:r w:rsidRPr="00EB655C">
              <w:rPr>
                <w:rFonts w:eastAsia="Times New Roman" w:cs="Times New Roman"/>
                <w:sz w:val="20"/>
                <w:szCs w:val="20"/>
                <w:lang w:eastAsia="en-AU"/>
              </w:rPr>
              <w:t>and 3-</w:t>
            </w:r>
            <w:r w:rsidR="002A4481">
              <w:rPr>
                <w:rFonts w:eastAsia="Times New Roman" w:cs="Times New Roman"/>
                <w:sz w:val="20"/>
                <w:szCs w:val="20"/>
                <w:lang w:eastAsia="en-AU"/>
              </w:rPr>
              <w:t>60</w:t>
            </w:r>
          </w:p>
        </w:tc>
      </w:tr>
      <w:tr w:rsidR="004D2443" w:rsidRPr="00EB655C" w14:paraId="379DC577" w14:textId="77777777">
        <w:trPr>
          <w:trHeight w:val="300"/>
        </w:trPr>
        <w:tc>
          <w:tcPr>
            <w:tcW w:w="1694" w:type="dxa"/>
            <w:tcBorders>
              <w:top w:val="nil"/>
              <w:left w:val="single" w:sz="4" w:space="0" w:color="auto"/>
              <w:bottom w:val="single" w:sz="4" w:space="0" w:color="auto"/>
              <w:right w:val="single" w:sz="4" w:space="0" w:color="auto"/>
            </w:tcBorders>
            <w:vAlign w:val="bottom"/>
          </w:tcPr>
          <w:p w14:paraId="545AFD6B"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3.2.1(g)</w:t>
            </w:r>
          </w:p>
        </w:tc>
        <w:tc>
          <w:tcPr>
            <w:tcW w:w="3953" w:type="dxa"/>
            <w:tcBorders>
              <w:top w:val="nil"/>
              <w:left w:val="single" w:sz="4" w:space="0" w:color="auto"/>
              <w:bottom w:val="single" w:sz="4" w:space="0" w:color="auto"/>
              <w:right w:val="single" w:sz="4" w:space="0" w:color="auto"/>
            </w:tcBorders>
            <w:vAlign w:val="bottom"/>
          </w:tcPr>
          <w:p w14:paraId="41B8D633"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Policy Disallowed Expenses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AFE44AE" w14:textId="38029406"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sidR="00A348F2">
              <w:rPr>
                <w:rFonts w:eastAsia="Times New Roman" w:cs="Times New Roman"/>
                <w:sz w:val="20"/>
                <w:szCs w:val="20"/>
                <w:lang w:eastAsia="en-AU"/>
              </w:rPr>
              <w:t>65</w:t>
            </w:r>
          </w:p>
        </w:tc>
      </w:tr>
      <w:tr w:rsidR="004D2443" w:rsidRPr="00EB655C" w14:paraId="6C9632D8" w14:textId="77777777">
        <w:trPr>
          <w:trHeight w:val="300"/>
        </w:trPr>
        <w:tc>
          <w:tcPr>
            <w:tcW w:w="1694" w:type="dxa"/>
            <w:tcBorders>
              <w:top w:val="nil"/>
              <w:left w:val="single" w:sz="4" w:space="0" w:color="auto"/>
              <w:bottom w:val="single" w:sz="4" w:space="0" w:color="auto"/>
              <w:right w:val="single" w:sz="4" w:space="0" w:color="auto"/>
            </w:tcBorders>
            <w:vAlign w:val="bottom"/>
          </w:tcPr>
          <w:p w14:paraId="3AAD429E"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3.2.1(h)</w:t>
            </w:r>
          </w:p>
        </w:tc>
        <w:tc>
          <w:tcPr>
            <w:tcW w:w="3953" w:type="dxa"/>
            <w:tcBorders>
              <w:top w:val="nil"/>
              <w:left w:val="single" w:sz="4" w:space="0" w:color="auto"/>
              <w:bottom w:val="single" w:sz="4" w:space="0" w:color="auto"/>
              <w:right w:val="single" w:sz="4" w:space="0" w:color="auto"/>
            </w:tcBorders>
            <w:vAlign w:val="bottom"/>
          </w:tcPr>
          <w:p w14:paraId="23E17FD1"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Prior Period Errors and Changes in Accounting Principles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CF1354B" w14:textId="138E64D5"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sidR="00A348F2">
              <w:rPr>
                <w:rFonts w:eastAsia="Times New Roman" w:cs="Times New Roman"/>
                <w:sz w:val="20"/>
                <w:szCs w:val="20"/>
                <w:lang w:eastAsia="en-AU"/>
              </w:rPr>
              <w:t>70</w:t>
            </w:r>
          </w:p>
        </w:tc>
      </w:tr>
      <w:tr w:rsidR="004D2443" w:rsidRPr="00EB655C" w14:paraId="72475E28" w14:textId="77777777">
        <w:trPr>
          <w:trHeight w:val="300"/>
        </w:trPr>
        <w:tc>
          <w:tcPr>
            <w:tcW w:w="1694" w:type="dxa"/>
            <w:tcBorders>
              <w:top w:val="nil"/>
              <w:left w:val="single" w:sz="4" w:space="0" w:color="auto"/>
              <w:bottom w:val="single" w:sz="4" w:space="0" w:color="auto"/>
              <w:right w:val="single" w:sz="4" w:space="0" w:color="auto"/>
            </w:tcBorders>
            <w:vAlign w:val="bottom"/>
          </w:tcPr>
          <w:p w14:paraId="592975F0"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3.2.1(i)</w:t>
            </w:r>
          </w:p>
        </w:tc>
        <w:tc>
          <w:tcPr>
            <w:tcW w:w="3953" w:type="dxa"/>
            <w:tcBorders>
              <w:top w:val="nil"/>
              <w:left w:val="single" w:sz="4" w:space="0" w:color="auto"/>
              <w:bottom w:val="single" w:sz="4" w:space="0" w:color="auto"/>
              <w:right w:val="single" w:sz="4" w:space="0" w:color="auto"/>
            </w:tcBorders>
            <w:vAlign w:val="bottom"/>
          </w:tcPr>
          <w:p w14:paraId="269E6091" w14:textId="77777777"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Accrued Pension Expense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4EB4F21" w14:textId="76FDA705" w:rsidR="004D2443" w:rsidRPr="00EB655C" w:rsidRDefault="004D2443" w:rsidP="004D2443">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sidR="00A348F2">
              <w:rPr>
                <w:rFonts w:eastAsia="Times New Roman" w:cs="Times New Roman"/>
                <w:sz w:val="20"/>
                <w:szCs w:val="20"/>
                <w:lang w:eastAsia="en-AU"/>
              </w:rPr>
              <w:t>75</w:t>
            </w:r>
          </w:p>
        </w:tc>
      </w:tr>
      <w:tr w:rsidR="00C33621" w:rsidRPr="00EB655C" w14:paraId="174CA1AD" w14:textId="77777777">
        <w:trPr>
          <w:trHeight w:val="300"/>
        </w:trPr>
        <w:tc>
          <w:tcPr>
            <w:tcW w:w="1694" w:type="dxa"/>
            <w:tcBorders>
              <w:top w:val="nil"/>
              <w:left w:val="single" w:sz="4" w:space="0" w:color="auto"/>
              <w:bottom w:val="single" w:sz="4" w:space="0" w:color="auto"/>
              <w:right w:val="single" w:sz="4" w:space="0" w:color="auto"/>
            </w:tcBorders>
            <w:vAlign w:val="bottom"/>
          </w:tcPr>
          <w:p w14:paraId="18160642" w14:textId="1AD50EF1"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2.5 of the </w:t>
            </w:r>
            <w:r>
              <w:rPr>
                <w:rFonts w:eastAsia="Times New Roman" w:cs="Times New Roman"/>
                <w:sz w:val="20"/>
                <w:szCs w:val="20"/>
                <w:lang w:eastAsia="en-AU"/>
              </w:rPr>
              <w:t>February 2023</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1FFAC7B4" w14:textId="3EED5EB5"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Accrued </w:t>
            </w:r>
            <w:r>
              <w:rPr>
                <w:rFonts w:eastAsia="Times New Roman" w:cs="Times New Roman"/>
                <w:sz w:val="20"/>
                <w:szCs w:val="20"/>
                <w:lang w:eastAsia="en-AU"/>
              </w:rPr>
              <w:t>P</w:t>
            </w:r>
            <w:r w:rsidRPr="00EB655C">
              <w:rPr>
                <w:rFonts w:eastAsia="Times New Roman" w:cs="Times New Roman"/>
                <w:sz w:val="20"/>
                <w:szCs w:val="20"/>
                <w:lang w:eastAsia="en-AU"/>
              </w:rPr>
              <w:t xml:space="preserve">ension </w:t>
            </w:r>
            <w:r>
              <w:rPr>
                <w:rFonts w:eastAsia="Times New Roman" w:cs="Times New Roman"/>
                <w:sz w:val="20"/>
                <w:szCs w:val="20"/>
                <w:lang w:eastAsia="en-AU"/>
              </w:rPr>
              <w:t>E</w:t>
            </w:r>
            <w:r w:rsidRPr="00EB655C">
              <w:rPr>
                <w:rFonts w:eastAsia="Times New Roman" w:cs="Times New Roman"/>
                <w:sz w:val="20"/>
                <w:szCs w:val="20"/>
                <w:lang w:eastAsia="en-AU"/>
              </w:rPr>
              <w:t>xpense</w:t>
            </w:r>
            <w:r>
              <w:rPr>
                <w:rFonts w:eastAsia="Times New Roman" w:cs="Times New Roman"/>
                <w:sz w:val="20"/>
                <w:szCs w:val="20"/>
                <w:lang w:eastAsia="en-AU"/>
              </w:rPr>
              <w:t xml:space="preserve"> - amendments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72CC00EE" w14:textId="0CAC83D8" w:rsidR="00C33621" w:rsidRPr="00EB655C" w:rsidRDefault="00C33621" w:rsidP="00C33621">
            <w:pPr>
              <w:spacing w:before="60" w:after="60"/>
              <w:ind w:left="34"/>
              <w:rPr>
                <w:rFonts w:eastAsia="Times New Roman" w:cs="Times New Roman"/>
                <w:sz w:val="20"/>
                <w:szCs w:val="20"/>
                <w:lang w:eastAsia="en-AU"/>
              </w:rPr>
            </w:pPr>
            <w:r>
              <w:rPr>
                <w:rFonts w:eastAsia="Times New Roman" w:cs="Times New Roman"/>
                <w:sz w:val="20"/>
                <w:szCs w:val="20"/>
                <w:lang w:eastAsia="en-AU"/>
              </w:rPr>
              <w:t>3-75</w:t>
            </w:r>
            <w:r w:rsidRPr="00EB655C">
              <w:rPr>
                <w:rFonts w:eastAsia="Times New Roman" w:cs="Times New Roman"/>
                <w:sz w:val="20"/>
                <w:szCs w:val="20"/>
                <w:lang w:eastAsia="en-AU"/>
              </w:rPr>
              <w:t xml:space="preserve"> </w:t>
            </w:r>
          </w:p>
        </w:tc>
      </w:tr>
      <w:tr w:rsidR="00C33621" w:rsidRPr="00EB655C" w14:paraId="67D82CAC" w14:textId="77777777">
        <w:trPr>
          <w:trHeight w:val="300"/>
        </w:trPr>
        <w:tc>
          <w:tcPr>
            <w:tcW w:w="1694" w:type="dxa"/>
            <w:tcBorders>
              <w:top w:val="nil"/>
              <w:left w:val="single" w:sz="4" w:space="0" w:color="auto"/>
              <w:bottom w:val="single" w:sz="4" w:space="0" w:color="auto"/>
              <w:right w:val="single" w:sz="4" w:space="0" w:color="auto"/>
            </w:tcBorders>
            <w:vAlign w:val="bottom"/>
          </w:tcPr>
          <w:p w14:paraId="36F4151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3.2.2</w:t>
            </w:r>
          </w:p>
        </w:tc>
        <w:tc>
          <w:tcPr>
            <w:tcW w:w="3953" w:type="dxa"/>
            <w:tcBorders>
              <w:top w:val="nil"/>
              <w:left w:val="single" w:sz="4" w:space="0" w:color="auto"/>
              <w:bottom w:val="single" w:sz="4" w:space="0" w:color="auto"/>
              <w:right w:val="single" w:sz="4" w:space="0" w:color="auto"/>
            </w:tcBorders>
            <w:vAlign w:val="bottom"/>
          </w:tcPr>
          <w:p w14:paraId="4CD94D2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Stock based compensation </w:t>
            </w:r>
            <w:r>
              <w:rPr>
                <w:rFonts w:eastAsia="Times New Roman" w:cs="Times New Roman"/>
                <w:sz w:val="20"/>
                <w:szCs w:val="20"/>
                <w:lang w:eastAsia="en-AU"/>
              </w:rPr>
              <w:t>–</w:t>
            </w:r>
            <w:r w:rsidRPr="00EB655C">
              <w:rPr>
                <w:rFonts w:eastAsia="Times New Roman" w:cs="Times New Roman"/>
                <w:sz w:val="20"/>
                <w:szCs w:val="20"/>
                <w:lang w:eastAsia="en-AU"/>
              </w:rPr>
              <w:t xml:space="preserve"> </w:t>
            </w:r>
            <w:r>
              <w:rPr>
                <w:rFonts w:eastAsia="Times New Roman" w:cs="Times New Roman"/>
                <w:sz w:val="20"/>
                <w:szCs w:val="20"/>
                <w:lang w:eastAsia="en-AU"/>
              </w:rPr>
              <w:t>Five</w:t>
            </w:r>
            <w:r>
              <w:rPr>
                <w:rFonts w:eastAsia="Times New Roman" w:cs="Times New Roman"/>
                <w:sz w:val="20"/>
                <w:szCs w:val="20"/>
                <w:lang w:eastAsia="en-AU"/>
              </w:rPr>
              <w:noBreakHyphen/>
              <w:t>Year Election</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7717D13" w14:textId="1BA61A7A"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90</w:t>
            </w:r>
          </w:p>
        </w:tc>
      </w:tr>
      <w:tr w:rsidR="00C33621" w:rsidRPr="00EB655C" w14:paraId="5BAD6814" w14:textId="77777777">
        <w:trPr>
          <w:trHeight w:val="300"/>
        </w:trPr>
        <w:tc>
          <w:tcPr>
            <w:tcW w:w="1694" w:type="dxa"/>
            <w:tcBorders>
              <w:top w:val="nil"/>
              <w:left w:val="single" w:sz="4" w:space="0" w:color="auto"/>
              <w:bottom w:val="single" w:sz="4" w:space="0" w:color="auto"/>
              <w:right w:val="single" w:sz="4" w:space="0" w:color="auto"/>
            </w:tcBorders>
            <w:vAlign w:val="bottom"/>
          </w:tcPr>
          <w:p w14:paraId="6B36BC7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3.2.3</w:t>
            </w:r>
          </w:p>
        </w:tc>
        <w:tc>
          <w:tcPr>
            <w:tcW w:w="3953" w:type="dxa"/>
            <w:tcBorders>
              <w:top w:val="nil"/>
              <w:left w:val="single" w:sz="4" w:space="0" w:color="auto"/>
              <w:bottom w:val="single" w:sz="4" w:space="0" w:color="auto"/>
              <w:right w:val="single" w:sz="4" w:space="0" w:color="auto"/>
            </w:tcBorders>
            <w:vAlign w:val="bottom"/>
          </w:tcPr>
          <w:p w14:paraId="2DE9165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Arm’s length principl</w:t>
            </w:r>
            <w:r>
              <w:rPr>
                <w:rFonts w:eastAsia="Times New Roman" w:cs="Times New Roman"/>
                <w:sz w:val="20"/>
                <w:szCs w:val="20"/>
                <w:lang w:eastAsia="en-AU"/>
              </w:rPr>
              <w:t xml:space="preserve">e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20B0436" w14:textId="05836C25"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95, 3-100, and</w:t>
            </w:r>
            <w:r w:rsidRPr="00EB655C">
              <w:rPr>
                <w:rFonts w:eastAsia="Times New Roman" w:cs="Times New Roman"/>
                <w:sz w:val="20"/>
                <w:szCs w:val="20"/>
                <w:lang w:eastAsia="en-AU"/>
              </w:rPr>
              <w:t xml:space="preserve"> 3</w:t>
            </w:r>
            <w:r>
              <w:rPr>
                <w:rFonts w:eastAsia="Times New Roman" w:cs="Times New Roman"/>
                <w:sz w:val="20"/>
                <w:szCs w:val="20"/>
                <w:lang w:eastAsia="en-AU"/>
              </w:rPr>
              <w:noBreakHyphen/>
            </w:r>
            <w:r w:rsidRPr="00EB655C">
              <w:rPr>
                <w:rFonts w:eastAsia="Times New Roman" w:cs="Times New Roman"/>
                <w:sz w:val="20"/>
                <w:szCs w:val="20"/>
                <w:lang w:eastAsia="en-AU"/>
              </w:rPr>
              <w:t>1</w:t>
            </w:r>
            <w:r>
              <w:rPr>
                <w:rFonts w:eastAsia="Times New Roman" w:cs="Times New Roman"/>
                <w:sz w:val="20"/>
                <w:szCs w:val="20"/>
                <w:lang w:eastAsia="en-AU"/>
              </w:rPr>
              <w:t>05</w:t>
            </w:r>
            <w:r w:rsidRPr="00EB655C">
              <w:rPr>
                <w:rFonts w:eastAsia="Times New Roman" w:cs="Times New Roman"/>
                <w:sz w:val="20"/>
                <w:szCs w:val="20"/>
                <w:lang w:eastAsia="en-AU"/>
              </w:rPr>
              <w:t xml:space="preserve"> </w:t>
            </w:r>
          </w:p>
        </w:tc>
      </w:tr>
      <w:tr w:rsidR="00C33621" w:rsidRPr="00EB655C" w14:paraId="05D3A823" w14:textId="77777777">
        <w:trPr>
          <w:trHeight w:val="300"/>
        </w:trPr>
        <w:tc>
          <w:tcPr>
            <w:tcW w:w="1694" w:type="dxa"/>
            <w:tcBorders>
              <w:top w:val="nil"/>
              <w:left w:val="single" w:sz="4" w:space="0" w:color="auto"/>
              <w:bottom w:val="single" w:sz="4" w:space="0" w:color="auto"/>
              <w:right w:val="single" w:sz="4" w:space="0" w:color="auto"/>
            </w:tcBorders>
            <w:vAlign w:val="bottom"/>
          </w:tcPr>
          <w:p w14:paraId="267EA6A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3.2.4</w:t>
            </w:r>
          </w:p>
        </w:tc>
        <w:tc>
          <w:tcPr>
            <w:tcW w:w="3953" w:type="dxa"/>
            <w:tcBorders>
              <w:top w:val="nil"/>
              <w:left w:val="single" w:sz="4" w:space="0" w:color="auto"/>
              <w:bottom w:val="single" w:sz="4" w:space="0" w:color="auto"/>
              <w:right w:val="single" w:sz="4" w:space="0" w:color="auto"/>
            </w:tcBorders>
            <w:vAlign w:val="bottom"/>
          </w:tcPr>
          <w:p w14:paraId="63CC10E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Qualified refundable tax credits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6B195FC" w14:textId="702B575F"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3-11</w:t>
            </w:r>
            <w:r>
              <w:rPr>
                <w:rFonts w:eastAsia="Times New Roman" w:cs="Times New Roman"/>
                <w:sz w:val="20"/>
                <w:szCs w:val="20"/>
                <w:lang w:eastAsia="en-AU"/>
              </w:rPr>
              <w:t xml:space="preserve">0, 3-115, and </w:t>
            </w:r>
            <w:r w:rsidRPr="00EB655C">
              <w:rPr>
                <w:rFonts w:eastAsia="Times New Roman" w:cs="Times New Roman"/>
                <w:sz w:val="20"/>
                <w:szCs w:val="20"/>
                <w:lang w:eastAsia="en-AU"/>
              </w:rPr>
              <w:t>3</w:t>
            </w:r>
            <w:r>
              <w:rPr>
                <w:rFonts w:eastAsia="Times New Roman" w:cs="Times New Roman"/>
                <w:sz w:val="20"/>
                <w:szCs w:val="20"/>
                <w:lang w:eastAsia="en-AU"/>
              </w:rPr>
              <w:noBreakHyphen/>
            </w:r>
            <w:r w:rsidRPr="00EB655C">
              <w:rPr>
                <w:rFonts w:eastAsia="Times New Roman" w:cs="Times New Roman"/>
                <w:sz w:val="20"/>
                <w:szCs w:val="20"/>
                <w:lang w:eastAsia="en-AU"/>
              </w:rPr>
              <w:t>1</w:t>
            </w:r>
            <w:r>
              <w:rPr>
                <w:rFonts w:eastAsia="Times New Roman" w:cs="Times New Roman"/>
                <w:sz w:val="20"/>
                <w:szCs w:val="20"/>
                <w:lang w:eastAsia="en-AU"/>
              </w:rPr>
              <w:t>25</w:t>
            </w:r>
          </w:p>
        </w:tc>
      </w:tr>
      <w:tr w:rsidR="00C33621" w:rsidRPr="00EB655C" w14:paraId="2912B5EF" w14:textId="77777777">
        <w:trPr>
          <w:trHeight w:val="300"/>
        </w:trPr>
        <w:tc>
          <w:tcPr>
            <w:tcW w:w="1694" w:type="dxa"/>
            <w:tcBorders>
              <w:top w:val="nil"/>
              <w:left w:val="single" w:sz="4" w:space="0" w:color="auto"/>
              <w:bottom w:val="single" w:sz="4" w:space="0" w:color="auto"/>
              <w:right w:val="single" w:sz="4" w:space="0" w:color="auto"/>
            </w:tcBorders>
          </w:tcPr>
          <w:p w14:paraId="23E5F40C" w14:textId="62E813D8" w:rsidR="00C33621" w:rsidRPr="007831BB" w:rsidRDefault="00C33621" w:rsidP="00C33621">
            <w:pPr>
              <w:spacing w:before="60" w:after="60"/>
              <w:ind w:left="34"/>
              <w:rPr>
                <w:rFonts w:eastAsia="Times New Roman" w:cs="Times New Roman"/>
                <w:sz w:val="20"/>
                <w:szCs w:val="20"/>
                <w:lang w:eastAsia="en-AU"/>
              </w:rPr>
            </w:pPr>
            <w:r w:rsidRPr="006D2FCE">
              <w:rPr>
                <w:sz w:val="20"/>
                <w:szCs w:val="20"/>
              </w:rPr>
              <w:t>Paras 34 to 39 of Chapter 2 July 2023 AG</w:t>
            </w:r>
          </w:p>
        </w:tc>
        <w:tc>
          <w:tcPr>
            <w:tcW w:w="3953" w:type="dxa"/>
            <w:tcBorders>
              <w:top w:val="nil"/>
              <w:left w:val="single" w:sz="4" w:space="0" w:color="auto"/>
              <w:bottom w:val="single" w:sz="4" w:space="0" w:color="auto"/>
              <w:right w:val="single" w:sz="4" w:space="0" w:color="auto"/>
            </w:tcBorders>
          </w:tcPr>
          <w:p w14:paraId="47D04614" w14:textId="77777777" w:rsidR="00C33621" w:rsidRPr="007831BB" w:rsidRDefault="00C33621" w:rsidP="00C33621">
            <w:pPr>
              <w:spacing w:before="60" w:after="60"/>
              <w:ind w:left="34"/>
              <w:rPr>
                <w:rFonts w:eastAsia="Times New Roman" w:cs="Times New Roman"/>
                <w:sz w:val="20"/>
                <w:szCs w:val="20"/>
                <w:lang w:eastAsia="en-AU"/>
              </w:rPr>
            </w:pPr>
            <w:r w:rsidRPr="006D2FCE">
              <w:rPr>
                <w:sz w:val="20"/>
                <w:szCs w:val="20"/>
              </w:rPr>
              <w:t>Marketable Transferable Tax Credits</w:t>
            </w:r>
          </w:p>
        </w:tc>
        <w:tc>
          <w:tcPr>
            <w:tcW w:w="1828" w:type="dxa"/>
            <w:tcBorders>
              <w:top w:val="nil"/>
              <w:left w:val="single" w:sz="4" w:space="0" w:color="auto"/>
              <w:bottom w:val="single" w:sz="4" w:space="0" w:color="auto"/>
              <w:right w:val="single" w:sz="4" w:space="0" w:color="auto"/>
            </w:tcBorders>
            <w:shd w:val="clear" w:color="auto" w:fill="auto"/>
            <w:noWrap/>
          </w:tcPr>
          <w:p w14:paraId="1C1D3F51" w14:textId="10DD20CB" w:rsidR="00C33621" w:rsidRPr="007831BB" w:rsidRDefault="00C33621" w:rsidP="00C33621">
            <w:pPr>
              <w:spacing w:before="60" w:after="60"/>
              <w:ind w:left="34"/>
              <w:rPr>
                <w:rFonts w:eastAsia="Times New Roman" w:cs="Times New Roman"/>
                <w:sz w:val="20"/>
                <w:szCs w:val="20"/>
                <w:lang w:eastAsia="en-AU"/>
              </w:rPr>
            </w:pPr>
            <w:r w:rsidRPr="006D2FCE">
              <w:rPr>
                <w:sz w:val="20"/>
                <w:szCs w:val="20"/>
              </w:rPr>
              <w:t>3-1</w:t>
            </w:r>
            <w:r>
              <w:rPr>
                <w:sz w:val="20"/>
                <w:szCs w:val="20"/>
              </w:rPr>
              <w:t>20</w:t>
            </w:r>
            <w:r w:rsidRPr="006D2FCE">
              <w:rPr>
                <w:sz w:val="20"/>
                <w:szCs w:val="20"/>
              </w:rPr>
              <w:t>, 3-1</w:t>
            </w:r>
            <w:r>
              <w:rPr>
                <w:sz w:val="20"/>
                <w:szCs w:val="20"/>
              </w:rPr>
              <w:t>30</w:t>
            </w:r>
            <w:r w:rsidRPr="006D2FCE">
              <w:rPr>
                <w:sz w:val="20"/>
                <w:szCs w:val="20"/>
              </w:rPr>
              <w:t xml:space="preserve">, </w:t>
            </w:r>
            <w:r>
              <w:rPr>
                <w:sz w:val="20"/>
                <w:szCs w:val="20"/>
              </w:rPr>
              <w:t xml:space="preserve">and </w:t>
            </w:r>
            <w:r w:rsidRPr="006D2FCE">
              <w:rPr>
                <w:sz w:val="20"/>
                <w:szCs w:val="20"/>
              </w:rPr>
              <w:t>3</w:t>
            </w:r>
            <w:r>
              <w:rPr>
                <w:sz w:val="20"/>
                <w:szCs w:val="20"/>
              </w:rPr>
              <w:noBreakHyphen/>
            </w:r>
            <w:r w:rsidRPr="006D2FCE">
              <w:rPr>
                <w:sz w:val="20"/>
                <w:szCs w:val="20"/>
              </w:rPr>
              <w:t>1</w:t>
            </w:r>
            <w:r>
              <w:rPr>
                <w:sz w:val="20"/>
                <w:szCs w:val="20"/>
              </w:rPr>
              <w:t>35</w:t>
            </w:r>
          </w:p>
        </w:tc>
      </w:tr>
      <w:tr w:rsidR="00C33621" w:rsidRPr="00EB655C" w14:paraId="2A7D6EBC" w14:textId="77777777">
        <w:trPr>
          <w:trHeight w:val="300"/>
        </w:trPr>
        <w:tc>
          <w:tcPr>
            <w:tcW w:w="1694" w:type="dxa"/>
            <w:tcBorders>
              <w:top w:val="nil"/>
              <w:left w:val="single" w:sz="4" w:space="0" w:color="auto"/>
              <w:bottom w:val="single" w:sz="4" w:space="0" w:color="auto"/>
              <w:right w:val="single" w:sz="4" w:space="0" w:color="auto"/>
            </w:tcBorders>
          </w:tcPr>
          <w:p w14:paraId="4DDA4B72" w14:textId="77777777" w:rsidR="00C33621" w:rsidRPr="007831BB" w:rsidRDefault="00C33621" w:rsidP="00C33621">
            <w:pPr>
              <w:spacing w:before="60" w:after="60"/>
              <w:ind w:left="34"/>
              <w:rPr>
                <w:rFonts w:eastAsia="Times New Roman" w:cs="Times New Roman"/>
                <w:sz w:val="20"/>
                <w:szCs w:val="20"/>
                <w:lang w:eastAsia="en-AU"/>
              </w:rPr>
            </w:pPr>
            <w:r w:rsidRPr="006D2FCE">
              <w:rPr>
                <w:sz w:val="20"/>
                <w:szCs w:val="20"/>
              </w:rPr>
              <w:t>Paras 40 to 44 of Chapter 2 July 2023 AG</w:t>
            </w:r>
          </w:p>
        </w:tc>
        <w:tc>
          <w:tcPr>
            <w:tcW w:w="3953" w:type="dxa"/>
            <w:tcBorders>
              <w:top w:val="nil"/>
              <w:left w:val="single" w:sz="4" w:space="0" w:color="auto"/>
              <w:bottom w:val="single" w:sz="4" w:space="0" w:color="auto"/>
              <w:right w:val="single" w:sz="4" w:space="0" w:color="auto"/>
            </w:tcBorders>
          </w:tcPr>
          <w:p w14:paraId="4A8D220A" w14:textId="77777777" w:rsidR="00C33621" w:rsidRPr="007831BB" w:rsidRDefault="00C33621" w:rsidP="00C33621">
            <w:pPr>
              <w:spacing w:before="60" w:after="60"/>
              <w:ind w:left="34"/>
              <w:rPr>
                <w:rFonts w:eastAsia="Times New Roman" w:cs="Times New Roman"/>
                <w:sz w:val="20"/>
                <w:szCs w:val="20"/>
                <w:lang w:eastAsia="en-AU"/>
              </w:rPr>
            </w:pPr>
            <w:r w:rsidRPr="006D2FCE">
              <w:rPr>
                <w:sz w:val="20"/>
                <w:szCs w:val="20"/>
              </w:rPr>
              <w:t>Non-Marketable Transferable Tax Credits</w:t>
            </w:r>
          </w:p>
        </w:tc>
        <w:tc>
          <w:tcPr>
            <w:tcW w:w="1828" w:type="dxa"/>
            <w:tcBorders>
              <w:top w:val="nil"/>
              <w:left w:val="single" w:sz="4" w:space="0" w:color="auto"/>
              <w:bottom w:val="single" w:sz="4" w:space="0" w:color="auto"/>
              <w:right w:val="single" w:sz="4" w:space="0" w:color="auto"/>
            </w:tcBorders>
            <w:shd w:val="clear" w:color="auto" w:fill="auto"/>
            <w:noWrap/>
          </w:tcPr>
          <w:p w14:paraId="235FBA5E" w14:textId="5647CB11" w:rsidR="00C33621" w:rsidRPr="007831BB" w:rsidRDefault="00C33621" w:rsidP="00C33621">
            <w:pPr>
              <w:spacing w:before="60" w:after="60"/>
              <w:ind w:left="34"/>
              <w:rPr>
                <w:rFonts w:eastAsia="Times New Roman" w:cs="Times New Roman"/>
                <w:sz w:val="20"/>
                <w:szCs w:val="20"/>
                <w:lang w:eastAsia="en-AU"/>
              </w:rPr>
            </w:pPr>
            <w:r w:rsidRPr="006D2FCE">
              <w:rPr>
                <w:sz w:val="20"/>
                <w:szCs w:val="20"/>
              </w:rPr>
              <w:t>3-1</w:t>
            </w:r>
            <w:r>
              <w:rPr>
                <w:sz w:val="20"/>
                <w:szCs w:val="20"/>
              </w:rPr>
              <w:t>40</w:t>
            </w:r>
            <w:r w:rsidRPr="006D2FCE">
              <w:rPr>
                <w:sz w:val="20"/>
                <w:szCs w:val="20"/>
              </w:rPr>
              <w:t xml:space="preserve">, </w:t>
            </w:r>
            <w:r>
              <w:rPr>
                <w:sz w:val="20"/>
                <w:szCs w:val="20"/>
              </w:rPr>
              <w:t xml:space="preserve">and </w:t>
            </w:r>
            <w:r w:rsidRPr="006D2FCE">
              <w:rPr>
                <w:sz w:val="20"/>
                <w:szCs w:val="20"/>
              </w:rPr>
              <w:t>3-1</w:t>
            </w:r>
            <w:r>
              <w:rPr>
                <w:sz w:val="20"/>
                <w:szCs w:val="20"/>
              </w:rPr>
              <w:t>45</w:t>
            </w:r>
          </w:p>
        </w:tc>
      </w:tr>
      <w:tr w:rsidR="00C33621" w:rsidRPr="00EB655C" w14:paraId="1EC0036B" w14:textId="77777777">
        <w:trPr>
          <w:trHeight w:val="300"/>
        </w:trPr>
        <w:tc>
          <w:tcPr>
            <w:tcW w:w="1694" w:type="dxa"/>
            <w:tcBorders>
              <w:top w:val="nil"/>
              <w:left w:val="single" w:sz="4" w:space="0" w:color="auto"/>
              <w:bottom w:val="single" w:sz="4" w:space="0" w:color="auto"/>
              <w:right w:val="single" w:sz="4" w:space="0" w:color="auto"/>
            </w:tcBorders>
          </w:tcPr>
          <w:p w14:paraId="290DD9D2" w14:textId="77777777" w:rsidR="00C33621" w:rsidRPr="007831BB" w:rsidRDefault="00C33621" w:rsidP="00C33621">
            <w:pPr>
              <w:spacing w:before="60" w:after="60"/>
              <w:ind w:left="34"/>
              <w:rPr>
                <w:rFonts w:eastAsia="Times New Roman" w:cs="Times New Roman"/>
                <w:sz w:val="20"/>
                <w:szCs w:val="20"/>
                <w:lang w:eastAsia="en-AU"/>
              </w:rPr>
            </w:pPr>
            <w:r w:rsidRPr="006D2FCE">
              <w:rPr>
                <w:sz w:val="20"/>
                <w:szCs w:val="20"/>
              </w:rPr>
              <w:lastRenderedPageBreak/>
              <w:t>Paras 45 to 52 of Chapter 2 July 2023 AG</w:t>
            </w:r>
          </w:p>
        </w:tc>
        <w:tc>
          <w:tcPr>
            <w:tcW w:w="3953" w:type="dxa"/>
            <w:tcBorders>
              <w:top w:val="nil"/>
              <w:left w:val="single" w:sz="4" w:space="0" w:color="auto"/>
              <w:bottom w:val="single" w:sz="4" w:space="0" w:color="auto"/>
              <w:right w:val="single" w:sz="4" w:space="0" w:color="auto"/>
            </w:tcBorders>
          </w:tcPr>
          <w:p w14:paraId="136A179F" w14:textId="77777777" w:rsidR="00C33621" w:rsidRPr="007831BB" w:rsidRDefault="00C33621" w:rsidP="00C33621">
            <w:pPr>
              <w:spacing w:before="60" w:after="60"/>
              <w:ind w:left="34"/>
              <w:rPr>
                <w:rFonts w:eastAsia="Times New Roman" w:cs="Times New Roman"/>
                <w:sz w:val="20"/>
                <w:szCs w:val="20"/>
                <w:lang w:eastAsia="en-AU"/>
              </w:rPr>
            </w:pPr>
            <w:r w:rsidRPr="006D2FCE">
              <w:rPr>
                <w:sz w:val="20"/>
                <w:szCs w:val="20"/>
              </w:rPr>
              <w:t xml:space="preserve">Qualified Flow-Through Tax Benefits timing rule </w:t>
            </w:r>
          </w:p>
        </w:tc>
        <w:tc>
          <w:tcPr>
            <w:tcW w:w="1828" w:type="dxa"/>
            <w:tcBorders>
              <w:top w:val="nil"/>
              <w:left w:val="single" w:sz="4" w:space="0" w:color="auto"/>
              <w:bottom w:val="single" w:sz="4" w:space="0" w:color="auto"/>
              <w:right w:val="single" w:sz="4" w:space="0" w:color="auto"/>
            </w:tcBorders>
            <w:shd w:val="clear" w:color="auto" w:fill="auto"/>
            <w:noWrap/>
          </w:tcPr>
          <w:p w14:paraId="6818E96E" w14:textId="4F1313DB" w:rsidR="00C33621" w:rsidRPr="007831BB" w:rsidRDefault="00C33621" w:rsidP="00C33621">
            <w:pPr>
              <w:spacing w:before="60" w:after="60"/>
              <w:ind w:left="34"/>
              <w:rPr>
                <w:rFonts w:eastAsia="Times New Roman" w:cs="Times New Roman"/>
                <w:sz w:val="20"/>
                <w:szCs w:val="20"/>
                <w:lang w:eastAsia="en-AU"/>
              </w:rPr>
            </w:pPr>
            <w:r>
              <w:rPr>
                <w:rFonts w:eastAsia="Times New Roman" w:cs="Times New Roman"/>
                <w:sz w:val="20"/>
                <w:szCs w:val="20"/>
                <w:lang w:eastAsia="en-AU"/>
              </w:rPr>
              <w:t>No equivalent</w:t>
            </w:r>
          </w:p>
        </w:tc>
      </w:tr>
      <w:tr w:rsidR="00C33621" w:rsidRPr="00EB655C" w14:paraId="6B594A7E" w14:textId="77777777">
        <w:trPr>
          <w:trHeight w:val="300"/>
        </w:trPr>
        <w:tc>
          <w:tcPr>
            <w:tcW w:w="1694" w:type="dxa"/>
            <w:tcBorders>
              <w:top w:val="nil"/>
              <w:left w:val="single" w:sz="4" w:space="0" w:color="auto"/>
              <w:bottom w:val="single" w:sz="4" w:space="0" w:color="auto"/>
              <w:right w:val="single" w:sz="4" w:space="0" w:color="auto"/>
            </w:tcBorders>
            <w:vAlign w:val="bottom"/>
          </w:tcPr>
          <w:p w14:paraId="474FED4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3.2.5</w:t>
            </w:r>
          </w:p>
        </w:tc>
        <w:tc>
          <w:tcPr>
            <w:tcW w:w="3953" w:type="dxa"/>
            <w:tcBorders>
              <w:top w:val="nil"/>
              <w:left w:val="single" w:sz="4" w:space="0" w:color="auto"/>
              <w:bottom w:val="single" w:sz="4" w:space="0" w:color="auto"/>
              <w:right w:val="single" w:sz="4" w:space="0" w:color="auto"/>
            </w:tcBorders>
            <w:vAlign w:val="bottom"/>
          </w:tcPr>
          <w:p w14:paraId="604E6241" w14:textId="77777777" w:rsidR="00C33621" w:rsidRPr="006D2FCE" w:rsidRDefault="00C33621" w:rsidP="00C33621">
            <w:pPr>
              <w:rPr>
                <w:rFonts w:cs="Times New Roman"/>
                <w:sz w:val="20"/>
                <w:szCs w:val="20"/>
              </w:rPr>
            </w:pPr>
            <w:r w:rsidRPr="00EB655C">
              <w:rPr>
                <w:rFonts w:eastAsia="Times New Roman" w:cs="Times New Roman"/>
                <w:sz w:val="20"/>
                <w:szCs w:val="20"/>
                <w:lang w:eastAsia="en-AU"/>
              </w:rPr>
              <w:t xml:space="preserve">Realisation principle of gains and losses - </w:t>
            </w:r>
            <w:r w:rsidRPr="00F408CE">
              <w:rPr>
                <w:rFonts w:cs="Times New Roman"/>
                <w:sz w:val="20"/>
                <w:szCs w:val="20"/>
              </w:rPr>
              <w:t xml:space="preserve">Five-Year Election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A1C50EC" w14:textId="6D248673"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w:t>
            </w:r>
            <w:r>
              <w:rPr>
                <w:rFonts w:eastAsia="Times New Roman" w:cs="Times New Roman"/>
                <w:sz w:val="20"/>
                <w:szCs w:val="20"/>
                <w:lang w:eastAsia="en-AU"/>
              </w:rPr>
              <w:t>50</w:t>
            </w:r>
          </w:p>
        </w:tc>
      </w:tr>
      <w:tr w:rsidR="00C33621" w:rsidRPr="00EB655C" w14:paraId="24AB1BFE" w14:textId="77777777">
        <w:trPr>
          <w:trHeight w:val="300"/>
        </w:trPr>
        <w:tc>
          <w:tcPr>
            <w:tcW w:w="1694" w:type="dxa"/>
            <w:tcBorders>
              <w:top w:val="nil"/>
              <w:left w:val="single" w:sz="4" w:space="0" w:color="auto"/>
              <w:bottom w:val="single" w:sz="4" w:space="0" w:color="auto"/>
              <w:right w:val="single" w:sz="4" w:space="0" w:color="auto"/>
            </w:tcBorders>
            <w:vAlign w:val="bottom"/>
          </w:tcPr>
          <w:p w14:paraId="5B8BBF0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3.2.6</w:t>
            </w:r>
          </w:p>
        </w:tc>
        <w:tc>
          <w:tcPr>
            <w:tcW w:w="3953" w:type="dxa"/>
            <w:tcBorders>
              <w:top w:val="nil"/>
              <w:left w:val="single" w:sz="4" w:space="0" w:color="auto"/>
              <w:bottom w:val="single" w:sz="4" w:space="0" w:color="auto"/>
              <w:right w:val="single" w:sz="4" w:space="0" w:color="auto"/>
            </w:tcBorders>
            <w:vAlign w:val="bottom"/>
          </w:tcPr>
          <w:p w14:paraId="1B2C681B" w14:textId="295CFA00"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Spread aggregate asset gain over 5 years - </w:t>
            </w:r>
            <w:r w:rsidR="002330EF">
              <w:rPr>
                <w:rFonts w:eastAsia="Times New Roman" w:cs="Times New Roman"/>
                <w:sz w:val="20"/>
                <w:szCs w:val="20"/>
                <w:lang w:eastAsia="en-AU"/>
              </w:rPr>
              <w:t>Annual Election</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1A29141" w14:textId="7A5CE8D9"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w:t>
            </w:r>
            <w:r>
              <w:rPr>
                <w:rFonts w:eastAsia="Times New Roman" w:cs="Times New Roman"/>
                <w:sz w:val="20"/>
                <w:szCs w:val="20"/>
                <w:lang w:eastAsia="en-AU"/>
              </w:rPr>
              <w:t>55</w:t>
            </w:r>
            <w:r w:rsidRPr="00EB655C">
              <w:rPr>
                <w:rFonts w:eastAsia="Times New Roman" w:cs="Times New Roman"/>
                <w:sz w:val="20"/>
                <w:szCs w:val="20"/>
                <w:lang w:eastAsia="en-AU"/>
              </w:rPr>
              <w:t xml:space="preserve"> to 3-1</w:t>
            </w:r>
            <w:r>
              <w:rPr>
                <w:rFonts w:eastAsia="Times New Roman" w:cs="Times New Roman"/>
                <w:sz w:val="20"/>
                <w:szCs w:val="20"/>
                <w:lang w:eastAsia="en-AU"/>
              </w:rPr>
              <w:t>75</w:t>
            </w:r>
          </w:p>
        </w:tc>
      </w:tr>
      <w:tr w:rsidR="00C33621" w:rsidRPr="00EB655C" w14:paraId="25EB9225" w14:textId="77777777">
        <w:trPr>
          <w:trHeight w:val="300"/>
        </w:trPr>
        <w:tc>
          <w:tcPr>
            <w:tcW w:w="1694" w:type="dxa"/>
            <w:tcBorders>
              <w:top w:val="nil"/>
              <w:left w:val="single" w:sz="4" w:space="0" w:color="auto"/>
              <w:bottom w:val="single" w:sz="4" w:space="0" w:color="auto"/>
              <w:right w:val="single" w:sz="4" w:space="0" w:color="auto"/>
            </w:tcBorders>
            <w:vAlign w:val="bottom"/>
          </w:tcPr>
          <w:p w14:paraId="535DADA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3.2.7</w:t>
            </w:r>
          </w:p>
        </w:tc>
        <w:tc>
          <w:tcPr>
            <w:tcW w:w="3953" w:type="dxa"/>
            <w:tcBorders>
              <w:top w:val="nil"/>
              <w:left w:val="single" w:sz="4" w:space="0" w:color="auto"/>
              <w:bottom w:val="single" w:sz="4" w:space="0" w:color="auto"/>
              <w:right w:val="single" w:sz="4" w:space="0" w:color="auto"/>
            </w:tcBorders>
            <w:vAlign w:val="bottom"/>
          </w:tcPr>
          <w:p w14:paraId="4BDB92FE"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Exclude expenses relating to intragroup financing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1A3045F" w14:textId="25AFF38A"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w:t>
            </w:r>
            <w:r>
              <w:rPr>
                <w:rFonts w:eastAsia="Times New Roman" w:cs="Times New Roman"/>
                <w:sz w:val="20"/>
                <w:szCs w:val="20"/>
                <w:lang w:eastAsia="en-AU"/>
              </w:rPr>
              <w:t>80</w:t>
            </w:r>
            <w:r w:rsidRPr="00EB655C">
              <w:rPr>
                <w:rFonts w:eastAsia="Times New Roman" w:cs="Times New Roman"/>
                <w:sz w:val="20"/>
                <w:szCs w:val="20"/>
                <w:lang w:eastAsia="en-AU"/>
              </w:rPr>
              <w:t xml:space="preserve"> to 3-1</w:t>
            </w:r>
            <w:r>
              <w:rPr>
                <w:rFonts w:eastAsia="Times New Roman" w:cs="Times New Roman"/>
                <w:sz w:val="20"/>
                <w:szCs w:val="20"/>
                <w:lang w:eastAsia="en-AU"/>
              </w:rPr>
              <w:t>95</w:t>
            </w:r>
          </w:p>
        </w:tc>
      </w:tr>
      <w:tr w:rsidR="00C33621" w:rsidRPr="00EB655C" w14:paraId="73E1F68C" w14:textId="77777777">
        <w:trPr>
          <w:trHeight w:val="300"/>
        </w:trPr>
        <w:tc>
          <w:tcPr>
            <w:tcW w:w="1694" w:type="dxa"/>
            <w:tcBorders>
              <w:top w:val="nil"/>
              <w:left w:val="single" w:sz="4" w:space="0" w:color="auto"/>
              <w:bottom w:val="single" w:sz="4" w:space="0" w:color="auto"/>
              <w:right w:val="single" w:sz="4" w:space="0" w:color="auto"/>
            </w:tcBorders>
            <w:vAlign w:val="bottom"/>
          </w:tcPr>
          <w:p w14:paraId="595262E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3.2.8</w:t>
            </w:r>
          </w:p>
        </w:tc>
        <w:tc>
          <w:tcPr>
            <w:tcW w:w="3953" w:type="dxa"/>
            <w:tcBorders>
              <w:top w:val="nil"/>
              <w:left w:val="single" w:sz="4" w:space="0" w:color="auto"/>
              <w:bottom w:val="single" w:sz="4" w:space="0" w:color="auto"/>
              <w:right w:val="single" w:sz="4" w:space="0" w:color="auto"/>
            </w:tcBorders>
            <w:vAlign w:val="bottom"/>
          </w:tcPr>
          <w:p w14:paraId="48A9A42B" w14:textId="77777777" w:rsidR="00C33621" w:rsidRPr="006D2FCE" w:rsidRDefault="00C33621" w:rsidP="00C33621">
            <w:pPr>
              <w:rPr>
                <w:rFonts w:cs="Times New Roman"/>
                <w:sz w:val="20"/>
                <w:szCs w:val="20"/>
              </w:rPr>
            </w:pPr>
            <w:r w:rsidRPr="00EB655C">
              <w:rPr>
                <w:rFonts w:eastAsia="Times New Roman" w:cs="Times New Roman"/>
                <w:sz w:val="20"/>
                <w:szCs w:val="20"/>
                <w:lang w:eastAsia="en-AU"/>
              </w:rPr>
              <w:t xml:space="preserve">Consolidated accounting treatment - </w:t>
            </w:r>
            <w:r w:rsidRPr="00F408CE">
              <w:rPr>
                <w:rFonts w:cs="Times New Roman"/>
                <w:sz w:val="20"/>
                <w:szCs w:val="20"/>
              </w:rPr>
              <w:t xml:space="preserve">Five-Year Election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F0BD472" w14:textId="29B71166"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200</w:t>
            </w:r>
          </w:p>
        </w:tc>
      </w:tr>
      <w:tr w:rsidR="00C33621" w:rsidRPr="00EB655C" w14:paraId="457CE5C8" w14:textId="77777777">
        <w:trPr>
          <w:trHeight w:val="300"/>
        </w:trPr>
        <w:tc>
          <w:tcPr>
            <w:tcW w:w="1694" w:type="dxa"/>
            <w:tcBorders>
              <w:top w:val="nil"/>
              <w:left w:val="single" w:sz="4" w:space="0" w:color="auto"/>
              <w:bottom w:val="single" w:sz="4" w:space="0" w:color="auto"/>
              <w:right w:val="single" w:sz="4" w:space="0" w:color="auto"/>
            </w:tcBorders>
            <w:vAlign w:val="bottom"/>
          </w:tcPr>
          <w:p w14:paraId="3EBC509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3.2.9</w:t>
            </w:r>
          </w:p>
        </w:tc>
        <w:tc>
          <w:tcPr>
            <w:tcW w:w="3953" w:type="dxa"/>
            <w:tcBorders>
              <w:top w:val="nil"/>
              <w:left w:val="single" w:sz="4" w:space="0" w:color="auto"/>
              <w:bottom w:val="single" w:sz="4" w:space="0" w:color="auto"/>
              <w:right w:val="single" w:sz="4" w:space="0" w:color="auto"/>
            </w:tcBorders>
            <w:vAlign w:val="bottom"/>
          </w:tcPr>
          <w:p w14:paraId="596CBB3F"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Exclude certain insurance expenses charged onto policyholders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B584C89" w14:textId="25FE9F7D"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205</w:t>
            </w:r>
          </w:p>
        </w:tc>
      </w:tr>
      <w:tr w:rsidR="00C33621" w:rsidRPr="00EB655C" w14:paraId="0B1D97DF" w14:textId="77777777">
        <w:trPr>
          <w:trHeight w:val="300"/>
        </w:trPr>
        <w:tc>
          <w:tcPr>
            <w:tcW w:w="1694" w:type="dxa"/>
            <w:tcBorders>
              <w:top w:val="nil"/>
              <w:left w:val="single" w:sz="4" w:space="0" w:color="auto"/>
              <w:bottom w:val="single" w:sz="4" w:space="0" w:color="auto"/>
              <w:right w:val="single" w:sz="4" w:space="0" w:color="auto"/>
            </w:tcBorders>
            <w:vAlign w:val="bottom"/>
          </w:tcPr>
          <w:p w14:paraId="6388047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3.2.10</w:t>
            </w:r>
          </w:p>
        </w:tc>
        <w:tc>
          <w:tcPr>
            <w:tcW w:w="3953" w:type="dxa"/>
            <w:tcBorders>
              <w:top w:val="nil"/>
              <w:left w:val="single" w:sz="4" w:space="0" w:color="auto"/>
              <w:bottom w:val="single" w:sz="4" w:space="0" w:color="auto"/>
              <w:right w:val="single" w:sz="4" w:space="0" w:color="auto"/>
            </w:tcBorders>
            <w:vAlign w:val="bottom"/>
          </w:tcPr>
          <w:p w14:paraId="74204F20" w14:textId="77777777" w:rsidR="00C33621" w:rsidRPr="00EB655C" w:rsidRDefault="00C33621" w:rsidP="00C33621">
            <w:pPr>
              <w:spacing w:before="60" w:after="60"/>
              <w:ind w:left="34"/>
              <w:rPr>
                <w:rFonts w:eastAsia="Times New Roman" w:cs="Times New Roman"/>
                <w:sz w:val="20"/>
                <w:szCs w:val="20"/>
                <w:lang w:eastAsia="en-AU"/>
              </w:rPr>
            </w:pPr>
            <w:r>
              <w:rPr>
                <w:rFonts w:eastAsia="Times New Roman" w:cs="Times New Roman"/>
                <w:sz w:val="20"/>
                <w:szCs w:val="20"/>
                <w:lang w:eastAsia="en-AU"/>
              </w:rPr>
              <w:t>Additional</w:t>
            </w:r>
            <w:r w:rsidRPr="00EB655C">
              <w:rPr>
                <w:rFonts w:eastAsia="Times New Roman" w:cs="Times New Roman"/>
                <w:sz w:val="20"/>
                <w:szCs w:val="20"/>
                <w:lang w:eastAsia="en-AU"/>
              </w:rPr>
              <w:t xml:space="preserve"> tier one capital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6886F2C" w14:textId="22F46B0E"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210</w:t>
            </w:r>
          </w:p>
        </w:tc>
      </w:tr>
      <w:tr w:rsidR="00C33621" w:rsidRPr="00EB655C" w14:paraId="70BA1E8F" w14:textId="77777777">
        <w:trPr>
          <w:trHeight w:val="300"/>
        </w:trPr>
        <w:tc>
          <w:tcPr>
            <w:tcW w:w="1694" w:type="dxa"/>
            <w:tcBorders>
              <w:top w:val="nil"/>
              <w:left w:val="single" w:sz="4" w:space="0" w:color="auto"/>
              <w:bottom w:val="single" w:sz="4" w:space="0" w:color="auto"/>
              <w:right w:val="single" w:sz="4" w:space="0" w:color="auto"/>
            </w:tcBorders>
            <w:vAlign w:val="bottom"/>
          </w:tcPr>
          <w:p w14:paraId="0957F1EC"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3.3 of the </w:t>
            </w:r>
            <w:r>
              <w:rPr>
                <w:rFonts w:eastAsia="Times New Roman" w:cs="Times New Roman"/>
                <w:sz w:val="20"/>
                <w:szCs w:val="20"/>
                <w:lang w:eastAsia="en-AU"/>
              </w:rPr>
              <w:t>February 2023</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0DE8AF26" w14:textId="528D392B" w:rsidR="00C33621" w:rsidRPr="00EB655C" w:rsidRDefault="00C33621" w:rsidP="00C33621">
            <w:pPr>
              <w:spacing w:before="60" w:after="60"/>
              <w:ind w:left="34"/>
              <w:rPr>
                <w:rFonts w:eastAsia="Times New Roman" w:cs="Times New Roman"/>
                <w:sz w:val="20"/>
                <w:szCs w:val="20"/>
                <w:lang w:eastAsia="en-AU"/>
              </w:rPr>
            </w:pPr>
            <w:r>
              <w:rPr>
                <w:rFonts w:eastAsia="Times New Roman" w:cs="Times New Roman"/>
                <w:sz w:val="20"/>
                <w:szCs w:val="20"/>
                <w:lang w:eastAsia="en-AU"/>
              </w:rPr>
              <w:t>Restricted</w:t>
            </w:r>
            <w:r w:rsidRPr="00EB655C">
              <w:rPr>
                <w:rFonts w:eastAsia="Times New Roman" w:cs="Times New Roman"/>
                <w:sz w:val="20"/>
                <w:szCs w:val="20"/>
                <w:lang w:eastAsia="en-AU"/>
              </w:rPr>
              <w:t xml:space="preserve"> tier one capital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293F210" w14:textId="72F1604F"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210</w:t>
            </w:r>
          </w:p>
        </w:tc>
      </w:tr>
      <w:tr w:rsidR="00C33621" w:rsidRPr="00EB655C" w14:paraId="4702D235" w14:textId="77777777">
        <w:trPr>
          <w:trHeight w:val="300"/>
        </w:trPr>
        <w:tc>
          <w:tcPr>
            <w:tcW w:w="1694" w:type="dxa"/>
            <w:tcBorders>
              <w:top w:val="nil"/>
              <w:left w:val="single" w:sz="4" w:space="0" w:color="auto"/>
              <w:bottom w:val="single" w:sz="4" w:space="0" w:color="auto"/>
              <w:right w:val="single" w:sz="4" w:space="0" w:color="auto"/>
            </w:tcBorders>
            <w:vAlign w:val="bottom"/>
          </w:tcPr>
          <w:p w14:paraId="2F33507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3.2.11</w:t>
            </w:r>
          </w:p>
        </w:tc>
        <w:tc>
          <w:tcPr>
            <w:tcW w:w="3953" w:type="dxa"/>
            <w:tcBorders>
              <w:top w:val="nil"/>
              <w:left w:val="single" w:sz="4" w:space="0" w:color="auto"/>
              <w:bottom w:val="single" w:sz="4" w:space="0" w:color="auto"/>
              <w:right w:val="single" w:sz="4" w:space="0" w:color="auto"/>
            </w:tcBorders>
            <w:vAlign w:val="bottom"/>
          </w:tcPr>
          <w:p w14:paraId="5EA3545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Adjustments under chapter 6 and 7</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AE6E598" w14:textId="4CBE289C"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215</w:t>
            </w:r>
          </w:p>
        </w:tc>
      </w:tr>
      <w:tr w:rsidR="00C33621" w:rsidRPr="00EB655C" w14:paraId="7AC784AE" w14:textId="77777777">
        <w:trPr>
          <w:trHeight w:val="300"/>
        </w:trPr>
        <w:tc>
          <w:tcPr>
            <w:tcW w:w="1694" w:type="dxa"/>
            <w:tcBorders>
              <w:top w:val="nil"/>
              <w:left w:val="single" w:sz="4" w:space="0" w:color="auto"/>
              <w:bottom w:val="single" w:sz="4" w:space="0" w:color="auto"/>
              <w:right w:val="single" w:sz="4" w:space="0" w:color="auto"/>
            </w:tcBorders>
            <w:vAlign w:val="bottom"/>
          </w:tcPr>
          <w:p w14:paraId="52471ADD"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2.4 of the </w:t>
            </w:r>
            <w:r>
              <w:rPr>
                <w:rFonts w:eastAsia="Times New Roman" w:cs="Times New Roman"/>
                <w:sz w:val="20"/>
                <w:szCs w:val="20"/>
                <w:lang w:eastAsia="en-AU"/>
              </w:rPr>
              <w:t>February 2023</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0CDE617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Treatment of debt release</w:t>
            </w:r>
            <w:r>
              <w:rPr>
                <w:rFonts w:eastAsia="Times New Roman" w:cs="Times New Roman"/>
                <w:sz w:val="20"/>
                <w:szCs w:val="20"/>
                <w:lang w:eastAsia="en-AU"/>
              </w:rPr>
              <w:t>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A4CAE4C" w14:textId="64CA6673" w:rsidR="00C33621" w:rsidRPr="00EB655C" w:rsidRDefault="00C33621" w:rsidP="00C33621">
            <w:pPr>
              <w:spacing w:before="60" w:after="60"/>
              <w:ind w:left="34"/>
              <w:rPr>
                <w:rFonts w:eastAsia="Times New Roman" w:cs="Times New Roman"/>
                <w:sz w:val="20"/>
                <w:szCs w:val="20"/>
                <w:lang w:eastAsia="en-AU"/>
              </w:rPr>
            </w:pPr>
            <w:r>
              <w:rPr>
                <w:rFonts w:eastAsia="Times New Roman" w:cs="Times New Roman"/>
                <w:sz w:val="20"/>
                <w:szCs w:val="20"/>
                <w:lang w:eastAsia="en-AU"/>
              </w:rPr>
              <w:t>3-80 and 3-85</w:t>
            </w:r>
            <w:r w:rsidRPr="00EB655C">
              <w:rPr>
                <w:rFonts w:eastAsia="Times New Roman" w:cs="Times New Roman"/>
                <w:sz w:val="20"/>
                <w:szCs w:val="20"/>
                <w:lang w:eastAsia="en-AU"/>
              </w:rPr>
              <w:t xml:space="preserve"> </w:t>
            </w:r>
          </w:p>
        </w:tc>
      </w:tr>
      <w:tr w:rsidR="00C33621" w:rsidRPr="00EB655C" w14:paraId="714E5833" w14:textId="77777777">
        <w:trPr>
          <w:trHeight w:val="300"/>
        </w:trPr>
        <w:tc>
          <w:tcPr>
            <w:tcW w:w="1694" w:type="dxa"/>
            <w:tcBorders>
              <w:top w:val="nil"/>
              <w:left w:val="single" w:sz="4" w:space="0" w:color="auto"/>
              <w:bottom w:val="single" w:sz="4" w:space="0" w:color="auto"/>
              <w:right w:val="single" w:sz="4" w:space="0" w:color="auto"/>
            </w:tcBorders>
            <w:vAlign w:val="bottom"/>
          </w:tcPr>
          <w:p w14:paraId="37DA26B1"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3.3</w:t>
            </w:r>
          </w:p>
        </w:tc>
        <w:tc>
          <w:tcPr>
            <w:tcW w:w="3953" w:type="dxa"/>
            <w:tcBorders>
              <w:top w:val="nil"/>
              <w:left w:val="single" w:sz="4" w:space="0" w:color="auto"/>
              <w:bottom w:val="single" w:sz="4" w:space="0" w:color="auto"/>
              <w:right w:val="single" w:sz="4" w:space="0" w:color="auto"/>
            </w:tcBorders>
            <w:vAlign w:val="bottom"/>
          </w:tcPr>
          <w:p w14:paraId="470B35C9"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International Shipping Income exclusion</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41B2B0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Part 3-3</w:t>
            </w:r>
          </w:p>
        </w:tc>
      </w:tr>
      <w:tr w:rsidR="00C33621" w:rsidRPr="00EB655C" w14:paraId="17C4C03F" w14:textId="77777777">
        <w:trPr>
          <w:trHeight w:val="600"/>
        </w:trPr>
        <w:tc>
          <w:tcPr>
            <w:tcW w:w="1694" w:type="dxa"/>
            <w:tcBorders>
              <w:top w:val="nil"/>
              <w:left w:val="single" w:sz="4" w:space="0" w:color="auto"/>
              <w:bottom w:val="single" w:sz="4" w:space="0" w:color="auto"/>
              <w:right w:val="single" w:sz="4" w:space="0" w:color="auto"/>
            </w:tcBorders>
            <w:vAlign w:val="bottom"/>
          </w:tcPr>
          <w:p w14:paraId="659A8041"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3.3.1</w:t>
            </w:r>
          </w:p>
        </w:tc>
        <w:tc>
          <w:tcPr>
            <w:tcW w:w="3953" w:type="dxa"/>
            <w:tcBorders>
              <w:top w:val="nil"/>
              <w:left w:val="single" w:sz="4" w:space="0" w:color="auto"/>
              <w:bottom w:val="single" w:sz="4" w:space="0" w:color="auto"/>
              <w:right w:val="single" w:sz="4" w:space="0" w:color="auto"/>
            </w:tcBorders>
            <w:vAlign w:val="bottom"/>
          </w:tcPr>
          <w:p w14:paraId="733734D2"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Exclude international shipping income and qualified ancillary international shipping income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7F25C1E" w14:textId="6DBFA03D"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220</w:t>
            </w:r>
          </w:p>
        </w:tc>
      </w:tr>
      <w:tr w:rsidR="00C33621" w:rsidRPr="00EB655C" w14:paraId="53915DBB" w14:textId="77777777">
        <w:trPr>
          <w:trHeight w:val="300"/>
        </w:trPr>
        <w:tc>
          <w:tcPr>
            <w:tcW w:w="1694" w:type="dxa"/>
            <w:tcBorders>
              <w:top w:val="nil"/>
              <w:left w:val="single" w:sz="4" w:space="0" w:color="auto"/>
              <w:bottom w:val="single" w:sz="4" w:space="0" w:color="auto"/>
              <w:right w:val="single" w:sz="4" w:space="0" w:color="auto"/>
            </w:tcBorders>
            <w:vAlign w:val="bottom"/>
          </w:tcPr>
          <w:p w14:paraId="720FE01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3.3.2</w:t>
            </w:r>
          </w:p>
        </w:tc>
        <w:tc>
          <w:tcPr>
            <w:tcW w:w="3953" w:type="dxa"/>
            <w:tcBorders>
              <w:top w:val="nil"/>
              <w:left w:val="single" w:sz="4" w:space="0" w:color="auto"/>
              <w:bottom w:val="single" w:sz="4" w:space="0" w:color="auto"/>
              <w:right w:val="single" w:sz="4" w:space="0" w:color="auto"/>
            </w:tcBorders>
            <w:vAlign w:val="bottom"/>
          </w:tcPr>
          <w:p w14:paraId="6614BCD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Definition of international shipping income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49CEF33" w14:textId="691E47E0"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225</w:t>
            </w:r>
          </w:p>
        </w:tc>
      </w:tr>
      <w:tr w:rsidR="00C33621" w:rsidRPr="00EB655C" w14:paraId="421F5E53" w14:textId="77777777">
        <w:trPr>
          <w:trHeight w:val="300"/>
        </w:trPr>
        <w:tc>
          <w:tcPr>
            <w:tcW w:w="1694" w:type="dxa"/>
            <w:tcBorders>
              <w:top w:val="nil"/>
              <w:left w:val="single" w:sz="4" w:space="0" w:color="auto"/>
              <w:bottom w:val="single" w:sz="4" w:space="0" w:color="auto"/>
              <w:right w:val="single" w:sz="4" w:space="0" w:color="auto"/>
            </w:tcBorders>
            <w:vAlign w:val="bottom"/>
          </w:tcPr>
          <w:p w14:paraId="0AC59F7C"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3.3.3</w:t>
            </w:r>
          </w:p>
        </w:tc>
        <w:tc>
          <w:tcPr>
            <w:tcW w:w="3953" w:type="dxa"/>
            <w:tcBorders>
              <w:top w:val="nil"/>
              <w:left w:val="single" w:sz="4" w:space="0" w:color="auto"/>
              <w:bottom w:val="single" w:sz="4" w:space="0" w:color="auto"/>
              <w:right w:val="single" w:sz="4" w:space="0" w:color="auto"/>
            </w:tcBorders>
            <w:vAlign w:val="bottom"/>
          </w:tcPr>
          <w:p w14:paraId="5A8415A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Definition of qualified ancillary international shipping income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83EF3E5" w14:textId="10E21413"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230</w:t>
            </w:r>
          </w:p>
        </w:tc>
      </w:tr>
      <w:tr w:rsidR="00C33621" w:rsidRPr="00EB655C" w14:paraId="78A45D2E" w14:textId="77777777">
        <w:trPr>
          <w:trHeight w:val="600"/>
        </w:trPr>
        <w:tc>
          <w:tcPr>
            <w:tcW w:w="1694" w:type="dxa"/>
            <w:tcBorders>
              <w:top w:val="nil"/>
              <w:left w:val="single" w:sz="4" w:space="0" w:color="auto"/>
              <w:bottom w:val="single" w:sz="4" w:space="0" w:color="auto"/>
              <w:right w:val="single" w:sz="4" w:space="0" w:color="auto"/>
            </w:tcBorders>
            <w:vAlign w:val="bottom"/>
          </w:tcPr>
          <w:p w14:paraId="4872709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3.3.4</w:t>
            </w:r>
          </w:p>
        </w:tc>
        <w:tc>
          <w:tcPr>
            <w:tcW w:w="3953" w:type="dxa"/>
            <w:tcBorders>
              <w:top w:val="nil"/>
              <w:left w:val="single" w:sz="4" w:space="0" w:color="auto"/>
              <w:bottom w:val="single" w:sz="4" w:space="0" w:color="auto"/>
              <w:right w:val="single" w:sz="4" w:space="0" w:color="auto"/>
            </w:tcBorders>
            <w:vAlign w:val="bottom"/>
          </w:tcPr>
          <w:p w14:paraId="695633E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Cap on qualified ancillary international shipping income: max. is 50% of International shipping income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B12506E" w14:textId="439D16DF"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230(1)</w:t>
            </w:r>
          </w:p>
        </w:tc>
      </w:tr>
      <w:tr w:rsidR="00C33621" w:rsidRPr="00EB655C" w14:paraId="0FA69085" w14:textId="77777777">
        <w:trPr>
          <w:trHeight w:val="600"/>
        </w:trPr>
        <w:tc>
          <w:tcPr>
            <w:tcW w:w="1694" w:type="dxa"/>
            <w:tcBorders>
              <w:top w:val="nil"/>
              <w:left w:val="single" w:sz="4" w:space="0" w:color="auto"/>
              <w:bottom w:val="single" w:sz="4" w:space="0" w:color="auto"/>
              <w:right w:val="single" w:sz="4" w:space="0" w:color="auto"/>
            </w:tcBorders>
            <w:vAlign w:val="bottom"/>
          </w:tcPr>
          <w:p w14:paraId="5497AA0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3.3.5</w:t>
            </w:r>
          </w:p>
        </w:tc>
        <w:tc>
          <w:tcPr>
            <w:tcW w:w="3953" w:type="dxa"/>
            <w:tcBorders>
              <w:top w:val="nil"/>
              <w:left w:val="single" w:sz="4" w:space="0" w:color="auto"/>
              <w:bottom w:val="single" w:sz="4" w:space="0" w:color="auto"/>
              <w:right w:val="single" w:sz="4" w:space="0" w:color="auto"/>
            </w:tcBorders>
            <w:vAlign w:val="bottom"/>
          </w:tcPr>
          <w:p w14:paraId="5962427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Costs associated with ancillary international or international shipping are deducted from the revenue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99D3929" w14:textId="0804E0D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225</w:t>
            </w:r>
            <w:r w:rsidRPr="00EB655C">
              <w:rPr>
                <w:rFonts w:eastAsia="Times New Roman" w:cs="Times New Roman"/>
                <w:sz w:val="20"/>
                <w:szCs w:val="20"/>
                <w:lang w:eastAsia="en-AU"/>
              </w:rPr>
              <w:t>(3) and 3</w:t>
            </w:r>
            <w:r>
              <w:rPr>
                <w:rFonts w:eastAsia="Times New Roman" w:cs="Times New Roman"/>
                <w:sz w:val="20"/>
                <w:szCs w:val="20"/>
                <w:lang w:eastAsia="en-AU"/>
              </w:rPr>
              <w:noBreakHyphen/>
              <w:t>230</w:t>
            </w:r>
            <w:r w:rsidRPr="00EB655C">
              <w:rPr>
                <w:rFonts w:eastAsia="Times New Roman" w:cs="Times New Roman"/>
                <w:sz w:val="20"/>
                <w:szCs w:val="20"/>
                <w:lang w:eastAsia="en-AU"/>
              </w:rPr>
              <w:t>(4)</w:t>
            </w:r>
          </w:p>
        </w:tc>
      </w:tr>
      <w:tr w:rsidR="00C33621" w:rsidRPr="00EB655C" w14:paraId="43F247C2" w14:textId="77777777">
        <w:trPr>
          <w:trHeight w:val="600"/>
        </w:trPr>
        <w:tc>
          <w:tcPr>
            <w:tcW w:w="1694" w:type="dxa"/>
            <w:tcBorders>
              <w:top w:val="nil"/>
              <w:left w:val="single" w:sz="4" w:space="0" w:color="auto"/>
              <w:bottom w:val="single" w:sz="4" w:space="0" w:color="auto"/>
              <w:right w:val="single" w:sz="4" w:space="0" w:color="auto"/>
            </w:tcBorders>
            <w:vAlign w:val="bottom"/>
          </w:tcPr>
          <w:p w14:paraId="040301C1"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3.3.6</w:t>
            </w:r>
          </w:p>
        </w:tc>
        <w:tc>
          <w:tcPr>
            <w:tcW w:w="3953" w:type="dxa"/>
            <w:tcBorders>
              <w:top w:val="nil"/>
              <w:left w:val="single" w:sz="4" w:space="0" w:color="auto"/>
              <w:bottom w:val="single" w:sz="4" w:space="0" w:color="auto"/>
              <w:right w:val="single" w:sz="4" w:space="0" w:color="auto"/>
            </w:tcBorders>
            <w:vAlign w:val="bottom"/>
          </w:tcPr>
          <w:p w14:paraId="02670EE0" w14:textId="4428B79F"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Condition to exclude international shipping income</w:t>
            </w:r>
            <w:r>
              <w:rPr>
                <w:rFonts w:eastAsia="Times New Roman" w:cs="Times New Roman"/>
                <w:sz w:val="20"/>
                <w:szCs w:val="20"/>
                <w:lang w:eastAsia="en-AU"/>
              </w:rPr>
              <w:t xml:space="preserve">: </w:t>
            </w:r>
            <w:r w:rsidRPr="00EB655C">
              <w:rPr>
                <w:rFonts w:eastAsia="Times New Roman" w:cs="Times New Roman"/>
                <w:sz w:val="20"/>
                <w:szCs w:val="20"/>
                <w:lang w:eastAsia="en-AU"/>
              </w:rPr>
              <w:t>strategic management of ships in same jurisdiction as the C</w:t>
            </w:r>
            <w:r>
              <w:rPr>
                <w:rFonts w:eastAsia="Times New Roman" w:cs="Times New Roman"/>
                <w:sz w:val="20"/>
                <w:szCs w:val="20"/>
                <w:lang w:eastAsia="en-AU"/>
              </w:rPr>
              <w:t xml:space="preserve">onstituent </w:t>
            </w:r>
            <w:r w:rsidRPr="00EB655C">
              <w:rPr>
                <w:rFonts w:eastAsia="Times New Roman" w:cs="Times New Roman"/>
                <w:sz w:val="20"/>
                <w:szCs w:val="20"/>
                <w:lang w:eastAsia="en-AU"/>
              </w:rPr>
              <w:t>E</w:t>
            </w:r>
            <w:r>
              <w:rPr>
                <w:rFonts w:eastAsia="Times New Roman" w:cs="Times New Roman"/>
                <w:sz w:val="20"/>
                <w:szCs w:val="20"/>
                <w:lang w:eastAsia="en-AU"/>
              </w:rPr>
              <w:t>ntity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6B25EF9" w14:textId="638596F3"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w:t>
            </w:r>
            <w:r>
              <w:rPr>
                <w:rFonts w:eastAsia="Times New Roman" w:cs="Times New Roman"/>
                <w:sz w:val="20"/>
                <w:szCs w:val="20"/>
                <w:lang w:eastAsia="en-AU"/>
              </w:rPr>
              <w:t>35</w:t>
            </w:r>
          </w:p>
        </w:tc>
      </w:tr>
      <w:tr w:rsidR="00C33621" w:rsidRPr="00EB655C" w14:paraId="67DAB6ED" w14:textId="77777777">
        <w:trPr>
          <w:trHeight w:val="300"/>
        </w:trPr>
        <w:tc>
          <w:tcPr>
            <w:tcW w:w="1694" w:type="dxa"/>
            <w:tcBorders>
              <w:top w:val="nil"/>
              <w:left w:val="single" w:sz="4" w:space="0" w:color="auto"/>
              <w:bottom w:val="single" w:sz="4" w:space="0" w:color="auto"/>
              <w:right w:val="single" w:sz="4" w:space="0" w:color="auto"/>
            </w:tcBorders>
            <w:vAlign w:val="bottom"/>
          </w:tcPr>
          <w:p w14:paraId="40B7AB07"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lastRenderedPageBreak/>
              <w:t>3.4</w:t>
            </w:r>
          </w:p>
        </w:tc>
        <w:tc>
          <w:tcPr>
            <w:tcW w:w="3953" w:type="dxa"/>
            <w:tcBorders>
              <w:top w:val="nil"/>
              <w:left w:val="single" w:sz="4" w:space="0" w:color="auto"/>
              <w:bottom w:val="single" w:sz="4" w:space="0" w:color="auto"/>
              <w:right w:val="single" w:sz="4" w:space="0" w:color="auto"/>
            </w:tcBorders>
            <w:vAlign w:val="bottom"/>
          </w:tcPr>
          <w:p w14:paraId="6129054E"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Allocation of Income or Loss between a Main Entity and a Permanent Establishment</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DBD7266"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3-4</w:t>
            </w:r>
          </w:p>
        </w:tc>
      </w:tr>
      <w:tr w:rsidR="00C33621" w:rsidRPr="00EB655C" w14:paraId="66096EBC" w14:textId="77777777">
        <w:trPr>
          <w:trHeight w:val="300"/>
        </w:trPr>
        <w:tc>
          <w:tcPr>
            <w:tcW w:w="1694" w:type="dxa"/>
            <w:tcBorders>
              <w:top w:val="nil"/>
              <w:left w:val="single" w:sz="4" w:space="0" w:color="auto"/>
              <w:bottom w:val="single" w:sz="4" w:space="0" w:color="auto"/>
              <w:right w:val="single" w:sz="4" w:space="0" w:color="auto"/>
            </w:tcBorders>
            <w:vAlign w:val="bottom"/>
          </w:tcPr>
          <w:p w14:paraId="4CA8965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3.4.1</w:t>
            </w:r>
          </w:p>
        </w:tc>
        <w:tc>
          <w:tcPr>
            <w:tcW w:w="3953" w:type="dxa"/>
            <w:tcBorders>
              <w:top w:val="nil"/>
              <w:left w:val="single" w:sz="4" w:space="0" w:color="auto"/>
              <w:bottom w:val="single" w:sz="4" w:space="0" w:color="auto"/>
              <w:right w:val="single" w:sz="4" w:space="0" w:color="auto"/>
            </w:tcBorders>
            <w:vAlign w:val="bottom"/>
          </w:tcPr>
          <w:p w14:paraId="7A9B4A55" w14:textId="3DF1AF6A"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FANIL of a </w:t>
            </w:r>
            <w:r w:rsidRPr="00C33621">
              <w:rPr>
                <w:rFonts w:eastAsia="Times New Roman" w:cs="Times New Roman"/>
                <w:sz w:val="20"/>
                <w:szCs w:val="20"/>
                <w:lang w:eastAsia="en-AU"/>
              </w:rPr>
              <w:t xml:space="preserve">Permanent Establishment </w:t>
            </w:r>
            <w:r w:rsidRPr="00EB655C">
              <w:rPr>
                <w:rFonts w:eastAsia="Times New Roman" w:cs="Times New Roman"/>
                <w:sz w:val="20"/>
                <w:szCs w:val="20"/>
                <w:lang w:eastAsia="en-AU"/>
              </w:rPr>
              <w:t>(definition (a), (b) and (c))</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27FA5D3" w14:textId="65EDE0D0"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w:t>
            </w:r>
            <w:r>
              <w:rPr>
                <w:rFonts w:eastAsia="Times New Roman" w:cs="Times New Roman"/>
                <w:sz w:val="20"/>
                <w:szCs w:val="20"/>
                <w:lang w:eastAsia="en-AU"/>
              </w:rPr>
              <w:t>40</w:t>
            </w:r>
            <w:r w:rsidRPr="00EB655C">
              <w:rPr>
                <w:rFonts w:eastAsia="Times New Roman" w:cs="Times New Roman"/>
                <w:sz w:val="20"/>
                <w:szCs w:val="20"/>
                <w:lang w:eastAsia="en-AU"/>
              </w:rPr>
              <w:t>(1)</w:t>
            </w:r>
          </w:p>
        </w:tc>
      </w:tr>
      <w:tr w:rsidR="00C33621" w:rsidRPr="00EB655C" w14:paraId="46300465" w14:textId="77777777">
        <w:trPr>
          <w:trHeight w:val="300"/>
        </w:trPr>
        <w:tc>
          <w:tcPr>
            <w:tcW w:w="1694" w:type="dxa"/>
            <w:tcBorders>
              <w:top w:val="nil"/>
              <w:left w:val="single" w:sz="4" w:space="0" w:color="auto"/>
              <w:bottom w:val="single" w:sz="4" w:space="0" w:color="auto"/>
              <w:right w:val="single" w:sz="4" w:space="0" w:color="auto"/>
            </w:tcBorders>
            <w:vAlign w:val="bottom"/>
          </w:tcPr>
          <w:p w14:paraId="12EA0F65"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3.4.2</w:t>
            </w:r>
          </w:p>
        </w:tc>
        <w:tc>
          <w:tcPr>
            <w:tcW w:w="3953" w:type="dxa"/>
            <w:tcBorders>
              <w:top w:val="nil"/>
              <w:left w:val="single" w:sz="4" w:space="0" w:color="auto"/>
              <w:bottom w:val="single" w:sz="4" w:space="0" w:color="auto"/>
              <w:right w:val="single" w:sz="4" w:space="0" w:color="auto"/>
            </w:tcBorders>
            <w:vAlign w:val="bottom"/>
          </w:tcPr>
          <w:p w14:paraId="385D5B27" w14:textId="53E11974"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Adjustments to the FANIL of a </w:t>
            </w:r>
            <w:r w:rsidRPr="00C33621">
              <w:rPr>
                <w:rFonts w:eastAsia="Times New Roman" w:cs="Times New Roman"/>
                <w:sz w:val="20"/>
                <w:szCs w:val="20"/>
                <w:lang w:eastAsia="en-AU"/>
              </w:rPr>
              <w:t>Permanent Establishment</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07EA941" w14:textId="6D472A5A"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w:t>
            </w:r>
            <w:r>
              <w:rPr>
                <w:rFonts w:eastAsia="Times New Roman" w:cs="Times New Roman"/>
                <w:sz w:val="20"/>
                <w:szCs w:val="20"/>
                <w:lang w:eastAsia="en-AU"/>
              </w:rPr>
              <w:t>45</w:t>
            </w:r>
          </w:p>
        </w:tc>
      </w:tr>
      <w:tr w:rsidR="00C33621" w:rsidRPr="00EB655C" w14:paraId="267992B8" w14:textId="77777777">
        <w:trPr>
          <w:trHeight w:val="300"/>
        </w:trPr>
        <w:tc>
          <w:tcPr>
            <w:tcW w:w="1694" w:type="dxa"/>
            <w:tcBorders>
              <w:top w:val="nil"/>
              <w:left w:val="single" w:sz="4" w:space="0" w:color="auto"/>
              <w:bottom w:val="single" w:sz="4" w:space="0" w:color="auto"/>
              <w:right w:val="single" w:sz="4" w:space="0" w:color="auto"/>
            </w:tcBorders>
            <w:vAlign w:val="bottom"/>
          </w:tcPr>
          <w:p w14:paraId="3B25722E"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3.4.3</w:t>
            </w:r>
          </w:p>
        </w:tc>
        <w:tc>
          <w:tcPr>
            <w:tcW w:w="3953" w:type="dxa"/>
            <w:tcBorders>
              <w:top w:val="nil"/>
              <w:left w:val="single" w:sz="4" w:space="0" w:color="auto"/>
              <w:bottom w:val="single" w:sz="4" w:space="0" w:color="auto"/>
              <w:right w:val="single" w:sz="4" w:space="0" w:color="auto"/>
            </w:tcBorders>
            <w:vAlign w:val="bottom"/>
          </w:tcPr>
          <w:p w14:paraId="269A203C" w14:textId="0FB074CF"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FANIL of a </w:t>
            </w:r>
            <w:r w:rsidRPr="00C33621">
              <w:rPr>
                <w:rFonts w:eastAsia="Times New Roman" w:cs="Times New Roman"/>
                <w:sz w:val="20"/>
                <w:szCs w:val="20"/>
                <w:lang w:eastAsia="en-AU"/>
              </w:rPr>
              <w:t xml:space="preserve">Permanent Establishment </w:t>
            </w:r>
            <w:r w:rsidRPr="00EB655C">
              <w:rPr>
                <w:rFonts w:eastAsia="Times New Roman" w:cs="Times New Roman"/>
                <w:sz w:val="20"/>
                <w:szCs w:val="20"/>
                <w:lang w:eastAsia="en-AU"/>
              </w:rPr>
              <w:t>(definition (d))</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1D36941" w14:textId="41D70DE9"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w:t>
            </w:r>
            <w:r>
              <w:rPr>
                <w:rFonts w:eastAsia="Times New Roman" w:cs="Times New Roman"/>
                <w:sz w:val="20"/>
                <w:szCs w:val="20"/>
                <w:lang w:eastAsia="en-AU"/>
              </w:rPr>
              <w:t>40</w:t>
            </w:r>
            <w:r w:rsidRPr="00EB655C">
              <w:rPr>
                <w:rFonts w:eastAsia="Times New Roman" w:cs="Times New Roman"/>
                <w:sz w:val="20"/>
                <w:szCs w:val="20"/>
                <w:lang w:eastAsia="en-AU"/>
              </w:rPr>
              <w:t>(2)</w:t>
            </w:r>
          </w:p>
        </w:tc>
      </w:tr>
      <w:tr w:rsidR="00C33621" w:rsidRPr="00EB655C" w14:paraId="7F86394D" w14:textId="77777777">
        <w:trPr>
          <w:trHeight w:val="300"/>
        </w:trPr>
        <w:tc>
          <w:tcPr>
            <w:tcW w:w="1694" w:type="dxa"/>
            <w:tcBorders>
              <w:top w:val="nil"/>
              <w:left w:val="single" w:sz="4" w:space="0" w:color="auto"/>
              <w:bottom w:val="single" w:sz="4" w:space="0" w:color="auto"/>
              <w:right w:val="single" w:sz="4" w:space="0" w:color="auto"/>
            </w:tcBorders>
            <w:vAlign w:val="bottom"/>
          </w:tcPr>
          <w:p w14:paraId="20FE67D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3.4.4</w:t>
            </w:r>
          </w:p>
        </w:tc>
        <w:tc>
          <w:tcPr>
            <w:tcW w:w="3953" w:type="dxa"/>
            <w:tcBorders>
              <w:top w:val="nil"/>
              <w:left w:val="single" w:sz="4" w:space="0" w:color="auto"/>
              <w:bottom w:val="single" w:sz="4" w:space="0" w:color="auto"/>
              <w:right w:val="single" w:sz="4" w:space="0" w:color="auto"/>
            </w:tcBorders>
            <w:vAlign w:val="bottom"/>
          </w:tcPr>
          <w:p w14:paraId="5AE2D9DB" w14:textId="0AA56036"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Main entity does not account for the FANIL of a </w:t>
            </w:r>
            <w:r w:rsidRPr="00C33621">
              <w:rPr>
                <w:rFonts w:eastAsia="Times New Roman" w:cs="Times New Roman"/>
                <w:sz w:val="20"/>
                <w:szCs w:val="20"/>
                <w:lang w:eastAsia="en-AU"/>
              </w:rPr>
              <w:t>Permanent Establishment</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BCC8139" w14:textId="5DB8624B"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w:t>
            </w:r>
            <w:r>
              <w:rPr>
                <w:rFonts w:eastAsia="Times New Roman" w:cs="Times New Roman"/>
                <w:sz w:val="20"/>
                <w:szCs w:val="20"/>
                <w:lang w:eastAsia="en-AU"/>
              </w:rPr>
              <w:t>50</w:t>
            </w:r>
            <w:r w:rsidRPr="00EB655C">
              <w:rPr>
                <w:rFonts w:eastAsia="Times New Roman" w:cs="Times New Roman"/>
                <w:sz w:val="20"/>
                <w:szCs w:val="20"/>
                <w:lang w:eastAsia="en-AU"/>
              </w:rPr>
              <w:t>(1)</w:t>
            </w:r>
          </w:p>
        </w:tc>
      </w:tr>
      <w:tr w:rsidR="00C33621" w:rsidRPr="00EB655C" w14:paraId="7FB29B67" w14:textId="77777777">
        <w:trPr>
          <w:trHeight w:val="300"/>
        </w:trPr>
        <w:tc>
          <w:tcPr>
            <w:tcW w:w="1694" w:type="dxa"/>
            <w:tcBorders>
              <w:top w:val="nil"/>
              <w:left w:val="single" w:sz="4" w:space="0" w:color="auto"/>
              <w:bottom w:val="single" w:sz="4" w:space="0" w:color="auto"/>
              <w:right w:val="single" w:sz="4" w:space="0" w:color="auto"/>
            </w:tcBorders>
            <w:vAlign w:val="bottom"/>
          </w:tcPr>
          <w:p w14:paraId="5B5137C1"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3.4.5</w:t>
            </w:r>
          </w:p>
        </w:tc>
        <w:tc>
          <w:tcPr>
            <w:tcW w:w="3953" w:type="dxa"/>
            <w:tcBorders>
              <w:top w:val="nil"/>
              <w:left w:val="single" w:sz="4" w:space="0" w:color="auto"/>
              <w:bottom w:val="single" w:sz="4" w:space="0" w:color="auto"/>
              <w:right w:val="single" w:sz="4" w:space="0" w:color="auto"/>
            </w:tcBorders>
            <w:vAlign w:val="bottom"/>
          </w:tcPr>
          <w:p w14:paraId="55D4DFD2" w14:textId="61445B85"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GloBE loss of a P</w:t>
            </w:r>
            <w:r>
              <w:rPr>
                <w:rFonts w:eastAsia="Times New Roman" w:cs="Times New Roman"/>
                <w:sz w:val="20"/>
                <w:szCs w:val="20"/>
                <w:lang w:eastAsia="en-AU"/>
              </w:rPr>
              <w:t xml:space="preserve">ermanent </w:t>
            </w:r>
            <w:r w:rsidRPr="00EB655C">
              <w:rPr>
                <w:rFonts w:eastAsia="Times New Roman" w:cs="Times New Roman"/>
                <w:sz w:val="20"/>
                <w:szCs w:val="20"/>
                <w:lang w:eastAsia="en-AU"/>
              </w:rPr>
              <w:t>E</w:t>
            </w:r>
            <w:r>
              <w:rPr>
                <w:rFonts w:eastAsia="Times New Roman" w:cs="Times New Roman"/>
                <w:sz w:val="20"/>
                <w:szCs w:val="20"/>
                <w:lang w:eastAsia="en-AU"/>
              </w:rPr>
              <w:t>stablishment</w:t>
            </w:r>
            <w:r w:rsidRPr="00EB655C">
              <w:rPr>
                <w:rFonts w:eastAsia="Times New Roman" w:cs="Times New Roman"/>
                <w:sz w:val="20"/>
                <w:szCs w:val="20"/>
                <w:lang w:eastAsia="en-AU"/>
              </w:rPr>
              <w:t xml:space="preserve"> is an expense of the Main entity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29B6D07" w14:textId="5958C505"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w:t>
            </w:r>
            <w:r>
              <w:rPr>
                <w:rFonts w:eastAsia="Times New Roman" w:cs="Times New Roman"/>
                <w:sz w:val="20"/>
                <w:szCs w:val="20"/>
                <w:lang w:eastAsia="en-AU"/>
              </w:rPr>
              <w:t>50</w:t>
            </w:r>
            <w:r w:rsidRPr="00EB655C">
              <w:rPr>
                <w:rFonts w:eastAsia="Times New Roman" w:cs="Times New Roman"/>
                <w:sz w:val="20"/>
                <w:szCs w:val="20"/>
                <w:lang w:eastAsia="en-AU"/>
              </w:rPr>
              <w:t>(2)</w:t>
            </w:r>
          </w:p>
        </w:tc>
      </w:tr>
      <w:tr w:rsidR="00C33621" w:rsidRPr="00EB655C" w14:paraId="2E8976CA" w14:textId="77777777">
        <w:trPr>
          <w:trHeight w:val="300"/>
        </w:trPr>
        <w:tc>
          <w:tcPr>
            <w:tcW w:w="1694" w:type="dxa"/>
            <w:tcBorders>
              <w:top w:val="nil"/>
              <w:left w:val="single" w:sz="4" w:space="0" w:color="auto"/>
              <w:bottom w:val="single" w:sz="4" w:space="0" w:color="auto"/>
              <w:right w:val="single" w:sz="4" w:space="0" w:color="auto"/>
            </w:tcBorders>
            <w:vAlign w:val="bottom"/>
          </w:tcPr>
          <w:p w14:paraId="0200B3E9"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3.5</w:t>
            </w:r>
          </w:p>
        </w:tc>
        <w:tc>
          <w:tcPr>
            <w:tcW w:w="3953" w:type="dxa"/>
            <w:tcBorders>
              <w:top w:val="nil"/>
              <w:left w:val="single" w:sz="4" w:space="0" w:color="auto"/>
              <w:bottom w:val="single" w:sz="4" w:space="0" w:color="auto"/>
              <w:right w:val="single" w:sz="4" w:space="0" w:color="auto"/>
            </w:tcBorders>
            <w:vAlign w:val="bottom"/>
          </w:tcPr>
          <w:p w14:paraId="70029DED" w14:textId="24BB991A"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Allocation of Income or Loss from a Flow</w:t>
            </w:r>
            <w:r>
              <w:rPr>
                <w:rFonts w:eastAsia="Times New Roman" w:cs="Times New Roman"/>
                <w:b/>
                <w:bCs/>
                <w:sz w:val="20"/>
                <w:szCs w:val="20"/>
                <w:lang w:eastAsia="en-AU"/>
              </w:rPr>
              <w:noBreakHyphen/>
            </w:r>
            <w:r w:rsidRPr="00EB655C">
              <w:rPr>
                <w:rFonts w:eastAsia="Times New Roman" w:cs="Times New Roman"/>
                <w:b/>
                <w:bCs/>
                <w:sz w:val="20"/>
                <w:szCs w:val="20"/>
                <w:lang w:eastAsia="en-AU"/>
              </w:rPr>
              <w:t>through Entity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F71745A"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3-5</w:t>
            </w:r>
          </w:p>
        </w:tc>
      </w:tr>
      <w:tr w:rsidR="00C33621" w:rsidRPr="00EB655C" w14:paraId="11146740" w14:textId="77777777">
        <w:trPr>
          <w:trHeight w:val="300"/>
        </w:trPr>
        <w:tc>
          <w:tcPr>
            <w:tcW w:w="1694" w:type="dxa"/>
            <w:tcBorders>
              <w:top w:val="nil"/>
              <w:left w:val="single" w:sz="4" w:space="0" w:color="auto"/>
              <w:bottom w:val="single" w:sz="4" w:space="0" w:color="auto"/>
              <w:right w:val="single" w:sz="4" w:space="0" w:color="auto"/>
            </w:tcBorders>
            <w:vAlign w:val="bottom"/>
          </w:tcPr>
          <w:p w14:paraId="6A9EF1E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3.5.1</w:t>
            </w:r>
          </w:p>
        </w:tc>
        <w:tc>
          <w:tcPr>
            <w:tcW w:w="3953" w:type="dxa"/>
            <w:tcBorders>
              <w:top w:val="nil"/>
              <w:left w:val="single" w:sz="4" w:space="0" w:color="auto"/>
              <w:bottom w:val="single" w:sz="4" w:space="0" w:color="auto"/>
              <w:right w:val="single" w:sz="4" w:space="0" w:color="auto"/>
            </w:tcBorders>
            <w:vAlign w:val="bottom"/>
          </w:tcPr>
          <w:p w14:paraId="6EB338E8" w14:textId="55C6DD44"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Allocation rules for a </w:t>
            </w:r>
            <w:r>
              <w:rPr>
                <w:rFonts w:eastAsia="Times New Roman" w:cs="Times New Roman"/>
                <w:sz w:val="20"/>
                <w:szCs w:val="20"/>
                <w:lang w:eastAsia="en-AU"/>
              </w:rPr>
              <w:t>F</w:t>
            </w:r>
            <w:r w:rsidRPr="00EB655C">
              <w:rPr>
                <w:rFonts w:eastAsia="Times New Roman" w:cs="Times New Roman"/>
                <w:sz w:val="20"/>
                <w:szCs w:val="20"/>
                <w:lang w:eastAsia="en-AU"/>
              </w:rPr>
              <w:t>low</w:t>
            </w:r>
            <w:r>
              <w:rPr>
                <w:rFonts w:eastAsia="Times New Roman" w:cs="Times New Roman"/>
                <w:sz w:val="20"/>
                <w:szCs w:val="20"/>
                <w:lang w:eastAsia="en-AU"/>
              </w:rPr>
              <w:noBreakHyphen/>
            </w:r>
            <w:r w:rsidRPr="00EB655C">
              <w:rPr>
                <w:rFonts w:eastAsia="Times New Roman" w:cs="Times New Roman"/>
                <w:sz w:val="20"/>
                <w:szCs w:val="20"/>
                <w:lang w:eastAsia="en-AU"/>
              </w:rPr>
              <w:t xml:space="preserve">through </w:t>
            </w:r>
            <w:r>
              <w:rPr>
                <w:rFonts w:eastAsia="Times New Roman" w:cs="Times New Roman"/>
                <w:sz w:val="20"/>
                <w:szCs w:val="20"/>
                <w:lang w:eastAsia="en-AU"/>
              </w:rPr>
              <w:t>E</w:t>
            </w:r>
            <w:r w:rsidRPr="00EB655C">
              <w:rPr>
                <w:rFonts w:eastAsia="Times New Roman" w:cs="Times New Roman"/>
                <w:sz w:val="20"/>
                <w:szCs w:val="20"/>
                <w:lang w:eastAsia="en-AU"/>
              </w:rPr>
              <w:t xml:space="preserve">ntity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C9AFE23" w14:textId="416DECEF"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w:t>
            </w:r>
            <w:r>
              <w:rPr>
                <w:rFonts w:eastAsia="Times New Roman" w:cs="Times New Roman"/>
                <w:sz w:val="20"/>
                <w:szCs w:val="20"/>
                <w:lang w:eastAsia="en-AU"/>
              </w:rPr>
              <w:t>55</w:t>
            </w:r>
            <w:r w:rsidRPr="00EB655C">
              <w:rPr>
                <w:rFonts w:eastAsia="Times New Roman" w:cs="Times New Roman"/>
                <w:sz w:val="20"/>
                <w:szCs w:val="20"/>
                <w:lang w:eastAsia="en-AU"/>
              </w:rPr>
              <w:t>(1)(b)</w:t>
            </w:r>
          </w:p>
        </w:tc>
      </w:tr>
      <w:tr w:rsidR="00C33621" w:rsidRPr="00EB655C" w14:paraId="30EE89A3" w14:textId="77777777">
        <w:trPr>
          <w:trHeight w:val="300"/>
        </w:trPr>
        <w:tc>
          <w:tcPr>
            <w:tcW w:w="1694" w:type="dxa"/>
            <w:tcBorders>
              <w:top w:val="nil"/>
              <w:left w:val="single" w:sz="4" w:space="0" w:color="auto"/>
              <w:bottom w:val="single" w:sz="4" w:space="0" w:color="auto"/>
              <w:right w:val="single" w:sz="4" w:space="0" w:color="auto"/>
            </w:tcBorders>
            <w:vAlign w:val="bottom"/>
          </w:tcPr>
          <w:p w14:paraId="56C9B05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3.5.2</w:t>
            </w:r>
          </w:p>
        </w:tc>
        <w:tc>
          <w:tcPr>
            <w:tcW w:w="3953" w:type="dxa"/>
            <w:tcBorders>
              <w:top w:val="nil"/>
              <w:left w:val="single" w:sz="4" w:space="0" w:color="auto"/>
              <w:bottom w:val="single" w:sz="4" w:space="0" w:color="auto"/>
              <w:right w:val="single" w:sz="4" w:space="0" w:color="auto"/>
            </w:tcBorders>
            <w:vAlign w:val="bottom"/>
          </w:tcPr>
          <w:p w14:paraId="127E7B8F"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Apply 3.5.1 to each ownership interest in the flow through entity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956C5CA" w14:textId="1EBBAD53"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w:t>
            </w:r>
            <w:r>
              <w:rPr>
                <w:rFonts w:eastAsia="Times New Roman" w:cs="Times New Roman"/>
                <w:sz w:val="20"/>
                <w:szCs w:val="20"/>
                <w:lang w:eastAsia="en-AU"/>
              </w:rPr>
              <w:t>55</w:t>
            </w:r>
            <w:r w:rsidRPr="00EB655C">
              <w:rPr>
                <w:rFonts w:eastAsia="Times New Roman" w:cs="Times New Roman"/>
                <w:sz w:val="20"/>
                <w:szCs w:val="20"/>
                <w:lang w:eastAsia="en-AU"/>
              </w:rPr>
              <w:t>(4)</w:t>
            </w:r>
          </w:p>
        </w:tc>
      </w:tr>
      <w:tr w:rsidR="00C33621" w:rsidRPr="00EB655C" w14:paraId="4227D933" w14:textId="77777777">
        <w:trPr>
          <w:trHeight w:val="300"/>
        </w:trPr>
        <w:tc>
          <w:tcPr>
            <w:tcW w:w="1694" w:type="dxa"/>
            <w:tcBorders>
              <w:top w:val="nil"/>
              <w:left w:val="single" w:sz="4" w:space="0" w:color="auto"/>
              <w:bottom w:val="single" w:sz="4" w:space="0" w:color="auto"/>
              <w:right w:val="single" w:sz="4" w:space="0" w:color="auto"/>
            </w:tcBorders>
            <w:vAlign w:val="bottom"/>
          </w:tcPr>
          <w:p w14:paraId="4A22EEF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3.5.3</w:t>
            </w:r>
          </w:p>
        </w:tc>
        <w:tc>
          <w:tcPr>
            <w:tcW w:w="3953" w:type="dxa"/>
            <w:tcBorders>
              <w:top w:val="nil"/>
              <w:left w:val="single" w:sz="4" w:space="0" w:color="auto"/>
              <w:bottom w:val="single" w:sz="4" w:space="0" w:color="auto"/>
              <w:right w:val="single" w:sz="4" w:space="0" w:color="auto"/>
            </w:tcBorders>
            <w:vAlign w:val="bottom"/>
          </w:tcPr>
          <w:p w14:paraId="3936F8F0" w14:textId="0D4BFE8D"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Reduce the FANIL of a </w:t>
            </w:r>
            <w:r>
              <w:rPr>
                <w:rFonts w:eastAsia="Times New Roman" w:cs="Times New Roman"/>
                <w:sz w:val="20"/>
                <w:szCs w:val="20"/>
                <w:lang w:eastAsia="en-AU"/>
              </w:rPr>
              <w:t>F</w:t>
            </w:r>
            <w:r w:rsidRPr="00EB655C">
              <w:rPr>
                <w:rFonts w:eastAsia="Times New Roman" w:cs="Times New Roman"/>
                <w:sz w:val="20"/>
                <w:szCs w:val="20"/>
                <w:lang w:eastAsia="en-AU"/>
              </w:rPr>
              <w:t>low</w:t>
            </w:r>
            <w:r>
              <w:rPr>
                <w:rFonts w:eastAsia="Times New Roman" w:cs="Times New Roman"/>
                <w:sz w:val="20"/>
                <w:szCs w:val="20"/>
                <w:lang w:eastAsia="en-AU"/>
              </w:rPr>
              <w:noBreakHyphen/>
            </w:r>
            <w:r w:rsidRPr="00EB655C">
              <w:rPr>
                <w:rFonts w:eastAsia="Times New Roman" w:cs="Times New Roman"/>
                <w:sz w:val="20"/>
                <w:szCs w:val="20"/>
                <w:lang w:eastAsia="en-AU"/>
              </w:rPr>
              <w:t xml:space="preserve">through </w:t>
            </w:r>
            <w:r w:rsidR="00316BF7">
              <w:rPr>
                <w:rFonts w:eastAsia="Times New Roman" w:cs="Times New Roman"/>
                <w:sz w:val="20"/>
                <w:szCs w:val="20"/>
                <w:lang w:eastAsia="en-AU"/>
              </w:rPr>
              <w:t xml:space="preserve">Entity </w:t>
            </w:r>
            <w:r w:rsidRPr="00EB655C">
              <w:rPr>
                <w:rFonts w:eastAsia="Times New Roman" w:cs="Times New Roman"/>
                <w:sz w:val="20"/>
                <w:szCs w:val="20"/>
                <w:lang w:eastAsia="en-AU"/>
              </w:rPr>
              <w:t xml:space="preserve">by amounts allocated to non-group </w:t>
            </w:r>
            <w:r w:rsidR="00316BF7">
              <w:rPr>
                <w:rFonts w:eastAsia="Times New Roman" w:cs="Times New Roman"/>
                <w:sz w:val="20"/>
                <w:szCs w:val="20"/>
                <w:lang w:eastAsia="en-AU"/>
              </w:rPr>
              <w:t>E</w:t>
            </w:r>
            <w:r w:rsidRPr="00EB655C">
              <w:rPr>
                <w:rFonts w:eastAsia="Times New Roman" w:cs="Times New Roman"/>
                <w:sz w:val="20"/>
                <w:szCs w:val="20"/>
                <w:lang w:eastAsia="en-AU"/>
              </w:rPr>
              <w:t xml:space="preserve">ntities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CF8DC4B" w14:textId="5FC4AE3C"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w:t>
            </w:r>
            <w:r>
              <w:rPr>
                <w:rFonts w:eastAsia="Times New Roman" w:cs="Times New Roman"/>
                <w:sz w:val="20"/>
                <w:szCs w:val="20"/>
                <w:lang w:eastAsia="en-AU"/>
              </w:rPr>
              <w:t>55</w:t>
            </w:r>
            <w:r w:rsidRPr="00EB655C">
              <w:rPr>
                <w:rFonts w:eastAsia="Times New Roman" w:cs="Times New Roman"/>
                <w:sz w:val="20"/>
                <w:szCs w:val="20"/>
                <w:lang w:eastAsia="en-AU"/>
              </w:rPr>
              <w:t>(1)(a)</w:t>
            </w:r>
          </w:p>
        </w:tc>
      </w:tr>
      <w:tr w:rsidR="00C33621" w:rsidRPr="00EB655C" w14:paraId="40C66664" w14:textId="77777777">
        <w:trPr>
          <w:trHeight w:val="300"/>
        </w:trPr>
        <w:tc>
          <w:tcPr>
            <w:tcW w:w="1694" w:type="dxa"/>
            <w:tcBorders>
              <w:top w:val="nil"/>
              <w:left w:val="single" w:sz="4" w:space="0" w:color="auto"/>
              <w:bottom w:val="single" w:sz="4" w:space="0" w:color="auto"/>
              <w:right w:val="single" w:sz="4" w:space="0" w:color="auto"/>
            </w:tcBorders>
            <w:vAlign w:val="bottom"/>
          </w:tcPr>
          <w:p w14:paraId="0DC45CF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3.5.4</w:t>
            </w:r>
          </w:p>
        </w:tc>
        <w:tc>
          <w:tcPr>
            <w:tcW w:w="3953" w:type="dxa"/>
            <w:tcBorders>
              <w:top w:val="nil"/>
              <w:left w:val="single" w:sz="4" w:space="0" w:color="auto"/>
              <w:bottom w:val="single" w:sz="4" w:space="0" w:color="auto"/>
              <w:right w:val="single" w:sz="4" w:space="0" w:color="auto"/>
            </w:tcBorders>
            <w:vAlign w:val="bottom"/>
          </w:tcPr>
          <w:p w14:paraId="412EFE44" w14:textId="39EA179B"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3.5.3 does not apply to a UPE that is a </w:t>
            </w:r>
            <w:r>
              <w:rPr>
                <w:rFonts w:eastAsia="Times New Roman" w:cs="Times New Roman"/>
                <w:sz w:val="20"/>
                <w:szCs w:val="20"/>
                <w:lang w:eastAsia="en-AU"/>
              </w:rPr>
              <w:t>F</w:t>
            </w:r>
            <w:r w:rsidRPr="00EB655C">
              <w:rPr>
                <w:rFonts w:eastAsia="Times New Roman" w:cs="Times New Roman"/>
                <w:sz w:val="20"/>
                <w:szCs w:val="20"/>
                <w:lang w:eastAsia="en-AU"/>
              </w:rPr>
              <w:t>low</w:t>
            </w:r>
            <w:r>
              <w:rPr>
                <w:rFonts w:eastAsia="Times New Roman" w:cs="Times New Roman"/>
                <w:sz w:val="20"/>
                <w:szCs w:val="20"/>
                <w:lang w:eastAsia="en-AU"/>
              </w:rPr>
              <w:noBreakHyphen/>
            </w:r>
            <w:r w:rsidRPr="00EB655C">
              <w:rPr>
                <w:rFonts w:eastAsia="Times New Roman" w:cs="Times New Roman"/>
                <w:sz w:val="20"/>
                <w:szCs w:val="20"/>
                <w:lang w:eastAsia="en-AU"/>
              </w:rPr>
              <w:t xml:space="preserve">through </w:t>
            </w:r>
            <w:r w:rsidR="00316BF7">
              <w:rPr>
                <w:rFonts w:eastAsia="Times New Roman" w:cs="Times New Roman"/>
                <w:sz w:val="20"/>
                <w:szCs w:val="20"/>
                <w:lang w:eastAsia="en-AU"/>
              </w:rPr>
              <w:t xml:space="preserve">Entity </w:t>
            </w:r>
            <w:r w:rsidRPr="00EB655C">
              <w:rPr>
                <w:rFonts w:eastAsia="Times New Roman" w:cs="Times New Roman"/>
                <w:sz w:val="20"/>
                <w:szCs w:val="20"/>
                <w:lang w:eastAsia="en-AU"/>
              </w:rPr>
              <w:t xml:space="preserve">or a </w:t>
            </w:r>
            <w:r>
              <w:rPr>
                <w:rFonts w:eastAsia="Times New Roman" w:cs="Times New Roman"/>
                <w:sz w:val="20"/>
                <w:szCs w:val="20"/>
                <w:lang w:eastAsia="en-AU"/>
              </w:rPr>
              <w:t>F</w:t>
            </w:r>
            <w:r w:rsidRPr="00EB655C">
              <w:rPr>
                <w:rFonts w:eastAsia="Times New Roman" w:cs="Times New Roman"/>
                <w:sz w:val="20"/>
                <w:szCs w:val="20"/>
                <w:lang w:eastAsia="en-AU"/>
              </w:rPr>
              <w:t>low</w:t>
            </w:r>
            <w:r>
              <w:rPr>
                <w:rFonts w:eastAsia="Times New Roman" w:cs="Times New Roman"/>
                <w:sz w:val="20"/>
                <w:szCs w:val="20"/>
                <w:lang w:eastAsia="en-AU"/>
              </w:rPr>
              <w:noBreakHyphen/>
            </w:r>
            <w:r w:rsidRPr="00EB655C">
              <w:rPr>
                <w:rFonts w:eastAsia="Times New Roman" w:cs="Times New Roman"/>
                <w:sz w:val="20"/>
                <w:szCs w:val="20"/>
                <w:lang w:eastAsia="en-AU"/>
              </w:rPr>
              <w:t xml:space="preserve">through owned by a </w:t>
            </w:r>
            <w:r>
              <w:rPr>
                <w:rFonts w:eastAsia="Times New Roman" w:cs="Times New Roman"/>
                <w:sz w:val="20"/>
                <w:szCs w:val="20"/>
                <w:lang w:eastAsia="en-AU"/>
              </w:rPr>
              <w:t>F</w:t>
            </w:r>
            <w:r w:rsidRPr="00EB655C">
              <w:rPr>
                <w:rFonts w:eastAsia="Times New Roman" w:cs="Times New Roman"/>
                <w:sz w:val="20"/>
                <w:szCs w:val="20"/>
                <w:lang w:eastAsia="en-AU"/>
              </w:rPr>
              <w:t>low</w:t>
            </w:r>
            <w:r>
              <w:rPr>
                <w:rFonts w:eastAsia="Times New Roman" w:cs="Times New Roman"/>
                <w:sz w:val="20"/>
                <w:szCs w:val="20"/>
                <w:lang w:eastAsia="en-AU"/>
              </w:rPr>
              <w:noBreakHyphen/>
            </w:r>
            <w:r w:rsidRPr="00EB655C">
              <w:rPr>
                <w:rFonts w:eastAsia="Times New Roman" w:cs="Times New Roman"/>
                <w:sz w:val="20"/>
                <w:szCs w:val="20"/>
                <w:lang w:eastAsia="en-AU"/>
              </w:rPr>
              <w:t xml:space="preserve">through UPE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2DD59AF" w14:textId="1FA220EF"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w:t>
            </w:r>
            <w:r>
              <w:rPr>
                <w:rFonts w:eastAsia="Times New Roman" w:cs="Times New Roman"/>
                <w:sz w:val="20"/>
                <w:szCs w:val="20"/>
                <w:lang w:eastAsia="en-AU"/>
              </w:rPr>
              <w:t>55</w:t>
            </w:r>
            <w:r w:rsidRPr="00EB655C">
              <w:rPr>
                <w:rFonts w:eastAsia="Times New Roman" w:cs="Times New Roman"/>
                <w:sz w:val="20"/>
                <w:szCs w:val="20"/>
                <w:lang w:eastAsia="en-AU"/>
              </w:rPr>
              <w:t>(2)</w:t>
            </w:r>
          </w:p>
        </w:tc>
      </w:tr>
      <w:tr w:rsidR="00C33621" w:rsidRPr="00EB655C" w14:paraId="559B7C46" w14:textId="77777777">
        <w:trPr>
          <w:trHeight w:val="300"/>
        </w:trPr>
        <w:tc>
          <w:tcPr>
            <w:tcW w:w="1694" w:type="dxa"/>
            <w:tcBorders>
              <w:top w:val="nil"/>
              <w:left w:val="single" w:sz="4" w:space="0" w:color="auto"/>
              <w:bottom w:val="single" w:sz="4" w:space="0" w:color="auto"/>
              <w:right w:val="single" w:sz="4" w:space="0" w:color="auto"/>
            </w:tcBorders>
            <w:vAlign w:val="bottom"/>
          </w:tcPr>
          <w:p w14:paraId="1652DFAD"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3.5.5</w:t>
            </w:r>
          </w:p>
        </w:tc>
        <w:tc>
          <w:tcPr>
            <w:tcW w:w="3953" w:type="dxa"/>
            <w:tcBorders>
              <w:top w:val="nil"/>
              <w:left w:val="single" w:sz="4" w:space="0" w:color="auto"/>
              <w:bottom w:val="single" w:sz="4" w:space="0" w:color="auto"/>
              <w:right w:val="single" w:sz="4" w:space="0" w:color="auto"/>
            </w:tcBorders>
            <w:vAlign w:val="bottom"/>
          </w:tcPr>
          <w:p w14:paraId="045B9F0E" w14:textId="26479813"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Reduce FANIL of a Flow</w:t>
            </w:r>
            <w:r w:rsidR="002330EF">
              <w:rPr>
                <w:rFonts w:eastAsia="Times New Roman" w:cs="Times New Roman"/>
                <w:sz w:val="20"/>
                <w:szCs w:val="20"/>
                <w:lang w:eastAsia="en-AU"/>
              </w:rPr>
              <w:noBreakHyphen/>
            </w:r>
            <w:r w:rsidRPr="00EB655C">
              <w:rPr>
                <w:rFonts w:eastAsia="Times New Roman" w:cs="Times New Roman"/>
                <w:sz w:val="20"/>
                <w:szCs w:val="20"/>
                <w:lang w:eastAsia="en-AU"/>
              </w:rPr>
              <w:t xml:space="preserve">through </w:t>
            </w:r>
            <w:r w:rsidR="00C36C78">
              <w:rPr>
                <w:rFonts w:eastAsia="Times New Roman" w:cs="Times New Roman"/>
                <w:sz w:val="20"/>
                <w:szCs w:val="20"/>
                <w:lang w:eastAsia="en-AU"/>
              </w:rPr>
              <w:t>E</w:t>
            </w:r>
            <w:r w:rsidR="00316BF7">
              <w:rPr>
                <w:rFonts w:eastAsia="Times New Roman" w:cs="Times New Roman"/>
                <w:sz w:val="20"/>
                <w:szCs w:val="20"/>
                <w:lang w:eastAsia="en-AU"/>
              </w:rPr>
              <w:t xml:space="preserve">ntity </w:t>
            </w:r>
            <w:r w:rsidRPr="00EB655C">
              <w:rPr>
                <w:rFonts w:eastAsia="Times New Roman" w:cs="Times New Roman"/>
                <w:sz w:val="20"/>
                <w:szCs w:val="20"/>
                <w:lang w:eastAsia="en-AU"/>
              </w:rPr>
              <w:t>by amounts allocated to another C</w:t>
            </w:r>
            <w:r>
              <w:rPr>
                <w:rFonts w:eastAsia="Times New Roman" w:cs="Times New Roman"/>
                <w:sz w:val="20"/>
                <w:szCs w:val="20"/>
                <w:lang w:eastAsia="en-AU"/>
              </w:rPr>
              <w:t xml:space="preserve">onstituent </w:t>
            </w:r>
            <w:r w:rsidRPr="00EB655C">
              <w:rPr>
                <w:rFonts w:eastAsia="Times New Roman" w:cs="Times New Roman"/>
                <w:sz w:val="20"/>
                <w:szCs w:val="20"/>
                <w:lang w:eastAsia="en-AU"/>
              </w:rPr>
              <w:t>E</w:t>
            </w:r>
            <w:r>
              <w:rPr>
                <w:rFonts w:eastAsia="Times New Roman" w:cs="Times New Roman"/>
                <w:sz w:val="20"/>
                <w:szCs w:val="20"/>
                <w:lang w:eastAsia="en-AU"/>
              </w:rPr>
              <w:t>ntity</w:t>
            </w:r>
            <w:r w:rsidRPr="00EB655C">
              <w:rPr>
                <w:rFonts w:eastAsia="Times New Roman" w:cs="Times New Roman"/>
                <w:sz w:val="20"/>
                <w:szCs w:val="20"/>
                <w:lang w:eastAsia="en-AU"/>
              </w:rPr>
              <w:t xml:space="preserve">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9F1A032" w14:textId="431DA448"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w:t>
            </w:r>
            <w:r>
              <w:rPr>
                <w:rFonts w:eastAsia="Times New Roman" w:cs="Times New Roman"/>
                <w:sz w:val="20"/>
                <w:szCs w:val="20"/>
                <w:lang w:eastAsia="en-AU"/>
              </w:rPr>
              <w:t>55</w:t>
            </w:r>
            <w:r w:rsidRPr="00EB655C">
              <w:rPr>
                <w:rFonts w:eastAsia="Times New Roman" w:cs="Times New Roman"/>
                <w:sz w:val="20"/>
                <w:szCs w:val="20"/>
                <w:lang w:eastAsia="en-AU"/>
              </w:rPr>
              <w:t>(3)</w:t>
            </w:r>
          </w:p>
        </w:tc>
      </w:tr>
      <w:tr w:rsidR="00C33621" w:rsidRPr="00EB655C" w14:paraId="6FEB166D" w14:textId="77777777">
        <w:trPr>
          <w:trHeight w:val="300"/>
        </w:trPr>
        <w:tc>
          <w:tcPr>
            <w:tcW w:w="7475" w:type="dxa"/>
            <w:gridSpan w:val="3"/>
            <w:tcBorders>
              <w:top w:val="nil"/>
              <w:left w:val="single" w:sz="4" w:space="0" w:color="auto"/>
              <w:bottom w:val="single" w:sz="4" w:space="0" w:color="auto"/>
              <w:right w:val="single" w:sz="4" w:space="0" w:color="auto"/>
            </w:tcBorders>
            <w:vAlign w:val="bottom"/>
          </w:tcPr>
          <w:p w14:paraId="48FB68AA" w14:textId="77777777" w:rsidR="00C33621" w:rsidRPr="00EB655C" w:rsidRDefault="00C33621" w:rsidP="00C33621">
            <w:pPr>
              <w:pStyle w:val="Tableheaderrowtext"/>
              <w:numPr>
                <w:ilvl w:val="3"/>
                <w:numId w:val="2"/>
              </w:numPr>
              <w:rPr>
                <w:lang w:eastAsia="en-AU"/>
              </w:rPr>
            </w:pPr>
            <w:r>
              <w:rPr>
                <w:lang w:eastAsia="en-AU"/>
              </w:rPr>
              <w:t xml:space="preserve">Chapter 4 - </w:t>
            </w:r>
            <w:r w:rsidRPr="009D39A5">
              <w:rPr>
                <w:lang w:eastAsia="en-AU"/>
              </w:rPr>
              <w:t>Computation of Adjusted Covered</w:t>
            </w:r>
            <w:r>
              <w:rPr>
                <w:lang w:eastAsia="en-AU"/>
              </w:rPr>
              <w:t xml:space="preserve"> </w:t>
            </w:r>
            <w:r w:rsidRPr="009D39A5">
              <w:rPr>
                <w:lang w:eastAsia="en-AU"/>
              </w:rPr>
              <w:t>Taxes</w:t>
            </w:r>
          </w:p>
        </w:tc>
      </w:tr>
      <w:tr w:rsidR="00C33621" w:rsidRPr="00EB655C" w14:paraId="53ECC309" w14:textId="77777777">
        <w:trPr>
          <w:trHeight w:val="300"/>
        </w:trPr>
        <w:tc>
          <w:tcPr>
            <w:tcW w:w="1694" w:type="dxa"/>
            <w:tcBorders>
              <w:top w:val="nil"/>
              <w:left w:val="single" w:sz="4" w:space="0" w:color="auto"/>
              <w:bottom w:val="single" w:sz="4" w:space="0" w:color="auto"/>
              <w:right w:val="single" w:sz="4" w:space="0" w:color="auto"/>
            </w:tcBorders>
            <w:vAlign w:val="bottom"/>
          </w:tcPr>
          <w:p w14:paraId="28C8372E"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4.1</w:t>
            </w:r>
          </w:p>
        </w:tc>
        <w:tc>
          <w:tcPr>
            <w:tcW w:w="3953" w:type="dxa"/>
            <w:tcBorders>
              <w:top w:val="nil"/>
              <w:left w:val="single" w:sz="4" w:space="0" w:color="auto"/>
              <w:bottom w:val="single" w:sz="4" w:space="0" w:color="auto"/>
              <w:right w:val="single" w:sz="4" w:space="0" w:color="auto"/>
            </w:tcBorders>
            <w:vAlign w:val="bottom"/>
          </w:tcPr>
          <w:p w14:paraId="23F9A2A0"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 xml:space="preserve">Adjusted Covered Taxes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AE08F78"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4-1</w:t>
            </w:r>
          </w:p>
        </w:tc>
      </w:tr>
      <w:tr w:rsidR="00C33621" w:rsidRPr="00EB655C" w14:paraId="396C07C1" w14:textId="77777777">
        <w:trPr>
          <w:trHeight w:val="300"/>
        </w:trPr>
        <w:tc>
          <w:tcPr>
            <w:tcW w:w="1694" w:type="dxa"/>
            <w:tcBorders>
              <w:top w:val="nil"/>
              <w:left w:val="single" w:sz="4" w:space="0" w:color="auto"/>
              <w:bottom w:val="single" w:sz="4" w:space="0" w:color="auto"/>
              <w:right w:val="single" w:sz="4" w:space="0" w:color="auto"/>
            </w:tcBorders>
            <w:vAlign w:val="bottom"/>
          </w:tcPr>
          <w:p w14:paraId="3D03254F"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4.1.1</w:t>
            </w:r>
          </w:p>
        </w:tc>
        <w:tc>
          <w:tcPr>
            <w:tcW w:w="3953" w:type="dxa"/>
            <w:tcBorders>
              <w:top w:val="nil"/>
              <w:left w:val="single" w:sz="4" w:space="0" w:color="auto"/>
              <w:bottom w:val="single" w:sz="4" w:space="0" w:color="auto"/>
              <w:right w:val="single" w:sz="4" w:space="0" w:color="auto"/>
            </w:tcBorders>
            <w:vAlign w:val="bottom"/>
          </w:tcPr>
          <w:p w14:paraId="3CBB16E6" w14:textId="5C71E165"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Meaning of </w:t>
            </w:r>
            <w:r w:rsidR="007159E6">
              <w:rPr>
                <w:rFonts w:eastAsia="Times New Roman" w:cs="Times New Roman"/>
                <w:sz w:val="20"/>
                <w:szCs w:val="20"/>
                <w:lang w:eastAsia="en-AU"/>
              </w:rPr>
              <w:t>A</w:t>
            </w:r>
            <w:r w:rsidR="004D2443" w:rsidRPr="00EB655C">
              <w:rPr>
                <w:rFonts w:eastAsia="Times New Roman" w:cs="Times New Roman"/>
                <w:sz w:val="20"/>
                <w:szCs w:val="20"/>
                <w:lang w:eastAsia="en-AU"/>
              </w:rPr>
              <w:t xml:space="preserve">djusted </w:t>
            </w:r>
            <w:r w:rsidR="007159E6">
              <w:rPr>
                <w:rFonts w:eastAsia="Times New Roman" w:cs="Times New Roman"/>
                <w:sz w:val="20"/>
                <w:szCs w:val="20"/>
                <w:lang w:eastAsia="en-AU"/>
              </w:rPr>
              <w:t>C</w:t>
            </w:r>
            <w:r w:rsidR="004D2443" w:rsidRPr="00EB655C">
              <w:rPr>
                <w:rFonts w:eastAsia="Times New Roman" w:cs="Times New Roman"/>
                <w:sz w:val="20"/>
                <w:szCs w:val="20"/>
                <w:lang w:eastAsia="en-AU"/>
              </w:rPr>
              <w:t xml:space="preserve">overed </w:t>
            </w:r>
            <w:r w:rsidR="007159E6">
              <w:rPr>
                <w:rFonts w:eastAsia="Times New Roman" w:cs="Times New Roman"/>
                <w:sz w:val="20"/>
                <w:szCs w:val="20"/>
                <w:lang w:eastAsia="en-AU"/>
              </w:rPr>
              <w:t>T</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06A4F2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4-5</w:t>
            </w:r>
          </w:p>
        </w:tc>
      </w:tr>
      <w:tr w:rsidR="00C33621" w:rsidRPr="00EB655C" w14:paraId="47D53475" w14:textId="77777777">
        <w:trPr>
          <w:trHeight w:val="300"/>
        </w:trPr>
        <w:tc>
          <w:tcPr>
            <w:tcW w:w="1694" w:type="dxa"/>
            <w:tcBorders>
              <w:top w:val="nil"/>
              <w:left w:val="single" w:sz="4" w:space="0" w:color="auto"/>
              <w:bottom w:val="single" w:sz="4" w:space="0" w:color="auto"/>
              <w:right w:val="single" w:sz="4" w:space="0" w:color="auto"/>
            </w:tcBorders>
            <w:vAlign w:val="bottom"/>
          </w:tcPr>
          <w:p w14:paraId="00723695"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4.1.2</w:t>
            </w:r>
          </w:p>
        </w:tc>
        <w:tc>
          <w:tcPr>
            <w:tcW w:w="3953" w:type="dxa"/>
            <w:tcBorders>
              <w:top w:val="nil"/>
              <w:left w:val="single" w:sz="4" w:space="0" w:color="auto"/>
              <w:bottom w:val="single" w:sz="4" w:space="0" w:color="auto"/>
              <w:right w:val="single" w:sz="4" w:space="0" w:color="auto"/>
            </w:tcBorders>
            <w:vAlign w:val="bottom"/>
          </w:tcPr>
          <w:p w14:paraId="38A49FD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Additions to covered taxes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E94A6F1"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4-15</w:t>
            </w:r>
          </w:p>
        </w:tc>
      </w:tr>
      <w:tr w:rsidR="00C33621" w:rsidRPr="00EB655C" w14:paraId="78DF0FF1" w14:textId="77777777">
        <w:trPr>
          <w:trHeight w:val="300"/>
        </w:trPr>
        <w:tc>
          <w:tcPr>
            <w:tcW w:w="1694" w:type="dxa"/>
            <w:tcBorders>
              <w:top w:val="nil"/>
              <w:left w:val="single" w:sz="4" w:space="0" w:color="auto"/>
              <w:bottom w:val="single" w:sz="4" w:space="0" w:color="auto"/>
              <w:right w:val="single" w:sz="4" w:space="0" w:color="auto"/>
            </w:tcBorders>
            <w:vAlign w:val="bottom"/>
          </w:tcPr>
          <w:p w14:paraId="594A3C3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4.1.3</w:t>
            </w:r>
          </w:p>
        </w:tc>
        <w:tc>
          <w:tcPr>
            <w:tcW w:w="3953" w:type="dxa"/>
            <w:tcBorders>
              <w:top w:val="nil"/>
              <w:left w:val="single" w:sz="4" w:space="0" w:color="auto"/>
              <w:bottom w:val="single" w:sz="4" w:space="0" w:color="auto"/>
              <w:right w:val="single" w:sz="4" w:space="0" w:color="auto"/>
            </w:tcBorders>
            <w:vAlign w:val="bottom"/>
          </w:tcPr>
          <w:p w14:paraId="0FF5611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Reductions to covered taxes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39AE8B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4-20</w:t>
            </w:r>
          </w:p>
        </w:tc>
      </w:tr>
      <w:tr w:rsidR="00C33621" w:rsidRPr="00EB655C" w14:paraId="4778EA01" w14:textId="77777777">
        <w:trPr>
          <w:trHeight w:val="300"/>
        </w:trPr>
        <w:tc>
          <w:tcPr>
            <w:tcW w:w="1694" w:type="dxa"/>
            <w:tcBorders>
              <w:top w:val="nil"/>
              <w:left w:val="single" w:sz="4" w:space="0" w:color="auto"/>
              <w:bottom w:val="single" w:sz="4" w:space="0" w:color="auto"/>
              <w:right w:val="single" w:sz="4" w:space="0" w:color="auto"/>
            </w:tcBorders>
            <w:vAlign w:val="bottom"/>
          </w:tcPr>
          <w:p w14:paraId="207391B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4.1.4</w:t>
            </w:r>
          </w:p>
        </w:tc>
        <w:tc>
          <w:tcPr>
            <w:tcW w:w="3953" w:type="dxa"/>
            <w:tcBorders>
              <w:top w:val="nil"/>
              <w:left w:val="single" w:sz="4" w:space="0" w:color="auto"/>
              <w:bottom w:val="single" w:sz="4" w:space="0" w:color="auto"/>
              <w:right w:val="single" w:sz="4" w:space="0" w:color="auto"/>
            </w:tcBorders>
            <w:vAlign w:val="bottom"/>
          </w:tcPr>
          <w:p w14:paraId="0CAA6C1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No double counting of covered taxes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10211FE"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4-25</w:t>
            </w:r>
          </w:p>
        </w:tc>
      </w:tr>
      <w:tr w:rsidR="00C33621" w:rsidRPr="00EB655C" w14:paraId="2E77AD83" w14:textId="77777777">
        <w:trPr>
          <w:trHeight w:val="300"/>
        </w:trPr>
        <w:tc>
          <w:tcPr>
            <w:tcW w:w="1694" w:type="dxa"/>
            <w:tcBorders>
              <w:top w:val="nil"/>
              <w:left w:val="single" w:sz="4" w:space="0" w:color="auto"/>
              <w:bottom w:val="single" w:sz="4" w:space="0" w:color="auto"/>
              <w:right w:val="single" w:sz="4" w:space="0" w:color="auto"/>
            </w:tcBorders>
            <w:vAlign w:val="bottom"/>
          </w:tcPr>
          <w:p w14:paraId="04B61311"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4.1.5</w:t>
            </w:r>
          </w:p>
        </w:tc>
        <w:tc>
          <w:tcPr>
            <w:tcW w:w="3953" w:type="dxa"/>
            <w:tcBorders>
              <w:top w:val="nil"/>
              <w:left w:val="single" w:sz="4" w:space="0" w:color="auto"/>
              <w:bottom w:val="single" w:sz="4" w:space="0" w:color="auto"/>
              <w:right w:val="single" w:sz="4" w:space="0" w:color="auto"/>
            </w:tcBorders>
            <w:vAlign w:val="bottom"/>
          </w:tcPr>
          <w:p w14:paraId="580624ED" w14:textId="69D0535F" w:rsidR="00C33621" w:rsidRPr="00EB655C" w:rsidRDefault="004D2443"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Expected </w:t>
            </w:r>
            <w:r w:rsidR="007159E6" w:rsidRPr="00EB655C">
              <w:rPr>
                <w:rFonts w:eastAsia="Times New Roman" w:cs="Times New Roman"/>
                <w:sz w:val="20"/>
                <w:szCs w:val="20"/>
                <w:lang w:eastAsia="en-AU"/>
              </w:rPr>
              <w:t xml:space="preserve">Adjusted Covered Taxes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EC3895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4-30</w:t>
            </w:r>
          </w:p>
        </w:tc>
      </w:tr>
      <w:tr w:rsidR="00C33621" w:rsidRPr="00EB655C" w14:paraId="6452DB68" w14:textId="77777777">
        <w:trPr>
          <w:trHeight w:val="300"/>
        </w:trPr>
        <w:tc>
          <w:tcPr>
            <w:tcW w:w="1694" w:type="dxa"/>
            <w:tcBorders>
              <w:top w:val="nil"/>
              <w:left w:val="single" w:sz="4" w:space="0" w:color="auto"/>
              <w:bottom w:val="single" w:sz="4" w:space="0" w:color="auto"/>
              <w:right w:val="single" w:sz="4" w:space="0" w:color="auto"/>
            </w:tcBorders>
            <w:vAlign w:val="bottom"/>
          </w:tcPr>
          <w:p w14:paraId="4048405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2.7 of the </w:t>
            </w:r>
            <w:r>
              <w:rPr>
                <w:rFonts w:eastAsia="Times New Roman" w:cs="Times New Roman"/>
                <w:sz w:val="20"/>
                <w:szCs w:val="20"/>
                <w:lang w:eastAsia="en-AU"/>
              </w:rPr>
              <w:t>February 2023</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2ED9744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Excess negative tax carry</w:t>
            </w:r>
            <w:r>
              <w:rPr>
                <w:rFonts w:eastAsia="Times New Roman" w:cs="Times New Roman"/>
                <w:sz w:val="20"/>
                <w:szCs w:val="20"/>
                <w:lang w:eastAsia="en-AU"/>
              </w:rPr>
              <w:t>-</w:t>
            </w:r>
            <w:r w:rsidRPr="00EB655C">
              <w:rPr>
                <w:rFonts w:eastAsia="Times New Roman" w:cs="Times New Roman"/>
                <w:sz w:val="20"/>
                <w:szCs w:val="20"/>
                <w:lang w:eastAsia="en-AU"/>
              </w:rPr>
              <w:t>forward guidance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74F328B" w14:textId="6BD5D30B"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4-30</w:t>
            </w:r>
            <w:r>
              <w:rPr>
                <w:rFonts w:eastAsia="Times New Roman" w:cs="Times New Roman"/>
                <w:sz w:val="20"/>
                <w:szCs w:val="20"/>
                <w:lang w:eastAsia="en-AU"/>
              </w:rPr>
              <w:t xml:space="preserve"> and 4-35</w:t>
            </w:r>
          </w:p>
        </w:tc>
      </w:tr>
      <w:tr w:rsidR="00C33621" w:rsidRPr="00EB655C" w14:paraId="3284050A" w14:textId="77777777">
        <w:trPr>
          <w:trHeight w:val="300"/>
        </w:trPr>
        <w:tc>
          <w:tcPr>
            <w:tcW w:w="1694" w:type="dxa"/>
            <w:tcBorders>
              <w:top w:val="nil"/>
              <w:left w:val="single" w:sz="4" w:space="0" w:color="auto"/>
              <w:bottom w:val="single" w:sz="4" w:space="0" w:color="auto"/>
              <w:right w:val="single" w:sz="4" w:space="0" w:color="auto"/>
            </w:tcBorders>
            <w:vAlign w:val="bottom"/>
          </w:tcPr>
          <w:p w14:paraId="59B8079C"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lastRenderedPageBreak/>
              <w:t>4.2</w:t>
            </w:r>
          </w:p>
        </w:tc>
        <w:tc>
          <w:tcPr>
            <w:tcW w:w="3953" w:type="dxa"/>
            <w:tcBorders>
              <w:top w:val="nil"/>
              <w:left w:val="single" w:sz="4" w:space="0" w:color="auto"/>
              <w:bottom w:val="single" w:sz="4" w:space="0" w:color="auto"/>
              <w:right w:val="single" w:sz="4" w:space="0" w:color="auto"/>
            </w:tcBorders>
            <w:vAlign w:val="bottom"/>
          </w:tcPr>
          <w:p w14:paraId="0408DBEB"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Definition of Covered Taxes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2E97D97"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4-2</w:t>
            </w:r>
          </w:p>
        </w:tc>
      </w:tr>
      <w:tr w:rsidR="00C33621" w:rsidRPr="00EB655C" w14:paraId="73743038" w14:textId="77777777">
        <w:trPr>
          <w:trHeight w:val="300"/>
        </w:trPr>
        <w:tc>
          <w:tcPr>
            <w:tcW w:w="1694" w:type="dxa"/>
            <w:tcBorders>
              <w:top w:val="nil"/>
              <w:left w:val="single" w:sz="4" w:space="0" w:color="auto"/>
              <w:bottom w:val="single" w:sz="4" w:space="0" w:color="auto"/>
              <w:right w:val="single" w:sz="4" w:space="0" w:color="auto"/>
            </w:tcBorders>
            <w:vAlign w:val="bottom"/>
          </w:tcPr>
          <w:p w14:paraId="0DC21BC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4.2.1</w:t>
            </w:r>
          </w:p>
        </w:tc>
        <w:tc>
          <w:tcPr>
            <w:tcW w:w="3953" w:type="dxa"/>
            <w:tcBorders>
              <w:top w:val="nil"/>
              <w:left w:val="single" w:sz="4" w:space="0" w:color="auto"/>
              <w:bottom w:val="single" w:sz="4" w:space="0" w:color="auto"/>
              <w:right w:val="single" w:sz="4" w:space="0" w:color="auto"/>
            </w:tcBorders>
            <w:vAlign w:val="bottom"/>
          </w:tcPr>
          <w:p w14:paraId="6AB0CEF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Included taxes in the meaning of covered taxes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C01284F" w14:textId="1F908A68"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40</w:t>
            </w:r>
          </w:p>
        </w:tc>
      </w:tr>
      <w:tr w:rsidR="00C33621" w:rsidRPr="00EB655C" w14:paraId="79BF054A" w14:textId="77777777">
        <w:trPr>
          <w:trHeight w:val="300"/>
        </w:trPr>
        <w:tc>
          <w:tcPr>
            <w:tcW w:w="1694" w:type="dxa"/>
            <w:tcBorders>
              <w:top w:val="nil"/>
              <w:left w:val="single" w:sz="4" w:space="0" w:color="auto"/>
              <w:bottom w:val="single" w:sz="4" w:space="0" w:color="auto"/>
              <w:right w:val="single" w:sz="4" w:space="0" w:color="auto"/>
            </w:tcBorders>
            <w:vAlign w:val="bottom"/>
          </w:tcPr>
          <w:p w14:paraId="4B6AC62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4.2.1(a)</w:t>
            </w:r>
          </w:p>
        </w:tc>
        <w:tc>
          <w:tcPr>
            <w:tcW w:w="3953" w:type="dxa"/>
            <w:tcBorders>
              <w:top w:val="nil"/>
              <w:left w:val="single" w:sz="4" w:space="0" w:color="auto"/>
              <w:bottom w:val="single" w:sz="4" w:space="0" w:color="auto"/>
              <w:right w:val="single" w:sz="4" w:space="0" w:color="auto"/>
            </w:tcBorders>
            <w:vAlign w:val="bottom"/>
          </w:tcPr>
          <w:p w14:paraId="5A40E96F" w14:textId="344BEF18"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Taxes in respect of a C</w:t>
            </w:r>
            <w:r>
              <w:rPr>
                <w:rFonts w:eastAsia="Times New Roman" w:cs="Times New Roman"/>
                <w:sz w:val="20"/>
                <w:szCs w:val="20"/>
                <w:lang w:eastAsia="en-AU"/>
              </w:rPr>
              <w:t xml:space="preserve">onstituent </w:t>
            </w:r>
            <w:r w:rsidR="007159E6">
              <w:rPr>
                <w:rFonts w:eastAsia="Times New Roman" w:cs="Times New Roman"/>
                <w:sz w:val="20"/>
                <w:szCs w:val="20"/>
                <w:lang w:eastAsia="en-AU"/>
              </w:rPr>
              <w:t>Entity’s</w:t>
            </w:r>
            <w:r w:rsidR="007159E6" w:rsidRPr="00EB655C">
              <w:rPr>
                <w:rFonts w:eastAsia="Times New Roman" w:cs="Times New Roman"/>
                <w:sz w:val="20"/>
                <w:szCs w:val="20"/>
                <w:lang w:eastAsia="en-AU"/>
              </w:rPr>
              <w:t xml:space="preserve"> </w:t>
            </w:r>
            <w:r w:rsidRPr="00EB655C">
              <w:rPr>
                <w:rFonts w:eastAsia="Times New Roman" w:cs="Times New Roman"/>
                <w:sz w:val="20"/>
                <w:szCs w:val="20"/>
                <w:lang w:eastAsia="en-AU"/>
              </w:rPr>
              <w:t xml:space="preserve">owner's interest in another entity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7483FAA" w14:textId="7443AC56"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40</w:t>
            </w:r>
            <w:r w:rsidRPr="00EB655C">
              <w:rPr>
                <w:rFonts w:eastAsia="Times New Roman" w:cs="Times New Roman"/>
                <w:sz w:val="20"/>
                <w:szCs w:val="20"/>
                <w:lang w:eastAsia="en-AU"/>
              </w:rPr>
              <w:t>(1)(a)</w:t>
            </w:r>
          </w:p>
        </w:tc>
      </w:tr>
      <w:tr w:rsidR="00C33621" w:rsidRPr="00EB655C" w14:paraId="629DDFCF" w14:textId="77777777">
        <w:trPr>
          <w:trHeight w:val="300"/>
        </w:trPr>
        <w:tc>
          <w:tcPr>
            <w:tcW w:w="1694" w:type="dxa"/>
            <w:tcBorders>
              <w:top w:val="nil"/>
              <w:left w:val="single" w:sz="4" w:space="0" w:color="auto"/>
              <w:bottom w:val="single" w:sz="4" w:space="0" w:color="auto"/>
              <w:right w:val="single" w:sz="4" w:space="0" w:color="auto"/>
            </w:tcBorders>
            <w:vAlign w:val="bottom"/>
          </w:tcPr>
          <w:p w14:paraId="303AF25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4.2.1(b)</w:t>
            </w:r>
          </w:p>
        </w:tc>
        <w:tc>
          <w:tcPr>
            <w:tcW w:w="3953" w:type="dxa"/>
            <w:tcBorders>
              <w:top w:val="nil"/>
              <w:left w:val="single" w:sz="4" w:space="0" w:color="auto"/>
              <w:bottom w:val="single" w:sz="4" w:space="0" w:color="auto"/>
              <w:right w:val="single" w:sz="4" w:space="0" w:color="auto"/>
            </w:tcBorders>
            <w:vAlign w:val="bottom"/>
          </w:tcPr>
          <w:p w14:paraId="607033F2"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Taxes on certain distributions and expenses under an Eligible Distribution Tax System</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B85AF2B" w14:textId="189969C6"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40</w:t>
            </w:r>
            <w:r w:rsidRPr="00EB655C">
              <w:rPr>
                <w:rFonts w:eastAsia="Times New Roman" w:cs="Times New Roman"/>
                <w:sz w:val="20"/>
                <w:szCs w:val="20"/>
                <w:lang w:eastAsia="en-AU"/>
              </w:rPr>
              <w:t>(1)(b)</w:t>
            </w:r>
          </w:p>
        </w:tc>
      </w:tr>
      <w:tr w:rsidR="00C33621" w:rsidRPr="00EB655C" w14:paraId="38C78BAD" w14:textId="77777777">
        <w:trPr>
          <w:trHeight w:val="300"/>
        </w:trPr>
        <w:tc>
          <w:tcPr>
            <w:tcW w:w="1694" w:type="dxa"/>
            <w:tcBorders>
              <w:top w:val="nil"/>
              <w:left w:val="single" w:sz="4" w:space="0" w:color="auto"/>
              <w:bottom w:val="single" w:sz="4" w:space="0" w:color="auto"/>
              <w:right w:val="single" w:sz="4" w:space="0" w:color="auto"/>
            </w:tcBorders>
            <w:vAlign w:val="bottom"/>
          </w:tcPr>
          <w:p w14:paraId="5D9FE43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4.2.1(c)</w:t>
            </w:r>
          </w:p>
        </w:tc>
        <w:tc>
          <w:tcPr>
            <w:tcW w:w="3953" w:type="dxa"/>
            <w:tcBorders>
              <w:top w:val="nil"/>
              <w:left w:val="single" w:sz="4" w:space="0" w:color="auto"/>
              <w:bottom w:val="single" w:sz="4" w:space="0" w:color="auto"/>
              <w:right w:val="single" w:sz="4" w:space="0" w:color="auto"/>
            </w:tcBorders>
            <w:vAlign w:val="bottom"/>
          </w:tcPr>
          <w:p w14:paraId="5A02C78E"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Taxes imposed in lieu of a corporate income tax</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7AE678E" w14:textId="7E847DE0"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40</w:t>
            </w:r>
            <w:r w:rsidRPr="00EB655C">
              <w:rPr>
                <w:rFonts w:eastAsia="Times New Roman" w:cs="Times New Roman"/>
                <w:sz w:val="20"/>
                <w:szCs w:val="20"/>
                <w:lang w:eastAsia="en-AU"/>
              </w:rPr>
              <w:t>(1)(c)</w:t>
            </w:r>
          </w:p>
        </w:tc>
      </w:tr>
      <w:tr w:rsidR="00C33621" w:rsidRPr="00EB655C" w14:paraId="7E9564FE" w14:textId="77777777">
        <w:trPr>
          <w:trHeight w:val="300"/>
        </w:trPr>
        <w:tc>
          <w:tcPr>
            <w:tcW w:w="1694" w:type="dxa"/>
            <w:tcBorders>
              <w:top w:val="nil"/>
              <w:left w:val="single" w:sz="4" w:space="0" w:color="auto"/>
              <w:bottom w:val="single" w:sz="4" w:space="0" w:color="auto"/>
              <w:right w:val="single" w:sz="4" w:space="0" w:color="auto"/>
            </w:tcBorders>
            <w:vAlign w:val="bottom"/>
          </w:tcPr>
          <w:p w14:paraId="5A46449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4.2.1(d)</w:t>
            </w:r>
          </w:p>
        </w:tc>
        <w:tc>
          <w:tcPr>
            <w:tcW w:w="3953" w:type="dxa"/>
            <w:tcBorders>
              <w:top w:val="nil"/>
              <w:left w:val="single" w:sz="4" w:space="0" w:color="auto"/>
              <w:bottom w:val="single" w:sz="4" w:space="0" w:color="auto"/>
              <w:right w:val="single" w:sz="4" w:space="0" w:color="auto"/>
            </w:tcBorders>
            <w:vAlign w:val="bottom"/>
          </w:tcPr>
          <w:p w14:paraId="54C1248C"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Taxes levied on retained earnings and corporate equity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0A3FFB4" w14:textId="1001EEA3"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40</w:t>
            </w:r>
            <w:r w:rsidRPr="00EB655C">
              <w:rPr>
                <w:rFonts w:eastAsia="Times New Roman" w:cs="Times New Roman"/>
                <w:sz w:val="20"/>
                <w:szCs w:val="20"/>
                <w:lang w:eastAsia="en-AU"/>
              </w:rPr>
              <w:t>(1)(d)</w:t>
            </w:r>
          </w:p>
        </w:tc>
      </w:tr>
      <w:tr w:rsidR="00C33621" w:rsidRPr="00EB655C" w14:paraId="134A1300" w14:textId="77777777">
        <w:trPr>
          <w:trHeight w:val="300"/>
        </w:trPr>
        <w:tc>
          <w:tcPr>
            <w:tcW w:w="1694" w:type="dxa"/>
            <w:tcBorders>
              <w:top w:val="nil"/>
              <w:left w:val="single" w:sz="4" w:space="0" w:color="auto"/>
              <w:bottom w:val="single" w:sz="4" w:space="0" w:color="auto"/>
              <w:right w:val="single" w:sz="4" w:space="0" w:color="auto"/>
            </w:tcBorders>
            <w:vAlign w:val="bottom"/>
          </w:tcPr>
          <w:p w14:paraId="445064D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4.2.2</w:t>
            </w:r>
          </w:p>
        </w:tc>
        <w:tc>
          <w:tcPr>
            <w:tcW w:w="3953" w:type="dxa"/>
            <w:tcBorders>
              <w:top w:val="nil"/>
              <w:left w:val="single" w:sz="4" w:space="0" w:color="auto"/>
              <w:bottom w:val="single" w:sz="4" w:space="0" w:color="auto"/>
              <w:right w:val="single" w:sz="4" w:space="0" w:color="auto"/>
            </w:tcBorders>
            <w:vAlign w:val="bottom"/>
          </w:tcPr>
          <w:p w14:paraId="5B39CD5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Excluded taxes in the meaning of covered taxes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387941E" w14:textId="6749CC0F"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40</w:t>
            </w:r>
          </w:p>
        </w:tc>
      </w:tr>
      <w:tr w:rsidR="00C33621" w:rsidRPr="00EB655C" w14:paraId="01D87209" w14:textId="77777777">
        <w:trPr>
          <w:trHeight w:val="300"/>
        </w:trPr>
        <w:tc>
          <w:tcPr>
            <w:tcW w:w="1694" w:type="dxa"/>
            <w:tcBorders>
              <w:top w:val="nil"/>
              <w:left w:val="single" w:sz="4" w:space="0" w:color="auto"/>
              <w:bottom w:val="single" w:sz="4" w:space="0" w:color="auto"/>
              <w:right w:val="single" w:sz="4" w:space="0" w:color="auto"/>
            </w:tcBorders>
            <w:vAlign w:val="bottom"/>
          </w:tcPr>
          <w:p w14:paraId="1BC7A12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4.2.2(a)</w:t>
            </w:r>
          </w:p>
        </w:tc>
        <w:tc>
          <w:tcPr>
            <w:tcW w:w="3953" w:type="dxa"/>
            <w:tcBorders>
              <w:top w:val="nil"/>
              <w:left w:val="single" w:sz="4" w:space="0" w:color="auto"/>
              <w:bottom w:val="single" w:sz="4" w:space="0" w:color="auto"/>
              <w:right w:val="single" w:sz="4" w:space="0" w:color="auto"/>
            </w:tcBorders>
            <w:vAlign w:val="bottom"/>
          </w:tcPr>
          <w:p w14:paraId="547DE07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Top-up Tax under a Qualified IIR</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C19B8EE" w14:textId="5138F648"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40</w:t>
            </w:r>
            <w:r w:rsidRPr="00EB655C">
              <w:rPr>
                <w:rFonts w:eastAsia="Times New Roman" w:cs="Times New Roman"/>
                <w:sz w:val="20"/>
                <w:szCs w:val="20"/>
                <w:lang w:eastAsia="en-AU"/>
              </w:rPr>
              <w:t>(2)(a)</w:t>
            </w:r>
          </w:p>
        </w:tc>
      </w:tr>
      <w:tr w:rsidR="00C33621" w:rsidRPr="00EB655C" w14:paraId="202D6612" w14:textId="77777777">
        <w:trPr>
          <w:trHeight w:val="300"/>
        </w:trPr>
        <w:tc>
          <w:tcPr>
            <w:tcW w:w="1694" w:type="dxa"/>
            <w:tcBorders>
              <w:top w:val="nil"/>
              <w:left w:val="single" w:sz="4" w:space="0" w:color="auto"/>
              <w:bottom w:val="single" w:sz="4" w:space="0" w:color="auto"/>
              <w:right w:val="single" w:sz="4" w:space="0" w:color="auto"/>
            </w:tcBorders>
            <w:vAlign w:val="bottom"/>
          </w:tcPr>
          <w:p w14:paraId="679B623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4.2.2(b)</w:t>
            </w:r>
          </w:p>
        </w:tc>
        <w:tc>
          <w:tcPr>
            <w:tcW w:w="3953" w:type="dxa"/>
            <w:tcBorders>
              <w:top w:val="nil"/>
              <w:left w:val="single" w:sz="4" w:space="0" w:color="auto"/>
              <w:bottom w:val="single" w:sz="4" w:space="0" w:color="auto"/>
              <w:right w:val="single" w:sz="4" w:space="0" w:color="auto"/>
            </w:tcBorders>
            <w:vAlign w:val="bottom"/>
          </w:tcPr>
          <w:p w14:paraId="4F13B27F"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Top-up Tax under a QDMTT</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1B38CCD" w14:textId="4DD5C775"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40</w:t>
            </w:r>
            <w:r w:rsidRPr="00EB655C">
              <w:rPr>
                <w:rFonts w:eastAsia="Times New Roman" w:cs="Times New Roman"/>
                <w:sz w:val="20"/>
                <w:szCs w:val="20"/>
                <w:lang w:eastAsia="en-AU"/>
              </w:rPr>
              <w:t>(2)(b)</w:t>
            </w:r>
          </w:p>
        </w:tc>
      </w:tr>
      <w:tr w:rsidR="00C33621" w:rsidRPr="00EB655C" w14:paraId="45B1036C" w14:textId="77777777">
        <w:trPr>
          <w:trHeight w:val="300"/>
        </w:trPr>
        <w:tc>
          <w:tcPr>
            <w:tcW w:w="1694" w:type="dxa"/>
            <w:tcBorders>
              <w:top w:val="nil"/>
              <w:left w:val="single" w:sz="4" w:space="0" w:color="auto"/>
              <w:bottom w:val="single" w:sz="4" w:space="0" w:color="auto"/>
              <w:right w:val="single" w:sz="4" w:space="0" w:color="auto"/>
            </w:tcBorders>
            <w:vAlign w:val="bottom"/>
          </w:tcPr>
          <w:p w14:paraId="08B192F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4.2.2(c)</w:t>
            </w:r>
          </w:p>
        </w:tc>
        <w:tc>
          <w:tcPr>
            <w:tcW w:w="3953" w:type="dxa"/>
            <w:tcBorders>
              <w:top w:val="nil"/>
              <w:left w:val="single" w:sz="4" w:space="0" w:color="auto"/>
              <w:bottom w:val="single" w:sz="4" w:space="0" w:color="auto"/>
              <w:right w:val="single" w:sz="4" w:space="0" w:color="auto"/>
            </w:tcBorders>
            <w:vAlign w:val="bottom"/>
          </w:tcPr>
          <w:p w14:paraId="1F5FB9B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Top-up-tax under a QUTPR</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6646CDC" w14:textId="41B8A0CE"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40</w:t>
            </w:r>
            <w:r w:rsidRPr="00EB655C">
              <w:rPr>
                <w:rFonts w:eastAsia="Times New Roman" w:cs="Times New Roman"/>
                <w:sz w:val="20"/>
                <w:szCs w:val="20"/>
                <w:lang w:eastAsia="en-AU"/>
              </w:rPr>
              <w:t>(2)(c)</w:t>
            </w:r>
          </w:p>
        </w:tc>
      </w:tr>
      <w:tr w:rsidR="00C33621" w:rsidRPr="00EB655C" w14:paraId="1195E6FB" w14:textId="77777777">
        <w:trPr>
          <w:trHeight w:val="300"/>
        </w:trPr>
        <w:tc>
          <w:tcPr>
            <w:tcW w:w="1694" w:type="dxa"/>
            <w:tcBorders>
              <w:top w:val="nil"/>
              <w:left w:val="single" w:sz="4" w:space="0" w:color="auto"/>
              <w:bottom w:val="single" w:sz="4" w:space="0" w:color="auto"/>
              <w:right w:val="single" w:sz="4" w:space="0" w:color="auto"/>
            </w:tcBorders>
            <w:vAlign w:val="bottom"/>
          </w:tcPr>
          <w:p w14:paraId="32DD155C"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4.2.2(d)</w:t>
            </w:r>
          </w:p>
        </w:tc>
        <w:tc>
          <w:tcPr>
            <w:tcW w:w="3953" w:type="dxa"/>
            <w:tcBorders>
              <w:top w:val="nil"/>
              <w:left w:val="single" w:sz="4" w:space="0" w:color="auto"/>
              <w:bottom w:val="single" w:sz="4" w:space="0" w:color="auto"/>
              <w:right w:val="single" w:sz="4" w:space="0" w:color="auto"/>
            </w:tcBorders>
            <w:vAlign w:val="bottom"/>
          </w:tcPr>
          <w:p w14:paraId="66893D11" w14:textId="2BC61232"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 Disqualified Refundable Imputation Tax</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9F89C6D" w14:textId="29A342D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40</w:t>
            </w:r>
            <w:r w:rsidRPr="00EB655C">
              <w:rPr>
                <w:rFonts w:eastAsia="Times New Roman" w:cs="Times New Roman"/>
                <w:sz w:val="20"/>
                <w:szCs w:val="20"/>
                <w:lang w:eastAsia="en-AU"/>
              </w:rPr>
              <w:t>(2)(d)</w:t>
            </w:r>
          </w:p>
        </w:tc>
      </w:tr>
      <w:tr w:rsidR="00C33621" w:rsidRPr="00EB655C" w14:paraId="69B813F5" w14:textId="77777777">
        <w:trPr>
          <w:trHeight w:val="300"/>
        </w:trPr>
        <w:tc>
          <w:tcPr>
            <w:tcW w:w="1694" w:type="dxa"/>
            <w:tcBorders>
              <w:top w:val="nil"/>
              <w:left w:val="single" w:sz="4" w:space="0" w:color="auto"/>
              <w:bottom w:val="single" w:sz="4" w:space="0" w:color="auto"/>
              <w:right w:val="single" w:sz="4" w:space="0" w:color="auto"/>
            </w:tcBorders>
            <w:vAlign w:val="bottom"/>
          </w:tcPr>
          <w:p w14:paraId="3ECAD572"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4.2.2(e)</w:t>
            </w:r>
          </w:p>
        </w:tc>
        <w:tc>
          <w:tcPr>
            <w:tcW w:w="3953" w:type="dxa"/>
            <w:tcBorders>
              <w:top w:val="nil"/>
              <w:left w:val="single" w:sz="4" w:space="0" w:color="auto"/>
              <w:bottom w:val="single" w:sz="4" w:space="0" w:color="auto"/>
              <w:right w:val="single" w:sz="4" w:space="0" w:color="auto"/>
            </w:tcBorders>
            <w:vAlign w:val="bottom"/>
          </w:tcPr>
          <w:p w14:paraId="066B3AF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Taxes paid by an insurance company in respect of returns to policyholders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AC24403" w14:textId="1A393489"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40</w:t>
            </w:r>
            <w:r w:rsidRPr="00EB655C">
              <w:rPr>
                <w:rFonts w:eastAsia="Times New Roman" w:cs="Times New Roman"/>
                <w:sz w:val="20"/>
                <w:szCs w:val="20"/>
                <w:lang w:eastAsia="en-AU"/>
              </w:rPr>
              <w:t>(2)(e)</w:t>
            </w:r>
          </w:p>
        </w:tc>
      </w:tr>
      <w:tr w:rsidR="00C33621" w:rsidRPr="00EB655C" w14:paraId="704282E0" w14:textId="77777777">
        <w:trPr>
          <w:trHeight w:val="600"/>
        </w:trPr>
        <w:tc>
          <w:tcPr>
            <w:tcW w:w="1694" w:type="dxa"/>
            <w:tcBorders>
              <w:top w:val="nil"/>
              <w:left w:val="single" w:sz="4" w:space="0" w:color="auto"/>
              <w:bottom w:val="single" w:sz="4" w:space="0" w:color="auto"/>
              <w:right w:val="single" w:sz="4" w:space="0" w:color="auto"/>
            </w:tcBorders>
            <w:vAlign w:val="bottom"/>
          </w:tcPr>
          <w:p w14:paraId="55E29B48"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4.3</w:t>
            </w:r>
          </w:p>
        </w:tc>
        <w:tc>
          <w:tcPr>
            <w:tcW w:w="3953" w:type="dxa"/>
            <w:tcBorders>
              <w:top w:val="nil"/>
              <w:left w:val="single" w:sz="4" w:space="0" w:color="auto"/>
              <w:bottom w:val="single" w:sz="4" w:space="0" w:color="auto"/>
              <w:right w:val="single" w:sz="4" w:space="0" w:color="auto"/>
            </w:tcBorders>
            <w:vAlign w:val="bottom"/>
          </w:tcPr>
          <w:p w14:paraId="716C0DF7"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Allocation of Covered Taxes from one Constituent Entity to another Constituent Entity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960C3C0"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4-3</w:t>
            </w:r>
          </w:p>
        </w:tc>
      </w:tr>
      <w:tr w:rsidR="00C33621" w:rsidRPr="00EB655C" w14:paraId="6644AD45" w14:textId="77777777">
        <w:trPr>
          <w:trHeight w:val="300"/>
        </w:trPr>
        <w:tc>
          <w:tcPr>
            <w:tcW w:w="1694" w:type="dxa"/>
            <w:tcBorders>
              <w:top w:val="nil"/>
              <w:left w:val="single" w:sz="4" w:space="0" w:color="auto"/>
              <w:bottom w:val="single" w:sz="4" w:space="0" w:color="auto"/>
              <w:right w:val="single" w:sz="4" w:space="0" w:color="auto"/>
            </w:tcBorders>
            <w:vAlign w:val="bottom"/>
          </w:tcPr>
          <w:p w14:paraId="42A3BB51"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4.3.1</w:t>
            </w:r>
          </w:p>
        </w:tc>
        <w:tc>
          <w:tcPr>
            <w:tcW w:w="3953" w:type="dxa"/>
            <w:tcBorders>
              <w:top w:val="nil"/>
              <w:left w:val="single" w:sz="4" w:space="0" w:color="auto"/>
              <w:bottom w:val="single" w:sz="4" w:space="0" w:color="auto"/>
              <w:right w:val="single" w:sz="4" w:space="0" w:color="auto"/>
            </w:tcBorders>
            <w:vAlign w:val="bottom"/>
          </w:tcPr>
          <w:p w14:paraId="1E55FAA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Scope of application of covered taxes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37DA58B" w14:textId="43E3729B"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4-4</w:t>
            </w:r>
            <w:r>
              <w:rPr>
                <w:rFonts w:eastAsia="Times New Roman" w:cs="Times New Roman"/>
                <w:sz w:val="20"/>
                <w:szCs w:val="20"/>
                <w:lang w:eastAsia="en-AU"/>
              </w:rPr>
              <w:t>5</w:t>
            </w:r>
            <w:r w:rsidRPr="00EB655C">
              <w:rPr>
                <w:rFonts w:eastAsia="Times New Roman" w:cs="Times New Roman"/>
                <w:sz w:val="20"/>
                <w:szCs w:val="20"/>
                <w:lang w:eastAsia="en-AU"/>
              </w:rPr>
              <w:t xml:space="preserve"> to 4-</w:t>
            </w:r>
            <w:r>
              <w:rPr>
                <w:rFonts w:eastAsia="Times New Roman" w:cs="Times New Roman"/>
                <w:sz w:val="20"/>
                <w:szCs w:val="20"/>
                <w:lang w:eastAsia="en-AU"/>
              </w:rPr>
              <w:t>80</w:t>
            </w:r>
          </w:p>
        </w:tc>
      </w:tr>
      <w:tr w:rsidR="00C33621" w:rsidRPr="00EB655C" w14:paraId="3115587D" w14:textId="77777777">
        <w:trPr>
          <w:trHeight w:val="300"/>
        </w:trPr>
        <w:tc>
          <w:tcPr>
            <w:tcW w:w="1694" w:type="dxa"/>
            <w:tcBorders>
              <w:top w:val="nil"/>
              <w:left w:val="single" w:sz="4" w:space="0" w:color="auto"/>
              <w:bottom w:val="single" w:sz="4" w:space="0" w:color="auto"/>
              <w:right w:val="single" w:sz="4" w:space="0" w:color="auto"/>
            </w:tcBorders>
            <w:vAlign w:val="bottom"/>
          </w:tcPr>
          <w:p w14:paraId="73B81FD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4.3.2(a)</w:t>
            </w:r>
          </w:p>
        </w:tc>
        <w:tc>
          <w:tcPr>
            <w:tcW w:w="3953" w:type="dxa"/>
            <w:tcBorders>
              <w:top w:val="nil"/>
              <w:left w:val="single" w:sz="4" w:space="0" w:color="auto"/>
              <w:bottom w:val="single" w:sz="4" w:space="0" w:color="auto"/>
              <w:right w:val="single" w:sz="4" w:space="0" w:color="auto"/>
            </w:tcBorders>
            <w:vAlign w:val="bottom"/>
          </w:tcPr>
          <w:p w14:paraId="79AB150F" w14:textId="1FB8FF3E"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Allocated covered taxes of a </w:t>
            </w:r>
            <w:r w:rsidR="007F461C">
              <w:rPr>
                <w:rFonts w:eastAsia="Times New Roman" w:cs="Times New Roman"/>
                <w:sz w:val="20"/>
                <w:szCs w:val="20"/>
                <w:lang w:eastAsia="en-AU"/>
              </w:rPr>
              <w:t>Constituent Entity</w:t>
            </w:r>
            <w:r w:rsidR="007F461C" w:rsidRPr="00EB655C">
              <w:rPr>
                <w:rFonts w:eastAsia="Times New Roman" w:cs="Times New Roman"/>
                <w:sz w:val="20"/>
                <w:szCs w:val="20"/>
                <w:lang w:eastAsia="en-AU"/>
              </w:rPr>
              <w:t xml:space="preserve"> </w:t>
            </w:r>
            <w:r w:rsidR="004D2443" w:rsidRPr="00EB655C">
              <w:rPr>
                <w:rFonts w:eastAsia="Times New Roman" w:cs="Times New Roman"/>
                <w:sz w:val="20"/>
                <w:szCs w:val="20"/>
                <w:lang w:eastAsia="en-AU"/>
              </w:rPr>
              <w:t xml:space="preserve">to the </w:t>
            </w:r>
            <w:r w:rsidRPr="00EB655C">
              <w:rPr>
                <w:rFonts w:eastAsia="Times New Roman" w:cs="Times New Roman"/>
                <w:sz w:val="20"/>
                <w:szCs w:val="20"/>
                <w:lang w:eastAsia="en-AU"/>
              </w:rPr>
              <w:t>P</w:t>
            </w:r>
            <w:r w:rsidR="002359E2">
              <w:rPr>
                <w:rFonts w:eastAsia="Times New Roman" w:cs="Times New Roman"/>
                <w:sz w:val="20"/>
                <w:szCs w:val="20"/>
                <w:lang w:eastAsia="en-AU"/>
              </w:rPr>
              <w:t xml:space="preserve">ermanent </w:t>
            </w:r>
            <w:r w:rsidRPr="00EB655C">
              <w:rPr>
                <w:rFonts w:eastAsia="Times New Roman" w:cs="Times New Roman"/>
                <w:sz w:val="20"/>
                <w:szCs w:val="20"/>
                <w:lang w:eastAsia="en-AU"/>
              </w:rPr>
              <w:t>E</w:t>
            </w:r>
            <w:r w:rsidR="002359E2">
              <w:rPr>
                <w:rFonts w:eastAsia="Times New Roman" w:cs="Times New Roman"/>
                <w:sz w:val="20"/>
                <w:szCs w:val="20"/>
                <w:lang w:eastAsia="en-AU"/>
              </w:rPr>
              <w:t>stablishment</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353CE12" w14:textId="167411EC"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45</w:t>
            </w:r>
          </w:p>
        </w:tc>
      </w:tr>
      <w:tr w:rsidR="00C33621" w:rsidRPr="00EB655C" w14:paraId="770F9A2E" w14:textId="77777777">
        <w:trPr>
          <w:trHeight w:val="300"/>
        </w:trPr>
        <w:tc>
          <w:tcPr>
            <w:tcW w:w="1694" w:type="dxa"/>
            <w:tcBorders>
              <w:top w:val="nil"/>
              <w:left w:val="single" w:sz="4" w:space="0" w:color="auto"/>
              <w:bottom w:val="single" w:sz="4" w:space="0" w:color="auto"/>
              <w:right w:val="single" w:sz="4" w:space="0" w:color="auto"/>
            </w:tcBorders>
            <w:vAlign w:val="bottom"/>
          </w:tcPr>
          <w:p w14:paraId="1AF085FC"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4.3.2(b)</w:t>
            </w:r>
          </w:p>
        </w:tc>
        <w:tc>
          <w:tcPr>
            <w:tcW w:w="3953" w:type="dxa"/>
            <w:tcBorders>
              <w:top w:val="nil"/>
              <w:left w:val="single" w:sz="4" w:space="0" w:color="auto"/>
              <w:bottom w:val="single" w:sz="4" w:space="0" w:color="auto"/>
              <w:right w:val="single" w:sz="4" w:space="0" w:color="auto"/>
            </w:tcBorders>
            <w:vAlign w:val="bottom"/>
          </w:tcPr>
          <w:p w14:paraId="1850CE7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Allocate covered taxes of a Tax Transparent Entity to the Constituent Entity-owner</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F0D94BA" w14:textId="0FA5A3CD"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50</w:t>
            </w:r>
          </w:p>
        </w:tc>
      </w:tr>
      <w:tr w:rsidR="00C33621" w:rsidRPr="00EB655C" w14:paraId="2BE4B836" w14:textId="77777777">
        <w:trPr>
          <w:trHeight w:val="300"/>
        </w:trPr>
        <w:tc>
          <w:tcPr>
            <w:tcW w:w="1694" w:type="dxa"/>
            <w:tcBorders>
              <w:top w:val="nil"/>
              <w:left w:val="single" w:sz="4" w:space="0" w:color="auto"/>
              <w:bottom w:val="single" w:sz="4" w:space="0" w:color="auto"/>
              <w:right w:val="single" w:sz="4" w:space="0" w:color="auto"/>
            </w:tcBorders>
            <w:vAlign w:val="bottom"/>
          </w:tcPr>
          <w:p w14:paraId="2C9AC53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4.3.2(c )</w:t>
            </w:r>
          </w:p>
        </w:tc>
        <w:tc>
          <w:tcPr>
            <w:tcW w:w="3953" w:type="dxa"/>
            <w:tcBorders>
              <w:top w:val="nil"/>
              <w:left w:val="single" w:sz="4" w:space="0" w:color="auto"/>
              <w:bottom w:val="single" w:sz="4" w:space="0" w:color="auto"/>
              <w:right w:val="single" w:sz="4" w:space="0" w:color="auto"/>
            </w:tcBorders>
            <w:vAlign w:val="bottom"/>
          </w:tcPr>
          <w:p w14:paraId="488D3F46" w14:textId="5D8E7B73"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Allocate covered taxes of a </w:t>
            </w:r>
            <w:r w:rsidR="007F461C">
              <w:rPr>
                <w:rFonts w:eastAsia="Times New Roman" w:cs="Times New Roman"/>
                <w:sz w:val="20"/>
                <w:szCs w:val="20"/>
                <w:lang w:eastAsia="en-AU"/>
              </w:rPr>
              <w:t>Constituent Entity</w:t>
            </w:r>
            <w:r w:rsidR="007F461C" w:rsidRPr="00EB655C" w:rsidDel="007F461C">
              <w:rPr>
                <w:rFonts w:eastAsia="Times New Roman" w:cs="Times New Roman"/>
                <w:sz w:val="20"/>
                <w:szCs w:val="20"/>
                <w:lang w:eastAsia="en-AU"/>
              </w:rPr>
              <w:t xml:space="preserve"> </w:t>
            </w:r>
            <w:r w:rsidRPr="00EB655C">
              <w:rPr>
                <w:rFonts w:eastAsia="Times New Roman" w:cs="Times New Roman"/>
                <w:sz w:val="20"/>
                <w:szCs w:val="20"/>
                <w:lang w:eastAsia="en-AU"/>
              </w:rPr>
              <w:t>where the direct or indirect Constituent Entity-owners are subject to a CFC Tax Regime to the C</w:t>
            </w:r>
            <w:r w:rsidR="002359E2">
              <w:rPr>
                <w:rFonts w:eastAsia="Times New Roman" w:cs="Times New Roman"/>
                <w:sz w:val="20"/>
                <w:szCs w:val="20"/>
                <w:lang w:eastAsia="en-AU"/>
              </w:rPr>
              <w:t xml:space="preserve">onstituent </w:t>
            </w:r>
            <w:r w:rsidR="007F461C">
              <w:rPr>
                <w:rFonts w:eastAsia="Times New Roman" w:cs="Times New Roman"/>
                <w:sz w:val="20"/>
                <w:szCs w:val="20"/>
                <w:lang w:eastAsia="en-AU"/>
              </w:rPr>
              <w:t>Entity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DC14E46" w14:textId="37491E5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55</w:t>
            </w:r>
            <w:r w:rsidRPr="00EB655C">
              <w:rPr>
                <w:rFonts w:eastAsia="Times New Roman" w:cs="Times New Roman"/>
                <w:sz w:val="20"/>
                <w:szCs w:val="20"/>
                <w:lang w:eastAsia="en-AU"/>
              </w:rPr>
              <w:t xml:space="preserve"> </w:t>
            </w:r>
          </w:p>
        </w:tc>
      </w:tr>
      <w:tr w:rsidR="00C33621" w:rsidRPr="00EB655C" w14:paraId="05E3B69D" w14:textId="77777777">
        <w:trPr>
          <w:trHeight w:val="300"/>
        </w:trPr>
        <w:tc>
          <w:tcPr>
            <w:tcW w:w="1694" w:type="dxa"/>
            <w:tcBorders>
              <w:top w:val="nil"/>
              <w:left w:val="single" w:sz="4" w:space="0" w:color="auto"/>
              <w:bottom w:val="single" w:sz="4" w:space="0" w:color="auto"/>
              <w:right w:val="single" w:sz="4" w:space="0" w:color="auto"/>
            </w:tcBorders>
            <w:vAlign w:val="bottom"/>
          </w:tcPr>
          <w:p w14:paraId="007BAEF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4.3.2(d)</w:t>
            </w:r>
          </w:p>
        </w:tc>
        <w:tc>
          <w:tcPr>
            <w:tcW w:w="3953" w:type="dxa"/>
            <w:tcBorders>
              <w:top w:val="nil"/>
              <w:left w:val="single" w:sz="4" w:space="0" w:color="auto"/>
              <w:bottom w:val="single" w:sz="4" w:space="0" w:color="auto"/>
              <w:right w:val="single" w:sz="4" w:space="0" w:color="auto"/>
            </w:tcBorders>
            <w:vAlign w:val="bottom"/>
          </w:tcPr>
          <w:p w14:paraId="23F2CCF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Allocate covered taxes of a Hybrid Entity to the Hybrid Entity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4ADAD72" w14:textId="22F242D8"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65</w:t>
            </w:r>
          </w:p>
        </w:tc>
      </w:tr>
      <w:tr w:rsidR="00C33621" w:rsidRPr="00EB655C" w14:paraId="3C86D367" w14:textId="77777777">
        <w:trPr>
          <w:trHeight w:val="300"/>
        </w:trPr>
        <w:tc>
          <w:tcPr>
            <w:tcW w:w="1694" w:type="dxa"/>
            <w:tcBorders>
              <w:top w:val="nil"/>
              <w:left w:val="single" w:sz="4" w:space="0" w:color="auto"/>
              <w:bottom w:val="single" w:sz="4" w:space="0" w:color="auto"/>
              <w:right w:val="single" w:sz="4" w:space="0" w:color="auto"/>
            </w:tcBorders>
            <w:vAlign w:val="bottom"/>
          </w:tcPr>
          <w:p w14:paraId="0BE145BF"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4.3.2(e)</w:t>
            </w:r>
          </w:p>
        </w:tc>
        <w:tc>
          <w:tcPr>
            <w:tcW w:w="3953" w:type="dxa"/>
            <w:tcBorders>
              <w:top w:val="nil"/>
              <w:left w:val="single" w:sz="4" w:space="0" w:color="auto"/>
              <w:bottom w:val="single" w:sz="4" w:space="0" w:color="auto"/>
              <w:right w:val="single" w:sz="4" w:space="0" w:color="auto"/>
            </w:tcBorders>
            <w:vAlign w:val="bottom"/>
          </w:tcPr>
          <w:p w14:paraId="5C3D5BA8" w14:textId="12E295F8" w:rsidR="00C33621" w:rsidRPr="00EB655C" w:rsidRDefault="00F72B6C"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Allocate covered taxes on distributions from the C</w:t>
            </w:r>
            <w:r>
              <w:rPr>
                <w:rFonts w:eastAsia="Times New Roman" w:cs="Times New Roman"/>
                <w:sz w:val="20"/>
                <w:szCs w:val="20"/>
                <w:lang w:eastAsia="en-AU"/>
              </w:rPr>
              <w:t xml:space="preserve">onstituent </w:t>
            </w:r>
            <w:r w:rsidRPr="00EB655C">
              <w:rPr>
                <w:rFonts w:eastAsia="Times New Roman" w:cs="Times New Roman"/>
                <w:sz w:val="20"/>
                <w:szCs w:val="20"/>
                <w:lang w:eastAsia="en-AU"/>
              </w:rPr>
              <w:t>E</w:t>
            </w:r>
            <w:r>
              <w:rPr>
                <w:rFonts w:eastAsia="Times New Roman" w:cs="Times New Roman"/>
                <w:sz w:val="20"/>
                <w:szCs w:val="20"/>
                <w:lang w:eastAsia="en-AU"/>
              </w:rPr>
              <w:t>ntity</w:t>
            </w:r>
            <w:r w:rsidRPr="00EB655C">
              <w:rPr>
                <w:rFonts w:eastAsia="Times New Roman" w:cs="Times New Roman"/>
                <w:sz w:val="20"/>
                <w:szCs w:val="20"/>
                <w:lang w:eastAsia="en-AU"/>
              </w:rPr>
              <w:t xml:space="preserve"> to the distributing Constituent Entity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8F2251E" w14:textId="76750DA9"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70</w:t>
            </w:r>
          </w:p>
        </w:tc>
      </w:tr>
      <w:tr w:rsidR="00C33621" w:rsidRPr="00EB655C" w14:paraId="6AB69399" w14:textId="77777777">
        <w:trPr>
          <w:trHeight w:val="300"/>
        </w:trPr>
        <w:tc>
          <w:tcPr>
            <w:tcW w:w="1694" w:type="dxa"/>
            <w:tcBorders>
              <w:top w:val="nil"/>
              <w:left w:val="single" w:sz="4" w:space="0" w:color="auto"/>
              <w:bottom w:val="single" w:sz="4" w:space="0" w:color="auto"/>
              <w:right w:val="single" w:sz="4" w:space="0" w:color="auto"/>
            </w:tcBorders>
            <w:vAlign w:val="bottom"/>
          </w:tcPr>
          <w:p w14:paraId="1B68F8A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lastRenderedPageBreak/>
              <w:t xml:space="preserve">2.6 of the </w:t>
            </w:r>
            <w:r>
              <w:rPr>
                <w:rFonts w:eastAsia="Times New Roman" w:cs="Times New Roman"/>
                <w:sz w:val="20"/>
                <w:szCs w:val="20"/>
                <w:lang w:eastAsia="en-AU"/>
              </w:rPr>
              <w:t>February</w:t>
            </w:r>
            <w:r w:rsidRPr="00EB655C">
              <w:rPr>
                <w:rFonts w:eastAsia="Times New Roman" w:cs="Times New Roman"/>
                <w:sz w:val="20"/>
                <w:szCs w:val="20"/>
                <w:lang w:eastAsia="en-AU"/>
              </w:rPr>
              <w:t xml:space="preserve"> </w:t>
            </w:r>
            <w:r>
              <w:rPr>
                <w:rFonts w:eastAsia="Times New Roman" w:cs="Times New Roman"/>
                <w:sz w:val="20"/>
                <w:szCs w:val="20"/>
                <w:lang w:eastAsia="en-AU"/>
              </w:rPr>
              <w:t xml:space="preserve">2023 </w:t>
            </w:r>
            <w:r w:rsidRPr="00EB655C">
              <w:rPr>
                <w:rFonts w:eastAsia="Times New Roman" w:cs="Times New Roman"/>
                <w:sz w:val="20"/>
                <w:szCs w:val="20"/>
                <w:lang w:eastAsia="en-AU"/>
              </w:rPr>
              <w:t>AG</w:t>
            </w:r>
          </w:p>
        </w:tc>
        <w:tc>
          <w:tcPr>
            <w:tcW w:w="3953" w:type="dxa"/>
            <w:tcBorders>
              <w:top w:val="nil"/>
              <w:left w:val="single" w:sz="4" w:space="0" w:color="auto"/>
              <w:bottom w:val="single" w:sz="4" w:space="0" w:color="auto"/>
              <w:right w:val="single" w:sz="4" w:space="0" w:color="auto"/>
            </w:tcBorders>
            <w:vAlign w:val="bottom"/>
          </w:tcPr>
          <w:p w14:paraId="2517D72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Covered taxes</w:t>
            </w:r>
            <w:r>
              <w:rPr>
                <w:rFonts w:eastAsia="Times New Roman" w:cs="Times New Roman"/>
                <w:sz w:val="20"/>
                <w:szCs w:val="20"/>
                <w:lang w:eastAsia="en-AU"/>
              </w:rPr>
              <w:t xml:space="preserve"> on deemed distributions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EA63E73" w14:textId="1746755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70</w:t>
            </w:r>
          </w:p>
        </w:tc>
      </w:tr>
      <w:tr w:rsidR="00C33621" w:rsidRPr="00EB655C" w14:paraId="0591A7F4" w14:textId="77777777">
        <w:trPr>
          <w:trHeight w:val="300"/>
        </w:trPr>
        <w:tc>
          <w:tcPr>
            <w:tcW w:w="1694" w:type="dxa"/>
            <w:tcBorders>
              <w:top w:val="nil"/>
              <w:left w:val="single" w:sz="4" w:space="0" w:color="auto"/>
              <w:bottom w:val="single" w:sz="4" w:space="0" w:color="auto"/>
              <w:right w:val="single" w:sz="4" w:space="0" w:color="auto"/>
            </w:tcBorders>
            <w:vAlign w:val="bottom"/>
          </w:tcPr>
          <w:p w14:paraId="79493BE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2.10 of the </w:t>
            </w:r>
            <w:r>
              <w:rPr>
                <w:rFonts w:eastAsia="Times New Roman" w:cs="Times New Roman"/>
                <w:sz w:val="20"/>
                <w:szCs w:val="20"/>
                <w:lang w:eastAsia="en-AU"/>
              </w:rPr>
              <w:t>February</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098C1FA2"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Allocation of taxes </w:t>
            </w:r>
            <w:r>
              <w:rPr>
                <w:rFonts w:eastAsia="Times New Roman" w:cs="Times New Roman"/>
                <w:sz w:val="20"/>
                <w:szCs w:val="20"/>
                <w:lang w:eastAsia="en-AU"/>
              </w:rPr>
              <w:t xml:space="preserve">arising </w:t>
            </w:r>
            <w:r w:rsidRPr="00EB655C">
              <w:rPr>
                <w:rFonts w:eastAsia="Times New Roman" w:cs="Times New Roman"/>
                <w:sz w:val="20"/>
                <w:szCs w:val="20"/>
                <w:lang w:eastAsia="en-AU"/>
              </w:rPr>
              <w:t xml:space="preserve">under a </w:t>
            </w:r>
            <w:r>
              <w:rPr>
                <w:rFonts w:eastAsia="Times New Roman" w:cs="Times New Roman"/>
                <w:sz w:val="20"/>
                <w:szCs w:val="20"/>
                <w:lang w:eastAsia="en-AU"/>
              </w:rPr>
              <w:t>B</w:t>
            </w:r>
            <w:r w:rsidRPr="00EB655C">
              <w:rPr>
                <w:rFonts w:eastAsia="Times New Roman" w:cs="Times New Roman"/>
                <w:sz w:val="20"/>
                <w:szCs w:val="20"/>
                <w:lang w:eastAsia="en-AU"/>
              </w:rPr>
              <w:t>lended CFC</w:t>
            </w:r>
            <w:r>
              <w:rPr>
                <w:rFonts w:eastAsia="Times New Roman" w:cs="Times New Roman"/>
                <w:sz w:val="20"/>
                <w:szCs w:val="20"/>
                <w:lang w:eastAsia="en-AU"/>
              </w:rPr>
              <w:t xml:space="preserve"> Tax</w:t>
            </w:r>
            <w:r w:rsidRPr="00EB655C">
              <w:rPr>
                <w:rFonts w:eastAsia="Times New Roman" w:cs="Times New Roman"/>
                <w:sz w:val="20"/>
                <w:szCs w:val="20"/>
                <w:lang w:eastAsia="en-AU"/>
              </w:rPr>
              <w:t xml:space="preserve"> </w:t>
            </w:r>
            <w:r>
              <w:rPr>
                <w:rFonts w:eastAsia="Times New Roman" w:cs="Times New Roman"/>
                <w:sz w:val="20"/>
                <w:szCs w:val="20"/>
                <w:lang w:eastAsia="en-AU"/>
              </w:rPr>
              <w:t>R</w:t>
            </w:r>
            <w:r w:rsidRPr="00EB655C">
              <w:rPr>
                <w:rFonts w:eastAsia="Times New Roman" w:cs="Times New Roman"/>
                <w:sz w:val="20"/>
                <w:szCs w:val="20"/>
                <w:lang w:eastAsia="en-AU"/>
              </w:rPr>
              <w:t xml:space="preserve">egime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FA63023" w14:textId="09AF9DB0" w:rsidR="00C33621" w:rsidRPr="00EB655C" w:rsidRDefault="00C33621" w:rsidP="00C33621">
            <w:pPr>
              <w:spacing w:before="60" w:after="60"/>
              <w:ind w:left="34"/>
              <w:rPr>
                <w:rFonts w:eastAsia="Times New Roman" w:cs="Times New Roman"/>
                <w:sz w:val="20"/>
                <w:szCs w:val="20"/>
                <w:lang w:eastAsia="en-AU"/>
              </w:rPr>
            </w:pPr>
            <w:r>
              <w:rPr>
                <w:rFonts w:eastAsia="Times New Roman" w:cs="Times New Roman"/>
                <w:sz w:val="20"/>
                <w:szCs w:val="20"/>
                <w:lang w:eastAsia="en-AU"/>
              </w:rPr>
              <w:t>4-55 and 4-65</w:t>
            </w:r>
          </w:p>
        </w:tc>
      </w:tr>
      <w:tr w:rsidR="00C33621" w:rsidRPr="00EB655C" w14:paraId="3C166C3D" w14:textId="77777777">
        <w:trPr>
          <w:trHeight w:val="300"/>
        </w:trPr>
        <w:tc>
          <w:tcPr>
            <w:tcW w:w="1694" w:type="dxa"/>
            <w:tcBorders>
              <w:top w:val="nil"/>
              <w:left w:val="single" w:sz="4" w:space="0" w:color="auto"/>
              <w:bottom w:val="single" w:sz="4" w:space="0" w:color="auto"/>
              <w:right w:val="single" w:sz="4" w:space="0" w:color="auto"/>
            </w:tcBorders>
            <w:vAlign w:val="bottom"/>
          </w:tcPr>
          <w:p w14:paraId="3FE4EB12"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Chapter 4 of the Dec</w:t>
            </w:r>
            <w:r>
              <w:rPr>
                <w:rFonts w:eastAsia="Times New Roman" w:cs="Times New Roman"/>
                <w:sz w:val="20"/>
                <w:szCs w:val="20"/>
                <w:lang w:eastAsia="en-AU"/>
              </w:rPr>
              <w:t>ember 2023</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4C1AEA8E" w14:textId="77777777" w:rsidR="00C33621" w:rsidRPr="00EB655C" w:rsidRDefault="00C33621" w:rsidP="00C33621">
            <w:pPr>
              <w:spacing w:before="60" w:after="60"/>
              <w:ind w:left="34"/>
              <w:rPr>
                <w:rFonts w:eastAsia="Times New Roman" w:cs="Times New Roman"/>
                <w:sz w:val="20"/>
                <w:szCs w:val="20"/>
                <w:lang w:eastAsia="en-AU"/>
              </w:rPr>
            </w:pPr>
            <w:r>
              <w:rPr>
                <w:rFonts w:eastAsia="Times New Roman" w:cs="Times New Roman"/>
                <w:sz w:val="20"/>
                <w:szCs w:val="20"/>
                <w:lang w:eastAsia="en-AU"/>
              </w:rPr>
              <w:t>Further Guidance on the allocation</w:t>
            </w:r>
            <w:r w:rsidRPr="00EB655C">
              <w:rPr>
                <w:rFonts w:eastAsia="Times New Roman" w:cs="Times New Roman"/>
                <w:sz w:val="20"/>
                <w:szCs w:val="20"/>
                <w:lang w:eastAsia="en-AU"/>
              </w:rPr>
              <w:t xml:space="preserve"> of Blended CFC Taxes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FA51B55" w14:textId="0433DC00" w:rsidR="00C33621" w:rsidRPr="00EB655C" w:rsidRDefault="002359E2" w:rsidP="00C33621">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No equivalent </w:t>
            </w:r>
          </w:p>
        </w:tc>
      </w:tr>
      <w:tr w:rsidR="00C33621" w:rsidRPr="00EB655C" w14:paraId="45339306" w14:textId="77777777">
        <w:trPr>
          <w:trHeight w:val="300"/>
        </w:trPr>
        <w:tc>
          <w:tcPr>
            <w:tcW w:w="1694" w:type="dxa"/>
            <w:tcBorders>
              <w:top w:val="nil"/>
              <w:left w:val="single" w:sz="4" w:space="0" w:color="auto"/>
              <w:bottom w:val="single" w:sz="4" w:space="0" w:color="auto"/>
              <w:right w:val="single" w:sz="4" w:space="0" w:color="auto"/>
            </w:tcBorders>
            <w:vAlign w:val="bottom"/>
          </w:tcPr>
          <w:p w14:paraId="43432A4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4.3.3</w:t>
            </w:r>
          </w:p>
        </w:tc>
        <w:tc>
          <w:tcPr>
            <w:tcW w:w="3953" w:type="dxa"/>
            <w:tcBorders>
              <w:top w:val="nil"/>
              <w:left w:val="single" w:sz="4" w:space="0" w:color="auto"/>
              <w:bottom w:val="single" w:sz="4" w:space="0" w:color="auto"/>
              <w:right w:val="single" w:sz="4" w:space="0" w:color="auto"/>
            </w:tcBorders>
            <w:vAlign w:val="bottom"/>
          </w:tcPr>
          <w:p w14:paraId="02B93ED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Covered taxes in respect of passive income for CFC regimes and Hybrids are not allocated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7AC39D6" w14:textId="6B1A3E6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75</w:t>
            </w:r>
          </w:p>
        </w:tc>
      </w:tr>
      <w:tr w:rsidR="00C33621" w:rsidRPr="00EB655C" w14:paraId="7F0243CD" w14:textId="77777777">
        <w:trPr>
          <w:trHeight w:val="300"/>
        </w:trPr>
        <w:tc>
          <w:tcPr>
            <w:tcW w:w="1694" w:type="dxa"/>
            <w:tcBorders>
              <w:top w:val="nil"/>
              <w:left w:val="single" w:sz="4" w:space="0" w:color="auto"/>
              <w:bottom w:val="single" w:sz="4" w:space="0" w:color="auto"/>
              <w:right w:val="single" w:sz="4" w:space="0" w:color="auto"/>
            </w:tcBorders>
            <w:vAlign w:val="bottom"/>
          </w:tcPr>
          <w:p w14:paraId="669C143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4.3.4</w:t>
            </w:r>
          </w:p>
        </w:tc>
        <w:tc>
          <w:tcPr>
            <w:tcW w:w="3953" w:type="dxa"/>
            <w:tcBorders>
              <w:top w:val="nil"/>
              <w:left w:val="single" w:sz="4" w:space="0" w:color="auto"/>
              <w:bottom w:val="single" w:sz="4" w:space="0" w:color="auto"/>
              <w:right w:val="single" w:sz="4" w:space="0" w:color="auto"/>
            </w:tcBorders>
            <w:vAlign w:val="bottom"/>
          </w:tcPr>
          <w:p w14:paraId="0CC03CF4" w14:textId="6D197E93"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Treat covered taxes of the </w:t>
            </w:r>
            <w:r w:rsidR="007F461C">
              <w:rPr>
                <w:rFonts w:eastAsia="Times New Roman" w:cs="Times New Roman"/>
                <w:sz w:val="20"/>
                <w:szCs w:val="20"/>
                <w:lang w:eastAsia="en-AU"/>
              </w:rPr>
              <w:t>Permanent Establishment</w:t>
            </w:r>
            <w:r w:rsidR="007F461C" w:rsidRPr="00EB655C">
              <w:rPr>
                <w:rFonts w:eastAsia="Times New Roman" w:cs="Times New Roman"/>
                <w:sz w:val="20"/>
                <w:szCs w:val="20"/>
                <w:lang w:eastAsia="en-AU"/>
              </w:rPr>
              <w:t xml:space="preserve"> </w:t>
            </w:r>
            <w:r w:rsidRPr="00EB655C">
              <w:rPr>
                <w:rFonts w:eastAsia="Times New Roman" w:cs="Times New Roman"/>
                <w:sz w:val="20"/>
                <w:szCs w:val="20"/>
                <w:lang w:eastAsia="en-AU"/>
              </w:rPr>
              <w:t>as of the Main entity if GloBE income of the P</w:t>
            </w:r>
            <w:r w:rsidR="00AE58AA">
              <w:rPr>
                <w:rFonts w:eastAsia="Times New Roman" w:cs="Times New Roman"/>
                <w:sz w:val="20"/>
                <w:szCs w:val="20"/>
                <w:lang w:eastAsia="en-AU"/>
              </w:rPr>
              <w:t xml:space="preserve">ermanent </w:t>
            </w:r>
            <w:r w:rsidRPr="00EB655C">
              <w:rPr>
                <w:rFonts w:eastAsia="Times New Roman" w:cs="Times New Roman"/>
                <w:sz w:val="20"/>
                <w:szCs w:val="20"/>
                <w:lang w:eastAsia="en-AU"/>
              </w:rPr>
              <w:t>E</w:t>
            </w:r>
            <w:r w:rsidR="00AE58AA">
              <w:rPr>
                <w:rFonts w:eastAsia="Times New Roman" w:cs="Times New Roman"/>
                <w:sz w:val="20"/>
                <w:szCs w:val="20"/>
                <w:lang w:eastAsia="en-AU"/>
              </w:rPr>
              <w:t>stablishment</w:t>
            </w:r>
            <w:r w:rsidRPr="00EB655C">
              <w:rPr>
                <w:rFonts w:eastAsia="Times New Roman" w:cs="Times New Roman"/>
                <w:sz w:val="20"/>
                <w:szCs w:val="20"/>
                <w:lang w:eastAsia="en-AU"/>
              </w:rPr>
              <w:t xml:space="preserve"> allocated to the Main </w:t>
            </w:r>
            <w:r w:rsidR="007F461C">
              <w:rPr>
                <w:rFonts w:eastAsia="Times New Roman" w:cs="Times New Roman"/>
                <w:sz w:val="20"/>
                <w:szCs w:val="20"/>
                <w:lang w:eastAsia="en-AU"/>
              </w:rPr>
              <w:t>E</w:t>
            </w:r>
            <w:r w:rsidRPr="00EB655C">
              <w:rPr>
                <w:rFonts w:eastAsia="Times New Roman" w:cs="Times New Roman"/>
                <w:sz w:val="20"/>
                <w:szCs w:val="20"/>
                <w:lang w:eastAsia="en-AU"/>
              </w:rPr>
              <w:t xml:space="preserve">ntity under </w:t>
            </w:r>
            <w:r w:rsidR="00BC71DA">
              <w:rPr>
                <w:rFonts w:eastAsia="Times New Roman" w:cs="Times New Roman"/>
                <w:sz w:val="20"/>
                <w:szCs w:val="20"/>
                <w:lang w:eastAsia="en-AU"/>
              </w:rPr>
              <w:t xml:space="preserve">Aritcle </w:t>
            </w:r>
            <w:r w:rsidRPr="00EB655C">
              <w:rPr>
                <w:rFonts w:eastAsia="Times New Roman" w:cs="Times New Roman"/>
                <w:sz w:val="20"/>
                <w:szCs w:val="20"/>
                <w:lang w:eastAsia="en-AU"/>
              </w:rPr>
              <w:t>3.4.5</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5EF0E3E" w14:textId="4A57B5A2"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80</w:t>
            </w:r>
          </w:p>
        </w:tc>
      </w:tr>
      <w:tr w:rsidR="00C33621" w:rsidRPr="00EB655C" w14:paraId="2BEB601E" w14:textId="77777777">
        <w:trPr>
          <w:trHeight w:val="300"/>
        </w:trPr>
        <w:tc>
          <w:tcPr>
            <w:tcW w:w="1694" w:type="dxa"/>
            <w:tcBorders>
              <w:top w:val="nil"/>
              <w:left w:val="single" w:sz="4" w:space="0" w:color="auto"/>
              <w:bottom w:val="single" w:sz="4" w:space="0" w:color="auto"/>
              <w:right w:val="single" w:sz="4" w:space="0" w:color="auto"/>
            </w:tcBorders>
            <w:vAlign w:val="bottom"/>
          </w:tcPr>
          <w:p w14:paraId="14F0032A"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4.4</w:t>
            </w:r>
          </w:p>
        </w:tc>
        <w:tc>
          <w:tcPr>
            <w:tcW w:w="3953" w:type="dxa"/>
            <w:tcBorders>
              <w:top w:val="nil"/>
              <w:left w:val="single" w:sz="4" w:space="0" w:color="auto"/>
              <w:bottom w:val="single" w:sz="4" w:space="0" w:color="auto"/>
              <w:right w:val="single" w:sz="4" w:space="0" w:color="auto"/>
            </w:tcBorders>
            <w:vAlign w:val="bottom"/>
          </w:tcPr>
          <w:p w14:paraId="56B6271E"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Mechanism to address temporary differences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50780F8"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4-4</w:t>
            </w:r>
          </w:p>
        </w:tc>
      </w:tr>
      <w:tr w:rsidR="00C33621" w:rsidRPr="00EB655C" w14:paraId="3AC0EB4F" w14:textId="77777777">
        <w:trPr>
          <w:trHeight w:val="300"/>
        </w:trPr>
        <w:tc>
          <w:tcPr>
            <w:tcW w:w="1694" w:type="dxa"/>
            <w:tcBorders>
              <w:top w:val="nil"/>
              <w:left w:val="single" w:sz="4" w:space="0" w:color="auto"/>
              <w:bottom w:val="single" w:sz="4" w:space="0" w:color="auto"/>
              <w:right w:val="single" w:sz="4" w:space="0" w:color="auto"/>
            </w:tcBorders>
            <w:vAlign w:val="bottom"/>
          </w:tcPr>
          <w:p w14:paraId="7FD3374F"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4.4.1</w:t>
            </w:r>
          </w:p>
        </w:tc>
        <w:tc>
          <w:tcPr>
            <w:tcW w:w="3953" w:type="dxa"/>
            <w:tcBorders>
              <w:top w:val="nil"/>
              <w:left w:val="single" w:sz="4" w:space="0" w:color="auto"/>
              <w:bottom w:val="single" w:sz="4" w:space="0" w:color="auto"/>
              <w:right w:val="single" w:sz="4" w:space="0" w:color="auto"/>
            </w:tcBorders>
            <w:vAlign w:val="bottom"/>
          </w:tcPr>
          <w:p w14:paraId="64FDDEC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Meaning of total deferred tax adjustment amount subject to exclusions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A58C66B" w14:textId="3DDC2F7A"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-85</w:t>
            </w:r>
            <w:r w:rsidRPr="00EB655C">
              <w:rPr>
                <w:rFonts w:eastAsia="Times New Roman" w:cs="Times New Roman"/>
                <w:sz w:val="20"/>
                <w:szCs w:val="20"/>
                <w:lang w:eastAsia="en-AU"/>
              </w:rPr>
              <w:t>(1) and (2)</w:t>
            </w:r>
          </w:p>
        </w:tc>
      </w:tr>
      <w:tr w:rsidR="00C33621" w:rsidRPr="00EB655C" w14:paraId="651B35AF" w14:textId="77777777">
        <w:trPr>
          <w:trHeight w:val="300"/>
        </w:trPr>
        <w:tc>
          <w:tcPr>
            <w:tcW w:w="1694" w:type="dxa"/>
            <w:tcBorders>
              <w:top w:val="nil"/>
              <w:left w:val="single" w:sz="4" w:space="0" w:color="auto"/>
              <w:bottom w:val="single" w:sz="4" w:space="0" w:color="auto"/>
              <w:right w:val="single" w:sz="4" w:space="0" w:color="auto"/>
            </w:tcBorders>
            <w:vAlign w:val="bottom"/>
          </w:tcPr>
          <w:p w14:paraId="16101A0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1.3 of the </w:t>
            </w:r>
            <w:r>
              <w:rPr>
                <w:rFonts w:eastAsia="Times New Roman" w:cs="Times New Roman"/>
                <w:sz w:val="20"/>
                <w:szCs w:val="20"/>
                <w:lang w:eastAsia="en-AU"/>
              </w:rPr>
              <w:t>February</w:t>
            </w:r>
            <w:r w:rsidRPr="00EB655C">
              <w:rPr>
                <w:rFonts w:eastAsia="Times New Roman" w:cs="Times New Roman"/>
                <w:sz w:val="20"/>
                <w:szCs w:val="20"/>
                <w:lang w:eastAsia="en-AU"/>
              </w:rPr>
              <w:t xml:space="preserve"> </w:t>
            </w:r>
            <w:r>
              <w:rPr>
                <w:rFonts w:eastAsia="Times New Roman" w:cs="Times New Roman"/>
                <w:sz w:val="20"/>
                <w:szCs w:val="20"/>
                <w:lang w:eastAsia="en-AU"/>
              </w:rPr>
              <w:t xml:space="preserve">2023 </w:t>
            </w:r>
            <w:r w:rsidRPr="00EB655C">
              <w:rPr>
                <w:rFonts w:eastAsia="Times New Roman" w:cs="Times New Roman"/>
                <w:sz w:val="20"/>
                <w:szCs w:val="20"/>
                <w:lang w:eastAsia="en-AU"/>
              </w:rPr>
              <w:t>AG</w:t>
            </w:r>
          </w:p>
        </w:tc>
        <w:tc>
          <w:tcPr>
            <w:tcW w:w="3953" w:type="dxa"/>
            <w:tcBorders>
              <w:top w:val="nil"/>
              <w:left w:val="single" w:sz="4" w:space="0" w:color="auto"/>
              <w:bottom w:val="single" w:sz="4" w:space="0" w:color="auto"/>
              <w:right w:val="single" w:sz="4" w:space="0" w:color="auto"/>
            </w:tcBorders>
            <w:vAlign w:val="bottom"/>
          </w:tcPr>
          <w:p w14:paraId="02C360B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Consolidated deferred tax amounts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C618AEC" w14:textId="076698BB"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85</w:t>
            </w:r>
            <w:r w:rsidRPr="00EB655C">
              <w:rPr>
                <w:rFonts w:eastAsia="Times New Roman" w:cs="Times New Roman"/>
                <w:sz w:val="20"/>
                <w:szCs w:val="20"/>
                <w:lang w:eastAsia="en-AU"/>
              </w:rPr>
              <w:t>(1) and (2)</w:t>
            </w:r>
          </w:p>
        </w:tc>
      </w:tr>
      <w:tr w:rsidR="00C33621" w:rsidRPr="00EB655C" w14:paraId="7E23C935" w14:textId="77777777">
        <w:trPr>
          <w:trHeight w:val="300"/>
        </w:trPr>
        <w:tc>
          <w:tcPr>
            <w:tcW w:w="1694" w:type="dxa"/>
            <w:tcBorders>
              <w:top w:val="nil"/>
              <w:left w:val="single" w:sz="4" w:space="0" w:color="auto"/>
              <w:bottom w:val="single" w:sz="4" w:space="0" w:color="auto"/>
              <w:right w:val="single" w:sz="4" w:space="0" w:color="auto"/>
            </w:tcBorders>
            <w:vAlign w:val="bottom"/>
          </w:tcPr>
          <w:p w14:paraId="5FE7630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2.8 of the </w:t>
            </w:r>
            <w:r>
              <w:rPr>
                <w:rFonts w:eastAsia="Times New Roman" w:cs="Times New Roman"/>
                <w:sz w:val="20"/>
                <w:szCs w:val="20"/>
                <w:lang w:eastAsia="en-AU"/>
              </w:rPr>
              <w:t>February 2023</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4ACEBEF6" w14:textId="62CC56C1"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Loss making </w:t>
            </w:r>
            <w:r w:rsidR="007F461C" w:rsidRPr="00EB655C">
              <w:rPr>
                <w:rFonts w:eastAsia="Times New Roman" w:cs="Times New Roman"/>
                <w:sz w:val="20"/>
                <w:szCs w:val="20"/>
                <w:lang w:eastAsia="en-AU"/>
              </w:rPr>
              <w:t>Parent Entities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880BEC7" w14:textId="475E9794" w:rsidR="00C33621" w:rsidRPr="00EB655C" w:rsidRDefault="00C33621" w:rsidP="00C33621">
            <w:pPr>
              <w:spacing w:before="60" w:after="60"/>
              <w:ind w:left="34"/>
              <w:rPr>
                <w:rFonts w:eastAsia="Times New Roman" w:cs="Times New Roman"/>
                <w:sz w:val="20"/>
                <w:szCs w:val="20"/>
                <w:lang w:eastAsia="en-AU"/>
              </w:rPr>
            </w:pPr>
            <w:r>
              <w:rPr>
                <w:rFonts w:eastAsia="Times New Roman" w:cs="Times New Roman"/>
                <w:sz w:val="20"/>
                <w:szCs w:val="20"/>
                <w:lang w:eastAsia="en-AU"/>
              </w:rPr>
              <w:t>4-90 and 4-95</w:t>
            </w:r>
          </w:p>
        </w:tc>
      </w:tr>
      <w:tr w:rsidR="00C33621" w:rsidRPr="00EB655C" w14:paraId="687A4259" w14:textId="77777777">
        <w:trPr>
          <w:trHeight w:val="300"/>
        </w:trPr>
        <w:tc>
          <w:tcPr>
            <w:tcW w:w="1694" w:type="dxa"/>
            <w:tcBorders>
              <w:top w:val="nil"/>
              <w:left w:val="single" w:sz="4" w:space="0" w:color="auto"/>
              <w:bottom w:val="single" w:sz="4" w:space="0" w:color="auto"/>
              <w:right w:val="single" w:sz="4" w:space="0" w:color="auto"/>
            </w:tcBorders>
            <w:vAlign w:val="bottom"/>
          </w:tcPr>
          <w:p w14:paraId="3DEAEC4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4.4.2</w:t>
            </w:r>
          </w:p>
        </w:tc>
        <w:tc>
          <w:tcPr>
            <w:tcW w:w="3953" w:type="dxa"/>
            <w:tcBorders>
              <w:top w:val="nil"/>
              <w:left w:val="single" w:sz="4" w:space="0" w:color="auto"/>
              <w:bottom w:val="single" w:sz="4" w:space="0" w:color="auto"/>
              <w:right w:val="single" w:sz="4" w:space="0" w:color="auto"/>
            </w:tcBorders>
            <w:vAlign w:val="bottom"/>
          </w:tcPr>
          <w:p w14:paraId="7876C9D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Adjustments to total deferred tax adjustment amount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02A0E7B" w14:textId="5EF5AA8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85</w:t>
            </w:r>
            <w:r w:rsidRPr="00EB655C">
              <w:rPr>
                <w:rFonts w:eastAsia="Times New Roman" w:cs="Times New Roman"/>
                <w:sz w:val="20"/>
                <w:szCs w:val="20"/>
                <w:lang w:eastAsia="en-AU"/>
              </w:rPr>
              <w:t>(3)</w:t>
            </w:r>
          </w:p>
        </w:tc>
      </w:tr>
      <w:tr w:rsidR="00C33621" w:rsidRPr="00EB655C" w14:paraId="44967C5C" w14:textId="77777777">
        <w:trPr>
          <w:trHeight w:val="300"/>
        </w:trPr>
        <w:tc>
          <w:tcPr>
            <w:tcW w:w="1694" w:type="dxa"/>
            <w:tcBorders>
              <w:top w:val="nil"/>
              <w:left w:val="single" w:sz="4" w:space="0" w:color="auto"/>
              <w:bottom w:val="single" w:sz="4" w:space="0" w:color="auto"/>
              <w:right w:val="single" w:sz="4" w:space="0" w:color="auto"/>
            </w:tcBorders>
            <w:vAlign w:val="bottom"/>
          </w:tcPr>
          <w:p w14:paraId="35503CF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4.4.3</w:t>
            </w:r>
          </w:p>
        </w:tc>
        <w:tc>
          <w:tcPr>
            <w:tcW w:w="3953" w:type="dxa"/>
            <w:tcBorders>
              <w:top w:val="nil"/>
              <w:left w:val="single" w:sz="4" w:space="0" w:color="auto"/>
              <w:bottom w:val="single" w:sz="4" w:space="0" w:color="auto"/>
              <w:right w:val="single" w:sz="4" w:space="0" w:color="auto"/>
            </w:tcBorders>
            <w:vAlign w:val="bottom"/>
          </w:tcPr>
          <w:p w14:paraId="6240399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Recasting the deferred tax asset when recorded at less than 15%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4EDDF25" w14:textId="79AEADAC"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85</w:t>
            </w:r>
            <w:r w:rsidRPr="00EB655C">
              <w:rPr>
                <w:rFonts w:eastAsia="Times New Roman" w:cs="Times New Roman"/>
                <w:sz w:val="20"/>
                <w:szCs w:val="20"/>
                <w:lang w:eastAsia="en-AU"/>
              </w:rPr>
              <w:t>(4) and (5)</w:t>
            </w:r>
          </w:p>
        </w:tc>
      </w:tr>
      <w:tr w:rsidR="00C33621" w:rsidRPr="00EB655C" w14:paraId="0075E060" w14:textId="77777777">
        <w:trPr>
          <w:trHeight w:val="300"/>
        </w:trPr>
        <w:tc>
          <w:tcPr>
            <w:tcW w:w="1694" w:type="dxa"/>
            <w:tcBorders>
              <w:top w:val="nil"/>
              <w:left w:val="single" w:sz="4" w:space="0" w:color="auto"/>
              <w:bottom w:val="single" w:sz="4" w:space="0" w:color="auto"/>
              <w:right w:val="single" w:sz="4" w:space="0" w:color="auto"/>
            </w:tcBorders>
            <w:vAlign w:val="bottom"/>
          </w:tcPr>
          <w:p w14:paraId="5C2DC12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4.4.4</w:t>
            </w:r>
          </w:p>
        </w:tc>
        <w:tc>
          <w:tcPr>
            <w:tcW w:w="3953" w:type="dxa"/>
            <w:tcBorders>
              <w:top w:val="nil"/>
              <w:left w:val="single" w:sz="4" w:space="0" w:color="auto"/>
              <w:bottom w:val="single" w:sz="4" w:space="0" w:color="auto"/>
              <w:right w:val="single" w:sz="4" w:space="0" w:color="auto"/>
            </w:tcBorders>
            <w:vAlign w:val="bottom"/>
          </w:tcPr>
          <w:p w14:paraId="6258701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Rule for a deferred tax liability that is not a recapture exception accrual and not paid within 5 years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5D17B58" w14:textId="12105DFD"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100</w:t>
            </w:r>
          </w:p>
        </w:tc>
      </w:tr>
      <w:tr w:rsidR="00C33621" w:rsidRPr="00EB655C" w14:paraId="77EBC816" w14:textId="77777777">
        <w:trPr>
          <w:trHeight w:val="300"/>
        </w:trPr>
        <w:tc>
          <w:tcPr>
            <w:tcW w:w="1694" w:type="dxa"/>
            <w:tcBorders>
              <w:top w:val="nil"/>
              <w:left w:val="single" w:sz="4" w:space="0" w:color="auto"/>
              <w:bottom w:val="single" w:sz="4" w:space="0" w:color="auto"/>
              <w:right w:val="single" w:sz="4" w:space="0" w:color="auto"/>
            </w:tcBorders>
            <w:vAlign w:val="bottom"/>
          </w:tcPr>
          <w:p w14:paraId="452D6AA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4.4.5</w:t>
            </w:r>
          </w:p>
        </w:tc>
        <w:tc>
          <w:tcPr>
            <w:tcW w:w="3953" w:type="dxa"/>
            <w:tcBorders>
              <w:top w:val="nil"/>
              <w:left w:val="single" w:sz="4" w:space="0" w:color="auto"/>
              <w:bottom w:val="single" w:sz="4" w:space="0" w:color="auto"/>
              <w:right w:val="single" w:sz="4" w:space="0" w:color="auto"/>
            </w:tcBorders>
            <w:vAlign w:val="bottom"/>
          </w:tcPr>
          <w:p w14:paraId="7A61C08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Meaning of recapture exception accrual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3247010" w14:textId="0CF96DB4"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110</w:t>
            </w:r>
          </w:p>
        </w:tc>
      </w:tr>
      <w:tr w:rsidR="00C33621" w:rsidRPr="00EB655C" w14:paraId="168FC7FE" w14:textId="77777777">
        <w:trPr>
          <w:trHeight w:val="300"/>
        </w:trPr>
        <w:tc>
          <w:tcPr>
            <w:tcW w:w="1694" w:type="dxa"/>
            <w:tcBorders>
              <w:top w:val="nil"/>
              <w:left w:val="single" w:sz="4" w:space="0" w:color="auto"/>
              <w:bottom w:val="single" w:sz="4" w:space="0" w:color="auto"/>
              <w:right w:val="single" w:sz="4" w:space="0" w:color="auto"/>
            </w:tcBorders>
            <w:vAlign w:val="bottom"/>
          </w:tcPr>
          <w:p w14:paraId="2B67EFA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4.4.6</w:t>
            </w:r>
          </w:p>
        </w:tc>
        <w:tc>
          <w:tcPr>
            <w:tcW w:w="3953" w:type="dxa"/>
            <w:tcBorders>
              <w:top w:val="nil"/>
              <w:left w:val="single" w:sz="4" w:space="0" w:color="auto"/>
              <w:bottom w:val="single" w:sz="4" w:space="0" w:color="auto"/>
              <w:right w:val="single" w:sz="4" w:space="0" w:color="auto"/>
            </w:tcBorders>
            <w:vAlign w:val="bottom"/>
          </w:tcPr>
          <w:p w14:paraId="4D609BE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Meaning of disallowed accrual</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E48B68C" w14:textId="0393618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115</w:t>
            </w:r>
            <w:r w:rsidRPr="00EB655C">
              <w:rPr>
                <w:rFonts w:eastAsia="Times New Roman" w:cs="Times New Roman"/>
                <w:sz w:val="20"/>
                <w:szCs w:val="20"/>
                <w:lang w:eastAsia="en-AU"/>
              </w:rPr>
              <w:t>(1)</w:t>
            </w:r>
          </w:p>
        </w:tc>
      </w:tr>
      <w:tr w:rsidR="00C33621" w:rsidRPr="00EB655C" w14:paraId="2C3FEF82" w14:textId="77777777">
        <w:trPr>
          <w:trHeight w:val="300"/>
        </w:trPr>
        <w:tc>
          <w:tcPr>
            <w:tcW w:w="1694" w:type="dxa"/>
            <w:tcBorders>
              <w:top w:val="nil"/>
              <w:left w:val="single" w:sz="4" w:space="0" w:color="auto"/>
              <w:bottom w:val="single" w:sz="4" w:space="0" w:color="auto"/>
              <w:right w:val="single" w:sz="4" w:space="0" w:color="auto"/>
            </w:tcBorders>
            <w:vAlign w:val="bottom"/>
          </w:tcPr>
          <w:p w14:paraId="24F8186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4.4.7</w:t>
            </w:r>
          </w:p>
        </w:tc>
        <w:tc>
          <w:tcPr>
            <w:tcW w:w="3953" w:type="dxa"/>
            <w:tcBorders>
              <w:top w:val="nil"/>
              <w:left w:val="single" w:sz="4" w:space="0" w:color="auto"/>
              <w:bottom w:val="single" w:sz="4" w:space="0" w:color="auto"/>
              <w:right w:val="single" w:sz="4" w:space="0" w:color="auto"/>
            </w:tcBorders>
            <w:vAlign w:val="bottom"/>
          </w:tcPr>
          <w:p w14:paraId="5CCD7CBD"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Meaning of unclaimed accrual</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2373D85" w14:textId="5B7EC4F4"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115</w:t>
            </w:r>
            <w:r w:rsidRPr="00EB655C">
              <w:rPr>
                <w:rFonts w:eastAsia="Times New Roman" w:cs="Times New Roman"/>
                <w:sz w:val="20"/>
                <w:szCs w:val="20"/>
                <w:lang w:eastAsia="en-AU"/>
              </w:rPr>
              <w:t>(2)</w:t>
            </w:r>
          </w:p>
        </w:tc>
      </w:tr>
      <w:tr w:rsidR="00C33621" w:rsidRPr="00EB655C" w14:paraId="61BCC63C" w14:textId="77777777">
        <w:trPr>
          <w:trHeight w:val="300"/>
        </w:trPr>
        <w:tc>
          <w:tcPr>
            <w:tcW w:w="1694" w:type="dxa"/>
            <w:tcBorders>
              <w:top w:val="nil"/>
              <w:left w:val="single" w:sz="4" w:space="0" w:color="auto"/>
              <w:bottom w:val="single" w:sz="4" w:space="0" w:color="auto"/>
              <w:right w:val="single" w:sz="4" w:space="0" w:color="auto"/>
            </w:tcBorders>
            <w:vAlign w:val="bottom"/>
          </w:tcPr>
          <w:p w14:paraId="2BD4200D"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4.5</w:t>
            </w:r>
          </w:p>
        </w:tc>
        <w:tc>
          <w:tcPr>
            <w:tcW w:w="3953" w:type="dxa"/>
            <w:tcBorders>
              <w:top w:val="nil"/>
              <w:left w:val="single" w:sz="4" w:space="0" w:color="auto"/>
              <w:bottom w:val="single" w:sz="4" w:space="0" w:color="auto"/>
              <w:right w:val="single" w:sz="4" w:space="0" w:color="auto"/>
            </w:tcBorders>
            <w:vAlign w:val="bottom"/>
          </w:tcPr>
          <w:p w14:paraId="03DE53B1"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The GloBE Loss Election</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33D4CED"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4-5</w:t>
            </w:r>
          </w:p>
        </w:tc>
      </w:tr>
      <w:tr w:rsidR="00C33621" w:rsidRPr="00EB655C" w14:paraId="0B186B77" w14:textId="77777777">
        <w:trPr>
          <w:trHeight w:val="300"/>
        </w:trPr>
        <w:tc>
          <w:tcPr>
            <w:tcW w:w="1694" w:type="dxa"/>
            <w:tcBorders>
              <w:top w:val="nil"/>
              <w:left w:val="single" w:sz="4" w:space="0" w:color="auto"/>
              <w:bottom w:val="single" w:sz="4" w:space="0" w:color="auto"/>
              <w:right w:val="single" w:sz="4" w:space="0" w:color="auto"/>
            </w:tcBorders>
            <w:vAlign w:val="bottom"/>
          </w:tcPr>
          <w:p w14:paraId="220DD71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4.5.1</w:t>
            </w:r>
          </w:p>
        </w:tc>
        <w:tc>
          <w:tcPr>
            <w:tcW w:w="3953" w:type="dxa"/>
            <w:tcBorders>
              <w:top w:val="nil"/>
              <w:left w:val="single" w:sz="4" w:space="0" w:color="auto"/>
              <w:bottom w:val="single" w:sz="4" w:space="0" w:color="auto"/>
              <w:right w:val="single" w:sz="4" w:space="0" w:color="auto"/>
            </w:tcBorders>
            <w:vAlign w:val="bottom"/>
          </w:tcPr>
          <w:p w14:paraId="0801A8C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Details of the GloBE loss election</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2B3E9AD" w14:textId="17705B69"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4-1</w:t>
            </w:r>
            <w:r>
              <w:rPr>
                <w:rFonts w:eastAsia="Times New Roman" w:cs="Times New Roman"/>
                <w:sz w:val="20"/>
                <w:szCs w:val="20"/>
                <w:lang w:eastAsia="en-AU"/>
              </w:rPr>
              <w:t>2</w:t>
            </w:r>
            <w:r w:rsidRPr="00EB655C">
              <w:rPr>
                <w:rFonts w:eastAsia="Times New Roman" w:cs="Times New Roman"/>
                <w:sz w:val="20"/>
                <w:szCs w:val="20"/>
                <w:lang w:eastAsia="en-AU"/>
              </w:rPr>
              <w:t>5</w:t>
            </w:r>
          </w:p>
        </w:tc>
      </w:tr>
      <w:tr w:rsidR="00C33621" w:rsidRPr="00EB655C" w14:paraId="3CB58347" w14:textId="77777777">
        <w:trPr>
          <w:trHeight w:val="300"/>
        </w:trPr>
        <w:tc>
          <w:tcPr>
            <w:tcW w:w="1694" w:type="dxa"/>
            <w:tcBorders>
              <w:top w:val="nil"/>
              <w:left w:val="single" w:sz="4" w:space="0" w:color="auto"/>
              <w:bottom w:val="single" w:sz="4" w:space="0" w:color="auto"/>
              <w:right w:val="single" w:sz="4" w:space="0" w:color="auto"/>
            </w:tcBorders>
            <w:vAlign w:val="bottom"/>
          </w:tcPr>
          <w:p w14:paraId="42DF70FF"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lastRenderedPageBreak/>
              <w:t>4.5.2</w:t>
            </w:r>
          </w:p>
        </w:tc>
        <w:tc>
          <w:tcPr>
            <w:tcW w:w="3953" w:type="dxa"/>
            <w:tcBorders>
              <w:top w:val="nil"/>
              <w:left w:val="single" w:sz="4" w:space="0" w:color="auto"/>
              <w:bottom w:val="single" w:sz="4" w:space="0" w:color="auto"/>
              <w:right w:val="single" w:sz="4" w:space="0" w:color="auto"/>
            </w:tcBorders>
            <w:vAlign w:val="bottom"/>
          </w:tcPr>
          <w:p w14:paraId="10FECC6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Carrying forward the balance of the GloBE loss deferred tax asset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9F3E56F" w14:textId="3266CA09"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4-1</w:t>
            </w:r>
            <w:r>
              <w:rPr>
                <w:rFonts w:eastAsia="Times New Roman" w:cs="Times New Roman"/>
                <w:sz w:val="20"/>
                <w:szCs w:val="20"/>
                <w:lang w:eastAsia="en-AU"/>
              </w:rPr>
              <w:t>2</w:t>
            </w:r>
            <w:r w:rsidRPr="00EB655C">
              <w:rPr>
                <w:rFonts w:eastAsia="Times New Roman" w:cs="Times New Roman"/>
                <w:sz w:val="20"/>
                <w:szCs w:val="20"/>
                <w:lang w:eastAsia="en-AU"/>
              </w:rPr>
              <w:t>5</w:t>
            </w:r>
          </w:p>
        </w:tc>
      </w:tr>
      <w:tr w:rsidR="00C33621" w:rsidRPr="00EB655C" w14:paraId="7A5C4CB7" w14:textId="77777777">
        <w:trPr>
          <w:trHeight w:val="300"/>
        </w:trPr>
        <w:tc>
          <w:tcPr>
            <w:tcW w:w="1694" w:type="dxa"/>
            <w:tcBorders>
              <w:top w:val="nil"/>
              <w:left w:val="single" w:sz="4" w:space="0" w:color="auto"/>
              <w:bottom w:val="single" w:sz="4" w:space="0" w:color="auto"/>
              <w:right w:val="single" w:sz="4" w:space="0" w:color="auto"/>
            </w:tcBorders>
            <w:vAlign w:val="bottom"/>
          </w:tcPr>
          <w:p w14:paraId="1A7A1E3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4.5.3</w:t>
            </w:r>
          </w:p>
        </w:tc>
        <w:tc>
          <w:tcPr>
            <w:tcW w:w="3953" w:type="dxa"/>
            <w:tcBorders>
              <w:top w:val="nil"/>
              <w:left w:val="single" w:sz="4" w:space="0" w:color="auto"/>
              <w:bottom w:val="single" w:sz="4" w:space="0" w:color="auto"/>
              <w:right w:val="single" w:sz="4" w:space="0" w:color="auto"/>
            </w:tcBorders>
            <w:vAlign w:val="bottom"/>
          </w:tcPr>
          <w:p w14:paraId="59E64BF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Using the GloBE loss deferred tax asset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2FD4C12" w14:textId="7D3FE82E"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4-1</w:t>
            </w:r>
            <w:r>
              <w:rPr>
                <w:rFonts w:eastAsia="Times New Roman" w:cs="Times New Roman"/>
                <w:sz w:val="20"/>
                <w:szCs w:val="20"/>
                <w:lang w:eastAsia="en-AU"/>
              </w:rPr>
              <w:t>2</w:t>
            </w:r>
            <w:r w:rsidRPr="00EB655C">
              <w:rPr>
                <w:rFonts w:eastAsia="Times New Roman" w:cs="Times New Roman"/>
                <w:sz w:val="20"/>
                <w:szCs w:val="20"/>
                <w:lang w:eastAsia="en-AU"/>
              </w:rPr>
              <w:t>5(2)</w:t>
            </w:r>
          </w:p>
        </w:tc>
      </w:tr>
      <w:tr w:rsidR="00C33621" w:rsidRPr="00EB655C" w14:paraId="6B6EBCBE" w14:textId="77777777">
        <w:trPr>
          <w:trHeight w:val="300"/>
        </w:trPr>
        <w:tc>
          <w:tcPr>
            <w:tcW w:w="1694" w:type="dxa"/>
            <w:tcBorders>
              <w:top w:val="nil"/>
              <w:left w:val="single" w:sz="4" w:space="0" w:color="auto"/>
              <w:bottom w:val="single" w:sz="4" w:space="0" w:color="auto"/>
              <w:right w:val="single" w:sz="4" w:space="0" w:color="auto"/>
            </w:tcBorders>
            <w:vAlign w:val="bottom"/>
          </w:tcPr>
          <w:p w14:paraId="41F8043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4.5.4</w:t>
            </w:r>
          </w:p>
        </w:tc>
        <w:tc>
          <w:tcPr>
            <w:tcW w:w="3953" w:type="dxa"/>
            <w:tcBorders>
              <w:top w:val="nil"/>
              <w:left w:val="single" w:sz="4" w:space="0" w:color="auto"/>
              <w:bottom w:val="single" w:sz="4" w:space="0" w:color="auto"/>
              <w:right w:val="single" w:sz="4" w:space="0" w:color="auto"/>
            </w:tcBorders>
            <w:vAlign w:val="bottom"/>
          </w:tcPr>
          <w:p w14:paraId="62C57B1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Effect of revoking a GloBE loss election</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D0F9FB5" w14:textId="024B149B"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4-1</w:t>
            </w:r>
            <w:r>
              <w:rPr>
                <w:rFonts w:eastAsia="Times New Roman" w:cs="Times New Roman"/>
                <w:sz w:val="20"/>
                <w:szCs w:val="20"/>
                <w:lang w:eastAsia="en-AU"/>
              </w:rPr>
              <w:t>20</w:t>
            </w:r>
          </w:p>
        </w:tc>
      </w:tr>
      <w:tr w:rsidR="00C33621" w:rsidRPr="00EB655C" w14:paraId="0FDF1DAF" w14:textId="77777777">
        <w:trPr>
          <w:trHeight w:val="300"/>
        </w:trPr>
        <w:tc>
          <w:tcPr>
            <w:tcW w:w="1694" w:type="dxa"/>
            <w:tcBorders>
              <w:top w:val="nil"/>
              <w:left w:val="single" w:sz="4" w:space="0" w:color="auto"/>
              <w:bottom w:val="single" w:sz="4" w:space="0" w:color="auto"/>
              <w:right w:val="single" w:sz="4" w:space="0" w:color="auto"/>
            </w:tcBorders>
            <w:vAlign w:val="bottom"/>
          </w:tcPr>
          <w:p w14:paraId="124BA4A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4.5.5</w:t>
            </w:r>
          </w:p>
        </w:tc>
        <w:tc>
          <w:tcPr>
            <w:tcW w:w="3953" w:type="dxa"/>
            <w:tcBorders>
              <w:top w:val="nil"/>
              <w:left w:val="single" w:sz="4" w:space="0" w:color="auto"/>
              <w:bottom w:val="single" w:sz="4" w:space="0" w:color="auto"/>
              <w:right w:val="single" w:sz="4" w:space="0" w:color="auto"/>
            </w:tcBorders>
            <w:vAlign w:val="bottom"/>
          </w:tcPr>
          <w:p w14:paraId="7AF7ABFF"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GloBE loss election to be filed with the GIR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A8E4AFA" w14:textId="199721E8"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120</w:t>
            </w:r>
          </w:p>
        </w:tc>
      </w:tr>
      <w:tr w:rsidR="00C33621" w:rsidRPr="00EB655C" w14:paraId="24A5FA39" w14:textId="77777777">
        <w:trPr>
          <w:trHeight w:val="300"/>
        </w:trPr>
        <w:tc>
          <w:tcPr>
            <w:tcW w:w="1694" w:type="dxa"/>
            <w:tcBorders>
              <w:top w:val="nil"/>
              <w:left w:val="single" w:sz="4" w:space="0" w:color="auto"/>
              <w:bottom w:val="single" w:sz="4" w:space="0" w:color="auto"/>
              <w:right w:val="single" w:sz="4" w:space="0" w:color="auto"/>
            </w:tcBorders>
            <w:vAlign w:val="bottom"/>
          </w:tcPr>
          <w:p w14:paraId="7D82734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4.5.6</w:t>
            </w:r>
          </w:p>
        </w:tc>
        <w:tc>
          <w:tcPr>
            <w:tcW w:w="3953" w:type="dxa"/>
            <w:tcBorders>
              <w:top w:val="nil"/>
              <w:left w:val="single" w:sz="4" w:space="0" w:color="auto"/>
              <w:bottom w:val="single" w:sz="4" w:space="0" w:color="auto"/>
              <w:right w:val="single" w:sz="4" w:space="0" w:color="auto"/>
            </w:tcBorders>
            <w:vAlign w:val="bottom"/>
          </w:tcPr>
          <w:p w14:paraId="108D472F"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Flow through UPE may make a GloBE loss election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6F08834" w14:textId="151C004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1</w:t>
            </w:r>
            <w:r w:rsidR="002359E2">
              <w:rPr>
                <w:rFonts w:eastAsia="Times New Roman" w:cs="Times New Roman"/>
                <w:sz w:val="20"/>
                <w:szCs w:val="20"/>
                <w:lang w:eastAsia="en-AU"/>
              </w:rPr>
              <w:t>3</w:t>
            </w:r>
            <w:r>
              <w:rPr>
                <w:rFonts w:eastAsia="Times New Roman" w:cs="Times New Roman"/>
                <w:sz w:val="20"/>
                <w:szCs w:val="20"/>
                <w:lang w:eastAsia="en-AU"/>
              </w:rPr>
              <w:t>0</w:t>
            </w:r>
            <w:r w:rsidR="002359E2">
              <w:rPr>
                <w:rFonts w:eastAsia="Times New Roman" w:cs="Times New Roman"/>
                <w:sz w:val="20"/>
                <w:szCs w:val="20"/>
                <w:lang w:eastAsia="en-AU"/>
              </w:rPr>
              <w:t xml:space="preserve"> and 4-135 </w:t>
            </w:r>
          </w:p>
        </w:tc>
      </w:tr>
      <w:tr w:rsidR="00C33621" w:rsidRPr="00EB655C" w14:paraId="72B4244C" w14:textId="77777777">
        <w:trPr>
          <w:trHeight w:val="300"/>
        </w:trPr>
        <w:tc>
          <w:tcPr>
            <w:tcW w:w="1694" w:type="dxa"/>
            <w:tcBorders>
              <w:top w:val="nil"/>
              <w:left w:val="single" w:sz="4" w:space="0" w:color="auto"/>
              <w:bottom w:val="single" w:sz="4" w:space="0" w:color="auto"/>
              <w:right w:val="single" w:sz="4" w:space="0" w:color="auto"/>
            </w:tcBorders>
            <w:vAlign w:val="bottom"/>
          </w:tcPr>
          <w:p w14:paraId="0E7D338D"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4.6</w:t>
            </w:r>
          </w:p>
        </w:tc>
        <w:tc>
          <w:tcPr>
            <w:tcW w:w="3953" w:type="dxa"/>
            <w:tcBorders>
              <w:top w:val="nil"/>
              <w:left w:val="single" w:sz="4" w:space="0" w:color="auto"/>
              <w:bottom w:val="single" w:sz="4" w:space="0" w:color="auto"/>
              <w:right w:val="single" w:sz="4" w:space="0" w:color="auto"/>
            </w:tcBorders>
            <w:vAlign w:val="bottom"/>
          </w:tcPr>
          <w:p w14:paraId="742F6FB4"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Post-filing Adjustments and Tax Rate Changes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ADD312B"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4-6</w:t>
            </w:r>
          </w:p>
        </w:tc>
      </w:tr>
      <w:tr w:rsidR="00C33621" w:rsidRPr="00EB655C" w14:paraId="2C38AD7D" w14:textId="77777777">
        <w:trPr>
          <w:trHeight w:val="300"/>
        </w:trPr>
        <w:tc>
          <w:tcPr>
            <w:tcW w:w="1694" w:type="dxa"/>
            <w:tcBorders>
              <w:top w:val="nil"/>
              <w:left w:val="single" w:sz="4" w:space="0" w:color="auto"/>
              <w:bottom w:val="single" w:sz="4" w:space="0" w:color="auto"/>
              <w:right w:val="single" w:sz="4" w:space="0" w:color="auto"/>
            </w:tcBorders>
            <w:vAlign w:val="bottom"/>
          </w:tcPr>
          <w:p w14:paraId="03E1641C"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4.6.1</w:t>
            </w:r>
          </w:p>
        </w:tc>
        <w:tc>
          <w:tcPr>
            <w:tcW w:w="3953" w:type="dxa"/>
            <w:tcBorders>
              <w:top w:val="nil"/>
              <w:left w:val="single" w:sz="4" w:space="0" w:color="auto"/>
              <w:bottom w:val="single" w:sz="4" w:space="0" w:color="auto"/>
              <w:right w:val="single" w:sz="4" w:space="0" w:color="auto"/>
            </w:tcBorders>
            <w:vAlign w:val="bottom"/>
          </w:tcPr>
          <w:p w14:paraId="78CA3A3E"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Election and criteria for post filing adjustment</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12965F2" w14:textId="4E5AE891"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4-1</w:t>
            </w:r>
            <w:r>
              <w:rPr>
                <w:rFonts w:eastAsia="Times New Roman" w:cs="Times New Roman"/>
                <w:sz w:val="20"/>
                <w:szCs w:val="20"/>
                <w:lang w:eastAsia="en-AU"/>
              </w:rPr>
              <w:t>40</w:t>
            </w:r>
            <w:r w:rsidRPr="00EB655C">
              <w:rPr>
                <w:rFonts w:eastAsia="Times New Roman" w:cs="Times New Roman"/>
                <w:sz w:val="20"/>
                <w:szCs w:val="20"/>
                <w:lang w:eastAsia="en-AU"/>
              </w:rPr>
              <w:t>(1)-(8)</w:t>
            </w:r>
          </w:p>
        </w:tc>
      </w:tr>
      <w:tr w:rsidR="00C33621" w:rsidRPr="00EB655C" w14:paraId="06C7B79D" w14:textId="77777777">
        <w:trPr>
          <w:trHeight w:val="300"/>
        </w:trPr>
        <w:tc>
          <w:tcPr>
            <w:tcW w:w="1694" w:type="dxa"/>
            <w:tcBorders>
              <w:top w:val="nil"/>
              <w:left w:val="single" w:sz="4" w:space="0" w:color="auto"/>
              <w:bottom w:val="single" w:sz="4" w:space="0" w:color="auto"/>
              <w:right w:val="single" w:sz="4" w:space="0" w:color="auto"/>
            </w:tcBorders>
            <w:vAlign w:val="bottom"/>
          </w:tcPr>
          <w:p w14:paraId="15644D3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4.6.2</w:t>
            </w:r>
          </w:p>
        </w:tc>
        <w:tc>
          <w:tcPr>
            <w:tcW w:w="3953" w:type="dxa"/>
            <w:tcBorders>
              <w:top w:val="nil"/>
              <w:left w:val="single" w:sz="4" w:space="0" w:color="auto"/>
              <w:bottom w:val="single" w:sz="4" w:space="0" w:color="auto"/>
              <w:right w:val="single" w:sz="4" w:space="0" w:color="auto"/>
            </w:tcBorders>
            <w:vAlign w:val="bottom"/>
          </w:tcPr>
          <w:p w14:paraId="43F2C375"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Treatment of deferred tax expense from a decrease tax rate change (decrease)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3412F7D" w14:textId="714167E0"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4-1</w:t>
            </w:r>
            <w:r>
              <w:rPr>
                <w:rFonts w:eastAsia="Times New Roman" w:cs="Times New Roman"/>
                <w:sz w:val="20"/>
                <w:szCs w:val="20"/>
                <w:lang w:eastAsia="en-AU"/>
              </w:rPr>
              <w:t>45</w:t>
            </w:r>
            <w:r w:rsidRPr="00EB655C">
              <w:rPr>
                <w:rFonts w:eastAsia="Times New Roman" w:cs="Times New Roman"/>
                <w:sz w:val="20"/>
                <w:szCs w:val="20"/>
                <w:lang w:eastAsia="en-AU"/>
              </w:rPr>
              <w:t>(1)</w:t>
            </w:r>
          </w:p>
        </w:tc>
      </w:tr>
      <w:tr w:rsidR="00C33621" w:rsidRPr="00EB655C" w14:paraId="74D2E197" w14:textId="77777777">
        <w:trPr>
          <w:trHeight w:val="300"/>
        </w:trPr>
        <w:tc>
          <w:tcPr>
            <w:tcW w:w="1694" w:type="dxa"/>
            <w:tcBorders>
              <w:top w:val="nil"/>
              <w:left w:val="single" w:sz="4" w:space="0" w:color="auto"/>
              <w:bottom w:val="single" w:sz="4" w:space="0" w:color="auto"/>
              <w:right w:val="single" w:sz="4" w:space="0" w:color="auto"/>
            </w:tcBorders>
            <w:vAlign w:val="bottom"/>
          </w:tcPr>
          <w:p w14:paraId="36DBB66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4.6.3</w:t>
            </w:r>
          </w:p>
        </w:tc>
        <w:tc>
          <w:tcPr>
            <w:tcW w:w="3953" w:type="dxa"/>
            <w:tcBorders>
              <w:top w:val="nil"/>
              <w:left w:val="single" w:sz="4" w:space="0" w:color="auto"/>
              <w:bottom w:val="single" w:sz="4" w:space="0" w:color="auto"/>
              <w:right w:val="single" w:sz="4" w:space="0" w:color="auto"/>
            </w:tcBorders>
            <w:vAlign w:val="bottom"/>
          </w:tcPr>
          <w:p w14:paraId="25F1B2B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Treatment of deferred tax expense from an increase in tax rate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461BE6B" w14:textId="67A4E25B"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4-1</w:t>
            </w:r>
            <w:r>
              <w:rPr>
                <w:rFonts w:eastAsia="Times New Roman" w:cs="Times New Roman"/>
                <w:sz w:val="20"/>
                <w:szCs w:val="20"/>
                <w:lang w:eastAsia="en-AU"/>
              </w:rPr>
              <w:t>45</w:t>
            </w:r>
            <w:r w:rsidRPr="00EB655C">
              <w:rPr>
                <w:rFonts w:eastAsia="Times New Roman" w:cs="Times New Roman"/>
                <w:sz w:val="20"/>
                <w:szCs w:val="20"/>
                <w:lang w:eastAsia="en-AU"/>
              </w:rPr>
              <w:t>(2)</w:t>
            </w:r>
          </w:p>
        </w:tc>
      </w:tr>
      <w:tr w:rsidR="00C33621" w:rsidRPr="00EB655C" w14:paraId="567C031E" w14:textId="77777777">
        <w:trPr>
          <w:trHeight w:val="300"/>
        </w:trPr>
        <w:tc>
          <w:tcPr>
            <w:tcW w:w="1694" w:type="dxa"/>
            <w:tcBorders>
              <w:top w:val="nil"/>
              <w:left w:val="single" w:sz="4" w:space="0" w:color="auto"/>
              <w:bottom w:val="single" w:sz="4" w:space="0" w:color="auto"/>
              <w:right w:val="single" w:sz="4" w:space="0" w:color="auto"/>
            </w:tcBorders>
            <w:vAlign w:val="bottom"/>
          </w:tcPr>
          <w:p w14:paraId="59254C1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4.6.4</w:t>
            </w:r>
          </w:p>
        </w:tc>
        <w:tc>
          <w:tcPr>
            <w:tcW w:w="3953" w:type="dxa"/>
            <w:tcBorders>
              <w:top w:val="nil"/>
              <w:left w:val="single" w:sz="4" w:space="0" w:color="auto"/>
              <w:bottom w:val="single" w:sz="4" w:space="0" w:color="auto"/>
              <w:right w:val="single" w:sz="4" w:space="0" w:color="auto"/>
            </w:tcBorders>
            <w:vAlign w:val="bottom"/>
          </w:tcPr>
          <w:p w14:paraId="06E4563D"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Treatment of current tax expense greater than EUR 1 Mil and not paid within 3 years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0CD13C4" w14:textId="4DF9E062"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4-1</w:t>
            </w:r>
            <w:r>
              <w:rPr>
                <w:rFonts w:eastAsia="Times New Roman" w:cs="Times New Roman"/>
                <w:sz w:val="20"/>
                <w:szCs w:val="20"/>
                <w:lang w:eastAsia="en-AU"/>
              </w:rPr>
              <w:t>45</w:t>
            </w:r>
            <w:r w:rsidRPr="00EB655C">
              <w:rPr>
                <w:rFonts w:eastAsia="Times New Roman" w:cs="Times New Roman"/>
                <w:sz w:val="20"/>
                <w:szCs w:val="20"/>
                <w:lang w:eastAsia="en-AU"/>
              </w:rPr>
              <w:t>(3)</w:t>
            </w:r>
          </w:p>
        </w:tc>
      </w:tr>
      <w:tr w:rsidR="00C33621" w:rsidRPr="00EB655C" w14:paraId="39FB362E" w14:textId="77777777">
        <w:trPr>
          <w:trHeight w:val="300"/>
        </w:trPr>
        <w:tc>
          <w:tcPr>
            <w:tcW w:w="7475" w:type="dxa"/>
            <w:gridSpan w:val="3"/>
            <w:tcBorders>
              <w:top w:val="nil"/>
              <w:left w:val="single" w:sz="4" w:space="0" w:color="auto"/>
              <w:bottom w:val="single" w:sz="4" w:space="0" w:color="auto"/>
              <w:right w:val="single" w:sz="4" w:space="0" w:color="auto"/>
            </w:tcBorders>
            <w:vAlign w:val="bottom"/>
          </w:tcPr>
          <w:p w14:paraId="6E908996" w14:textId="77777777" w:rsidR="00C33621" w:rsidRPr="006D2FCE" w:rsidRDefault="00C33621" w:rsidP="00C33621">
            <w:pPr>
              <w:pStyle w:val="Tableheaderrowtext"/>
              <w:numPr>
                <w:ilvl w:val="3"/>
                <w:numId w:val="2"/>
              </w:numPr>
              <w:rPr>
                <w:rFonts w:eastAsiaTheme="majorEastAsia" w:cstheme="majorBidi"/>
              </w:rPr>
            </w:pPr>
            <w:r w:rsidRPr="006D2FCE">
              <w:rPr>
                <w:rFonts w:eastAsiaTheme="majorEastAsia" w:cstheme="majorBidi"/>
              </w:rPr>
              <w:t xml:space="preserve">Chapter 5 - </w:t>
            </w:r>
            <w:r w:rsidRPr="00D2353F">
              <w:t>Computation of Effective Tax Rate and Top-up Tax</w:t>
            </w:r>
          </w:p>
        </w:tc>
      </w:tr>
      <w:tr w:rsidR="00C33621" w:rsidRPr="00EB655C" w14:paraId="428ED4E6" w14:textId="77777777">
        <w:trPr>
          <w:trHeight w:val="300"/>
        </w:trPr>
        <w:tc>
          <w:tcPr>
            <w:tcW w:w="1694" w:type="dxa"/>
            <w:tcBorders>
              <w:top w:val="nil"/>
              <w:left w:val="single" w:sz="4" w:space="0" w:color="auto"/>
              <w:bottom w:val="single" w:sz="4" w:space="0" w:color="auto"/>
              <w:right w:val="single" w:sz="4" w:space="0" w:color="auto"/>
            </w:tcBorders>
            <w:vAlign w:val="bottom"/>
          </w:tcPr>
          <w:p w14:paraId="755A51C2"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5.1</w:t>
            </w:r>
          </w:p>
        </w:tc>
        <w:tc>
          <w:tcPr>
            <w:tcW w:w="3953" w:type="dxa"/>
            <w:tcBorders>
              <w:top w:val="nil"/>
              <w:left w:val="single" w:sz="4" w:space="0" w:color="auto"/>
              <w:bottom w:val="single" w:sz="4" w:space="0" w:color="auto"/>
              <w:right w:val="single" w:sz="4" w:space="0" w:color="auto"/>
            </w:tcBorders>
            <w:vAlign w:val="bottom"/>
          </w:tcPr>
          <w:p w14:paraId="24FF7185"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 xml:space="preserve">Determination of Effective Tax Rate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6B2C079"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5-1</w:t>
            </w:r>
          </w:p>
        </w:tc>
      </w:tr>
      <w:tr w:rsidR="00C33621" w:rsidRPr="00EB655C" w14:paraId="1702E902" w14:textId="77777777">
        <w:trPr>
          <w:trHeight w:val="300"/>
        </w:trPr>
        <w:tc>
          <w:tcPr>
            <w:tcW w:w="1694" w:type="dxa"/>
            <w:tcBorders>
              <w:top w:val="nil"/>
              <w:left w:val="single" w:sz="4" w:space="0" w:color="auto"/>
              <w:bottom w:val="single" w:sz="4" w:space="0" w:color="auto"/>
              <w:right w:val="single" w:sz="4" w:space="0" w:color="auto"/>
            </w:tcBorders>
            <w:vAlign w:val="bottom"/>
          </w:tcPr>
          <w:p w14:paraId="7C8A479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5.1.1</w:t>
            </w:r>
          </w:p>
        </w:tc>
        <w:tc>
          <w:tcPr>
            <w:tcW w:w="3953" w:type="dxa"/>
            <w:tcBorders>
              <w:top w:val="nil"/>
              <w:left w:val="single" w:sz="4" w:space="0" w:color="auto"/>
              <w:bottom w:val="single" w:sz="4" w:space="0" w:color="auto"/>
              <w:right w:val="single" w:sz="4" w:space="0" w:color="auto"/>
            </w:tcBorders>
            <w:vAlign w:val="bottom"/>
          </w:tcPr>
          <w:p w14:paraId="5FE9ED2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ETR formula</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C3C0E72"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5-5</w:t>
            </w:r>
          </w:p>
        </w:tc>
      </w:tr>
      <w:tr w:rsidR="00C33621" w:rsidRPr="00EB655C" w14:paraId="3EAB95BA" w14:textId="77777777">
        <w:trPr>
          <w:trHeight w:val="300"/>
        </w:trPr>
        <w:tc>
          <w:tcPr>
            <w:tcW w:w="1694" w:type="dxa"/>
            <w:tcBorders>
              <w:top w:val="nil"/>
              <w:left w:val="single" w:sz="4" w:space="0" w:color="auto"/>
              <w:bottom w:val="single" w:sz="4" w:space="0" w:color="auto"/>
              <w:right w:val="single" w:sz="4" w:space="0" w:color="auto"/>
            </w:tcBorders>
            <w:vAlign w:val="bottom"/>
          </w:tcPr>
          <w:p w14:paraId="65B1B10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5.1.1</w:t>
            </w:r>
          </w:p>
        </w:tc>
        <w:tc>
          <w:tcPr>
            <w:tcW w:w="3953" w:type="dxa"/>
            <w:tcBorders>
              <w:top w:val="nil"/>
              <w:left w:val="single" w:sz="4" w:space="0" w:color="auto"/>
              <w:bottom w:val="single" w:sz="4" w:space="0" w:color="auto"/>
              <w:right w:val="single" w:sz="4" w:space="0" w:color="auto"/>
            </w:tcBorders>
            <w:vAlign w:val="bottom"/>
          </w:tcPr>
          <w:p w14:paraId="6CE1B92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Stateless entities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A88016E"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5-45</w:t>
            </w:r>
          </w:p>
        </w:tc>
      </w:tr>
      <w:tr w:rsidR="00C33621" w:rsidRPr="00EB655C" w14:paraId="4BCB57E4" w14:textId="77777777">
        <w:trPr>
          <w:trHeight w:val="300"/>
        </w:trPr>
        <w:tc>
          <w:tcPr>
            <w:tcW w:w="1694" w:type="dxa"/>
            <w:tcBorders>
              <w:top w:val="nil"/>
              <w:left w:val="single" w:sz="4" w:space="0" w:color="auto"/>
              <w:bottom w:val="single" w:sz="4" w:space="0" w:color="auto"/>
              <w:right w:val="single" w:sz="4" w:space="0" w:color="auto"/>
            </w:tcBorders>
            <w:vAlign w:val="bottom"/>
          </w:tcPr>
          <w:p w14:paraId="579BE652"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5.1.2</w:t>
            </w:r>
          </w:p>
        </w:tc>
        <w:tc>
          <w:tcPr>
            <w:tcW w:w="3953" w:type="dxa"/>
            <w:tcBorders>
              <w:top w:val="nil"/>
              <w:left w:val="single" w:sz="4" w:space="0" w:color="auto"/>
              <w:bottom w:val="single" w:sz="4" w:space="0" w:color="auto"/>
              <w:right w:val="single" w:sz="4" w:space="0" w:color="auto"/>
            </w:tcBorders>
            <w:vAlign w:val="bottom"/>
          </w:tcPr>
          <w:p w14:paraId="12DFCB42"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Net GloBE income formula</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E8552EF" w14:textId="75B27483"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w:t>
            </w:r>
            <w:r>
              <w:rPr>
                <w:rFonts w:eastAsia="Times New Roman" w:cs="Times New Roman"/>
                <w:sz w:val="20"/>
                <w:szCs w:val="20"/>
                <w:lang w:eastAsia="en-AU"/>
              </w:rPr>
              <w:t>15</w:t>
            </w:r>
          </w:p>
        </w:tc>
      </w:tr>
      <w:tr w:rsidR="00C33621" w:rsidRPr="00EB655C" w14:paraId="465BE5CB" w14:textId="77777777">
        <w:trPr>
          <w:trHeight w:val="300"/>
        </w:trPr>
        <w:tc>
          <w:tcPr>
            <w:tcW w:w="1694" w:type="dxa"/>
            <w:tcBorders>
              <w:top w:val="nil"/>
              <w:left w:val="single" w:sz="4" w:space="0" w:color="auto"/>
              <w:bottom w:val="single" w:sz="4" w:space="0" w:color="auto"/>
              <w:right w:val="single" w:sz="4" w:space="0" w:color="auto"/>
            </w:tcBorders>
            <w:vAlign w:val="bottom"/>
          </w:tcPr>
          <w:p w14:paraId="52F7A11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5.1.3</w:t>
            </w:r>
          </w:p>
        </w:tc>
        <w:tc>
          <w:tcPr>
            <w:tcW w:w="3953" w:type="dxa"/>
            <w:tcBorders>
              <w:top w:val="nil"/>
              <w:left w:val="single" w:sz="4" w:space="0" w:color="auto"/>
              <w:bottom w:val="single" w:sz="4" w:space="0" w:color="auto"/>
              <w:right w:val="single" w:sz="4" w:space="0" w:color="auto"/>
            </w:tcBorders>
            <w:vAlign w:val="bottom"/>
          </w:tcPr>
          <w:p w14:paraId="00EBD25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Investment entities compute ETR separately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FFC0DA0" w14:textId="77777777" w:rsidR="002359E2" w:rsidRDefault="002359E2" w:rsidP="00C33621">
            <w:pPr>
              <w:spacing w:before="60" w:after="60"/>
              <w:ind w:left="34"/>
              <w:rPr>
                <w:rFonts w:eastAsia="Times New Roman" w:cs="Times New Roman"/>
                <w:sz w:val="20"/>
                <w:szCs w:val="20"/>
                <w:lang w:eastAsia="en-AU"/>
              </w:rPr>
            </w:pPr>
            <w:r>
              <w:rPr>
                <w:rFonts w:eastAsia="Times New Roman" w:cs="Times New Roman"/>
                <w:sz w:val="20"/>
                <w:szCs w:val="20"/>
                <w:lang w:eastAsia="en-AU"/>
              </w:rPr>
              <w:t>Notes to</w:t>
            </w:r>
            <w:r w:rsidR="00C33621">
              <w:rPr>
                <w:rFonts w:eastAsia="Times New Roman" w:cs="Times New Roman"/>
                <w:sz w:val="20"/>
                <w:szCs w:val="20"/>
                <w:lang w:eastAsia="en-AU"/>
              </w:rPr>
              <w:t xml:space="preserve"> </w:t>
            </w:r>
            <w:r>
              <w:rPr>
                <w:rFonts w:eastAsia="Times New Roman" w:cs="Times New Roman"/>
                <w:sz w:val="20"/>
                <w:szCs w:val="20"/>
                <w:lang w:eastAsia="en-AU"/>
              </w:rPr>
              <w:t>5</w:t>
            </w:r>
            <w:r>
              <w:rPr>
                <w:rFonts w:eastAsia="Times New Roman" w:cs="Times New Roman"/>
                <w:sz w:val="20"/>
                <w:szCs w:val="20"/>
                <w:lang w:eastAsia="en-AU"/>
              </w:rPr>
              <w:noBreakHyphen/>
              <w:t>5</w:t>
            </w:r>
          </w:p>
          <w:p w14:paraId="71F1050E" w14:textId="05544AF0" w:rsidR="00C33621" w:rsidRPr="00EB655C" w:rsidRDefault="002359E2" w:rsidP="00C33621">
            <w:pPr>
              <w:spacing w:before="60" w:after="60"/>
              <w:ind w:left="34"/>
              <w:rPr>
                <w:rFonts w:eastAsia="Times New Roman" w:cs="Times New Roman"/>
                <w:sz w:val="20"/>
                <w:szCs w:val="20"/>
                <w:lang w:eastAsia="en-AU"/>
              </w:rPr>
            </w:pPr>
            <w:r>
              <w:rPr>
                <w:rFonts w:eastAsia="Times New Roman" w:cs="Times New Roman"/>
                <w:sz w:val="20"/>
                <w:szCs w:val="20"/>
                <w:lang w:eastAsia="en-AU"/>
              </w:rPr>
              <w:t>Part 7</w:t>
            </w:r>
            <w:r>
              <w:rPr>
                <w:rFonts w:eastAsia="Times New Roman" w:cs="Times New Roman"/>
                <w:sz w:val="20"/>
                <w:szCs w:val="20"/>
                <w:lang w:eastAsia="en-AU"/>
              </w:rPr>
              <w:noBreakHyphen/>
              <w:t>4</w:t>
            </w:r>
          </w:p>
        </w:tc>
      </w:tr>
      <w:tr w:rsidR="00C33621" w:rsidRPr="00EB655C" w14:paraId="5C647066" w14:textId="77777777">
        <w:trPr>
          <w:trHeight w:val="300"/>
        </w:trPr>
        <w:tc>
          <w:tcPr>
            <w:tcW w:w="1694" w:type="dxa"/>
            <w:tcBorders>
              <w:top w:val="nil"/>
              <w:left w:val="single" w:sz="4" w:space="0" w:color="auto"/>
              <w:bottom w:val="single" w:sz="4" w:space="0" w:color="auto"/>
              <w:right w:val="single" w:sz="4" w:space="0" w:color="auto"/>
            </w:tcBorders>
            <w:vAlign w:val="bottom"/>
          </w:tcPr>
          <w:p w14:paraId="4E8B7DED"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5.2</w:t>
            </w:r>
          </w:p>
        </w:tc>
        <w:tc>
          <w:tcPr>
            <w:tcW w:w="3953" w:type="dxa"/>
            <w:tcBorders>
              <w:top w:val="nil"/>
              <w:left w:val="single" w:sz="4" w:space="0" w:color="auto"/>
              <w:bottom w:val="single" w:sz="4" w:space="0" w:color="auto"/>
              <w:right w:val="single" w:sz="4" w:space="0" w:color="auto"/>
            </w:tcBorders>
            <w:vAlign w:val="bottom"/>
          </w:tcPr>
          <w:p w14:paraId="586ADD7D"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 xml:space="preserve">Top-up Tax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6BFEFEF"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5-2</w:t>
            </w:r>
          </w:p>
        </w:tc>
      </w:tr>
      <w:tr w:rsidR="00C33621" w:rsidRPr="00EB655C" w14:paraId="61F9642C" w14:textId="77777777">
        <w:trPr>
          <w:trHeight w:val="300"/>
        </w:trPr>
        <w:tc>
          <w:tcPr>
            <w:tcW w:w="1694" w:type="dxa"/>
            <w:tcBorders>
              <w:top w:val="nil"/>
              <w:left w:val="single" w:sz="4" w:space="0" w:color="auto"/>
              <w:bottom w:val="single" w:sz="4" w:space="0" w:color="auto"/>
              <w:right w:val="single" w:sz="4" w:space="0" w:color="auto"/>
            </w:tcBorders>
            <w:vAlign w:val="bottom"/>
          </w:tcPr>
          <w:p w14:paraId="1438EB5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5.2.1</w:t>
            </w:r>
          </w:p>
        </w:tc>
        <w:tc>
          <w:tcPr>
            <w:tcW w:w="3953" w:type="dxa"/>
            <w:tcBorders>
              <w:top w:val="nil"/>
              <w:left w:val="single" w:sz="4" w:space="0" w:color="auto"/>
              <w:bottom w:val="single" w:sz="4" w:space="0" w:color="auto"/>
              <w:right w:val="single" w:sz="4" w:space="0" w:color="auto"/>
            </w:tcBorders>
            <w:vAlign w:val="bottom"/>
          </w:tcPr>
          <w:p w14:paraId="66A882B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Top up tax percentage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9AB0C0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5-20</w:t>
            </w:r>
          </w:p>
        </w:tc>
      </w:tr>
      <w:tr w:rsidR="00C33621" w:rsidRPr="00EB655C" w14:paraId="41245A33" w14:textId="77777777">
        <w:trPr>
          <w:trHeight w:val="300"/>
        </w:trPr>
        <w:tc>
          <w:tcPr>
            <w:tcW w:w="1694" w:type="dxa"/>
            <w:tcBorders>
              <w:top w:val="nil"/>
              <w:left w:val="single" w:sz="4" w:space="0" w:color="auto"/>
              <w:bottom w:val="single" w:sz="4" w:space="0" w:color="auto"/>
              <w:right w:val="single" w:sz="4" w:space="0" w:color="auto"/>
            </w:tcBorders>
            <w:vAlign w:val="bottom"/>
          </w:tcPr>
          <w:p w14:paraId="3784E0F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5.2.2</w:t>
            </w:r>
          </w:p>
        </w:tc>
        <w:tc>
          <w:tcPr>
            <w:tcW w:w="3953" w:type="dxa"/>
            <w:tcBorders>
              <w:top w:val="nil"/>
              <w:left w:val="single" w:sz="4" w:space="0" w:color="auto"/>
              <w:bottom w:val="single" w:sz="4" w:space="0" w:color="auto"/>
              <w:right w:val="single" w:sz="4" w:space="0" w:color="auto"/>
            </w:tcBorders>
            <w:vAlign w:val="bottom"/>
          </w:tcPr>
          <w:p w14:paraId="7FB69281"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Excess profit formula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A1F62F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5-25</w:t>
            </w:r>
          </w:p>
        </w:tc>
      </w:tr>
      <w:tr w:rsidR="00C33621" w:rsidRPr="00EB655C" w14:paraId="402BE23F" w14:textId="77777777">
        <w:trPr>
          <w:trHeight w:val="300"/>
        </w:trPr>
        <w:tc>
          <w:tcPr>
            <w:tcW w:w="1694" w:type="dxa"/>
            <w:tcBorders>
              <w:top w:val="nil"/>
              <w:left w:val="single" w:sz="4" w:space="0" w:color="auto"/>
              <w:bottom w:val="single" w:sz="4" w:space="0" w:color="auto"/>
              <w:right w:val="single" w:sz="4" w:space="0" w:color="auto"/>
            </w:tcBorders>
            <w:vAlign w:val="bottom"/>
          </w:tcPr>
          <w:p w14:paraId="2AA5206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5.2.3</w:t>
            </w:r>
          </w:p>
        </w:tc>
        <w:tc>
          <w:tcPr>
            <w:tcW w:w="3953" w:type="dxa"/>
            <w:tcBorders>
              <w:top w:val="nil"/>
              <w:left w:val="single" w:sz="4" w:space="0" w:color="auto"/>
              <w:bottom w:val="single" w:sz="4" w:space="0" w:color="auto"/>
              <w:right w:val="single" w:sz="4" w:space="0" w:color="auto"/>
            </w:tcBorders>
            <w:vAlign w:val="bottom"/>
          </w:tcPr>
          <w:p w14:paraId="1BD9135F"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Jurisdictional top up tax formula</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1C8D1F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5-30</w:t>
            </w:r>
          </w:p>
        </w:tc>
      </w:tr>
      <w:tr w:rsidR="00C33621" w:rsidRPr="00EB655C" w14:paraId="1FB15671" w14:textId="77777777">
        <w:trPr>
          <w:trHeight w:val="300"/>
        </w:trPr>
        <w:tc>
          <w:tcPr>
            <w:tcW w:w="1694" w:type="dxa"/>
            <w:tcBorders>
              <w:top w:val="nil"/>
              <w:left w:val="single" w:sz="4" w:space="0" w:color="auto"/>
              <w:bottom w:val="single" w:sz="4" w:space="0" w:color="auto"/>
              <w:right w:val="single" w:sz="4" w:space="0" w:color="auto"/>
            </w:tcBorders>
            <w:vAlign w:val="bottom"/>
          </w:tcPr>
          <w:p w14:paraId="6E936BE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5.2.4</w:t>
            </w:r>
          </w:p>
        </w:tc>
        <w:tc>
          <w:tcPr>
            <w:tcW w:w="3953" w:type="dxa"/>
            <w:tcBorders>
              <w:top w:val="nil"/>
              <w:left w:val="single" w:sz="4" w:space="0" w:color="auto"/>
              <w:bottom w:val="single" w:sz="4" w:space="0" w:color="auto"/>
              <w:right w:val="single" w:sz="4" w:space="0" w:color="auto"/>
            </w:tcBorders>
            <w:vAlign w:val="bottom"/>
          </w:tcPr>
          <w:p w14:paraId="289FF8D4" w14:textId="3F907F21"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Top up Tax of </w:t>
            </w:r>
            <w:r w:rsidR="00C03724">
              <w:rPr>
                <w:rFonts w:eastAsia="Times New Roman" w:cs="Times New Roman"/>
                <w:sz w:val="20"/>
                <w:szCs w:val="20"/>
                <w:lang w:eastAsia="en-AU"/>
              </w:rPr>
              <w:t>Constituent Entity</w:t>
            </w:r>
            <w:r w:rsidR="00C03724" w:rsidRPr="00EB655C">
              <w:rPr>
                <w:rFonts w:eastAsia="Times New Roman" w:cs="Times New Roman"/>
                <w:sz w:val="20"/>
                <w:szCs w:val="20"/>
                <w:lang w:eastAsia="en-AU"/>
              </w:rPr>
              <w:t xml:space="preserve"> </w:t>
            </w:r>
            <w:r w:rsidRPr="00EB655C">
              <w:rPr>
                <w:rFonts w:eastAsia="Times New Roman" w:cs="Times New Roman"/>
                <w:sz w:val="20"/>
                <w:szCs w:val="20"/>
                <w:lang w:eastAsia="en-AU"/>
              </w:rPr>
              <w:t>formula</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C19AA92"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5-40</w:t>
            </w:r>
          </w:p>
        </w:tc>
      </w:tr>
      <w:tr w:rsidR="00C33621" w:rsidRPr="00EB655C" w14:paraId="45CA3518" w14:textId="77777777">
        <w:trPr>
          <w:trHeight w:val="300"/>
        </w:trPr>
        <w:tc>
          <w:tcPr>
            <w:tcW w:w="1694" w:type="dxa"/>
            <w:tcBorders>
              <w:top w:val="nil"/>
              <w:left w:val="single" w:sz="4" w:space="0" w:color="auto"/>
              <w:bottom w:val="single" w:sz="4" w:space="0" w:color="auto"/>
              <w:right w:val="single" w:sz="4" w:space="0" w:color="auto"/>
            </w:tcBorders>
            <w:vAlign w:val="bottom"/>
          </w:tcPr>
          <w:p w14:paraId="714DF7C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5.2.5</w:t>
            </w:r>
          </w:p>
        </w:tc>
        <w:tc>
          <w:tcPr>
            <w:tcW w:w="3953" w:type="dxa"/>
            <w:tcBorders>
              <w:top w:val="nil"/>
              <w:left w:val="single" w:sz="4" w:space="0" w:color="auto"/>
              <w:bottom w:val="single" w:sz="4" w:space="0" w:color="auto"/>
              <w:right w:val="single" w:sz="4" w:space="0" w:color="auto"/>
            </w:tcBorders>
            <w:vAlign w:val="bottom"/>
          </w:tcPr>
          <w:p w14:paraId="5726849F"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Recalculation of top</w:t>
            </w:r>
            <w:r>
              <w:rPr>
                <w:rFonts w:eastAsia="Times New Roman" w:cs="Times New Roman"/>
                <w:sz w:val="20"/>
                <w:szCs w:val="20"/>
                <w:lang w:eastAsia="en-AU"/>
              </w:rPr>
              <w:noBreakHyphen/>
            </w:r>
            <w:r w:rsidRPr="00EB655C">
              <w:rPr>
                <w:rFonts w:eastAsia="Times New Roman" w:cs="Times New Roman"/>
                <w:sz w:val="20"/>
                <w:szCs w:val="20"/>
                <w:lang w:eastAsia="en-AU"/>
              </w:rPr>
              <w:t>up tax - additional current top up tax</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BBABBF9" w14:textId="77777777" w:rsidR="00C33621" w:rsidRPr="00EB655C" w:rsidRDefault="00C33621" w:rsidP="00C33621">
            <w:pPr>
              <w:spacing w:before="60" w:after="60"/>
              <w:ind w:left="34"/>
              <w:rPr>
                <w:rFonts w:eastAsia="Times New Roman" w:cs="Times New Roman"/>
                <w:sz w:val="20"/>
                <w:szCs w:val="20"/>
                <w:lang w:eastAsia="en-AU"/>
              </w:rPr>
            </w:pPr>
            <w:r>
              <w:rPr>
                <w:rFonts w:eastAsia="Times New Roman" w:cs="Times New Roman"/>
                <w:sz w:val="20"/>
                <w:szCs w:val="20"/>
                <w:lang w:eastAsia="en-AU"/>
              </w:rPr>
              <w:t>5-40</w:t>
            </w:r>
          </w:p>
        </w:tc>
      </w:tr>
      <w:tr w:rsidR="00C33621" w:rsidRPr="00EB655C" w14:paraId="7BB707CA" w14:textId="77777777">
        <w:trPr>
          <w:trHeight w:val="300"/>
        </w:trPr>
        <w:tc>
          <w:tcPr>
            <w:tcW w:w="1694" w:type="dxa"/>
            <w:tcBorders>
              <w:top w:val="nil"/>
              <w:left w:val="single" w:sz="4" w:space="0" w:color="auto"/>
              <w:bottom w:val="single" w:sz="4" w:space="0" w:color="auto"/>
              <w:right w:val="single" w:sz="4" w:space="0" w:color="auto"/>
            </w:tcBorders>
            <w:vAlign w:val="bottom"/>
          </w:tcPr>
          <w:p w14:paraId="7963BA73"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5.3</w:t>
            </w:r>
          </w:p>
        </w:tc>
        <w:tc>
          <w:tcPr>
            <w:tcW w:w="3953" w:type="dxa"/>
            <w:tcBorders>
              <w:top w:val="nil"/>
              <w:left w:val="single" w:sz="4" w:space="0" w:color="auto"/>
              <w:bottom w:val="single" w:sz="4" w:space="0" w:color="auto"/>
              <w:right w:val="single" w:sz="4" w:space="0" w:color="auto"/>
            </w:tcBorders>
            <w:vAlign w:val="bottom"/>
          </w:tcPr>
          <w:p w14:paraId="01F4BABA"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Substance-based Income Exclusion</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4AC293E"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5-3</w:t>
            </w:r>
          </w:p>
        </w:tc>
      </w:tr>
      <w:tr w:rsidR="00C33621" w:rsidRPr="00EB655C" w14:paraId="40F9E220" w14:textId="77777777">
        <w:trPr>
          <w:trHeight w:val="300"/>
        </w:trPr>
        <w:tc>
          <w:tcPr>
            <w:tcW w:w="1694" w:type="dxa"/>
            <w:tcBorders>
              <w:top w:val="nil"/>
              <w:left w:val="single" w:sz="4" w:space="0" w:color="auto"/>
              <w:bottom w:val="single" w:sz="4" w:space="0" w:color="auto"/>
              <w:right w:val="single" w:sz="4" w:space="0" w:color="auto"/>
            </w:tcBorders>
            <w:vAlign w:val="bottom"/>
          </w:tcPr>
          <w:p w14:paraId="37B2C02D"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lastRenderedPageBreak/>
              <w:t>5.3.1</w:t>
            </w:r>
          </w:p>
        </w:tc>
        <w:tc>
          <w:tcPr>
            <w:tcW w:w="3953" w:type="dxa"/>
            <w:tcBorders>
              <w:top w:val="nil"/>
              <w:left w:val="single" w:sz="4" w:space="0" w:color="auto"/>
              <w:bottom w:val="single" w:sz="4" w:space="0" w:color="auto"/>
              <w:right w:val="single" w:sz="4" w:space="0" w:color="auto"/>
            </w:tcBorders>
            <w:vAlign w:val="bottom"/>
          </w:tcPr>
          <w:p w14:paraId="5F83587C"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Operation of SBIE and election to opt out</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CE67A9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5-25, 5-50(2)-(6), 5-55(4) and 5-65(5)</w:t>
            </w:r>
          </w:p>
        </w:tc>
      </w:tr>
      <w:tr w:rsidR="00C33621" w:rsidRPr="00EB655C" w14:paraId="3490A58D" w14:textId="77777777">
        <w:trPr>
          <w:trHeight w:val="300"/>
        </w:trPr>
        <w:tc>
          <w:tcPr>
            <w:tcW w:w="1694" w:type="dxa"/>
            <w:tcBorders>
              <w:top w:val="nil"/>
              <w:left w:val="single" w:sz="4" w:space="0" w:color="auto"/>
              <w:bottom w:val="single" w:sz="4" w:space="0" w:color="auto"/>
              <w:right w:val="single" w:sz="4" w:space="0" w:color="auto"/>
            </w:tcBorders>
            <w:vAlign w:val="bottom"/>
          </w:tcPr>
          <w:p w14:paraId="4D64B55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5.3.2</w:t>
            </w:r>
          </w:p>
        </w:tc>
        <w:tc>
          <w:tcPr>
            <w:tcW w:w="3953" w:type="dxa"/>
            <w:tcBorders>
              <w:top w:val="nil"/>
              <w:left w:val="single" w:sz="4" w:space="0" w:color="auto"/>
              <w:bottom w:val="single" w:sz="4" w:space="0" w:color="auto"/>
              <w:right w:val="single" w:sz="4" w:space="0" w:color="auto"/>
            </w:tcBorders>
            <w:vAlign w:val="bottom"/>
          </w:tcPr>
          <w:p w14:paraId="2B8DFB5D"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SBIE formula</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0F0E512"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5-50(1)</w:t>
            </w:r>
          </w:p>
        </w:tc>
      </w:tr>
      <w:tr w:rsidR="00C33621" w:rsidRPr="00EB655C" w14:paraId="1EBDE8C5" w14:textId="77777777">
        <w:trPr>
          <w:trHeight w:val="300"/>
        </w:trPr>
        <w:tc>
          <w:tcPr>
            <w:tcW w:w="1694" w:type="dxa"/>
            <w:tcBorders>
              <w:top w:val="nil"/>
              <w:left w:val="single" w:sz="4" w:space="0" w:color="auto"/>
              <w:bottom w:val="single" w:sz="4" w:space="0" w:color="auto"/>
              <w:right w:val="single" w:sz="4" w:space="0" w:color="auto"/>
            </w:tcBorders>
            <w:vAlign w:val="bottom"/>
          </w:tcPr>
          <w:p w14:paraId="2C2BED0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5.3.3</w:t>
            </w:r>
          </w:p>
        </w:tc>
        <w:tc>
          <w:tcPr>
            <w:tcW w:w="3953" w:type="dxa"/>
            <w:tcBorders>
              <w:top w:val="nil"/>
              <w:left w:val="single" w:sz="4" w:space="0" w:color="auto"/>
              <w:bottom w:val="single" w:sz="4" w:space="0" w:color="auto"/>
              <w:right w:val="single" w:sz="4" w:space="0" w:color="auto"/>
            </w:tcBorders>
            <w:vAlign w:val="bottom"/>
          </w:tcPr>
          <w:p w14:paraId="2C315D4E" w14:textId="0BE0C130"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Payroll </w:t>
            </w:r>
            <w:r w:rsidR="00220D10">
              <w:rPr>
                <w:rFonts w:eastAsia="Times New Roman" w:cs="Times New Roman"/>
                <w:sz w:val="20"/>
                <w:szCs w:val="20"/>
                <w:lang w:eastAsia="en-AU"/>
              </w:rPr>
              <w:t>carve-out</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CD5522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5-55 and 5-60</w:t>
            </w:r>
          </w:p>
        </w:tc>
      </w:tr>
      <w:tr w:rsidR="00C33621" w:rsidRPr="00EB655C" w14:paraId="0112F2BC" w14:textId="77777777">
        <w:trPr>
          <w:trHeight w:val="300"/>
        </w:trPr>
        <w:tc>
          <w:tcPr>
            <w:tcW w:w="1694" w:type="dxa"/>
            <w:tcBorders>
              <w:top w:val="nil"/>
              <w:left w:val="single" w:sz="4" w:space="0" w:color="auto"/>
              <w:bottom w:val="single" w:sz="4" w:space="0" w:color="auto"/>
              <w:right w:val="single" w:sz="4" w:space="0" w:color="auto"/>
            </w:tcBorders>
            <w:vAlign w:val="bottom"/>
          </w:tcPr>
          <w:p w14:paraId="76977EC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5.3.4</w:t>
            </w:r>
          </w:p>
        </w:tc>
        <w:tc>
          <w:tcPr>
            <w:tcW w:w="3953" w:type="dxa"/>
            <w:tcBorders>
              <w:top w:val="nil"/>
              <w:left w:val="single" w:sz="4" w:space="0" w:color="auto"/>
              <w:bottom w:val="single" w:sz="4" w:space="0" w:color="auto"/>
              <w:right w:val="single" w:sz="4" w:space="0" w:color="auto"/>
            </w:tcBorders>
            <w:vAlign w:val="bottom"/>
          </w:tcPr>
          <w:p w14:paraId="2CE8188D" w14:textId="26615DBE"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Tangible asset </w:t>
            </w:r>
            <w:r w:rsidR="00220D10">
              <w:rPr>
                <w:rFonts w:eastAsia="Times New Roman" w:cs="Times New Roman"/>
                <w:sz w:val="20"/>
                <w:szCs w:val="20"/>
                <w:lang w:eastAsia="en-AU"/>
              </w:rPr>
              <w:t>carve-out</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F0294CA" w14:textId="316F39B5"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5-65, 5-70 and 5</w:t>
            </w:r>
            <w:r w:rsidR="002359E2">
              <w:rPr>
                <w:rFonts w:eastAsia="Times New Roman" w:cs="Times New Roman"/>
                <w:sz w:val="20"/>
                <w:szCs w:val="20"/>
                <w:lang w:eastAsia="en-AU"/>
              </w:rPr>
              <w:noBreakHyphen/>
            </w:r>
            <w:r w:rsidRPr="00EB655C">
              <w:rPr>
                <w:rFonts w:eastAsia="Times New Roman" w:cs="Times New Roman"/>
                <w:sz w:val="20"/>
                <w:szCs w:val="20"/>
                <w:lang w:eastAsia="en-AU"/>
              </w:rPr>
              <w:t>75</w:t>
            </w:r>
          </w:p>
        </w:tc>
      </w:tr>
      <w:tr w:rsidR="00C33621" w:rsidRPr="00EB655C" w14:paraId="5391B0D4" w14:textId="77777777">
        <w:trPr>
          <w:trHeight w:val="300"/>
        </w:trPr>
        <w:tc>
          <w:tcPr>
            <w:tcW w:w="1694" w:type="dxa"/>
            <w:tcBorders>
              <w:top w:val="nil"/>
              <w:left w:val="single" w:sz="4" w:space="0" w:color="auto"/>
              <w:bottom w:val="single" w:sz="4" w:space="0" w:color="auto"/>
              <w:right w:val="single" w:sz="4" w:space="0" w:color="auto"/>
            </w:tcBorders>
            <w:vAlign w:val="bottom"/>
          </w:tcPr>
          <w:p w14:paraId="4EF6D89C"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5.3.5</w:t>
            </w:r>
          </w:p>
        </w:tc>
        <w:tc>
          <w:tcPr>
            <w:tcW w:w="3953" w:type="dxa"/>
            <w:tcBorders>
              <w:top w:val="nil"/>
              <w:left w:val="single" w:sz="4" w:space="0" w:color="auto"/>
              <w:bottom w:val="single" w:sz="4" w:space="0" w:color="auto"/>
              <w:right w:val="single" w:sz="4" w:space="0" w:color="auto"/>
            </w:tcBorders>
            <w:vAlign w:val="bottom"/>
          </w:tcPr>
          <w:p w14:paraId="6EE0A8FE"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Computation of carrying value of Eligible Tangible Assets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BC0192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5-65(2) and (3)(c) and (e)</w:t>
            </w:r>
          </w:p>
        </w:tc>
      </w:tr>
      <w:tr w:rsidR="00C33621" w:rsidRPr="00EB655C" w14:paraId="68B0901B" w14:textId="77777777">
        <w:trPr>
          <w:trHeight w:val="300"/>
        </w:trPr>
        <w:tc>
          <w:tcPr>
            <w:tcW w:w="1694" w:type="dxa"/>
            <w:tcBorders>
              <w:top w:val="nil"/>
              <w:left w:val="single" w:sz="4" w:space="0" w:color="auto"/>
              <w:bottom w:val="single" w:sz="4" w:space="0" w:color="auto"/>
              <w:right w:val="single" w:sz="4" w:space="0" w:color="auto"/>
            </w:tcBorders>
            <w:vAlign w:val="bottom"/>
          </w:tcPr>
          <w:p w14:paraId="17398FAF"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5.3.6</w:t>
            </w:r>
          </w:p>
        </w:tc>
        <w:tc>
          <w:tcPr>
            <w:tcW w:w="3953" w:type="dxa"/>
            <w:tcBorders>
              <w:top w:val="nil"/>
              <w:left w:val="single" w:sz="4" w:space="0" w:color="auto"/>
              <w:bottom w:val="single" w:sz="4" w:space="0" w:color="auto"/>
              <w:right w:val="single" w:sz="4" w:space="0" w:color="auto"/>
            </w:tcBorders>
            <w:vAlign w:val="bottom"/>
          </w:tcPr>
          <w:p w14:paraId="1649D7D0" w14:textId="23F4C393" w:rsidR="00C33621" w:rsidRPr="00EB655C" w:rsidRDefault="00F72B6C"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SBIE of P</w:t>
            </w:r>
            <w:r>
              <w:rPr>
                <w:rFonts w:eastAsia="Times New Roman" w:cs="Times New Roman"/>
                <w:sz w:val="20"/>
                <w:szCs w:val="20"/>
                <w:lang w:eastAsia="en-AU"/>
              </w:rPr>
              <w:t xml:space="preserve">ermanent </w:t>
            </w:r>
            <w:r w:rsidRPr="00EB655C">
              <w:rPr>
                <w:rFonts w:eastAsia="Times New Roman" w:cs="Times New Roman"/>
                <w:sz w:val="20"/>
                <w:szCs w:val="20"/>
                <w:lang w:eastAsia="en-AU"/>
              </w:rPr>
              <w:t>E</w:t>
            </w:r>
            <w:r>
              <w:rPr>
                <w:rFonts w:eastAsia="Times New Roman" w:cs="Times New Roman"/>
                <w:sz w:val="20"/>
                <w:szCs w:val="20"/>
                <w:lang w:eastAsia="en-AU"/>
              </w:rPr>
              <w:t xml:space="preserve">stablishment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9E8F29F"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5-80 and 5-85(2)</w:t>
            </w:r>
          </w:p>
        </w:tc>
      </w:tr>
      <w:tr w:rsidR="00C33621" w:rsidRPr="00EB655C" w14:paraId="3EEAE886" w14:textId="77777777">
        <w:trPr>
          <w:trHeight w:val="300"/>
        </w:trPr>
        <w:tc>
          <w:tcPr>
            <w:tcW w:w="1694" w:type="dxa"/>
            <w:tcBorders>
              <w:top w:val="nil"/>
              <w:left w:val="single" w:sz="4" w:space="0" w:color="auto"/>
              <w:bottom w:val="single" w:sz="4" w:space="0" w:color="auto"/>
              <w:right w:val="single" w:sz="4" w:space="0" w:color="auto"/>
            </w:tcBorders>
            <w:vAlign w:val="bottom"/>
          </w:tcPr>
          <w:p w14:paraId="58954D8C"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5.3.7</w:t>
            </w:r>
          </w:p>
        </w:tc>
        <w:tc>
          <w:tcPr>
            <w:tcW w:w="3953" w:type="dxa"/>
            <w:tcBorders>
              <w:top w:val="nil"/>
              <w:left w:val="single" w:sz="4" w:space="0" w:color="auto"/>
              <w:bottom w:val="single" w:sz="4" w:space="0" w:color="auto"/>
              <w:right w:val="single" w:sz="4" w:space="0" w:color="auto"/>
            </w:tcBorders>
            <w:vAlign w:val="bottom"/>
          </w:tcPr>
          <w:p w14:paraId="72CCE9B8" w14:textId="4BB72F1A"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SBIE of Flow</w:t>
            </w:r>
            <w:r w:rsidR="00BC71DA">
              <w:rPr>
                <w:rFonts w:eastAsia="Times New Roman" w:cs="Times New Roman"/>
                <w:sz w:val="20"/>
                <w:szCs w:val="20"/>
                <w:lang w:eastAsia="en-AU"/>
              </w:rPr>
              <w:noBreakHyphen/>
            </w:r>
            <w:r w:rsidRPr="00EB655C">
              <w:rPr>
                <w:rFonts w:eastAsia="Times New Roman" w:cs="Times New Roman"/>
                <w:sz w:val="20"/>
                <w:szCs w:val="20"/>
                <w:lang w:eastAsia="en-AU"/>
              </w:rPr>
              <w:t xml:space="preserve">through </w:t>
            </w:r>
            <w:r w:rsidR="00C03724">
              <w:rPr>
                <w:rFonts w:eastAsia="Times New Roman" w:cs="Times New Roman"/>
                <w:sz w:val="20"/>
                <w:szCs w:val="20"/>
                <w:lang w:eastAsia="en-AU"/>
              </w:rPr>
              <w:t>Entity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A2F2D55"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5-85(3)-(5)</w:t>
            </w:r>
          </w:p>
        </w:tc>
      </w:tr>
      <w:tr w:rsidR="00C33621" w:rsidRPr="00EB655C" w14:paraId="1B44487F" w14:textId="77777777">
        <w:trPr>
          <w:trHeight w:val="300"/>
        </w:trPr>
        <w:tc>
          <w:tcPr>
            <w:tcW w:w="1694" w:type="dxa"/>
            <w:tcBorders>
              <w:top w:val="nil"/>
              <w:left w:val="single" w:sz="4" w:space="0" w:color="auto"/>
              <w:bottom w:val="nil"/>
              <w:right w:val="single" w:sz="4" w:space="0" w:color="auto"/>
            </w:tcBorders>
            <w:vAlign w:val="bottom"/>
          </w:tcPr>
          <w:p w14:paraId="54E743EE" w14:textId="77777777" w:rsidR="00C33621" w:rsidRPr="00EB655C" w:rsidRDefault="00C33621" w:rsidP="00C33621">
            <w:pPr>
              <w:spacing w:before="60" w:after="60"/>
              <w:ind w:left="34"/>
              <w:rPr>
                <w:rFonts w:eastAsia="Times New Roman" w:cs="Times New Roman"/>
                <w:sz w:val="20"/>
                <w:szCs w:val="20"/>
                <w:lang w:eastAsia="en-AU"/>
              </w:rPr>
            </w:pPr>
            <w:r w:rsidRPr="001C0336">
              <w:rPr>
                <w:rFonts w:eastAsia="Times New Roman" w:cs="Times New Roman"/>
                <w:sz w:val="20"/>
                <w:szCs w:val="20"/>
                <w:lang w:eastAsia="en-AU"/>
              </w:rPr>
              <w:t>Para 36 Chapter 3 of the July 2023 AG</w:t>
            </w:r>
          </w:p>
        </w:tc>
        <w:tc>
          <w:tcPr>
            <w:tcW w:w="3953" w:type="dxa"/>
            <w:tcBorders>
              <w:top w:val="nil"/>
              <w:left w:val="single" w:sz="4" w:space="0" w:color="auto"/>
              <w:bottom w:val="nil"/>
              <w:right w:val="single" w:sz="4" w:space="0" w:color="auto"/>
            </w:tcBorders>
            <w:vAlign w:val="bottom"/>
          </w:tcPr>
          <w:p w14:paraId="4725E6D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SBIE - </w:t>
            </w:r>
            <w:r w:rsidRPr="00E03E98">
              <w:rPr>
                <w:rFonts w:eastAsia="Times New Roman" w:cs="Times New Roman"/>
                <w:sz w:val="20"/>
                <w:szCs w:val="20"/>
                <w:lang w:eastAsia="en-AU"/>
              </w:rPr>
              <w:t>Interjurisdictional Assets and Employees</w:t>
            </w:r>
          </w:p>
        </w:tc>
        <w:tc>
          <w:tcPr>
            <w:tcW w:w="1828" w:type="dxa"/>
            <w:tcBorders>
              <w:top w:val="nil"/>
              <w:left w:val="single" w:sz="4" w:space="0" w:color="auto"/>
              <w:bottom w:val="nil"/>
              <w:right w:val="single" w:sz="4" w:space="0" w:color="auto"/>
            </w:tcBorders>
            <w:shd w:val="clear" w:color="auto" w:fill="auto"/>
            <w:noWrap/>
            <w:vAlign w:val="bottom"/>
            <w:hideMark/>
          </w:tcPr>
          <w:p w14:paraId="141596BB" w14:textId="263EDBC1" w:rsidR="00C33621" w:rsidRPr="00EB655C" w:rsidRDefault="00C33621" w:rsidP="00C33621">
            <w:pPr>
              <w:spacing w:before="60" w:after="60"/>
              <w:ind w:left="34"/>
              <w:rPr>
                <w:rFonts w:eastAsia="Times New Roman" w:cs="Times New Roman"/>
                <w:sz w:val="20"/>
                <w:szCs w:val="20"/>
                <w:lang w:eastAsia="en-AU"/>
              </w:rPr>
            </w:pPr>
            <w:r w:rsidRPr="00815F6F">
              <w:rPr>
                <w:rFonts w:eastAsia="Times New Roman" w:cs="Times New Roman"/>
                <w:sz w:val="20"/>
                <w:szCs w:val="20"/>
                <w:lang w:eastAsia="en-AU"/>
              </w:rPr>
              <w:t>5-55(2), 5</w:t>
            </w:r>
            <w:r w:rsidR="002359E2">
              <w:rPr>
                <w:rFonts w:eastAsia="Times New Roman" w:cs="Times New Roman"/>
                <w:sz w:val="20"/>
                <w:szCs w:val="20"/>
                <w:lang w:eastAsia="en-AU"/>
              </w:rPr>
              <w:noBreakHyphen/>
            </w:r>
            <w:r w:rsidRPr="00815F6F">
              <w:rPr>
                <w:rFonts w:eastAsia="Times New Roman" w:cs="Times New Roman"/>
                <w:sz w:val="20"/>
                <w:szCs w:val="20"/>
                <w:lang w:eastAsia="en-AU"/>
              </w:rPr>
              <w:t>65(3)(f)</w:t>
            </w:r>
          </w:p>
        </w:tc>
      </w:tr>
      <w:tr w:rsidR="00C33621" w:rsidRPr="00EB655C" w14:paraId="36309A8D" w14:textId="77777777">
        <w:trPr>
          <w:trHeight w:val="300"/>
        </w:trPr>
        <w:tc>
          <w:tcPr>
            <w:tcW w:w="1694" w:type="dxa"/>
            <w:tcBorders>
              <w:top w:val="single" w:sz="4" w:space="0" w:color="auto"/>
              <w:left w:val="single" w:sz="4" w:space="0" w:color="auto"/>
              <w:bottom w:val="single" w:sz="4" w:space="0" w:color="auto"/>
              <w:right w:val="single" w:sz="4" w:space="0" w:color="auto"/>
            </w:tcBorders>
          </w:tcPr>
          <w:p w14:paraId="259DEB55" w14:textId="77777777" w:rsidR="00C33621" w:rsidRPr="002165A1" w:rsidRDefault="00C33621" w:rsidP="00C33621">
            <w:pPr>
              <w:spacing w:before="60" w:after="60"/>
              <w:ind w:left="34"/>
              <w:rPr>
                <w:rFonts w:eastAsia="Times New Roman" w:cs="Times New Roman"/>
                <w:b/>
                <w:bCs/>
                <w:sz w:val="20"/>
                <w:szCs w:val="20"/>
                <w:lang w:eastAsia="en-AU"/>
              </w:rPr>
            </w:pPr>
            <w:r w:rsidRPr="006D2FCE">
              <w:rPr>
                <w:sz w:val="20"/>
                <w:szCs w:val="20"/>
              </w:rPr>
              <w:t>Para 36 Chapter 3 of the July 2023 AG</w:t>
            </w:r>
          </w:p>
        </w:tc>
        <w:tc>
          <w:tcPr>
            <w:tcW w:w="3953" w:type="dxa"/>
            <w:tcBorders>
              <w:top w:val="single" w:sz="4" w:space="0" w:color="auto"/>
              <w:left w:val="single" w:sz="4" w:space="0" w:color="auto"/>
              <w:bottom w:val="single" w:sz="4" w:space="0" w:color="auto"/>
              <w:right w:val="single" w:sz="4" w:space="0" w:color="auto"/>
            </w:tcBorders>
          </w:tcPr>
          <w:p w14:paraId="3659E263" w14:textId="77777777" w:rsidR="00C33621" w:rsidRPr="002165A1" w:rsidRDefault="00C33621" w:rsidP="00C33621">
            <w:pPr>
              <w:spacing w:before="60" w:after="60"/>
              <w:ind w:left="34"/>
              <w:rPr>
                <w:rFonts w:eastAsia="Times New Roman" w:cs="Times New Roman"/>
                <w:b/>
                <w:bCs/>
                <w:sz w:val="20"/>
                <w:szCs w:val="20"/>
                <w:lang w:eastAsia="en-AU"/>
              </w:rPr>
            </w:pPr>
            <w:r w:rsidRPr="006D2FCE">
              <w:rPr>
                <w:sz w:val="20"/>
                <w:szCs w:val="20"/>
              </w:rPr>
              <w:t xml:space="preserve">SBIE – Simplification </w:t>
            </w:r>
          </w:p>
        </w:tc>
        <w:tc>
          <w:tcPr>
            <w:tcW w:w="1828" w:type="dxa"/>
            <w:tcBorders>
              <w:top w:val="single" w:sz="4" w:space="0" w:color="auto"/>
              <w:left w:val="single" w:sz="4" w:space="0" w:color="auto"/>
              <w:bottom w:val="single" w:sz="4" w:space="0" w:color="auto"/>
              <w:right w:val="single" w:sz="4" w:space="0" w:color="auto"/>
            </w:tcBorders>
            <w:shd w:val="clear" w:color="auto" w:fill="auto"/>
            <w:noWrap/>
          </w:tcPr>
          <w:p w14:paraId="314EC6E2" w14:textId="367FDAF1" w:rsidR="00C33621" w:rsidRPr="002165A1" w:rsidRDefault="00C33621" w:rsidP="00C33621">
            <w:pPr>
              <w:spacing w:before="60" w:after="60"/>
              <w:ind w:left="34"/>
              <w:rPr>
                <w:rFonts w:eastAsia="Times New Roman" w:cs="Times New Roman"/>
                <w:b/>
                <w:bCs/>
                <w:sz w:val="20"/>
                <w:szCs w:val="20"/>
                <w:lang w:eastAsia="en-AU"/>
              </w:rPr>
            </w:pPr>
            <w:r w:rsidRPr="006D2FCE">
              <w:rPr>
                <w:sz w:val="20"/>
                <w:szCs w:val="20"/>
              </w:rPr>
              <w:t>5-55(3)-(4) and 5-65(4)-(5)</w:t>
            </w:r>
          </w:p>
        </w:tc>
      </w:tr>
      <w:tr w:rsidR="00C33621" w:rsidRPr="00EB655C" w14:paraId="4FEFEAD4" w14:textId="77777777">
        <w:trPr>
          <w:trHeight w:val="300"/>
        </w:trPr>
        <w:tc>
          <w:tcPr>
            <w:tcW w:w="1694" w:type="dxa"/>
            <w:tcBorders>
              <w:top w:val="single" w:sz="4" w:space="0" w:color="auto"/>
              <w:left w:val="single" w:sz="4" w:space="0" w:color="auto"/>
              <w:bottom w:val="single" w:sz="4" w:space="0" w:color="auto"/>
              <w:right w:val="single" w:sz="4" w:space="0" w:color="auto"/>
            </w:tcBorders>
          </w:tcPr>
          <w:p w14:paraId="01A5F3E2" w14:textId="77777777" w:rsidR="00C33621" w:rsidRPr="002165A1" w:rsidRDefault="00C33621" w:rsidP="00C33621">
            <w:pPr>
              <w:spacing w:before="60" w:after="60"/>
              <w:ind w:left="34"/>
              <w:rPr>
                <w:rFonts w:eastAsia="Times New Roman" w:cs="Times New Roman"/>
                <w:b/>
                <w:bCs/>
                <w:sz w:val="20"/>
                <w:szCs w:val="20"/>
                <w:lang w:eastAsia="en-AU"/>
              </w:rPr>
            </w:pPr>
            <w:r w:rsidRPr="006D2FCE">
              <w:rPr>
                <w:sz w:val="20"/>
                <w:szCs w:val="20"/>
              </w:rPr>
              <w:t xml:space="preserve">Para 45 Chapter 3 of the July 2023 AG </w:t>
            </w:r>
          </w:p>
        </w:tc>
        <w:tc>
          <w:tcPr>
            <w:tcW w:w="3953" w:type="dxa"/>
            <w:tcBorders>
              <w:top w:val="single" w:sz="4" w:space="0" w:color="auto"/>
              <w:left w:val="single" w:sz="4" w:space="0" w:color="auto"/>
              <w:bottom w:val="single" w:sz="4" w:space="0" w:color="auto"/>
              <w:right w:val="single" w:sz="4" w:space="0" w:color="auto"/>
            </w:tcBorders>
          </w:tcPr>
          <w:p w14:paraId="5689E4B7" w14:textId="77777777" w:rsidR="00C33621" w:rsidRPr="002165A1" w:rsidRDefault="00C33621" w:rsidP="00C33621">
            <w:pPr>
              <w:spacing w:before="60" w:after="60"/>
              <w:ind w:left="34"/>
              <w:rPr>
                <w:rFonts w:eastAsia="Times New Roman" w:cs="Times New Roman"/>
                <w:b/>
                <w:bCs/>
                <w:sz w:val="20"/>
                <w:szCs w:val="20"/>
                <w:lang w:eastAsia="en-AU"/>
              </w:rPr>
            </w:pPr>
            <w:r w:rsidRPr="006D2FCE">
              <w:rPr>
                <w:sz w:val="20"/>
                <w:szCs w:val="20"/>
              </w:rPr>
              <w:t xml:space="preserve">SBIE – Stock-based compensation </w:t>
            </w:r>
          </w:p>
        </w:tc>
        <w:tc>
          <w:tcPr>
            <w:tcW w:w="1828" w:type="dxa"/>
            <w:tcBorders>
              <w:top w:val="single" w:sz="4" w:space="0" w:color="auto"/>
              <w:left w:val="single" w:sz="4" w:space="0" w:color="auto"/>
              <w:bottom w:val="single" w:sz="4" w:space="0" w:color="auto"/>
              <w:right w:val="single" w:sz="4" w:space="0" w:color="auto"/>
            </w:tcBorders>
            <w:shd w:val="clear" w:color="auto" w:fill="auto"/>
            <w:noWrap/>
          </w:tcPr>
          <w:p w14:paraId="0318227E" w14:textId="77777777" w:rsidR="00C33621" w:rsidRPr="002165A1" w:rsidRDefault="00C33621" w:rsidP="00C33621">
            <w:pPr>
              <w:spacing w:before="60" w:after="60"/>
              <w:ind w:left="34"/>
              <w:rPr>
                <w:rFonts w:eastAsia="Times New Roman" w:cs="Times New Roman"/>
                <w:b/>
                <w:bCs/>
                <w:sz w:val="20"/>
                <w:szCs w:val="20"/>
                <w:lang w:eastAsia="en-AU"/>
              </w:rPr>
            </w:pPr>
            <w:r w:rsidRPr="006D2FCE">
              <w:rPr>
                <w:sz w:val="20"/>
                <w:szCs w:val="20"/>
              </w:rPr>
              <w:t>5-60</w:t>
            </w:r>
          </w:p>
        </w:tc>
      </w:tr>
      <w:tr w:rsidR="00C33621" w:rsidRPr="00EB655C" w14:paraId="2BD8BB9D" w14:textId="77777777">
        <w:trPr>
          <w:trHeight w:val="300"/>
        </w:trPr>
        <w:tc>
          <w:tcPr>
            <w:tcW w:w="1694" w:type="dxa"/>
            <w:tcBorders>
              <w:top w:val="single" w:sz="4" w:space="0" w:color="auto"/>
              <w:left w:val="single" w:sz="4" w:space="0" w:color="auto"/>
              <w:bottom w:val="single" w:sz="4" w:space="0" w:color="auto"/>
              <w:right w:val="single" w:sz="4" w:space="0" w:color="auto"/>
            </w:tcBorders>
          </w:tcPr>
          <w:p w14:paraId="4210A38E" w14:textId="77777777" w:rsidR="00C33621" w:rsidRPr="002165A1" w:rsidRDefault="00C33621" w:rsidP="00C33621">
            <w:pPr>
              <w:spacing w:before="60" w:after="60"/>
              <w:ind w:left="34"/>
              <w:rPr>
                <w:rFonts w:eastAsia="Times New Roman" w:cs="Times New Roman"/>
                <w:b/>
                <w:bCs/>
                <w:sz w:val="20"/>
                <w:szCs w:val="20"/>
                <w:lang w:eastAsia="en-AU"/>
              </w:rPr>
            </w:pPr>
            <w:r w:rsidRPr="006D2FCE">
              <w:rPr>
                <w:sz w:val="20"/>
                <w:szCs w:val="20"/>
              </w:rPr>
              <w:t xml:space="preserve">Para 53 Chapter 3 of the July 2023 AG </w:t>
            </w:r>
          </w:p>
        </w:tc>
        <w:tc>
          <w:tcPr>
            <w:tcW w:w="3953" w:type="dxa"/>
            <w:tcBorders>
              <w:top w:val="single" w:sz="4" w:space="0" w:color="auto"/>
              <w:left w:val="single" w:sz="4" w:space="0" w:color="auto"/>
              <w:bottom w:val="single" w:sz="4" w:space="0" w:color="auto"/>
              <w:right w:val="single" w:sz="4" w:space="0" w:color="auto"/>
            </w:tcBorders>
          </w:tcPr>
          <w:p w14:paraId="135F5595" w14:textId="77777777" w:rsidR="00C33621" w:rsidRPr="002165A1" w:rsidRDefault="00C33621" w:rsidP="00C33621">
            <w:pPr>
              <w:spacing w:before="60" w:after="60"/>
              <w:ind w:left="34"/>
              <w:rPr>
                <w:rFonts w:eastAsia="Times New Roman" w:cs="Times New Roman"/>
                <w:b/>
                <w:bCs/>
                <w:sz w:val="20"/>
                <w:szCs w:val="20"/>
                <w:lang w:eastAsia="en-AU"/>
              </w:rPr>
            </w:pPr>
            <w:r w:rsidRPr="006D2FCE">
              <w:rPr>
                <w:sz w:val="20"/>
                <w:szCs w:val="20"/>
              </w:rPr>
              <w:t xml:space="preserve">SBIE – Lease </w:t>
            </w:r>
          </w:p>
        </w:tc>
        <w:tc>
          <w:tcPr>
            <w:tcW w:w="1828" w:type="dxa"/>
            <w:tcBorders>
              <w:top w:val="single" w:sz="4" w:space="0" w:color="auto"/>
              <w:left w:val="single" w:sz="4" w:space="0" w:color="auto"/>
              <w:bottom w:val="single" w:sz="4" w:space="0" w:color="auto"/>
              <w:right w:val="single" w:sz="4" w:space="0" w:color="auto"/>
            </w:tcBorders>
            <w:shd w:val="clear" w:color="auto" w:fill="auto"/>
            <w:noWrap/>
          </w:tcPr>
          <w:p w14:paraId="4B62E42F" w14:textId="77777777" w:rsidR="00C33621" w:rsidRPr="002165A1" w:rsidRDefault="00C33621" w:rsidP="00C33621">
            <w:pPr>
              <w:spacing w:before="60" w:after="60"/>
              <w:ind w:left="34"/>
              <w:rPr>
                <w:rFonts w:eastAsia="Times New Roman" w:cs="Times New Roman"/>
                <w:b/>
                <w:bCs/>
                <w:sz w:val="20"/>
                <w:szCs w:val="20"/>
                <w:lang w:eastAsia="en-AU"/>
              </w:rPr>
            </w:pPr>
            <w:r w:rsidRPr="006D2FCE">
              <w:rPr>
                <w:sz w:val="20"/>
                <w:szCs w:val="20"/>
              </w:rPr>
              <w:t>5-70</w:t>
            </w:r>
          </w:p>
        </w:tc>
      </w:tr>
      <w:tr w:rsidR="00C33621" w:rsidRPr="00EB655C" w14:paraId="0F87B506" w14:textId="77777777">
        <w:trPr>
          <w:trHeight w:val="300"/>
        </w:trPr>
        <w:tc>
          <w:tcPr>
            <w:tcW w:w="1694" w:type="dxa"/>
            <w:tcBorders>
              <w:top w:val="single" w:sz="4" w:space="0" w:color="auto"/>
              <w:left w:val="single" w:sz="4" w:space="0" w:color="auto"/>
              <w:bottom w:val="single" w:sz="4" w:space="0" w:color="auto"/>
              <w:right w:val="single" w:sz="4" w:space="0" w:color="auto"/>
            </w:tcBorders>
          </w:tcPr>
          <w:p w14:paraId="34A23606" w14:textId="77777777" w:rsidR="00C33621" w:rsidRPr="002165A1" w:rsidRDefault="00C33621" w:rsidP="00C33621">
            <w:pPr>
              <w:spacing w:before="60" w:after="60"/>
              <w:ind w:left="34"/>
              <w:rPr>
                <w:rFonts w:eastAsia="Times New Roman" w:cs="Times New Roman"/>
                <w:b/>
                <w:bCs/>
                <w:sz w:val="20"/>
                <w:szCs w:val="20"/>
                <w:lang w:eastAsia="en-AU"/>
              </w:rPr>
            </w:pPr>
            <w:r w:rsidRPr="006D2FCE">
              <w:rPr>
                <w:sz w:val="20"/>
                <w:szCs w:val="20"/>
              </w:rPr>
              <w:t>Para 61 Chapter 3 of the July 2023 AG</w:t>
            </w:r>
          </w:p>
        </w:tc>
        <w:tc>
          <w:tcPr>
            <w:tcW w:w="3953" w:type="dxa"/>
            <w:tcBorders>
              <w:top w:val="single" w:sz="4" w:space="0" w:color="auto"/>
              <w:left w:val="single" w:sz="4" w:space="0" w:color="auto"/>
              <w:bottom w:val="single" w:sz="4" w:space="0" w:color="auto"/>
              <w:right w:val="single" w:sz="4" w:space="0" w:color="auto"/>
            </w:tcBorders>
          </w:tcPr>
          <w:p w14:paraId="4DFF62AA" w14:textId="77777777" w:rsidR="00C33621" w:rsidRPr="002165A1" w:rsidRDefault="00C33621" w:rsidP="00C33621">
            <w:pPr>
              <w:spacing w:before="60" w:after="60"/>
              <w:ind w:left="34"/>
              <w:rPr>
                <w:rFonts w:eastAsia="Times New Roman" w:cs="Times New Roman"/>
                <w:b/>
                <w:bCs/>
                <w:sz w:val="20"/>
                <w:szCs w:val="20"/>
                <w:lang w:eastAsia="en-AU"/>
              </w:rPr>
            </w:pPr>
            <w:r w:rsidRPr="006D2FCE">
              <w:rPr>
                <w:sz w:val="20"/>
                <w:szCs w:val="20"/>
              </w:rPr>
              <w:t xml:space="preserve">SBIE – Impairment Losses </w:t>
            </w:r>
          </w:p>
        </w:tc>
        <w:tc>
          <w:tcPr>
            <w:tcW w:w="1828" w:type="dxa"/>
            <w:tcBorders>
              <w:top w:val="single" w:sz="4" w:space="0" w:color="auto"/>
              <w:left w:val="single" w:sz="4" w:space="0" w:color="auto"/>
              <w:bottom w:val="single" w:sz="4" w:space="0" w:color="auto"/>
              <w:right w:val="single" w:sz="4" w:space="0" w:color="auto"/>
            </w:tcBorders>
            <w:shd w:val="clear" w:color="auto" w:fill="auto"/>
            <w:noWrap/>
          </w:tcPr>
          <w:p w14:paraId="5978EF78" w14:textId="040FFCC2" w:rsidR="00C33621" w:rsidRPr="002165A1" w:rsidRDefault="00C33621" w:rsidP="00C33621">
            <w:pPr>
              <w:spacing w:before="60" w:after="60"/>
              <w:ind w:left="34"/>
              <w:rPr>
                <w:rFonts w:eastAsia="Times New Roman" w:cs="Times New Roman"/>
                <w:b/>
                <w:bCs/>
                <w:sz w:val="20"/>
                <w:szCs w:val="20"/>
                <w:lang w:eastAsia="en-AU"/>
              </w:rPr>
            </w:pPr>
            <w:r w:rsidRPr="006D2FCE">
              <w:rPr>
                <w:sz w:val="20"/>
                <w:szCs w:val="20"/>
              </w:rPr>
              <w:t>5-65(2)(a)(ii) and 5-65(3)(c) and (d)</w:t>
            </w:r>
          </w:p>
        </w:tc>
      </w:tr>
      <w:tr w:rsidR="00C33621" w:rsidRPr="00EB655C" w14:paraId="69C6D04F" w14:textId="77777777">
        <w:trPr>
          <w:trHeight w:val="300"/>
        </w:trPr>
        <w:tc>
          <w:tcPr>
            <w:tcW w:w="1694" w:type="dxa"/>
            <w:tcBorders>
              <w:top w:val="single" w:sz="4" w:space="0" w:color="auto"/>
              <w:left w:val="single" w:sz="4" w:space="0" w:color="auto"/>
              <w:bottom w:val="single" w:sz="4" w:space="0" w:color="auto"/>
              <w:right w:val="single" w:sz="4" w:space="0" w:color="auto"/>
            </w:tcBorders>
          </w:tcPr>
          <w:p w14:paraId="64386644" w14:textId="77777777" w:rsidR="00C33621" w:rsidRPr="002165A1" w:rsidRDefault="00C33621" w:rsidP="00C33621">
            <w:pPr>
              <w:spacing w:before="60" w:after="60"/>
              <w:ind w:left="34"/>
              <w:rPr>
                <w:rFonts w:eastAsia="Times New Roman" w:cs="Times New Roman"/>
                <w:b/>
                <w:bCs/>
                <w:sz w:val="20"/>
                <w:szCs w:val="20"/>
                <w:lang w:eastAsia="en-AU"/>
              </w:rPr>
            </w:pPr>
            <w:r w:rsidRPr="006D2FCE">
              <w:rPr>
                <w:sz w:val="20"/>
                <w:szCs w:val="20"/>
              </w:rPr>
              <w:t>Paras 69 to 72 Chapter 3 of July 2023 AG</w:t>
            </w:r>
          </w:p>
        </w:tc>
        <w:tc>
          <w:tcPr>
            <w:tcW w:w="3953" w:type="dxa"/>
            <w:tcBorders>
              <w:top w:val="single" w:sz="4" w:space="0" w:color="auto"/>
              <w:left w:val="single" w:sz="4" w:space="0" w:color="auto"/>
              <w:bottom w:val="single" w:sz="4" w:space="0" w:color="auto"/>
              <w:right w:val="single" w:sz="4" w:space="0" w:color="auto"/>
            </w:tcBorders>
          </w:tcPr>
          <w:p w14:paraId="62B83CA8" w14:textId="77777777" w:rsidR="00C33621" w:rsidRPr="002165A1" w:rsidRDefault="00C33621" w:rsidP="00C33621">
            <w:pPr>
              <w:spacing w:before="60" w:after="60"/>
              <w:ind w:left="34"/>
              <w:rPr>
                <w:rFonts w:eastAsia="Times New Roman" w:cs="Times New Roman"/>
                <w:b/>
                <w:bCs/>
                <w:sz w:val="20"/>
                <w:szCs w:val="20"/>
                <w:lang w:eastAsia="en-AU"/>
              </w:rPr>
            </w:pPr>
            <w:r w:rsidRPr="006D2FCE">
              <w:rPr>
                <w:sz w:val="20"/>
                <w:szCs w:val="20"/>
              </w:rPr>
              <w:t>SBIE – Reduction due to Article 7.2</w:t>
            </w:r>
          </w:p>
        </w:tc>
        <w:tc>
          <w:tcPr>
            <w:tcW w:w="1828" w:type="dxa"/>
            <w:tcBorders>
              <w:top w:val="single" w:sz="4" w:space="0" w:color="auto"/>
              <w:left w:val="single" w:sz="4" w:space="0" w:color="auto"/>
              <w:bottom w:val="single" w:sz="4" w:space="0" w:color="auto"/>
              <w:right w:val="single" w:sz="4" w:space="0" w:color="auto"/>
            </w:tcBorders>
            <w:shd w:val="clear" w:color="auto" w:fill="auto"/>
            <w:noWrap/>
          </w:tcPr>
          <w:p w14:paraId="50FBDFD5" w14:textId="03FAFCB2" w:rsidR="00C33621" w:rsidRPr="002165A1" w:rsidRDefault="00C33621" w:rsidP="00C33621">
            <w:pPr>
              <w:spacing w:before="60" w:after="60"/>
              <w:ind w:left="34"/>
              <w:rPr>
                <w:rFonts w:eastAsia="Times New Roman" w:cs="Times New Roman"/>
                <w:b/>
                <w:bCs/>
                <w:sz w:val="20"/>
                <w:szCs w:val="20"/>
                <w:lang w:eastAsia="en-AU"/>
              </w:rPr>
            </w:pPr>
            <w:r w:rsidRPr="006D2FCE">
              <w:rPr>
                <w:sz w:val="20"/>
                <w:szCs w:val="20"/>
              </w:rPr>
              <w:t>5-</w:t>
            </w:r>
            <w:r w:rsidR="002359E2">
              <w:rPr>
                <w:sz w:val="20"/>
                <w:szCs w:val="20"/>
              </w:rPr>
              <w:t>90</w:t>
            </w:r>
          </w:p>
        </w:tc>
      </w:tr>
      <w:tr w:rsidR="00C33621" w:rsidRPr="00EB655C" w14:paraId="25072845" w14:textId="77777777">
        <w:trPr>
          <w:trHeight w:val="300"/>
        </w:trPr>
        <w:tc>
          <w:tcPr>
            <w:tcW w:w="1694" w:type="dxa"/>
            <w:tcBorders>
              <w:top w:val="single" w:sz="4" w:space="0" w:color="auto"/>
              <w:left w:val="single" w:sz="4" w:space="0" w:color="auto"/>
              <w:bottom w:val="single" w:sz="4" w:space="0" w:color="auto"/>
              <w:right w:val="single" w:sz="4" w:space="0" w:color="auto"/>
            </w:tcBorders>
            <w:vAlign w:val="bottom"/>
          </w:tcPr>
          <w:p w14:paraId="0B32500D"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5.4</w:t>
            </w:r>
          </w:p>
        </w:tc>
        <w:tc>
          <w:tcPr>
            <w:tcW w:w="3953" w:type="dxa"/>
            <w:tcBorders>
              <w:top w:val="single" w:sz="4" w:space="0" w:color="auto"/>
              <w:left w:val="single" w:sz="4" w:space="0" w:color="auto"/>
              <w:bottom w:val="single" w:sz="4" w:space="0" w:color="auto"/>
              <w:right w:val="single" w:sz="4" w:space="0" w:color="auto"/>
            </w:tcBorders>
            <w:vAlign w:val="bottom"/>
          </w:tcPr>
          <w:p w14:paraId="2435C509"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Additional Current Top-up Tax</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4BA98"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5-4</w:t>
            </w:r>
          </w:p>
        </w:tc>
      </w:tr>
      <w:tr w:rsidR="00C33621" w:rsidRPr="00EB655C" w14:paraId="57A6E1CF" w14:textId="77777777">
        <w:trPr>
          <w:trHeight w:val="300"/>
        </w:trPr>
        <w:tc>
          <w:tcPr>
            <w:tcW w:w="1694" w:type="dxa"/>
            <w:tcBorders>
              <w:top w:val="nil"/>
              <w:left w:val="single" w:sz="4" w:space="0" w:color="auto"/>
              <w:bottom w:val="single" w:sz="4" w:space="0" w:color="auto"/>
              <w:right w:val="single" w:sz="4" w:space="0" w:color="auto"/>
            </w:tcBorders>
            <w:vAlign w:val="bottom"/>
          </w:tcPr>
          <w:p w14:paraId="1EA0AABF"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5.4.1</w:t>
            </w:r>
          </w:p>
        </w:tc>
        <w:tc>
          <w:tcPr>
            <w:tcW w:w="3953" w:type="dxa"/>
            <w:tcBorders>
              <w:top w:val="nil"/>
              <w:left w:val="single" w:sz="4" w:space="0" w:color="auto"/>
              <w:bottom w:val="single" w:sz="4" w:space="0" w:color="auto"/>
              <w:right w:val="single" w:sz="4" w:space="0" w:color="auto"/>
            </w:tcBorders>
            <w:vAlign w:val="bottom"/>
          </w:tcPr>
          <w:p w14:paraId="14C3266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Conditions for ETR recalculation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DA4D5B2" w14:textId="407439F0"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5-9</w:t>
            </w:r>
            <w:r w:rsidR="002359E2">
              <w:rPr>
                <w:rFonts w:eastAsia="Times New Roman" w:cs="Times New Roman"/>
                <w:sz w:val="20"/>
                <w:szCs w:val="20"/>
                <w:lang w:eastAsia="en-AU"/>
              </w:rPr>
              <w:t>5</w:t>
            </w:r>
            <w:r w:rsidRPr="00EB655C">
              <w:rPr>
                <w:rFonts w:eastAsia="Times New Roman" w:cs="Times New Roman"/>
                <w:sz w:val="20"/>
                <w:szCs w:val="20"/>
                <w:lang w:eastAsia="en-AU"/>
              </w:rPr>
              <w:t>(1)-(3)</w:t>
            </w:r>
          </w:p>
        </w:tc>
      </w:tr>
      <w:tr w:rsidR="00C33621" w:rsidRPr="00EB655C" w14:paraId="279C45F9" w14:textId="77777777">
        <w:trPr>
          <w:trHeight w:val="300"/>
        </w:trPr>
        <w:tc>
          <w:tcPr>
            <w:tcW w:w="1694" w:type="dxa"/>
            <w:tcBorders>
              <w:top w:val="nil"/>
              <w:left w:val="single" w:sz="4" w:space="0" w:color="auto"/>
              <w:bottom w:val="single" w:sz="4" w:space="0" w:color="auto"/>
              <w:right w:val="single" w:sz="4" w:space="0" w:color="auto"/>
            </w:tcBorders>
            <w:vAlign w:val="bottom"/>
          </w:tcPr>
          <w:p w14:paraId="38319B5D"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5.4.2</w:t>
            </w:r>
          </w:p>
        </w:tc>
        <w:tc>
          <w:tcPr>
            <w:tcW w:w="3953" w:type="dxa"/>
            <w:tcBorders>
              <w:top w:val="nil"/>
              <w:left w:val="single" w:sz="4" w:space="0" w:color="auto"/>
              <w:bottom w:val="single" w:sz="4" w:space="0" w:color="auto"/>
              <w:right w:val="single" w:sz="4" w:space="0" w:color="auto"/>
            </w:tcBorders>
            <w:vAlign w:val="bottom"/>
          </w:tcPr>
          <w:p w14:paraId="62221E7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Top up tax under ETR recalculation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1F7B9B5" w14:textId="15C867D6"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5-9</w:t>
            </w:r>
            <w:r w:rsidR="002359E2">
              <w:rPr>
                <w:rFonts w:eastAsia="Times New Roman" w:cs="Times New Roman"/>
                <w:sz w:val="20"/>
                <w:szCs w:val="20"/>
                <w:lang w:eastAsia="en-AU"/>
              </w:rPr>
              <w:t>5</w:t>
            </w:r>
            <w:r w:rsidRPr="00EB655C">
              <w:rPr>
                <w:rFonts w:eastAsia="Times New Roman" w:cs="Times New Roman"/>
                <w:sz w:val="20"/>
                <w:szCs w:val="20"/>
                <w:lang w:eastAsia="en-AU"/>
              </w:rPr>
              <w:t>(4)</w:t>
            </w:r>
          </w:p>
        </w:tc>
      </w:tr>
      <w:tr w:rsidR="00C33621" w:rsidRPr="00EB655C" w14:paraId="409BFBEB" w14:textId="77777777">
        <w:trPr>
          <w:trHeight w:val="300"/>
        </w:trPr>
        <w:tc>
          <w:tcPr>
            <w:tcW w:w="1694" w:type="dxa"/>
            <w:tcBorders>
              <w:top w:val="nil"/>
              <w:left w:val="single" w:sz="4" w:space="0" w:color="auto"/>
              <w:bottom w:val="single" w:sz="4" w:space="0" w:color="auto"/>
              <w:right w:val="single" w:sz="4" w:space="0" w:color="auto"/>
            </w:tcBorders>
            <w:vAlign w:val="bottom"/>
          </w:tcPr>
          <w:p w14:paraId="3135268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5.4.3</w:t>
            </w:r>
          </w:p>
        </w:tc>
        <w:tc>
          <w:tcPr>
            <w:tcW w:w="3953" w:type="dxa"/>
            <w:tcBorders>
              <w:top w:val="nil"/>
              <w:left w:val="single" w:sz="4" w:space="0" w:color="auto"/>
              <w:bottom w:val="single" w:sz="4" w:space="0" w:color="auto"/>
              <w:right w:val="single" w:sz="4" w:space="0" w:color="auto"/>
            </w:tcBorders>
            <w:vAlign w:val="bottom"/>
          </w:tcPr>
          <w:p w14:paraId="5F14681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Allocation of additional current top up tax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CEAA3D5" w14:textId="2CB01FAF"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w:t>
            </w:r>
            <w:r w:rsidR="002359E2">
              <w:rPr>
                <w:rFonts w:eastAsia="Times New Roman" w:cs="Times New Roman"/>
                <w:sz w:val="20"/>
                <w:szCs w:val="20"/>
                <w:lang w:eastAsia="en-AU"/>
              </w:rPr>
              <w:t>100</w:t>
            </w:r>
            <w:r w:rsidRPr="00EB655C">
              <w:rPr>
                <w:rFonts w:eastAsia="Times New Roman" w:cs="Times New Roman"/>
                <w:sz w:val="20"/>
                <w:szCs w:val="20"/>
                <w:lang w:eastAsia="en-AU"/>
              </w:rPr>
              <w:t>(1)-(3)</w:t>
            </w:r>
          </w:p>
        </w:tc>
      </w:tr>
      <w:tr w:rsidR="00C33621" w:rsidRPr="00EB655C" w14:paraId="6AA462F0" w14:textId="77777777">
        <w:trPr>
          <w:trHeight w:val="300"/>
        </w:trPr>
        <w:tc>
          <w:tcPr>
            <w:tcW w:w="1694" w:type="dxa"/>
            <w:tcBorders>
              <w:top w:val="nil"/>
              <w:left w:val="single" w:sz="4" w:space="0" w:color="auto"/>
              <w:bottom w:val="single" w:sz="4" w:space="0" w:color="auto"/>
              <w:right w:val="single" w:sz="4" w:space="0" w:color="auto"/>
            </w:tcBorders>
            <w:vAlign w:val="bottom"/>
          </w:tcPr>
          <w:p w14:paraId="3B1C428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5.4.4</w:t>
            </w:r>
          </w:p>
        </w:tc>
        <w:tc>
          <w:tcPr>
            <w:tcW w:w="3953" w:type="dxa"/>
            <w:tcBorders>
              <w:top w:val="nil"/>
              <w:left w:val="single" w:sz="4" w:space="0" w:color="auto"/>
              <w:bottom w:val="single" w:sz="4" w:space="0" w:color="auto"/>
              <w:right w:val="single" w:sz="4" w:space="0" w:color="auto"/>
            </w:tcBorders>
            <w:vAlign w:val="bottom"/>
          </w:tcPr>
          <w:p w14:paraId="46314548" w14:textId="1DDAF1E3"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Deeming of a C</w:t>
            </w:r>
            <w:r w:rsidR="002359E2">
              <w:rPr>
                <w:rFonts w:eastAsia="Times New Roman" w:cs="Times New Roman"/>
                <w:sz w:val="20"/>
                <w:szCs w:val="20"/>
                <w:lang w:eastAsia="en-AU"/>
              </w:rPr>
              <w:t xml:space="preserve">onstituent </w:t>
            </w:r>
            <w:r w:rsidRPr="00EB655C">
              <w:rPr>
                <w:rFonts w:eastAsia="Times New Roman" w:cs="Times New Roman"/>
                <w:sz w:val="20"/>
                <w:szCs w:val="20"/>
                <w:lang w:eastAsia="en-AU"/>
              </w:rPr>
              <w:t>E</w:t>
            </w:r>
            <w:r w:rsidR="002359E2">
              <w:rPr>
                <w:rFonts w:eastAsia="Times New Roman" w:cs="Times New Roman"/>
                <w:sz w:val="20"/>
                <w:szCs w:val="20"/>
                <w:lang w:eastAsia="en-AU"/>
              </w:rPr>
              <w:t>ntity</w:t>
            </w:r>
            <w:r w:rsidR="007D43EC" w:rsidRPr="00EB655C">
              <w:rPr>
                <w:rFonts w:eastAsia="Times New Roman" w:cs="Times New Roman"/>
                <w:sz w:val="20"/>
                <w:szCs w:val="20"/>
                <w:lang w:eastAsia="en-AU"/>
              </w:rPr>
              <w:t xml:space="preserve"> </w:t>
            </w:r>
            <w:r w:rsidRPr="00EB655C">
              <w:rPr>
                <w:rFonts w:eastAsia="Times New Roman" w:cs="Times New Roman"/>
                <w:sz w:val="20"/>
                <w:szCs w:val="20"/>
                <w:lang w:eastAsia="en-AU"/>
              </w:rPr>
              <w:t xml:space="preserve">as a LTCE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B3BA7E1" w14:textId="24DF9C8A"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5-9</w:t>
            </w:r>
            <w:r w:rsidR="002359E2">
              <w:rPr>
                <w:rFonts w:eastAsia="Times New Roman" w:cs="Times New Roman"/>
                <w:sz w:val="20"/>
                <w:szCs w:val="20"/>
                <w:lang w:eastAsia="en-AU"/>
              </w:rPr>
              <w:t>5</w:t>
            </w:r>
            <w:r w:rsidRPr="00EB655C">
              <w:rPr>
                <w:rFonts w:eastAsia="Times New Roman" w:cs="Times New Roman"/>
                <w:sz w:val="20"/>
                <w:szCs w:val="20"/>
                <w:lang w:eastAsia="en-AU"/>
              </w:rPr>
              <w:t>(5) and 5</w:t>
            </w:r>
            <w:r w:rsidR="002359E2">
              <w:rPr>
                <w:rFonts w:eastAsia="Times New Roman" w:cs="Times New Roman"/>
                <w:sz w:val="20"/>
                <w:szCs w:val="20"/>
                <w:lang w:eastAsia="en-AU"/>
              </w:rPr>
              <w:noBreakHyphen/>
              <w:t>100</w:t>
            </w:r>
            <w:r w:rsidRPr="00EB655C">
              <w:rPr>
                <w:rFonts w:eastAsia="Times New Roman" w:cs="Times New Roman"/>
                <w:sz w:val="20"/>
                <w:szCs w:val="20"/>
                <w:lang w:eastAsia="en-AU"/>
              </w:rPr>
              <w:t>(4)</w:t>
            </w:r>
          </w:p>
        </w:tc>
      </w:tr>
      <w:tr w:rsidR="00C33621" w:rsidRPr="00EB655C" w14:paraId="46445CBB" w14:textId="77777777">
        <w:trPr>
          <w:trHeight w:val="300"/>
        </w:trPr>
        <w:tc>
          <w:tcPr>
            <w:tcW w:w="1694" w:type="dxa"/>
            <w:tcBorders>
              <w:top w:val="nil"/>
              <w:left w:val="single" w:sz="4" w:space="0" w:color="auto"/>
              <w:bottom w:val="single" w:sz="4" w:space="0" w:color="auto"/>
              <w:right w:val="single" w:sz="4" w:space="0" w:color="auto"/>
            </w:tcBorders>
            <w:vAlign w:val="bottom"/>
          </w:tcPr>
          <w:p w14:paraId="3F74894C"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5.5</w:t>
            </w:r>
          </w:p>
        </w:tc>
        <w:tc>
          <w:tcPr>
            <w:tcW w:w="3953" w:type="dxa"/>
            <w:tcBorders>
              <w:top w:val="nil"/>
              <w:left w:val="single" w:sz="4" w:space="0" w:color="auto"/>
              <w:bottom w:val="single" w:sz="4" w:space="0" w:color="auto"/>
              <w:right w:val="single" w:sz="4" w:space="0" w:color="auto"/>
            </w:tcBorders>
            <w:vAlign w:val="bottom"/>
          </w:tcPr>
          <w:p w14:paraId="74C408F7"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De minimis exclusion</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F98DC33"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5-5</w:t>
            </w:r>
          </w:p>
        </w:tc>
      </w:tr>
      <w:tr w:rsidR="00C33621" w:rsidRPr="00EB655C" w14:paraId="1961DA49" w14:textId="77777777">
        <w:trPr>
          <w:trHeight w:val="300"/>
        </w:trPr>
        <w:tc>
          <w:tcPr>
            <w:tcW w:w="1694" w:type="dxa"/>
            <w:tcBorders>
              <w:top w:val="nil"/>
              <w:left w:val="single" w:sz="4" w:space="0" w:color="auto"/>
              <w:bottom w:val="single" w:sz="4" w:space="0" w:color="auto"/>
              <w:right w:val="single" w:sz="4" w:space="0" w:color="auto"/>
            </w:tcBorders>
            <w:vAlign w:val="bottom"/>
          </w:tcPr>
          <w:p w14:paraId="47A6415C"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lastRenderedPageBreak/>
              <w:t>5.5.1</w:t>
            </w:r>
          </w:p>
        </w:tc>
        <w:tc>
          <w:tcPr>
            <w:tcW w:w="3953" w:type="dxa"/>
            <w:tcBorders>
              <w:top w:val="nil"/>
              <w:left w:val="single" w:sz="4" w:space="0" w:color="auto"/>
              <w:bottom w:val="single" w:sz="4" w:space="0" w:color="auto"/>
              <w:right w:val="single" w:sz="4" w:space="0" w:color="auto"/>
            </w:tcBorders>
            <w:vAlign w:val="bottom"/>
          </w:tcPr>
          <w:p w14:paraId="50262E9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Election to apply De minimis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3D5BA88" w14:textId="0E9191FC"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5-10</w:t>
            </w:r>
            <w:r>
              <w:rPr>
                <w:rFonts w:eastAsia="Times New Roman" w:cs="Times New Roman"/>
                <w:sz w:val="20"/>
                <w:szCs w:val="20"/>
                <w:lang w:eastAsia="en-AU"/>
              </w:rPr>
              <w:t>5</w:t>
            </w:r>
            <w:r w:rsidRPr="00EB655C">
              <w:rPr>
                <w:rFonts w:eastAsia="Times New Roman" w:cs="Times New Roman"/>
                <w:sz w:val="20"/>
                <w:szCs w:val="20"/>
                <w:lang w:eastAsia="en-AU"/>
              </w:rPr>
              <w:t>(1) and (5)-(6)</w:t>
            </w:r>
          </w:p>
        </w:tc>
      </w:tr>
      <w:tr w:rsidR="00C33621" w:rsidRPr="00EB655C" w14:paraId="63739A56" w14:textId="77777777">
        <w:trPr>
          <w:trHeight w:val="300"/>
        </w:trPr>
        <w:tc>
          <w:tcPr>
            <w:tcW w:w="1694" w:type="dxa"/>
            <w:tcBorders>
              <w:top w:val="nil"/>
              <w:left w:val="single" w:sz="4" w:space="0" w:color="auto"/>
              <w:bottom w:val="single" w:sz="4" w:space="0" w:color="auto"/>
              <w:right w:val="single" w:sz="4" w:space="0" w:color="auto"/>
            </w:tcBorders>
            <w:vAlign w:val="bottom"/>
          </w:tcPr>
          <w:p w14:paraId="59FFE50E"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5.5.2</w:t>
            </w:r>
          </w:p>
        </w:tc>
        <w:tc>
          <w:tcPr>
            <w:tcW w:w="3953" w:type="dxa"/>
            <w:tcBorders>
              <w:top w:val="nil"/>
              <w:left w:val="single" w:sz="4" w:space="0" w:color="auto"/>
              <w:bottom w:val="single" w:sz="4" w:space="0" w:color="auto"/>
              <w:right w:val="single" w:sz="4" w:space="0" w:color="auto"/>
            </w:tcBorders>
            <w:vAlign w:val="bottom"/>
          </w:tcPr>
          <w:p w14:paraId="49032F5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De minimis formula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A3AF91D" w14:textId="4C3B01FE"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5-10</w:t>
            </w:r>
            <w:r>
              <w:rPr>
                <w:rFonts w:eastAsia="Times New Roman" w:cs="Times New Roman"/>
                <w:sz w:val="20"/>
                <w:szCs w:val="20"/>
                <w:lang w:eastAsia="en-AU"/>
              </w:rPr>
              <w:t>5</w:t>
            </w:r>
            <w:r w:rsidRPr="00EB655C">
              <w:rPr>
                <w:rFonts w:eastAsia="Times New Roman" w:cs="Times New Roman"/>
                <w:sz w:val="20"/>
                <w:szCs w:val="20"/>
                <w:lang w:eastAsia="en-AU"/>
              </w:rPr>
              <w:t>(2)-(3)</w:t>
            </w:r>
          </w:p>
        </w:tc>
      </w:tr>
      <w:tr w:rsidR="00C33621" w:rsidRPr="00EB655C" w14:paraId="74C531DD" w14:textId="77777777">
        <w:trPr>
          <w:trHeight w:val="300"/>
        </w:trPr>
        <w:tc>
          <w:tcPr>
            <w:tcW w:w="1694" w:type="dxa"/>
            <w:tcBorders>
              <w:top w:val="nil"/>
              <w:left w:val="single" w:sz="4" w:space="0" w:color="auto"/>
              <w:bottom w:val="single" w:sz="4" w:space="0" w:color="auto"/>
              <w:right w:val="single" w:sz="4" w:space="0" w:color="auto"/>
            </w:tcBorders>
            <w:vAlign w:val="bottom"/>
          </w:tcPr>
          <w:p w14:paraId="64F4B60C"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5.5.3</w:t>
            </w:r>
          </w:p>
        </w:tc>
        <w:tc>
          <w:tcPr>
            <w:tcW w:w="3953" w:type="dxa"/>
            <w:tcBorders>
              <w:top w:val="nil"/>
              <w:left w:val="single" w:sz="4" w:space="0" w:color="auto"/>
              <w:bottom w:val="single" w:sz="4" w:space="0" w:color="auto"/>
              <w:right w:val="single" w:sz="4" w:space="0" w:color="auto"/>
            </w:tcBorders>
            <w:vAlign w:val="bottom"/>
          </w:tcPr>
          <w:p w14:paraId="1AF8DE4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Definitions within formula of de minimis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873FD31" w14:textId="4634D8F2"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5-10</w:t>
            </w:r>
            <w:r>
              <w:rPr>
                <w:rFonts w:eastAsia="Times New Roman" w:cs="Times New Roman"/>
                <w:sz w:val="20"/>
                <w:szCs w:val="20"/>
                <w:lang w:eastAsia="en-AU"/>
              </w:rPr>
              <w:t>5</w:t>
            </w:r>
            <w:r w:rsidRPr="00EB655C">
              <w:rPr>
                <w:rFonts w:eastAsia="Times New Roman" w:cs="Times New Roman"/>
                <w:sz w:val="20"/>
                <w:szCs w:val="20"/>
                <w:lang w:eastAsia="en-AU"/>
              </w:rPr>
              <w:t>(4)(a)-(b)</w:t>
            </w:r>
          </w:p>
        </w:tc>
      </w:tr>
      <w:tr w:rsidR="00C33621" w:rsidRPr="00EB655C" w14:paraId="503BD6FA" w14:textId="77777777">
        <w:trPr>
          <w:trHeight w:val="300"/>
        </w:trPr>
        <w:tc>
          <w:tcPr>
            <w:tcW w:w="1694" w:type="dxa"/>
            <w:tcBorders>
              <w:top w:val="nil"/>
              <w:left w:val="single" w:sz="4" w:space="0" w:color="auto"/>
              <w:bottom w:val="single" w:sz="4" w:space="0" w:color="auto"/>
              <w:right w:val="single" w:sz="4" w:space="0" w:color="auto"/>
            </w:tcBorders>
            <w:vAlign w:val="bottom"/>
          </w:tcPr>
          <w:p w14:paraId="4C16EF2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5.5.4</w:t>
            </w:r>
          </w:p>
        </w:tc>
        <w:tc>
          <w:tcPr>
            <w:tcW w:w="3953" w:type="dxa"/>
            <w:tcBorders>
              <w:top w:val="nil"/>
              <w:left w:val="single" w:sz="4" w:space="0" w:color="auto"/>
              <w:bottom w:val="single" w:sz="4" w:space="0" w:color="auto"/>
              <w:right w:val="single" w:sz="4" w:space="0" w:color="auto"/>
            </w:tcBorders>
            <w:vAlign w:val="bottom"/>
          </w:tcPr>
          <w:p w14:paraId="26E1C5BF"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Exclusion of stateless entities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E6BFFA9" w14:textId="770D07C0"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5-10</w:t>
            </w:r>
            <w:r>
              <w:rPr>
                <w:rFonts w:eastAsia="Times New Roman" w:cs="Times New Roman"/>
                <w:sz w:val="20"/>
                <w:szCs w:val="20"/>
                <w:lang w:eastAsia="en-AU"/>
              </w:rPr>
              <w:t>5</w:t>
            </w:r>
            <w:r w:rsidRPr="00EB655C">
              <w:rPr>
                <w:rFonts w:eastAsia="Times New Roman" w:cs="Times New Roman"/>
                <w:sz w:val="20"/>
                <w:szCs w:val="20"/>
                <w:lang w:eastAsia="en-AU"/>
              </w:rPr>
              <w:t>(1)(d) and (4)(c)</w:t>
            </w:r>
          </w:p>
        </w:tc>
      </w:tr>
      <w:tr w:rsidR="00C33621" w:rsidRPr="00EB655C" w14:paraId="4BFD2AE4" w14:textId="77777777">
        <w:trPr>
          <w:trHeight w:val="300"/>
        </w:trPr>
        <w:tc>
          <w:tcPr>
            <w:tcW w:w="1694" w:type="dxa"/>
            <w:tcBorders>
              <w:top w:val="nil"/>
              <w:left w:val="single" w:sz="4" w:space="0" w:color="auto"/>
              <w:bottom w:val="single" w:sz="4" w:space="0" w:color="auto"/>
              <w:right w:val="single" w:sz="4" w:space="0" w:color="auto"/>
            </w:tcBorders>
            <w:vAlign w:val="bottom"/>
          </w:tcPr>
          <w:p w14:paraId="22B313D5"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5.6</w:t>
            </w:r>
          </w:p>
        </w:tc>
        <w:tc>
          <w:tcPr>
            <w:tcW w:w="3953" w:type="dxa"/>
            <w:tcBorders>
              <w:top w:val="nil"/>
              <w:left w:val="single" w:sz="4" w:space="0" w:color="auto"/>
              <w:bottom w:val="single" w:sz="4" w:space="0" w:color="auto"/>
              <w:right w:val="single" w:sz="4" w:space="0" w:color="auto"/>
            </w:tcBorders>
            <w:vAlign w:val="bottom"/>
          </w:tcPr>
          <w:p w14:paraId="4B0C9224"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Minority-Owned Constituent Entities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C4F5F06"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5-6</w:t>
            </w:r>
          </w:p>
        </w:tc>
      </w:tr>
      <w:tr w:rsidR="00C33621" w:rsidRPr="00EB655C" w14:paraId="14E023F7" w14:textId="77777777">
        <w:trPr>
          <w:trHeight w:val="300"/>
        </w:trPr>
        <w:tc>
          <w:tcPr>
            <w:tcW w:w="1694" w:type="dxa"/>
            <w:tcBorders>
              <w:top w:val="nil"/>
              <w:left w:val="single" w:sz="4" w:space="0" w:color="auto"/>
              <w:bottom w:val="single" w:sz="4" w:space="0" w:color="auto"/>
              <w:right w:val="single" w:sz="4" w:space="0" w:color="auto"/>
            </w:tcBorders>
            <w:vAlign w:val="bottom"/>
          </w:tcPr>
          <w:p w14:paraId="4A635222"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5.6.1</w:t>
            </w:r>
          </w:p>
        </w:tc>
        <w:tc>
          <w:tcPr>
            <w:tcW w:w="3953" w:type="dxa"/>
            <w:tcBorders>
              <w:top w:val="nil"/>
              <w:left w:val="single" w:sz="4" w:space="0" w:color="auto"/>
              <w:bottom w:val="single" w:sz="4" w:space="0" w:color="auto"/>
              <w:right w:val="single" w:sz="4" w:space="0" w:color="auto"/>
            </w:tcBorders>
            <w:vAlign w:val="bottom"/>
          </w:tcPr>
          <w:p w14:paraId="5F52AC01" w14:textId="157FB355"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ETR of</w:t>
            </w:r>
            <w:r w:rsidR="002359E2">
              <w:rPr>
                <w:rFonts w:eastAsia="Times New Roman" w:cs="Times New Roman"/>
                <w:sz w:val="20"/>
                <w:szCs w:val="20"/>
                <w:lang w:eastAsia="en-AU"/>
              </w:rPr>
              <w:t xml:space="preserve"> Minority owned</w:t>
            </w:r>
            <w:r w:rsidRPr="00EB655C">
              <w:rPr>
                <w:rFonts w:eastAsia="Times New Roman" w:cs="Times New Roman"/>
                <w:sz w:val="20"/>
                <w:szCs w:val="20"/>
                <w:lang w:eastAsia="en-AU"/>
              </w:rPr>
              <w:t xml:space="preserve"> subgroup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19D9169" w14:textId="7503479B"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5-1</w:t>
            </w:r>
            <w:r>
              <w:rPr>
                <w:rFonts w:eastAsia="Times New Roman" w:cs="Times New Roman"/>
                <w:sz w:val="20"/>
                <w:szCs w:val="20"/>
                <w:lang w:eastAsia="en-AU"/>
              </w:rPr>
              <w:t>20</w:t>
            </w:r>
          </w:p>
        </w:tc>
      </w:tr>
      <w:tr w:rsidR="00C33621" w:rsidRPr="00EB655C" w14:paraId="4AFEE5B1" w14:textId="77777777">
        <w:trPr>
          <w:trHeight w:val="300"/>
        </w:trPr>
        <w:tc>
          <w:tcPr>
            <w:tcW w:w="1694" w:type="dxa"/>
            <w:tcBorders>
              <w:top w:val="nil"/>
              <w:left w:val="single" w:sz="4" w:space="0" w:color="auto"/>
              <w:bottom w:val="single" w:sz="4" w:space="0" w:color="auto"/>
              <w:right w:val="single" w:sz="4" w:space="0" w:color="auto"/>
            </w:tcBorders>
            <w:vAlign w:val="bottom"/>
          </w:tcPr>
          <w:p w14:paraId="75D084C2"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5.6.2</w:t>
            </w:r>
          </w:p>
        </w:tc>
        <w:tc>
          <w:tcPr>
            <w:tcW w:w="3953" w:type="dxa"/>
            <w:tcBorders>
              <w:top w:val="nil"/>
              <w:left w:val="single" w:sz="4" w:space="0" w:color="auto"/>
              <w:bottom w:val="single" w:sz="4" w:space="0" w:color="auto"/>
              <w:right w:val="single" w:sz="4" w:space="0" w:color="auto"/>
            </w:tcBorders>
            <w:vAlign w:val="bottom"/>
          </w:tcPr>
          <w:p w14:paraId="5B81FD8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ETR of MOCE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4E6F2D7" w14:textId="3A7065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5-1</w:t>
            </w:r>
            <w:r>
              <w:rPr>
                <w:rFonts w:eastAsia="Times New Roman" w:cs="Times New Roman"/>
                <w:sz w:val="20"/>
                <w:szCs w:val="20"/>
                <w:lang w:eastAsia="en-AU"/>
              </w:rPr>
              <w:t>2</w:t>
            </w:r>
            <w:r w:rsidR="002359E2">
              <w:rPr>
                <w:rFonts w:eastAsia="Times New Roman" w:cs="Times New Roman"/>
                <w:sz w:val="20"/>
                <w:szCs w:val="20"/>
                <w:lang w:eastAsia="en-AU"/>
              </w:rPr>
              <w:t>5, 5</w:t>
            </w:r>
            <w:r w:rsidR="002359E2">
              <w:rPr>
                <w:rFonts w:eastAsia="Times New Roman" w:cs="Times New Roman"/>
                <w:sz w:val="20"/>
                <w:szCs w:val="20"/>
                <w:lang w:eastAsia="en-AU"/>
              </w:rPr>
              <w:noBreakHyphen/>
              <w:t>130 and 5</w:t>
            </w:r>
            <w:r w:rsidR="002359E2">
              <w:rPr>
                <w:rFonts w:eastAsia="Times New Roman" w:cs="Times New Roman"/>
                <w:sz w:val="20"/>
                <w:szCs w:val="20"/>
                <w:lang w:eastAsia="en-AU"/>
              </w:rPr>
              <w:noBreakHyphen/>
              <w:t>135</w:t>
            </w:r>
          </w:p>
        </w:tc>
      </w:tr>
      <w:tr w:rsidR="00C33621" w:rsidRPr="00EB655C" w14:paraId="3BE72E5B" w14:textId="77777777">
        <w:trPr>
          <w:trHeight w:val="300"/>
        </w:trPr>
        <w:tc>
          <w:tcPr>
            <w:tcW w:w="7475" w:type="dxa"/>
            <w:gridSpan w:val="3"/>
            <w:tcBorders>
              <w:top w:val="nil"/>
              <w:left w:val="single" w:sz="4" w:space="0" w:color="auto"/>
              <w:bottom w:val="single" w:sz="4" w:space="0" w:color="auto"/>
              <w:right w:val="single" w:sz="4" w:space="0" w:color="auto"/>
            </w:tcBorders>
            <w:vAlign w:val="bottom"/>
          </w:tcPr>
          <w:p w14:paraId="2FBE8AFF" w14:textId="77777777" w:rsidR="00C33621" w:rsidRPr="00EB655C" w:rsidRDefault="00C33621" w:rsidP="00C33621">
            <w:pPr>
              <w:pStyle w:val="Tableheaderrowtext"/>
              <w:numPr>
                <w:ilvl w:val="3"/>
                <w:numId w:val="2"/>
              </w:numPr>
              <w:rPr>
                <w:lang w:eastAsia="en-AU"/>
              </w:rPr>
            </w:pPr>
            <w:r>
              <w:rPr>
                <w:lang w:eastAsia="en-AU"/>
              </w:rPr>
              <w:t xml:space="preserve">Chapter 6 - </w:t>
            </w:r>
            <w:r w:rsidRPr="00721852">
              <w:rPr>
                <w:lang w:eastAsia="en-AU"/>
              </w:rPr>
              <w:t xml:space="preserve">Corporate Restructurings and Holding Structures  </w:t>
            </w:r>
          </w:p>
        </w:tc>
      </w:tr>
      <w:tr w:rsidR="00C33621" w:rsidRPr="00EB655C" w14:paraId="1D155502" w14:textId="77777777">
        <w:trPr>
          <w:trHeight w:val="300"/>
        </w:trPr>
        <w:tc>
          <w:tcPr>
            <w:tcW w:w="1694" w:type="dxa"/>
            <w:tcBorders>
              <w:top w:val="nil"/>
              <w:left w:val="single" w:sz="4" w:space="0" w:color="auto"/>
              <w:bottom w:val="single" w:sz="4" w:space="0" w:color="auto"/>
              <w:right w:val="single" w:sz="4" w:space="0" w:color="auto"/>
            </w:tcBorders>
            <w:vAlign w:val="bottom"/>
          </w:tcPr>
          <w:p w14:paraId="2EEA2B1B"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6.1</w:t>
            </w:r>
          </w:p>
        </w:tc>
        <w:tc>
          <w:tcPr>
            <w:tcW w:w="3953" w:type="dxa"/>
            <w:tcBorders>
              <w:top w:val="nil"/>
              <w:left w:val="single" w:sz="4" w:space="0" w:color="auto"/>
              <w:bottom w:val="single" w:sz="4" w:space="0" w:color="auto"/>
              <w:right w:val="single" w:sz="4" w:space="0" w:color="auto"/>
            </w:tcBorders>
            <w:vAlign w:val="bottom"/>
          </w:tcPr>
          <w:p w14:paraId="688480AD"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Application of Consolidated Revenue Threshold to Group Mergers and Demergers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E494CD5"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6-1</w:t>
            </w:r>
          </w:p>
        </w:tc>
      </w:tr>
      <w:tr w:rsidR="00C33621" w:rsidRPr="00EB655C" w14:paraId="437D1445" w14:textId="77777777">
        <w:trPr>
          <w:trHeight w:val="300"/>
        </w:trPr>
        <w:tc>
          <w:tcPr>
            <w:tcW w:w="1694" w:type="dxa"/>
            <w:tcBorders>
              <w:top w:val="nil"/>
              <w:left w:val="single" w:sz="4" w:space="0" w:color="auto"/>
              <w:bottom w:val="single" w:sz="4" w:space="0" w:color="auto"/>
              <w:right w:val="single" w:sz="4" w:space="0" w:color="auto"/>
            </w:tcBorders>
            <w:vAlign w:val="bottom"/>
          </w:tcPr>
          <w:p w14:paraId="566AE81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6.1.1</w:t>
            </w:r>
          </w:p>
        </w:tc>
        <w:tc>
          <w:tcPr>
            <w:tcW w:w="3953" w:type="dxa"/>
            <w:tcBorders>
              <w:top w:val="nil"/>
              <w:left w:val="single" w:sz="4" w:space="0" w:color="auto"/>
              <w:bottom w:val="single" w:sz="4" w:space="0" w:color="auto"/>
              <w:right w:val="single" w:sz="4" w:space="0" w:color="auto"/>
            </w:tcBorders>
            <w:vAlign w:val="bottom"/>
          </w:tcPr>
          <w:p w14:paraId="5E56CDA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Modified GloBE threshold for mergers and demergers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31CD0A5" w14:textId="01C7F21A"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6-5</w:t>
            </w:r>
            <w:r w:rsidR="00F8139C">
              <w:rPr>
                <w:rFonts w:eastAsia="Times New Roman" w:cs="Times New Roman"/>
                <w:sz w:val="20"/>
                <w:szCs w:val="20"/>
                <w:lang w:eastAsia="en-AU"/>
              </w:rPr>
              <w:t xml:space="preserve"> and </w:t>
            </w:r>
            <w:r w:rsidRPr="00EB655C">
              <w:rPr>
                <w:rFonts w:eastAsia="Times New Roman" w:cs="Times New Roman"/>
                <w:sz w:val="20"/>
                <w:szCs w:val="20"/>
                <w:lang w:eastAsia="en-AU"/>
              </w:rPr>
              <w:t>6-1</w:t>
            </w:r>
            <w:r>
              <w:rPr>
                <w:rFonts w:eastAsia="Times New Roman" w:cs="Times New Roman"/>
                <w:sz w:val="20"/>
                <w:szCs w:val="20"/>
                <w:lang w:eastAsia="en-AU"/>
              </w:rPr>
              <w:t>0</w:t>
            </w:r>
          </w:p>
        </w:tc>
      </w:tr>
      <w:tr w:rsidR="00C33621" w:rsidRPr="00EB655C" w14:paraId="53D5D799" w14:textId="77777777">
        <w:trPr>
          <w:trHeight w:val="300"/>
        </w:trPr>
        <w:tc>
          <w:tcPr>
            <w:tcW w:w="1694" w:type="dxa"/>
            <w:tcBorders>
              <w:top w:val="nil"/>
              <w:left w:val="single" w:sz="4" w:space="0" w:color="auto"/>
              <w:bottom w:val="single" w:sz="4" w:space="0" w:color="auto"/>
              <w:right w:val="single" w:sz="4" w:space="0" w:color="auto"/>
            </w:tcBorders>
            <w:vAlign w:val="bottom"/>
          </w:tcPr>
          <w:p w14:paraId="307F7C1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6.1.2</w:t>
            </w:r>
          </w:p>
        </w:tc>
        <w:tc>
          <w:tcPr>
            <w:tcW w:w="3953" w:type="dxa"/>
            <w:tcBorders>
              <w:top w:val="nil"/>
              <w:left w:val="single" w:sz="4" w:space="0" w:color="auto"/>
              <w:bottom w:val="single" w:sz="4" w:space="0" w:color="auto"/>
              <w:right w:val="single" w:sz="4" w:space="0" w:color="auto"/>
            </w:tcBorders>
            <w:vAlign w:val="bottom"/>
          </w:tcPr>
          <w:p w14:paraId="25C8AD8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Definition of merger</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EB65489" w14:textId="3079C0A8"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w:t>
            </w:r>
            <w:r>
              <w:rPr>
                <w:rFonts w:eastAsia="Times New Roman" w:cs="Times New Roman"/>
                <w:sz w:val="20"/>
                <w:szCs w:val="20"/>
                <w:lang w:eastAsia="en-AU"/>
              </w:rPr>
              <w:t>5</w:t>
            </w:r>
          </w:p>
        </w:tc>
      </w:tr>
      <w:tr w:rsidR="00C33621" w:rsidRPr="00EB655C" w14:paraId="6B59350D" w14:textId="77777777">
        <w:trPr>
          <w:trHeight w:val="300"/>
        </w:trPr>
        <w:tc>
          <w:tcPr>
            <w:tcW w:w="1694" w:type="dxa"/>
            <w:tcBorders>
              <w:top w:val="nil"/>
              <w:left w:val="single" w:sz="4" w:space="0" w:color="auto"/>
              <w:bottom w:val="single" w:sz="4" w:space="0" w:color="auto"/>
              <w:right w:val="single" w:sz="4" w:space="0" w:color="auto"/>
            </w:tcBorders>
            <w:vAlign w:val="bottom"/>
          </w:tcPr>
          <w:p w14:paraId="4DBCDB8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6.1.3</w:t>
            </w:r>
          </w:p>
        </w:tc>
        <w:tc>
          <w:tcPr>
            <w:tcW w:w="3953" w:type="dxa"/>
            <w:tcBorders>
              <w:top w:val="nil"/>
              <w:left w:val="single" w:sz="4" w:space="0" w:color="auto"/>
              <w:bottom w:val="single" w:sz="4" w:space="0" w:color="auto"/>
              <w:right w:val="single" w:sz="4" w:space="0" w:color="auto"/>
            </w:tcBorders>
            <w:vAlign w:val="bottom"/>
          </w:tcPr>
          <w:p w14:paraId="613EA6CD"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Definition of demerger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B9201BB" w14:textId="633BCFFE"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w:t>
            </w:r>
            <w:r>
              <w:rPr>
                <w:rFonts w:eastAsia="Times New Roman" w:cs="Times New Roman"/>
                <w:sz w:val="20"/>
                <w:szCs w:val="20"/>
                <w:lang w:eastAsia="en-AU"/>
              </w:rPr>
              <w:t>10</w:t>
            </w:r>
            <w:r w:rsidRPr="00EB655C">
              <w:rPr>
                <w:rFonts w:eastAsia="Times New Roman" w:cs="Times New Roman"/>
                <w:sz w:val="20"/>
                <w:szCs w:val="20"/>
                <w:lang w:eastAsia="en-AU"/>
              </w:rPr>
              <w:t>(3)</w:t>
            </w:r>
          </w:p>
        </w:tc>
      </w:tr>
      <w:tr w:rsidR="00C33621" w:rsidRPr="00EB655C" w14:paraId="7AF2593A" w14:textId="77777777">
        <w:trPr>
          <w:trHeight w:val="300"/>
        </w:trPr>
        <w:tc>
          <w:tcPr>
            <w:tcW w:w="1694" w:type="dxa"/>
            <w:tcBorders>
              <w:top w:val="nil"/>
              <w:left w:val="single" w:sz="4" w:space="0" w:color="auto"/>
              <w:bottom w:val="single" w:sz="4" w:space="0" w:color="auto"/>
              <w:right w:val="single" w:sz="4" w:space="0" w:color="auto"/>
            </w:tcBorders>
            <w:vAlign w:val="bottom"/>
          </w:tcPr>
          <w:p w14:paraId="585536EC"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6.2</w:t>
            </w:r>
          </w:p>
        </w:tc>
        <w:tc>
          <w:tcPr>
            <w:tcW w:w="3953" w:type="dxa"/>
            <w:tcBorders>
              <w:top w:val="nil"/>
              <w:left w:val="single" w:sz="4" w:space="0" w:color="auto"/>
              <w:bottom w:val="single" w:sz="4" w:space="0" w:color="auto"/>
              <w:right w:val="single" w:sz="4" w:space="0" w:color="auto"/>
            </w:tcBorders>
            <w:vAlign w:val="bottom"/>
          </w:tcPr>
          <w:p w14:paraId="5828D7AC"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Constituent Entities joining and leaving an MNE Group</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1E6B674"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6-2</w:t>
            </w:r>
          </w:p>
        </w:tc>
      </w:tr>
      <w:tr w:rsidR="00C33621" w:rsidRPr="00EB655C" w14:paraId="04FB57EE" w14:textId="77777777">
        <w:trPr>
          <w:trHeight w:val="300"/>
        </w:trPr>
        <w:tc>
          <w:tcPr>
            <w:tcW w:w="1694" w:type="dxa"/>
            <w:tcBorders>
              <w:top w:val="nil"/>
              <w:left w:val="single" w:sz="4" w:space="0" w:color="auto"/>
              <w:bottom w:val="single" w:sz="4" w:space="0" w:color="auto"/>
              <w:right w:val="single" w:sz="4" w:space="0" w:color="auto"/>
            </w:tcBorders>
            <w:vAlign w:val="bottom"/>
          </w:tcPr>
          <w:p w14:paraId="3E56052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6.2.1</w:t>
            </w:r>
          </w:p>
        </w:tc>
        <w:tc>
          <w:tcPr>
            <w:tcW w:w="3953" w:type="dxa"/>
            <w:tcBorders>
              <w:top w:val="nil"/>
              <w:left w:val="single" w:sz="4" w:space="0" w:color="auto"/>
              <w:bottom w:val="single" w:sz="4" w:space="0" w:color="auto"/>
              <w:right w:val="single" w:sz="4" w:space="0" w:color="auto"/>
            </w:tcBorders>
            <w:vAlign w:val="bottom"/>
          </w:tcPr>
          <w:p w14:paraId="05105F0C"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Effects of the treatment of acquisition or disposal of controlling interest under GloBE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01AF379" w14:textId="01FFB833"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w:t>
            </w:r>
            <w:r>
              <w:rPr>
                <w:rFonts w:eastAsia="Times New Roman" w:cs="Times New Roman"/>
                <w:sz w:val="20"/>
                <w:szCs w:val="20"/>
                <w:lang w:eastAsia="en-AU"/>
              </w:rPr>
              <w:t>20</w:t>
            </w:r>
            <w:r w:rsidRPr="00EB655C">
              <w:rPr>
                <w:rFonts w:eastAsia="Times New Roman" w:cs="Times New Roman"/>
                <w:sz w:val="20"/>
                <w:szCs w:val="20"/>
                <w:lang w:eastAsia="en-AU"/>
              </w:rPr>
              <w:t>, 6-</w:t>
            </w:r>
            <w:r>
              <w:rPr>
                <w:rFonts w:eastAsia="Times New Roman" w:cs="Times New Roman"/>
                <w:sz w:val="20"/>
                <w:szCs w:val="20"/>
                <w:lang w:eastAsia="en-AU"/>
              </w:rPr>
              <w:t>25</w:t>
            </w:r>
            <w:r w:rsidRPr="00EB655C">
              <w:rPr>
                <w:rFonts w:eastAsia="Times New Roman" w:cs="Times New Roman"/>
                <w:sz w:val="20"/>
                <w:szCs w:val="20"/>
                <w:lang w:eastAsia="en-AU"/>
              </w:rPr>
              <w:t>, 6-</w:t>
            </w:r>
            <w:r>
              <w:rPr>
                <w:rFonts w:eastAsia="Times New Roman" w:cs="Times New Roman"/>
                <w:sz w:val="20"/>
                <w:szCs w:val="20"/>
                <w:lang w:eastAsia="en-AU"/>
              </w:rPr>
              <w:t>30</w:t>
            </w:r>
            <w:r w:rsidRPr="00EB655C">
              <w:rPr>
                <w:rFonts w:eastAsia="Times New Roman" w:cs="Times New Roman"/>
                <w:sz w:val="20"/>
                <w:szCs w:val="20"/>
                <w:lang w:eastAsia="en-AU"/>
              </w:rPr>
              <w:t>, 6</w:t>
            </w:r>
            <w:r w:rsidR="00F8139C">
              <w:rPr>
                <w:rFonts w:eastAsia="Times New Roman" w:cs="Times New Roman"/>
                <w:sz w:val="20"/>
                <w:szCs w:val="20"/>
                <w:lang w:eastAsia="en-AU"/>
              </w:rPr>
              <w:noBreakHyphen/>
            </w:r>
            <w:r>
              <w:rPr>
                <w:rFonts w:eastAsia="Times New Roman" w:cs="Times New Roman"/>
                <w:sz w:val="20"/>
                <w:szCs w:val="20"/>
                <w:lang w:eastAsia="en-AU"/>
              </w:rPr>
              <w:t>35</w:t>
            </w:r>
            <w:r w:rsidRPr="00EB655C">
              <w:rPr>
                <w:rFonts w:eastAsia="Times New Roman" w:cs="Times New Roman"/>
                <w:sz w:val="20"/>
                <w:szCs w:val="20"/>
                <w:lang w:eastAsia="en-AU"/>
              </w:rPr>
              <w:t>, 6-</w:t>
            </w:r>
            <w:r>
              <w:rPr>
                <w:rFonts w:eastAsia="Times New Roman" w:cs="Times New Roman"/>
                <w:sz w:val="20"/>
                <w:szCs w:val="20"/>
                <w:lang w:eastAsia="en-AU"/>
              </w:rPr>
              <w:t>40</w:t>
            </w:r>
            <w:r w:rsidR="00F8139C">
              <w:rPr>
                <w:rFonts w:eastAsia="Times New Roman" w:cs="Times New Roman"/>
                <w:sz w:val="20"/>
                <w:szCs w:val="20"/>
                <w:lang w:eastAsia="en-AU"/>
              </w:rPr>
              <w:t xml:space="preserve"> and</w:t>
            </w:r>
            <w:r w:rsidRPr="00EB655C">
              <w:rPr>
                <w:rFonts w:eastAsia="Times New Roman" w:cs="Times New Roman"/>
                <w:sz w:val="20"/>
                <w:szCs w:val="20"/>
                <w:lang w:eastAsia="en-AU"/>
              </w:rPr>
              <w:t xml:space="preserve"> 6</w:t>
            </w:r>
            <w:r w:rsidR="00F8139C">
              <w:rPr>
                <w:rFonts w:eastAsia="Times New Roman" w:cs="Times New Roman"/>
                <w:sz w:val="20"/>
                <w:szCs w:val="20"/>
                <w:lang w:eastAsia="en-AU"/>
              </w:rPr>
              <w:noBreakHyphen/>
            </w:r>
            <w:r>
              <w:rPr>
                <w:rFonts w:eastAsia="Times New Roman" w:cs="Times New Roman"/>
                <w:sz w:val="20"/>
                <w:szCs w:val="20"/>
                <w:lang w:eastAsia="en-AU"/>
              </w:rPr>
              <w:t>45</w:t>
            </w:r>
          </w:p>
        </w:tc>
      </w:tr>
      <w:tr w:rsidR="00C33621" w:rsidRPr="00EB655C" w14:paraId="7603294C" w14:textId="77777777">
        <w:trPr>
          <w:trHeight w:val="300"/>
        </w:trPr>
        <w:tc>
          <w:tcPr>
            <w:tcW w:w="1694" w:type="dxa"/>
            <w:tcBorders>
              <w:top w:val="nil"/>
              <w:left w:val="single" w:sz="4" w:space="0" w:color="auto"/>
              <w:bottom w:val="single" w:sz="4" w:space="0" w:color="auto"/>
              <w:right w:val="single" w:sz="4" w:space="0" w:color="auto"/>
            </w:tcBorders>
            <w:vAlign w:val="bottom"/>
          </w:tcPr>
          <w:p w14:paraId="3968F95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6.2.2</w:t>
            </w:r>
          </w:p>
        </w:tc>
        <w:tc>
          <w:tcPr>
            <w:tcW w:w="3953" w:type="dxa"/>
            <w:tcBorders>
              <w:top w:val="nil"/>
              <w:left w:val="single" w:sz="4" w:space="0" w:color="auto"/>
              <w:bottom w:val="single" w:sz="4" w:space="0" w:color="auto"/>
              <w:right w:val="single" w:sz="4" w:space="0" w:color="auto"/>
            </w:tcBorders>
            <w:vAlign w:val="bottom"/>
          </w:tcPr>
          <w:p w14:paraId="0B31403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Treatment of acquisition or disposal of controlling interest under GloBE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B7942C3" w14:textId="2AAC0635"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w:t>
            </w:r>
            <w:r>
              <w:rPr>
                <w:rFonts w:eastAsia="Times New Roman" w:cs="Times New Roman"/>
                <w:sz w:val="20"/>
                <w:szCs w:val="20"/>
                <w:lang w:eastAsia="en-AU"/>
              </w:rPr>
              <w:t>50</w:t>
            </w:r>
          </w:p>
        </w:tc>
      </w:tr>
      <w:tr w:rsidR="00C33621" w:rsidRPr="00EB655C" w14:paraId="4542A3AC" w14:textId="77777777">
        <w:trPr>
          <w:trHeight w:val="300"/>
        </w:trPr>
        <w:tc>
          <w:tcPr>
            <w:tcW w:w="1694" w:type="dxa"/>
            <w:tcBorders>
              <w:top w:val="nil"/>
              <w:left w:val="single" w:sz="4" w:space="0" w:color="auto"/>
              <w:bottom w:val="single" w:sz="4" w:space="0" w:color="auto"/>
              <w:right w:val="single" w:sz="4" w:space="0" w:color="auto"/>
            </w:tcBorders>
            <w:vAlign w:val="bottom"/>
          </w:tcPr>
          <w:p w14:paraId="72544F8D"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6.3</w:t>
            </w:r>
          </w:p>
        </w:tc>
        <w:tc>
          <w:tcPr>
            <w:tcW w:w="3953" w:type="dxa"/>
            <w:tcBorders>
              <w:top w:val="nil"/>
              <w:left w:val="single" w:sz="4" w:space="0" w:color="auto"/>
              <w:bottom w:val="single" w:sz="4" w:space="0" w:color="auto"/>
              <w:right w:val="single" w:sz="4" w:space="0" w:color="auto"/>
            </w:tcBorders>
            <w:vAlign w:val="bottom"/>
          </w:tcPr>
          <w:p w14:paraId="277CD9AC"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Transfer of Assets and Liabilities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BB7624A"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6-3</w:t>
            </w:r>
          </w:p>
        </w:tc>
      </w:tr>
      <w:tr w:rsidR="00C33621" w:rsidRPr="00EB655C" w14:paraId="1C50249C" w14:textId="77777777">
        <w:trPr>
          <w:trHeight w:val="300"/>
        </w:trPr>
        <w:tc>
          <w:tcPr>
            <w:tcW w:w="1694" w:type="dxa"/>
            <w:tcBorders>
              <w:top w:val="nil"/>
              <w:left w:val="single" w:sz="4" w:space="0" w:color="auto"/>
              <w:bottom w:val="single" w:sz="4" w:space="0" w:color="auto"/>
              <w:right w:val="single" w:sz="4" w:space="0" w:color="auto"/>
            </w:tcBorders>
            <w:vAlign w:val="bottom"/>
          </w:tcPr>
          <w:p w14:paraId="288DE1D1" w14:textId="4DE74A79"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6.3.1</w:t>
            </w:r>
            <w:r w:rsidR="00A752EF">
              <w:rPr>
                <w:rFonts w:eastAsia="Times New Roman" w:cs="Times New Roman"/>
                <w:sz w:val="20"/>
                <w:szCs w:val="20"/>
                <w:lang w:eastAsia="en-AU"/>
              </w:rPr>
              <w:t xml:space="preserve"> </w:t>
            </w:r>
            <w:r w:rsidR="00A752EF" w:rsidRPr="00A752EF">
              <w:rPr>
                <w:rFonts w:eastAsia="Times New Roman" w:cs="Times New Roman"/>
                <w:sz w:val="20"/>
                <w:szCs w:val="20"/>
                <w:lang w:eastAsia="en-AU"/>
              </w:rPr>
              <w:t>and 3.2.1(e)</w:t>
            </w:r>
          </w:p>
        </w:tc>
        <w:tc>
          <w:tcPr>
            <w:tcW w:w="3953" w:type="dxa"/>
            <w:tcBorders>
              <w:top w:val="nil"/>
              <w:left w:val="single" w:sz="4" w:space="0" w:color="auto"/>
              <w:bottom w:val="single" w:sz="4" w:space="0" w:color="auto"/>
              <w:right w:val="single" w:sz="4" w:space="0" w:color="auto"/>
            </w:tcBorders>
            <w:vAlign w:val="bottom"/>
          </w:tcPr>
          <w:p w14:paraId="661CCAB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Accounting for a gain or a loss in a transfer of assets or liabilities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999CCBB" w14:textId="2CAEFBC4"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w:t>
            </w:r>
            <w:r>
              <w:rPr>
                <w:rFonts w:eastAsia="Times New Roman" w:cs="Times New Roman"/>
                <w:sz w:val="20"/>
                <w:szCs w:val="20"/>
                <w:lang w:eastAsia="en-AU"/>
              </w:rPr>
              <w:t>55</w:t>
            </w:r>
          </w:p>
        </w:tc>
      </w:tr>
      <w:tr w:rsidR="00C33621" w:rsidRPr="00EB655C" w14:paraId="74180572" w14:textId="77777777">
        <w:trPr>
          <w:trHeight w:val="300"/>
        </w:trPr>
        <w:tc>
          <w:tcPr>
            <w:tcW w:w="1694" w:type="dxa"/>
            <w:tcBorders>
              <w:top w:val="nil"/>
              <w:left w:val="single" w:sz="4" w:space="0" w:color="auto"/>
              <w:bottom w:val="single" w:sz="4" w:space="0" w:color="auto"/>
              <w:right w:val="single" w:sz="4" w:space="0" w:color="auto"/>
            </w:tcBorders>
            <w:vAlign w:val="bottom"/>
          </w:tcPr>
          <w:p w14:paraId="4999461E"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2.1 of the </w:t>
            </w:r>
            <w:r>
              <w:rPr>
                <w:rFonts w:eastAsia="Times New Roman" w:cs="Times New Roman"/>
                <w:sz w:val="20"/>
                <w:szCs w:val="20"/>
                <w:lang w:eastAsia="en-AU"/>
              </w:rPr>
              <w:t>February</w:t>
            </w:r>
            <w:r w:rsidRPr="00EB655C">
              <w:rPr>
                <w:rFonts w:eastAsia="Times New Roman" w:cs="Times New Roman"/>
                <w:sz w:val="20"/>
                <w:szCs w:val="20"/>
                <w:lang w:eastAsia="en-AU"/>
              </w:rPr>
              <w:t xml:space="preserve"> </w:t>
            </w:r>
            <w:r>
              <w:rPr>
                <w:rFonts w:eastAsia="Times New Roman" w:cs="Times New Roman"/>
                <w:sz w:val="20"/>
                <w:szCs w:val="20"/>
                <w:lang w:eastAsia="en-AU"/>
              </w:rPr>
              <w:t xml:space="preserve">2023 </w:t>
            </w:r>
            <w:r w:rsidRPr="00EB655C">
              <w:rPr>
                <w:rFonts w:eastAsia="Times New Roman" w:cs="Times New Roman"/>
                <w:sz w:val="20"/>
                <w:szCs w:val="20"/>
                <w:lang w:eastAsia="en-AU"/>
              </w:rPr>
              <w:t>AG</w:t>
            </w:r>
          </w:p>
        </w:tc>
        <w:tc>
          <w:tcPr>
            <w:tcW w:w="3953" w:type="dxa"/>
            <w:tcBorders>
              <w:top w:val="nil"/>
              <w:left w:val="single" w:sz="4" w:space="0" w:color="auto"/>
              <w:bottom w:val="single" w:sz="4" w:space="0" w:color="auto"/>
              <w:right w:val="single" w:sz="4" w:space="0" w:color="auto"/>
            </w:tcBorders>
            <w:vAlign w:val="bottom"/>
          </w:tcPr>
          <w:p w14:paraId="1823D7C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Intragroup transactions</w:t>
            </w:r>
            <w:r>
              <w:rPr>
                <w:rFonts w:eastAsia="Times New Roman" w:cs="Times New Roman"/>
                <w:sz w:val="20"/>
                <w:szCs w:val="20"/>
                <w:lang w:eastAsia="en-AU"/>
              </w:rPr>
              <w:t xml:space="preserve"> accounted at cost</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21894FA" w14:textId="58504A9A"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w:t>
            </w:r>
            <w:r>
              <w:rPr>
                <w:rFonts w:eastAsia="Times New Roman" w:cs="Times New Roman"/>
                <w:sz w:val="20"/>
                <w:szCs w:val="20"/>
                <w:lang w:eastAsia="en-AU"/>
              </w:rPr>
              <w:t>55</w:t>
            </w:r>
          </w:p>
        </w:tc>
      </w:tr>
      <w:tr w:rsidR="00C33621" w:rsidRPr="00EB655C" w14:paraId="06A8CDA9" w14:textId="77777777">
        <w:trPr>
          <w:trHeight w:val="300"/>
        </w:trPr>
        <w:tc>
          <w:tcPr>
            <w:tcW w:w="1694" w:type="dxa"/>
            <w:tcBorders>
              <w:top w:val="nil"/>
              <w:left w:val="single" w:sz="4" w:space="0" w:color="auto"/>
              <w:bottom w:val="single" w:sz="4" w:space="0" w:color="auto"/>
              <w:right w:val="single" w:sz="4" w:space="0" w:color="auto"/>
            </w:tcBorders>
            <w:vAlign w:val="bottom"/>
          </w:tcPr>
          <w:p w14:paraId="5895E351"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6.3.2</w:t>
            </w:r>
          </w:p>
        </w:tc>
        <w:tc>
          <w:tcPr>
            <w:tcW w:w="3953" w:type="dxa"/>
            <w:tcBorders>
              <w:top w:val="nil"/>
              <w:left w:val="single" w:sz="4" w:space="0" w:color="auto"/>
              <w:bottom w:val="single" w:sz="4" w:space="0" w:color="auto"/>
              <w:right w:val="single" w:sz="4" w:space="0" w:color="auto"/>
            </w:tcBorders>
            <w:vAlign w:val="bottom"/>
          </w:tcPr>
          <w:p w14:paraId="093E92D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Alternate outcome in recognising a GloBE reorganisation to article 6.3.1</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093F19C" w14:textId="49B66FF5"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w:t>
            </w:r>
            <w:r>
              <w:rPr>
                <w:rFonts w:eastAsia="Times New Roman" w:cs="Times New Roman"/>
                <w:sz w:val="20"/>
                <w:szCs w:val="20"/>
                <w:lang w:eastAsia="en-AU"/>
              </w:rPr>
              <w:t>60</w:t>
            </w:r>
            <w:r w:rsidRPr="00EB655C">
              <w:rPr>
                <w:rFonts w:eastAsia="Times New Roman" w:cs="Times New Roman"/>
                <w:sz w:val="20"/>
                <w:szCs w:val="20"/>
                <w:lang w:eastAsia="en-AU"/>
              </w:rPr>
              <w:t>(1) and (2)</w:t>
            </w:r>
          </w:p>
        </w:tc>
      </w:tr>
      <w:tr w:rsidR="00C33621" w:rsidRPr="00EB655C" w14:paraId="11C9E1E8" w14:textId="77777777">
        <w:trPr>
          <w:trHeight w:val="300"/>
        </w:trPr>
        <w:tc>
          <w:tcPr>
            <w:tcW w:w="1694" w:type="dxa"/>
            <w:tcBorders>
              <w:top w:val="nil"/>
              <w:left w:val="single" w:sz="4" w:space="0" w:color="auto"/>
              <w:bottom w:val="single" w:sz="4" w:space="0" w:color="auto"/>
              <w:right w:val="single" w:sz="4" w:space="0" w:color="auto"/>
            </w:tcBorders>
            <w:vAlign w:val="bottom"/>
          </w:tcPr>
          <w:p w14:paraId="14E673A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6.3.3</w:t>
            </w:r>
          </w:p>
        </w:tc>
        <w:tc>
          <w:tcPr>
            <w:tcW w:w="3953" w:type="dxa"/>
            <w:tcBorders>
              <w:top w:val="nil"/>
              <w:left w:val="single" w:sz="4" w:space="0" w:color="auto"/>
              <w:bottom w:val="single" w:sz="4" w:space="0" w:color="auto"/>
              <w:right w:val="single" w:sz="4" w:space="0" w:color="auto"/>
            </w:tcBorders>
            <w:vAlign w:val="bottom"/>
          </w:tcPr>
          <w:p w14:paraId="67EFD4C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Alternate outcome in recognising a GloBE reorganisation to articles 6.3.1 and 6.3.2</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6C229C8" w14:textId="023A999F"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6-6</w:t>
            </w:r>
            <w:r>
              <w:rPr>
                <w:rFonts w:eastAsia="Times New Roman" w:cs="Times New Roman"/>
                <w:sz w:val="20"/>
                <w:szCs w:val="20"/>
                <w:lang w:eastAsia="en-AU"/>
              </w:rPr>
              <w:t>0</w:t>
            </w:r>
            <w:r w:rsidRPr="00EB655C">
              <w:rPr>
                <w:rFonts w:eastAsia="Times New Roman" w:cs="Times New Roman"/>
                <w:sz w:val="20"/>
                <w:szCs w:val="20"/>
                <w:lang w:eastAsia="en-AU"/>
              </w:rPr>
              <w:t xml:space="preserve">(3) and (4) </w:t>
            </w:r>
          </w:p>
        </w:tc>
      </w:tr>
      <w:tr w:rsidR="00C33621" w:rsidRPr="00EB655C" w14:paraId="111FB184" w14:textId="77777777">
        <w:trPr>
          <w:trHeight w:val="300"/>
        </w:trPr>
        <w:tc>
          <w:tcPr>
            <w:tcW w:w="1694" w:type="dxa"/>
            <w:tcBorders>
              <w:top w:val="nil"/>
              <w:left w:val="single" w:sz="4" w:space="0" w:color="auto"/>
              <w:bottom w:val="single" w:sz="4" w:space="0" w:color="auto"/>
              <w:right w:val="single" w:sz="4" w:space="0" w:color="auto"/>
            </w:tcBorders>
            <w:vAlign w:val="bottom"/>
          </w:tcPr>
          <w:p w14:paraId="08EC4BB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lastRenderedPageBreak/>
              <w:t>6.3.4</w:t>
            </w:r>
          </w:p>
        </w:tc>
        <w:tc>
          <w:tcPr>
            <w:tcW w:w="3953" w:type="dxa"/>
            <w:tcBorders>
              <w:top w:val="nil"/>
              <w:left w:val="single" w:sz="4" w:space="0" w:color="auto"/>
              <w:bottom w:val="single" w:sz="4" w:space="0" w:color="auto"/>
              <w:right w:val="single" w:sz="4" w:space="0" w:color="auto"/>
            </w:tcBorders>
            <w:vAlign w:val="bottom"/>
          </w:tcPr>
          <w:p w14:paraId="6C20609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Details of the election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125C5BD" w14:textId="25855DBE"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w:t>
            </w:r>
            <w:r>
              <w:rPr>
                <w:rFonts w:eastAsia="Times New Roman" w:cs="Times New Roman"/>
                <w:sz w:val="20"/>
                <w:szCs w:val="20"/>
                <w:lang w:eastAsia="en-AU"/>
              </w:rPr>
              <w:t>70</w:t>
            </w:r>
          </w:p>
        </w:tc>
      </w:tr>
      <w:tr w:rsidR="00C33621" w:rsidRPr="00EB655C" w14:paraId="2BF5E929" w14:textId="77777777">
        <w:trPr>
          <w:trHeight w:val="300"/>
        </w:trPr>
        <w:tc>
          <w:tcPr>
            <w:tcW w:w="1694" w:type="dxa"/>
            <w:tcBorders>
              <w:top w:val="nil"/>
              <w:left w:val="single" w:sz="4" w:space="0" w:color="auto"/>
              <w:bottom w:val="single" w:sz="4" w:space="0" w:color="auto"/>
              <w:right w:val="single" w:sz="4" w:space="0" w:color="auto"/>
            </w:tcBorders>
            <w:vAlign w:val="bottom"/>
          </w:tcPr>
          <w:p w14:paraId="07E9BDDE" w14:textId="77777777" w:rsidR="00C33621" w:rsidRPr="006D2FCE" w:rsidRDefault="00C33621" w:rsidP="00C33621">
            <w:pPr>
              <w:spacing w:before="60" w:after="60"/>
              <w:ind w:left="34"/>
              <w:rPr>
                <w:rFonts w:eastAsia="Times New Roman" w:cs="Times New Roman"/>
                <w:sz w:val="20"/>
                <w:szCs w:val="20"/>
                <w:lang w:eastAsia="en-AU"/>
              </w:rPr>
            </w:pPr>
            <w:r w:rsidRPr="006D2FCE">
              <w:rPr>
                <w:rFonts w:eastAsia="Times New Roman" w:cs="Times New Roman"/>
                <w:sz w:val="20"/>
                <w:szCs w:val="20"/>
                <w:lang w:eastAsia="en-AU"/>
              </w:rPr>
              <w:t>6.4.1</w:t>
            </w:r>
          </w:p>
        </w:tc>
        <w:tc>
          <w:tcPr>
            <w:tcW w:w="3953" w:type="dxa"/>
            <w:tcBorders>
              <w:top w:val="nil"/>
              <w:left w:val="single" w:sz="4" w:space="0" w:color="auto"/>
              <w:bottom w:val="single" w:sz="4" w:space="0" w:color="auto"/>
              <w:right w:val="single" w:sz="4" w:space="0" w:color="auto"/>
            </w:tcBorders>
            <w:vAlign w:val="bottom"/>
          </w:tcPr>
          <w:p w14:paraId="2D25A7DF" w14:textId="77777777" w:rsidR="00C33621" w:rsidRPr="006D2FCE" w:rsidRDefault="00C33621" w:rsidP="00C33621">
            <w:pPr>
              <w:spacing w:before="60" w:after="60"/>
              <w:ind w:left="34"/>
              <w:rPr>
                <w:rFonts w:eastAsia="Times New Roman" w:cs="Times New Roman"/>
                <w:sz w:val="20"/>
                <w:szCs w:val="20"/>
                <w:lang w:eastAsia="en-AU"/>
              </w:rPr>
            </w:pPr>
            <w:r w:rsidRPr="006D2FCE">
              <w:rPr>
                <w:rFonts w:eastAsia="Times New Roman" w:cs="Times New Roman"/>
                <w:sz w:val="20"/>
                <w:szCs w:val="20"/>
                <w:lang w:eastAsia="en-AU"/>
              </w:rPr>
              <w:t>Joint Ventures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8A5CEA9" w14:textId="3332B65D" w:rsidR="00C33621" w:rsidRPr="006D2FCE" w:rsidRDefault="00C33621" w:rsidP="00C33621">
            <w:pPr>
              <w:spacing w:before="60" w:after="60"/>
              <w:ind w:left="34"/>
              <w:rPr>
                <w:rFonts w:eastAsia="Times New Roman" w:cs="Times New Roman"/>
                <w:sz w:val="20"/>
                <w:szCs w:val="20"/>
                <w:lang w:eastAsia="en-AU"/>
              </w:rPr>
            </w:pPr>
            <w:r w:rsidRPr="006D2FCE">
              <w:rPr>
                <w:rFonts w:eastAsia="Times New Roman" w:cs="Times New Roman"/>
                <w:sz w:val="20"/>
                <w:szCs w:val="20"/>
                <w:lang w:eastAsia="en-AU"/>
              </w:rPr>
              <w:t>6-</w:t>
            </w:r>
            <w:r>
              <w:rPr>
                <w:rFonts w:eastAsia="Times New Roman" w:cs="Times New Roman"/>
                <w:sz w:val="20"/>
                <w:szCs w:val="20"/>
                <w:lang w:eastAsia="en-AU"/>
              </w:rPr>
              <w:t>75</w:t>
            </w:r>
            <w:r w:rsidR="002359E2">
              <w:rPr>
                <w:rFonts w:eastAsia="Times New Roman" w:cs="Times New Roman"/>
                <w:sz w:val="20"/>
                <w:szCs w:val="20"/>
                <w:lang w:eastAsia="en-AU"/>
              </w:rPr>
              <w:t xml:space="preserve"> and </w:t>
            </w:r>
            <w:r w:rsidRPr="006D2FCE">
              <w:rPr>
                <w:rFonts w:eastAsia="Times New Roman" w:cs="Times New Roman"/>
                <w:sz w:val="20"/>
                <w:szCs w:val="20"/>
                <w:lang w:eastAsia="en-AU"/>
              </w:rPr>
              <w:t>2-5(</w:t>
            </w:r>
            <w:r>
              <w:rPr>
                <w:rFonts w:eastAsia="Times New Roman" w:cs="Times New Roman"/>
                <w:sz w:val="20"/>
                <w:szCs w:val="20"/>
                <w:lang w:eastAsia="en-AU"/>
              </w:rPr>
              <w:t>3</w:t>
            </w:r>
            <w:r w:rsidR="002359E2">
              <w:rPr>
                <w:rFonts w:eastAsia="Times New Roman" w:cs="Times New Roman"/>
                <w:sz w:val="20"/>
                <w:szCs w:val="20"/>
                <w:lang w:eastAsia="en-AU"/>
              </w:rPr>
              <w:t>)-(</w:t>
            </w:r>
            <w:r>
              <w:rPr>
                <w:rFonts w:eastAsia="Times New Roman" w:cs="Times New Roman"/>
                <w:sz w:val="20"/>
                <w:szCs w:val="20"/>
                <w:lang w:eastAsia="en-AU"/>
              </w:rPr>
              <w:t>4</w:t>
            </w:r>
            <w:r w:rsidRPr="006D2FCE">
              <w:rPr>
                <w:rFonts w:eastAsia="Times New Roman" w:cs="Times New Roman"/>
                <w:sz w:val="20"/>
                <w:szCs w:val="20"/>
                <w:lang w:eastAsia="en-AU"/>
              </w:rPr>
              <w:t>)</w:t>
            </w:r>
          </w:p>
        </w:tc>
      </w:tr>
      <w:tr w:rsidR="00C33621" w:rsidRPr="00EB655C" w14:paraId="22555246" w14:textId="77777777">
        <w:trPr>
          <w:trHeight w:val="300"/>
        </w:trPr>
        <w:tc>
          <w:tcPr>
            <w:tcW w:w="1694" w:type="dxa"/>
            <w:tcBorders>
              <w:top w:val="nil"/>
              <w:left w:val="single" w:sz="4" w:space="0" w:color="auto"/>
              <w:bottom w:val="single" w:sz="4" w:space="0" w:color="auto"/>
              <w:right w:val="single" w:sz="4" w:space="0" w:color="auto"/>
            </w:tcBorders>
            <w:vAlign w:val="bottom"/>
          </w:tcPr>
          <w:p w14:paraId="13FE937A" w14:textId="77777777" w:rsidR="00C33621" w:rsidRPr="006D2FCE" w:rsidRDefault="00C33621" w:rsidP="00C33621">
            <w:pPr>
              <w:spacing w:before="60" w:after="60"/>
              <w:ind w:left="34"/>
              <w:rPr>
                <w:rFonts w:eastAsia="Times New Roman" w:cs="Times New Roman"/>
                <w:sz w:val="20"/>
                <w:szCs w:val="20"/>
                <w:lang w:eastAsia="en-AU"/>
              </w:rPr>
            </w:pPr>
            <w:r w:rsidRPr="006D2FCE">
              <w:rPr>
                <w:rFonts w:eastAsia="Times New Roman" w:cs="Times New Roman"/>
                <w:sz w:val="20"/>
                <w:szCs w:val="20"/>
                <w:lang w:eastAsia="en-AU"/>
              </w:rPr>
              <w:t>6.5.1</w:t>
            </w:r>
          </w:p>
        </w:tc>
        <w:tc>
          <w:tcPr>
            <w:tcW w:w="3953" w:type="dxa"/>
            <w:tcBorders>
              <w:top w:val="nil"/>
              <w:left w:val="single" w:sz="4" w:space="0" w:color="auto"/>
              <w:bottom w:val="single" w:sz="4" w:space="0" w:color="auto"/>
              <w:right w:val="single" w:sz="4" w:space="0" w:color="auto"/>
            </w:tcBorders>
            <w:vAlign w:val="bottom"/>
          </w:tcPr>
          <w:p w14:paraId="286C7109" w14:textId="77777777" w:rsidR="00C33621" w:rsidRPr="006D2FCE" w:rsidRDefault="00C33621" w:rsidP="00C33621">
            <w:pPr>
              <w:spacing w:before="60" w:after="60"/>
              <w:ind w:left="34"/>
              <w:rPr>
                <w:rFonts w:eastAsia="Times New Roman" w:cs="Times New Roman"/>
                <w:sz w:val="20"/>
                <w:szCs w:val="20"/>
                <w:lang w:eastAsia="en-AU"/>
              </w:rPr>
            </w:pPr>
            <w:r w:rsidRPr="006D2FCE">
              <w:rPr>
                <w:rFonts w:eastAsia="Times New Roman" w:cs="Times New Roman"/>
                <w:sz w:val="20"/>
                <w:szCs w:val="20"/>
                <w:lang w:eastAsia="en-AU"/>
              </w:rPr>
              <w:t xml:space="preserve">Multi-Parented MNE Groups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3392535" w14:textId="761EA665" w:rsidR="00C33621" w:rsidRPr="006D2FCE" w:rsidRDefault="00C33621" w:rsidP="00C33621">
            <w:pPr>
              <w:spacing w:before="60" w:after="60"/>
              <w:ind w:left="34"/>
              <w:rPr>
                <w:rFonts w:eastAsia="Times New Roman" w:cs="Times New Roman"/>
                <w:sz w:val="20"/>
                <w:szCs w:val="20"/>
                <w:lang w:eastAsia="en-AU"/>
              </w:rPr>
            </w:pPr>
            <w:r w:rsidRPr="006D2FCE">
              <w:rPr>
                <w:rFonts w:eastAsia="Times New Roman" w:cs="Times New Roman"/>
                <w:sz w:val="20"/>
                <w:szCs w:val="20"/>
                <w:lang w:eastAsia="en-AU"/>
              </w:rPr>
              <w:t>6-</w:t>
            </w:r>
            <w:r>
              <w:rPr>
                <w:rFonts w:eastAsia="Times New Roman" w:cs="Times New Roman"/>
                <w:sz w:val="20"/>
                <w:szCs w:val="20"/>
                <w:lang w:eastAsia="en-AU"/>
              </w:rPr>
              <w:t>80</w:t>
            </w:r>
            <w:r w:rsidRPr="006D2FCE">
              <w:rPr>
                <w:rFonts w:eastAsia="Times New Roman" w:cs="Times New Roman"/>
                <w:sz w:val="20"/>
                <w:szCs w:val="20"/>
                <w:lang w:eastAsia="en-AU"/>
              </w:rPr>
              <w:t>(2)</w:t>
            </w:r>
          </w:p>
        </w:tc>
      </w:tr>
      <w:tr w:rsidR="00C33621" w:rsidRPr="00EB655C" w14:paraId="0770E35C" w14:textId="77777777">
        <w:trPr>
          <w:trHeight w:val="300"/>
        </w:trPr>
        <w:tc>
          <w:tcPr>
            <w:tcW w:w="7475" w:type="dxa"/>
            <w:gridSpan w:val="3"/>
            <w:tcBorders>
              <w:top w:val="nil"/>
              <w:left w:val="single" w:sz="4" w:space="0" w:color="auto"/>
              <w:bottom w:val="single" w:sz="4" w:space="0" w:color="auto"/>
              <w:right w:val="single" w:sz="4" w:space="0" w:color="auto"/>
            </w:tcBorders>
            <w:vAlign w:val="bottom"/>
          </w:tcPr>
          <w:p w14:paraId="3E42101C" w14:textId="77777777" w:rsidR="00C33621" w:rsidRPr="00EB655C" w:rsidRDefault="00C33621" w:rsidP="00C33621">
            <w:pPr>
              <w:pStyle w:val="Tableheaderrowtext"/>
              <w:numPr>
                <w:ilvl w:val="3"/>
                <w:numId w:val="2"/>
              </w:numPr>
              <w:rPr>
                <w:lang w:eastAsia="en-AU"/>
              </w:rPr>
            </w:pPr>
            <w:r>
              <w:rPr>
                <w:lang w:eastAsia="en-AU"/>
              </w:rPr>
              <w:t xml:space="preserve">Chapter 7 - </w:t>
            </w:r>
            <w:r w:rsidRPr="005D78F7">
              <w:rPr>
                <w:lang w:eastAsia="en-AU"/>
              </w:rPr>
              <w:t>Tax neutrality and distribution regimes</w:t>
            </w:r>
          </w:p>
        </w:tc>
      </w:tr>
      <w:tr w:rsidR="00C33621" w:rsidRPr="00EB655C" w14:paraId="6F6F9475" w14:textId="77777777">
        <w:trPr>
          <w:trHeight w:val="300"/>
        </w:trPr>
        <w:tc>
          <w:tcPr>
            <w:tcW w:w="1694" w:type="dxa"/>
            <w:tcBorders>
              <w:top w:val="nil"/>
              <w:left w:val="single" w:sz="4" w:space="0" w:color="auto"/>
              <w:bottom w:val="single" w:sz="4" w:space="0" w:color="auto"/>
              <w:right w:val="single" w:sz="4" w:space="0" w:color="auto"/>
            </w:tcBorders>
            <w:vAlign w:val="bottom"/>
          </w:tcPr>
          <w:p w14:paraId="10CEE417"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7.1</w:t>
            </w:r>
          </w:p>
        </w:tc>
        <w:tc>
          <w:tcPr>
            <w:tcW w:w="3953" w:type="dxa"/>
            <w:tcBorders>
              <w:top w:val="nil"/>
              <w:left w:val="single" w:sz="4" w:space="0" w:color="auto"/>
              <w:bottom w:val="single" w:sz="4" w:space="0" w:color="auto"/>
              <w:right w:val="single" w:sz="4" w:space="0" w:color="auto"/>
            </w:tcBorders>
            <w:vAlign w:val="bottom"/>
          </w:tcPr>
          <w:p w14:paraId="6C110B83" w14:textId="7B65AFB7" w:rsidR="00C33621" w:rsidRPr="00EB655C" w:rsidRDefault="00C33621" w:rsidP="00C33621">
            <w:pPr>
              <w:spacing w:before="60" w:after="60"/>
              <w:ind w:left="34"/>
              <w:rPr>
                <w:rFonts w:eastAsia="Times New Roman" w:cs="Times New Roman"/>
                <w:b/>
                <w:bCs/>
                <w:sz w:val="20"/>
                <w:szCs w:val="20"/>
                <w:lang w:eastAsia="en-AU"/>
              </w:rPr>
            </w:pPr>
            <w:r>
              <w:rPr>
                <w:rFonts w:eastAsia="Times New Roman" w:cs="Times New Roman"/>
                <w:b/>
                <w:bCs/>
                <w:sz w:val="20"/>
                <w:szCs w:val="20"/>
                <w:lang w:eastAsia="en-AU"/>
              </w:rPr>
              <w:t>UPE</w:t>
            </w:r>
            <w:r w:rsidRPr="00EB655C">
              <w:rPr>
                <w:rFonts w:eastAsia="Times New Roman" w:cs="Times New Roman"/>
                <w:b/>
                <w:bCs/>
                <w:sz w:val="20"/>
                <w:szCs w:val="20"/>
                <w:lang w:eastAsia="en-AU"/>
              </w:rPr>
              <w:t xml:space="preserve"> that is a Flow-through Entity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4F39387"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7-1</w:t>
            </w:r>
          </w:p>
        </w:tc>
      </w:tr>
      <w:tr w:rsidR="00C33621" w:rsidRPr="00EB655C" w14:paraId="6D112504" w14:textId="77777777">
        <w:trPr>
          <w:trHeight w:val="300"/>
        </w:trPr>
        <w:tc>
          <w:tcPr>
            <w:tcW w:w="1694" w:type="dxa"/>
            <w:tcBorders>
              <w:top w:val="nil"/>
              <w:left w:val="single" w:sz="4" w:space="0" w:color="auto"/>
              <w:bottom w:val="single" w:sz="4" w:space="0" w:color="auto"/>
              <w:right w:val="single" w:sz="4" w:space="0" w:color="auto"/>
            </w:tcBorders>
            <w:vAlign w:val="bottom"/>
          </w:tcPr>
          <w:p w14:paraId="269F345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7.1.1</w:t>
            </w:r>
          </w:p>
        </w:tc>
        <w:tc>
          <w:tcPr>
            <w:tcW w:w="3953" w:type="dxa"/>
            <w:tcBorders>
              <w:top w:val="nil"/>
              <w:left w:val="single" w:sz="4" w:space="0" w:color="auto"/>
              <w:bottom w:val="single" w:sz="4" w:space="0" w:color="auto"/>
              <w:right w:val="single" w:sz="4" w:space="0" w:color="auto"/>
            </w:tcBorders>
            <w:vAlign w:val="bottom"/>
          </w:tcPr>
          <w:p w14:paraId="44A8579B" w14:textId="10355275"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Calculating GloBE income for a UPE that is a </w:t>
            </w:r>
            <w:r w:rsidR="007D43EC">
              <w:rPr>
                <w:rFonts w:eastAsia="Times New Roman" w:cs="Times New Roman"/>
                <w:sz w:val="20"/>
                <w:szCs w:val="20"/>
                <w:lang w:eastAsia="en-AU"/>
              </w:rPr>
              <w:t>Flow-through Entity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935B94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7-5</w:t>
            </w:r>
          </w:p>
        </w:tc>
      </w:tr>
      <w:tr w:rsidR="00C33621" w:rsidRPr="00EB655C" w14:paraId="30704B8E" w14:textId="77777777">
        <w:trPr>
          <w:trHeight w:val="300"/>
        </w:trPr>
        <w:tc>
          <w:tcPr>
            <w:tcW w:w="1694" w:type="dxa"/>
            <w:tcBorders>
              <w:top w:val="nil"/>
              <w:left w:val="single" w:sz="4" w:space="0" w:color="auto"/>
              <w:bottom w:val="single" w:sz="4" w:space="0" w:color="auto"/>
              <w:right w:val="single" w:sz="4" w:space="0" w:color="auto"/>
            </w:tcBorders>
            <w:vAlign w:val="bottom"/>
          </w:tcPr>
          <w:p w14:paraId="45C5F6F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7.1.2</w:t>
            </w:r>
          </w:p>
        </w:tc>
        <w:tc>
          <w:tcPr>
            <w:tcW w:w="3953" w:type="dxa"/>
            <w:tcBorders>
              <w:top w:val="nil"/>
              <w:left w:val="single" w:sz="4" w:space="0" w:color="auto"/>
              <w:bottom w:val="single" w:sz="4" w:space="0" w:color="auto"/>
              <w:right w:val="single" w:sz="4" w:space="0" w:color="auto"/>
            </w:tcBorders>
            <w:vAlign w:val="bottom"/>
          </w:tcPr>
          <w:p w14:paraId="569FA2B7" w14:textId="6419D82B"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Calculating GloBE loss for a UPE that is a </w:t>
            </w:r>
            <w:r w:rsidR="007D43EC">
              <w:rPr>
                <w:rFonts w:eastAsia="Times New Roman" w:cs="Times New Roman"/>
                <w:sz w:val="20"/>
                <w:szCs w:val="20"/>
                <w:lang w:eastAsia="en-AU"/>
              </w:rPr>
              <w:t>Flow-through Entity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532298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7-10</w:t>
            </w:r>
          </w:p>
        </w:tc>
      </w:tr>
      <w:tr w:rsidR="00C33621" w:rsidRPr="00EB655C" w14:paraId="4F5E3E69" w14:textId="77777777">
        <w:trPr>
          <w:trHeight w:val="300"/>
        </w:trPr>
        <w:tc>
          <w:tcPr>
            <w:tcW w:w="1694" w:type="dxa"/>
            <w:tcBorders>
              <w:top w:val="nil"/>
              <w:left w:val="single" w:sz="4" w:space="0" w:color="auto"/>
              <w:bottom w:val="single" w:sz="4" w:space="0" w:color="auto"/>
              <w:right w:val="single" w:sz="4" w:space="0" w:color="auto"/>
            </w:tcBorders>
            <w:vAlign w:val="bottom"/>
          </w:tcPr>
          <w:p w14:paraId="5F0F57CE"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7.1.3</w:t>
            </w:r>
          </w:p>
        </w:tc>
        <w:tc>
          <w:tcPr>
            <w:tcW w:w="3953" w:type="dxa"/>
            <w:tcBorders>
              <w:top w:val="nil"/>
              <w:left w:val="single" w:sz="4" w:space="0" w:color="auto"/>
              <w:bottom w:val="single" w:sz="4" w:space="0" w:color="auto"/>
              <w:right w:val="single" w:sz="4" w:space="0" w:color="auto"/>
            </w:tcBorders>
            <w:vAlign w:val="bottom"/>
          </w:tcPr>
          <w:p w14:paraId="6AA8762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Rule for covered taxes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BC92A0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7-5(4)</w:t>
            </w:r>
          </w:p>
        </w:tc>
      </w:tr>
      <w:tr w:rsidR="00C33621" w:rsidRPr="00EB655C" w14:paraId="586CEB0F" w14:textId="77777777">
        <w:trPr>
          <w:trHeight w:val="300"/>
        </w:trPr>
        <w:tc>
          <w:tcPr>
            <w:tcW w:w="1694" w:type="dxa"/>
            <w:tcBorders>
              <w:top w:val="nil"/>
              <w:left w:val="single" w:sz="4" w:space="0" w:color="auto"/>
              <w:bottom w:val="single" w:sz="4" w:space="0" w:color="auto"/>
              <w:right w:val="single" w:sz="4" w:space="0" w:color="auto"/>
            </w:tcBorders>
            <w:vAlign w:val="bottom"/>
          </w:tcPr>
          <w:p w14:paraId="6D8D234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7.1.4</w:t>
            </w:r>
          </w:p>
        </w:tc>
        <w:tc>
          <w:tcPr>
            <w:tcW w:w="3953" w:type="dxa"/>
            <w:tcBorders>
              <w:top w:val="nil"/>
              <w:left w:val="single" w:sz="4" w:space="0" w:color="auto"/>
              <w:bottom w:val="single" w:sz="4" w:space="0" w:color="auto"/>
              <w:right w:val="single" w:sz="4" w:space="0" w:color="auto"/>
            </w:tcBorders>
            <w:vAlign w:val="bottom"/>
          </w:tcPr>
          <w:p w14:paraId="5A8E37AC" w14:textId="4418059E"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Application to a </w:t>
            </w:r>
            <w:r w:rsidR="007D43EC">
              <w:rPr>
                <w:rFonts w:eastAsia="Times New Roman" w:cs="Times New Roman"/>
                <w:sz w:val="20"/>
                <w:szCs w:val="20"/>
                <w:lang w:eastAsia="en-AU"/>
              </w:rPr>
              <w:t>Permanent Establishment</w:t>
            </w:r>
            <w:r w:rsidR="007D43EC" w:rsidRPr="00EB655C">
              <w:rPr>
                <w:rFonts w:eastAsia="Times New Roman" w:cs="Times New Roman"/>
                <w:sz w:val="20"/>
                <w:szCs w:val="20"/>
                <w:lang w:eastAsia="en-AU"/>
              </w:rPr>
              <w:t xml:space="preserve">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CFAB13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7-15</w:t>
            </w:r>
          </w:p>
        </w:tc>
      </w:tr>
      <w:tr w:rsidR="00C33621" w:rsidRPr="00EB655C" w14:paraId="757D0586" w14:textId="77777777">
        <w:trPr>
          <w:trHeight w:val="300"/>
        </w:trPr>
        <w:tc>
          <w:tcPr>
            <w:tcW w:w="1694" w:type="dxa"/>
            <w:tcBorders>
              <w:top w:val="nil"/>
              <w:left w:val="single" w:sz="4" w:space="0" w:color="auto"/>
              <w:bottom w:val="single" w:sz="4" w:space="0" w:color="auto"/>
              <w:right w:val="single" w:sz="4" w:space="0" w:color="auto"/>
            </w:tcBorders>
            <w:vAlign w:val="bottom"/>
          </w:tcPr>
          <w:p w14:paraId="6582901D"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7.2</w:t>
            </w:r>
          </w:p>
        </w:tc>
        <w:tc>
          <w:tcPr>
            <w:tcW w:w="3953" w:type="dxa"/>
            <w:tcBorders>
              <w:top w:val="nil"/>
              <w:left w:val="single" w:sz="4" w:space="0" w:color="auto"/>
              <w:bottom w:val="single" w:sz="4" w:space="0" w:color="auto"/>
              <w:right w:val="single" w:sz="4" w:space="0" w:color="auto"/>
            </w:tcBorders>
            <w:vAlign w:val="bottom"/>
          </w:tcPr>
          <w:p w14:paraId="5CDF976D" w14:textId="7C6F4AC5" w:rsidR="00C33621" w:rsidRPr="00EB655C" w:rsidRDefault="00C33621" w:rsidP="00C33621">
            <w:pPr>
              <w:spacing w:before="60" w:after="60"/>
              <w:ind w:left="34"/>
              <w:rPr>
                <w:rFonts w:eastAsia="Times New Roman" w:cs="Times New Roman"/>
                <w:b/>
                <w:bCs/>
                <w:sz w:val="20"/>
                <w:szCs w:val="20"/>
                <w:lang w:eastAsia="en-AU"/>
              </w:rPr>
            </w:pPr>
            <w:r>
              <w:rPr>
                <w:rFonts w:eastAsia="Times New Roman" w:cs="Times New Roman"/>
                <w:b/>
                <w:bCs/>
                <w:sz w:val="20"/>
                <w:szCs w:val="20"/>
                <w:lang w:eastAsia="en-AU"/>
              </w:rPr>
              <w:t>UPE</w:t>
            </w:r>
            <w:r w:rsidRPr="00EB655C">
              <w:rPr>
                <w:rFonts w:eastAsia="Times New Roman" w:cs="Times New Roman"/>
                <w:b/>
                <w:bCs/>
                <w:sz w:val="20"/>
                <w:szCs w:val="20"/>
                <w:lang w:eastAsia="en-AU"/>
              </w:rPr>
              <w:t xml:space="preserve"> subject to Deductible Dividend Regime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8C12A36"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7-2</w:t>
            </w:r>
          </w:p>
        </w:tc>
      </w:tr>
      <w:tr w:rsidR="00C33621" w:rsidRPr="00EB655C" w14:paraId="1B8218EB" w14:textId="77777777">
        <w:trPr>
          <w:trHeight w:val="300"/>
        </w:trPr>
        <w:tc>
          <w:tcPr>
            <w:tcW w:w="1694" w:type="dxa"/>
            <w:tcBorders>
              <w:top w:val="nil"/>
              <w:left w:val="single" w:sz="4" w:space="0" w:color="auto"/>
              <w:bottom w:val="single" w:sz="4" w:space="0" w:color="auto"/>
              <w:right w:val="single" w:sz="4" w:space="0" w:color="auto"/>
            </w:tcBorders>
            <w:vAlign w:val="bottom"/>
          </w:tcPr>
          <w:p w14:paraId="5849D07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7.2.1</w:t>
            </w:r>
          </w:p>
        </w:tc>
        <w:tc>
          <w:tcPr>
            <w:tcW w:w="3953" w:type="dxa"/>
            <w:tcBorders>
              <w:top w:val="nil"/>
              <w:left w:val="single" w:sz="4" w:space="0" w:color="auto"/>
              <w:bottom w:val="single" w:sz="4" w:space="0" w:color="auto"/>
              <w:right w:val="single" w:sz="4" w:space="0" w:color="auto"/>
            </w:tcBorders>
            <w:vAlign w:val="bottom"/>
          </w:tcPr>
          <w:p w14:paraId="22CEC5D6" w14:textId="7999A89E"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UPE to reduce </w:t>
            </w:r>
            <w:r w:rsidR="00264960">
              <w:rPr>
                <w:rFonts w:eastAsia="Times New Roman" w:cs="Times New Roman"/>
                <w:sz w:val="20"/>
                <w:szCs w:val="20"/>
                <w:lang w:eastAsia="en-AU"/>
              </w:rPr>
              <w:t>GloBE</w:t>
            </w:r>
            <w:r w:rsidRPr="00EB655C">
              <w:rPr>
                <w:rFonts w:eastAsia="Times New Roman" w:cs="Times New Roman"/>
                <w:sz w:val="20"/>
                <w:szCs w:val="20"/>
                <w:lang w:eastAsia="en-AU"/>
              </w:rPr>
              <w:t xml:space="preserve"> income if subject to a deductible dividend regime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1887875"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7-20(1)-(3), 7-25, 7-30, 7-35</w:t>
            </w:r>
          </w:p>
        </w:tc>
      </w:tr>
      <w:tr w:rsidR="00C33621" w:rsidRPr="00EB655C" w14:paraId="2BCEA74C" w14:textId="77777777">
        <w:trPr>
          <w:trHeight w:val="300"/>
        </w:trPr>
        <w:tc>
          <w:tcPr>
            <w:tcW w:w="1694" w:type="dxa"/>
            <w:tcBorders>
              <w:top w:val="nil"/>
              <w:left w:val="single" w:sz="4" w:space="0" w:color="auto"/>
              <w:bottom w:val="single" w:sz="4" w:space="0" w:color="auto"/>
              <w:right w:val="single" w:sz="4" w:space="0" w:color="auto"/>
            </w:tcBorders>
            <w:vAlign w:val="bottom"/>
          </w:tcPr>
          <w:p w14:paraId="69029EF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7.2.2</w:t>
            </w:r>
          </w:p>
        </w:tc>
        <w:tc>
          <w:tcPr>
            <w:tcW w:w="3953" w:type="dxa"/>
            <w:tcBorders>
              <w:top w:val="nil"/>
              <w:left w:val="single" w:sz="4" w:space="0" w:color="auto"/>
              <w:bottom w:val="single" w:sz="4" w:space="0" w:color="auto"/>
              <w:right w:val="single" w:sz="4" w:space="0" w:color="auto"/>
            </w:tcBorders>
            <w:vAlign w:val="bottom"/>
          </w:tcPr>
          <w:p w14:paraId="2498B73B" w14:textId="521B3CA5"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UPE to </w:t>
            </w:r>
            <w:r w:rsidR="007D43EC" w:rsidRPr="00EB655C">
              <w:rPr>
                <w:rFonts w:eastAsia="Times New Roman" w:cs="Times New Roman"/>
                <w:sz w:val="20"/>
                <w:szCs w:val="20"/>
                <w:lang w:eastAsia="en-AU"/>
              </w:rPr>
              <w:t>Reduce Adjusted Covered Taxes</w:t>
            </w:r>
            <w:r w:rsidRPr="00EB655C">
              <w:rPr>
                <w:rFonts w:eastAsia="Times New Roman" w:cs="Times New Roman"/>
                <w:sz w:val="20"/>
                <w:szCs w:val="20"/>
                <w:lang w:eastAsia="en-AU"/>
              </w:rPr>
              <w:t xml:space="preserve"> if </w:t>
            </w:r>
            <w:r w:rsidR="00264960">
              <w:rPr>
                <w:rFonts w:eastAsia="Times New Roman" w:cs="Times New Roman"/>
                <w:sz w:val="20"/>
                <w:szCs w:val="20"/>
                <w:lang w:eastAsia="en-AU"/>
              </w:rPr>
              <w:t>GloBE</w:t>
            </w:r>
            <w:r w:rsidRPr="00EB655C">
              <w:rPr>
                <w:rFonts w:eastAsia="Times New Roman" w:cs="Times New Roman"/>
                <w:sz w:val="20"/>
                <w:szCs w:val="20"/>
                <w:lang w:eastAsia="en-AU"/>
              </w:rPr>
              <w:t xml:space="preserve"> income reduced</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1BA1BF1"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7-20(5)</w:t>
            </w:r>
          </w:p>
        </w:tc>
      </w:tr>
      <w:tr w:rsidR="00C33621" w:rsidRPr="00EB655C" w14:paraId="35B96035" w14:textId="77777777">
        <w:trPr>
          <w:trHeight w:val="300"/>
        </w:trPr>
        <w:tc>
          <w:tcPr>
            <w:tcW w:w="1694" w:type="dxa"/>
            <w:tcBorders>
              <w:top w:val="nil"/>
              <w:left w:val="single" w:sz="4" w:space="0" w:color="auto"/>
              <w:bottom w:val="single" w:sz="4" w:space="0" w:color="auto"/>
              <w:right w:val="single" w:sz="4" w:space="0" w:color="auto"/>
            </w:tcBorders>
            <w:vAlign w:val="bottom"/>
          </w:tcPr>
          <w:p w14:paraId="31F4D1AC"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7.2.3</w:t>
            </w:r>
          </w:p>
        </w:tc>
        <w:tc>
          <w:tcPr>
            <w:tcW w:w="3953" w:type="dxa"/>
            <w:tcBorders>
              <w:top w:val="nil"/>
              <w:left w:val="single" w:sz="4" w:space="0" w:color="auto"/>
              <w:bottom w:val="single" w:sz="4" w:space="0" w:color="auto"/>
              <w:right w:val="single" w:sz="4" w:space="0" w:color="auto"/>
            </w:tcBorders>
            <w:vAlign w:val="bottom"/>
          </w:tcPr>
          <w:p w14:paraId="181C7CC4" w14:textId="4C5267CD"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UPE ownership interest in another </w:t>
            </w:r>
            <w:r w:rsidR="007D43EC">
              <w:rPr>
                <w:rFonts w:eastAsia="Times New Roman" w:cs="Times New Roman"/>
                <w:sz w:val="20"/>
                <w:szCs w:val="20"/>
                <w:lang w:eastAsia="en-AU"/>
              </w:rPr>
              <w:t>Constituent Entity</w:t>
            </w:r>
            <w:r w:rsidR="007D43EC" w:rsidRPr="00EB655C">
              <w:rPr>
                <w:rFonts w:eastAsia="Times New Roman" w:cs="Times New Roman"/>
                <w:sz w:val="20"/>
                <w:szCs w:val="20"/>
                <w:lang w:eastAsia="en-AU"/>
              </w:rPr>
              <w:t xml:space="preserve"> </w:t>
            </w:r>
            <w:r w:rsidRPr="00EB655C">
              <w:rPr>
                <w:rFonts w:eastAsia="Times New Roman" w:cs="Times New Roman"/>
                <w:sz w:val="20"/>
                <w:szCs w:val="20"/>
                <w:lang w:eastAsia="en-AU"/>
              </w:rPr>
              <w:t>subject to a deductible dividend regime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7EB376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7-20(6)</w:t>
            </w:r>
          </w:p>
        </w:tc>
      </w:tr>
      <w:tr w:rsidR="00C33621" w:rsidRPr="00EB655C" w14:paraId="08A56338" w14:textId="77777777">
        <w:trPr>
          <w:trHeight w:val="300"/>
        </w:trPr>
        <w:tc>
          <w:tcPr>
            <w:tcW w:w="1694" w:type="dxa"/>
            <w:tcBorders>
              <w:top w:val="nil"/>
              <w:left w:val="single" w:sz="4" w:space="0" w:color="auto"/>
              <w:bottom w:val="single" w:sz="4" w:space="0" w:color="auto"/>
              <w:right w:val="single" w:sz="4" w:space="0" w:color="auto"/>
            </w:tcBorders>
            <w:vAlign w:val="bottom"/>
          </w:tcPr>
          <w:p w14:paraId="23AC996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7.2.4</w:t>
            </w:r>
          </w:p>
        </w:tc>
        <w:tc>
          <w:tcPr>
            <w:tcW w:w="3953" w:type="dxa"/>
            <w:tcBorders>
              <w:top w:val="nil"/>
              <w:left w:val="single" w:sz="4" w:space="0" w:color="auto"/>
              <w:bottom w:val="single" w:sz="4" w:space="0" w:color="auto"/>
              <w:right w:val="single" w:sz="4" w:space="0" w:color="auto"/>
            </w:tcBorders>
            <w:vAlign w:val="bottom"/>
          </w:tcPr>
          <w:p w14:paraId="2F8627E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Patronage dividends subject to tax in certain circumstances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8B5FC85"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7-20(4)</w:t>
            </w:r>
          </w:p>
        </w:tc>
      </w:tr>
      <w:tr w:rsidR="00C33621" w:rsidRPr="00EB655C" w14:paraId="41733486" w14:textId="77777777">
        <w:trPr>
          <w:trHeight w:val="300"/>
        </w:trPr>
        <w:tc>
          <w:tcPr>
            <w:tcW w:w="1694" w:type="dxa"/>
            <w:tcBorders>
              <w:top w:val="nil"/>
              <w:left w:val="single" w:sz="4" w:space="0" w:color="auto"/>
              <w:bottom w:val="single" w:sz="4" w:space="0" w:color="auto"/>
              <w:right w:val="single" w:sz="4" w:space="0" w:color="auto"/>
            </w:tcBorders>
            <w:vAlign w:val="bottom"/>
          </w:tcPr>
          <w:p w14:paraId="4BDC1A35"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7.3</w:t>
            </w:r>
          </w:p>
        </w:tc>
        <w:tc>
          <w:tcPr>
            <w:tcW w:w="3953" w:type="dxa"/>
            <w:tcBorders>
              <w:top w:val="nil"/>
              <w:left w:val="single" w:sz="4" w:space="0" w:color="auto"/>
              <w:bottom w:val="single" w:sz="4" w:space="0" w:color="auto"/>
              <w:right w:val="single" w:sz="4" w:space="0" w:color="auto"/>
            </w:tcBorders>
            <w:vAlign w:val="bottom"/>
          </w:tcPr>
          <w:p w14:paraId="55E64C4D"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Eligible Distribution Tax Systems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F0A1922"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7-3</w:t>
            </w:r>
          </w:p>
        </w:tc>
      </w:tr>
      <w:tr w:rsidR="00C33621" w:rsidRPr="00EB655C" w14:paraId="17E49EB0" w14:textId="77777777">
        <w:trPr>
          <w:trHeight w:val="300"/>
        </w:trPr>
        <w:tc>
          <w:tcPr>
            <w:tcW w:w="1694" w:type="dxa"/>
            <w:tcBorders>
              <w:top w:val="nil"/>
              <w:left w:val="single" w:sz="4" w:space="0" w:color="auto"/>
              <w:bottom w:val="single" w:sz="4" w:space="0" w:color="auto"/>
              <w:right w:val="single" w:sz="4" w:space="0" w:color="auto"/>
            </w:tcBorders>
            <w:vAlign w:val="bottom"/>
          </w:tcPr>
          <w:p w14:paraId="7BB2C63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7.3.1</w:t>
            </w:r>
          </w:p>
        </w:tc>
        <w:tc>
          <w:tcPr>
            <w:tcW w:w="3953" w:type="dxa"/>
            <w:tcBorders>
              <w:top w:val="nil"/>
              <w:left w:val="single" w:sz="4" w:space="0" w:color="auto"/>
              <w:bottom w:val="single" w:sz="4" w:space="0" w:color="auto"/>
              <w:right w:val="single" w:sz="4" w:space="0" w:color="auto"/>
            </w:tcBorders>
            <w:vAlign w:val="bottom"/>
          </w:tcPr>
          <w:p w14:paraId="146B9F3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Annual election for eligible distribution tax system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FC73261"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7-40 and 7-50(1) </w:t>
            </w:r>
          </w:p>
        </w:tc>
      </w:tr>
      <w:tr w:rsidR="00C33621" w:rsidRPr="00EB655C" w14:paraId="3F6CDC25" w14:textId="77777777">
        <w:trPr>
          <w:trHeight w:val="300"/>
        </w:trPr>
        <w:tc>
          <w:tcPr>
            <w:tcW w:w="1694" w:type="dxa"/>
            <w:tcBorders>
              <w:top w:val="nil"/>
              <w:left w:val="single" w:sz="4" w:space="0" w:color="auto"/>
              <w:bottom w:val="single" w:sz="4" w:space="0" w:color="auto"/>
              <w:right w:val="single" w:sz="4" w:space="0" w:color="auto"/>
            </w:tcBorders>
            <w:vAlign w:val="bottom"/>
          </w:tcPr>
          <w:p w14:paraId="38A88BB2"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7.3.2</w:t>
            </w:r>
          </w:p>
        </w:tc>
        <w:tc>
          <w:tcPr>
            <w:tcW w:w="3953" w:type="dxa"/>
            <w:tcBorders>
              <w:top w:val="nil"/>
              <w:left w:val="single" w:sz="4" w:space="0" w:color="auto"/>
              <w:bottom w:val="single" w:sz="4" w:space="0" w:color="auto"/>
              <w:right w:val="single" w:sz="4" w:space="0" w:color="auto"/>
            </w:tcBorders>
            <w:vAlign w:val="bottom"/>
          </w:tcPr>
          <w:p w14:paraId="350409A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Amount of deemed distribution tax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6F2106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7-50(2)-(3)</w:t>
            </w:r>
          </w:p>
        </w:tc>
      </w:tr>
      <w:tr w:rsidR="00C33621" w:rsidRPr="00EB655C" w14:paraId="372AAA6A" w14:textId="77777777">
        <w:trPr>
          <w:trHeight w:val="300"/>
        </w:trPr>
        <w:tc>
          <w:tcPr>
            <w:tcW w:w="1694" w:type="dxa"/>
            <w:tcBorders>
              <w:top w:val="nil"/>
              <w:left w:val="single" w:sz="4" w:space="0" w:color="auto"/>
              <w:bottom w:val="single" w:sz="4" w:space="0" w:color="auto"/>
              <w:right w:val="single" w:sz="4" w:space="0" w:color="auto"/>
            </w:tcBorders>
            <w:vAlign w:val="bottom"/>
          </w:tcPr>
          <w:p w14:paraId="4E465A45"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7.3.3</w:t>
            </w:r>
          </w:p>
        </w:tc>
        <w:tc>
          <w:tcPr>
            <w:tcW w:w="3953" w:type="dxa"/>
            <w:tcBorders>
              <w:top w:val="nil"/>
              <w:left w:val="single" w:sz="4" w:space="0" w:color="auto"/>
              <w:bottom w:val="single" w:sz="4" w:space="0" w:color="auto"/>
              <w:right w:val="single" w:sz="4" w:space="0" w:color="auto"/>
            </w:tcBorders>
            <w:vAlign w:val="bottom"/>
          </w:tcPr>
          <w:p w14:paraId="7C01F94E"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Annual Distribution tax recapture account</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2C6294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7-50(4) and 7-55</w:t>
            </w:r>
          </w:p>
        </w:tc>
      </w:tr>
      <w:tr w:rsidR="00C33621" w:rsidRPr="00EB655C" w14:paraId="5E1046A8" w14:textId="77777777">
        <w:trPr>
          <w:trHeight w:val="300"/>
        </w:trPr>
        <w:tc>
          <w:tcPr>
            <w:tcW w:w="1694" w:type="dxa"/>
            <w:tcBorders>
              <w:top w:val="nil"/>
              <w:left w:val="single" w:sz="4" w:space="0" w:color="auto"/>
              <w:bottom w:val="single" w:sz="4" w:space="0" w:color="auto"/>
              <w:right w:val="single" w:sz="4" w:space="0" w:color="auto"/>
            </w:tcBorders>
            <w:vAlign w:val="bottom"/>
          </w:tcPr>
          <w:p w14:paraId="7AD876B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7.3.4</w:t>
            </w:r>
          </w:p>
        </w:tc>
        <w:tc>
          <w:tcPr>
            <w:tcW w:w="3953" w:type="dxa"/>
            <w:tcBorders>
              <w:top w:val="nil"/>
              <w:left w:val="single" w:sz="4" w:space="0" w:color="auto"/>
              <w:bottom w:val="single" w:sz="4" w:space="0" w:color="auto"/>
              <w:right w:val="single" w:sz="4" w:space="0" w:color="auto"/>
            </w:tcBorders>
            <w:vAlign w:val="bottom"/>
          </w:tcPr>
          <w:p w14:paraId="5D4EBB32"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Recapture account loss carry forward</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07044E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7-60</w:t>
            </w:r>
          </w:p>
        </w:tc>
      </w:tr>
      <w:tr w:rsidR="00C33621" w:rsidRPr="00EB655C" w14:paraId="41F11B8D" w14:textId="77777777">
        <w:trPr>
          <w:trHeight w:val="300"/>
        </w:trPr>
        <w:tc>
          <w:tcPr>
            <w:tcW w:w="1694" w:type="dxa"/>
            <w:tcBorders>
              <w:top w:val="nil"/>
              <w:left w:val="single" w:sz="4" w:space="0" w:color="auto"/>
              <w:bottom w:val="single" w:sz="4" w:space="0" w:color="auto"/>
              <w:right w:val="single" w:sz="4" w:space="0" w:color="auto"/>
            </w:tcBorders>
            <w:vAlign w:val="bottom"/>
          </w:tcPr>
          <w:p w14:paraId="317374B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7.3.5</w:t>
            </w:r>
          </w:p>
        </w:tc>
        <w:tc>
          <w:tcPr>
            <w:tcW w:w="3953" w:type="dxa"/>
            <w:tcBorders>
              <w:top w:val="nil"/>
              <w:left w:val="single" w:sz="4" w:space="0" w:color="auto"/>
              <w:bottom w:val="single" w:sz="4" w:space="0" w:color="auto"/>
              <w:right w:val="single" w:sz="4" w:space="0" w:color="auto"/>
            </w:tcBorders>
            <w:vAlign w:val="bottom"/>
          </w:tcPr>
          <w:p w14:paraId="3551A0F1"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Outstanding balance of deemed distribution tax recapture account</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7981F2F"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7-65</w:t>
            </w:r>
          </w:p>
        </w:tc>
      </w:tr>
      <w:tr w:rsidR="00C33621" w:rsidRPr="00EB655C" w14:paraId="19DA3AEE" w14:textId="77777777">
        <w:trPr>
          <w:trHeight w:val="300"/>
        </w:trPr>
        <w:tc>
          <w:tcPr>
            <w:tcW w:w="1694" w:type="dxa"/>
            <w:tcBorders>
              <w:top w:val="nil"/>
              <w:left w:val="single" w:sz="4" w:space="0" w:color="auto"/>
              <w:bottom w:val="single" w:sz="4" w:space="0" w:color="auto"/>
              <w:right w:val="single" w:sz="4" w:space="0" w:color="auto"/>
            </w:tcBorders>
            <w:vAlign w:val="bottom"/>
          </w:tcPr>
          <w:p w14:paraId="59BAC30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7.3.6</w:t>
            </w:r>
          </w:p>
        </w:tc>
        <w:tc>
          <w:tcPr>
            <w:tcW w:w="3953" w:type="dxa"/>
            <w:tcBorders>
              <w:top w:val="nil"/>
              <w:left w:val="single" w:sz="4" w:space="0" w:color="auto"/>
              <w:bottom w:val="single" w:sz="4" w:space="0" w:color="auto"/>
              <w:right w:val="single" w:sz="4" w:space="0" w:color="auto"/>
            </w:tcBorders>
            <w:vAlign w:val="bottom"/>
          </w:tcPr>
          <w:p w14:paraId="6CD865A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Exclude certain taxes paid on distributions from adjusted covered taxes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4C021B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7-70</w:t>
            </w:r>
          </w:p>
        </w:tc>
      </w:tr>
      <w:tr w:rsidR="00C33621" w:rsidRPr="00EB655C" w14:paraId="697D0950" w14:textId="77777777">
        <w:trPr>
          <w:trHeight w:val="300"/>
        </w:trPr>
        <w:tc>
          <w:tcPr>
            <w:tcW w:w="1694" w:type="dxa"/>
            <w:tcBorders>
              <w:top w:val="nil"/>
              <w:left w:val="single" w:sz="4" w:space="0" w:color="auto"/>
              <w:bottom w:val="single" w:sz="4" w:space="0" w:color="auto"/>
              <w:right w:val="single" w:sz="4" w:space="0" w:color="auto"/>
            </w:tcBorders>
            <w:vAlign w:val="bottom"/>
          </w:tcPr>
          <w:p w14:paraId="641380F2"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7.3.7</w:t>
            </w:r>
          </w:p>
        </w:tc>
        <w:tc>
          <w:tcPr>
            <w:tcW w:w="3953" w:type="dxa"/>
            <w:tcBorders>
              <w:top w:val="nil"/>
              <w:left w:val="single" w:sz="4" w:space="0" w:color="auto"/>
              <w:bottom w:val="single" w:sz="4" w:space="0" w:color="auto"/>
              <w:right w:val="single" w:sz="4" w:space="0" w:color="auto"/>
            </w:tcBorders>
            <w:vAlign w:val="bottom"/>
          </w:tcPr>
          <w:p w14:paraId="5B469E80" w14:textId="7DF70909"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Departing </w:t>
            </w:r>
            <w:r w:rsidR="00442A64">
              <w:rPr>
                <w:rFonts w:eastAsia="Times New Roman" w:cs="Times New Roman"/>
                <w:sz w:val="20"/>
                <w:szCs w:val="20"/>
                <w:lang w:eastAsia="en-AU"/>
              </w:rPr>
              <w:t>Constituent Entity</w:t>
            </w:r>
            <w:r w:rsidR="00442A64" w:rsidRPr="00EB655C">
              <w:rPr>
                <w:rFonts w:eastAsia="Times New Roman" w:cs="Times New Roman"/>
                <w:sz w:val="20"/>
                <w:szCs w:val="20"/>
                <w:lang w:eastAsia="en-AU"/>
              </w:rPr>
              <w:t xml:space="preserve"> </w:t>
            </w:r>
            <w:r w:rsidRPr="00EB655C">
              <w:rPr>
                <w:rFonts w:eastAsia="Times New Roman" w:cs="Times New Roman"/>
                <w:sz w:val="20"/>
                <w:szCs w:val="20"/>
                <w:lang w:eastAsia="en-AU"/>
              </w:rPr>
              <w:t xml:space="preserve">leaving the </w:t>
            </w:r>
            <w:r w:rsidR="002330EF">
              <w:rPr>
                <w:rFonts w:eastAsia="Times New Roman" w:cs="Times New Roman"/>
                <w:sz w:val="20"/>
                <w:szCs w:val="20"/>
                <w:lang w:eastAsia="en-AU"/>
              </w:rPr>
              <w:t>MNE Group</w:t>
            </w:r>
            <w:r w:rsidRPr="00EB655C">
              <w:rPr>
                <w:rFonts w:eastAsia="Times New Roman" w:cs="Times New Roman"/>
                <w:sz w:val="20"/>
                <w:szCs w:val="20"/>
                <w:lang w:eastAsia="en-AU"/>
              </w:rPr>
              <w:t xml:space="preserve"> or transferring assets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F3B857E"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7-75(1)-(2) </w:t>
            </w:r>
          </w:p>
        </w:tc>
      </w:tr>
      <w:tr w:rsidR="00C33621" w:rsidRPr="00EB655C" w14:paraId="05FCA183" w14:textId="77777777">
        <w:trPr>
          <w:trHeight w:val="300"/>
        </w:trPr>
        <w:tc>
          <w:tcPr>
            <w:tcW w:w="1694" w:type="dxa"/>
            <w:tcBorders>
              <w:top w:val="nil"/>
              <w:left w:val="single" w:sz="4" w:space="0" w:color="auto"/>
              <w:bottom w:val="single" w:sz="4" w:space="0" w:color="auto"/>
              <w:right w:val="single" w:sz="4" w:space="0" w:color="auto"/>
            </w:tcBorders>
            <w:vAlign w:val="bottom"/>
          </w:tcPr>
          <w:p w14:paraId="7CDB3A65"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lastRenderedPageBreak/>
              <w:t>7.3.8</w:t>
            </w:r>
          </w:p>
        </w:tc>
        <w:tc>
          <w:tcPr>
            <w:tcW w:w="3953" w:type="dxa"/>
            <w:tcBorders>
              <w:top w:val="nil"/>
              <w:left w:val="single" w:sz="4" w:space="0" w:color="auto"/>
              <w:bottom w:val="single" w:sz="4" w:space="0" w:color="auto"/>
              <w:right w:val="single" w:sz="4" w:space="0" w:color="auto"/>
            </w:tcBorders>
            <w:vAlign w:val="bottom"/>
          </w:tcPr>
          <w:p w14:paraId="015C29F5"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Calculation of disposition recapture ratio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7C259D2"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7-75(3)</w:t>
            </w:r>
          </w:p>
        </w:tc>
      </w:tr>
      <w:tr w:rsidR="00C33621" w:rsidRPr="00EB655C" w14:paraId="3EF3DDFD" w14:textId="77777777">
        <w:trPr>
          <w:trHeight w:val="300"/>
        </w:trPr>
        <w:tc>
          <w:tcPr>
            <w:tcW w:w="1694" w:type="dxa"/>
            <w:tcBorders>
              <w:top w:val="nil"/>
              <w:left w:val="single" w:sz="4" w:space="0" w:color="auto"/>
              <w:bottom w:val="single" w:sz="4" w:space="0" w:color="auto"/>
              <w:right w:val="single" w:sz="4" w:space="0" w:color="auto"/>
            </w:tcBorders>
            <w:vAlign w:val="bottom"/>
          </w:tcPr>
          <w:p w14:paraId="47CCE3D3"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7.4</w:t>
            </w:r>
          </w:p>
        </w:tc>
        <w:tc>
          <w:tcPr>
            <w:tcW w:w="3953" w:type="dxa"/>
            <w:tcBorders>
              <w:top w:val="nil"/>
              <w:left w:val="single" w:sz="4" w:space="0" w:color="auto"/>
              <w:bottom w:val="single" w:sz="4" w:space="0" w:color="auto"/>
              <w:right w:val="single" w:sz="4" w:space="0" w:color="auto"/>
            </w:tcBorders>
            <w:vAlign w:val="bottom"/>
          </w:tcPr>
          <w:p w14:paraId="1A4CE933"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Effective Tax Rate Computation for Investment Entities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39B1150" w14:textId="77777777" w:rsidR="00C33621" w:rsidRPr="00EB655C" w:rsidRDefault="00C33621" w:rsidP="00C33621">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7-4</w:t>
            </w:r>
          </w:p>
        </w:tc>
      </w:tr>
      <w:tr w:rsidR="00C33621" w:rsidRPr="00EB655C" w14:paraId="3193BE94" w14:textId="77777777">
        <w:trPr>
          <w:trHeight w:val="300"/>
        </w:trPr>
        <w:tc>
          <w:tcPr>
            <w:tcW w:w="1694" w:type="dxa"/>
            <w:tcBorders>
              <w:top w:val="nil"/>
              <w:left w:val="single" w:sz="4" w:space="0" w:color="auto"/>
              <w:bottom w:val="single" w:sz="4" w:space="0" w:color="auto"/>
              <w:right w:val="single" w:sz="4" w:space="0" w:color="auto"/>
            </w:tcBorders>
            <w:vAlign w:val="bottom"/>
          </w:tcPr>
          <w:p w14:paraId="2C98080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7.4.1</w:t>
            </w:r>
          </w:p>
        </w:tc>
        <w:tc>
          <w:tcPr>
            <w:tcW w:w="3953" w:type="dxa"/>
            <w:tcBorders>
              <w:top w:val="nil"/>
              <w:left w:val="single" w:sz="4" w:space="0" w:color="auto"/>
              <w:bottom w:val="single" w:sz="4" w:space="0" w:color="auto"/>
              <w:right w:val="single" w:sz="4" w:space="0" w:color="auto"/>
            </w:tcBorders>
            <w:vAlign w:val="bottom"/>
          </w:tcPr>
          <w:p w14:paraId="5F78DB91"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Application of Part 7-4</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A8C4083"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7-80</w:t>
            </w:r>
          </w:p>
        </w:tc>
      </w:tr>
      <w:tr w:rsidR="00C33621" w:rsidRPr="00EB655C" w14:paraId="157CEB01" w14:textId="77777777">
        <w:trPr>
          <w:trHeight w:val="300"/>
        </w:trPr>
        <w:tc>
          <w:tcPr>
            <w:tcW w:w="1694" w:type="dxa"/>
            <w:tcBorders>
              <w:top w:val="nil"/>
              <w:left w:val="single" w:sz="4" w:space="0" w:color="auto"/>
              <w:bottom w:val="single" w:sz="4" w:space="0" w:color="auto"/>
              <w:right w:val="single" w:sz="4" w:space="0" w:color="auto"/>
            </w:tcBorders>
            <w:vAlign w:val="bottom"/>
          </w:tcPr>
          <w:p w14:paraId="0C02F73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7.4.2</w:t>
            </w:r>
          </w:p>
        </w:tc>
        <w:tc>
          <w:tcPr>
            <w:tcW w:w="3953" w:type="dxa"/>
            <w:tcBorders>
              <w:top w:val="nil"/>
              <w:left w:val="single" w:sz="4" w:space="0" w:color="auto"/>
              <w:bottom w:val="single" w:sz="4" w:space="0" w:color="auto"/>
              <w:right w:val="single" w:sz="4" w:space="0" w:color="auto"/>
            </w:tcBorders>
            <w:vAlign w:val="bottom"/>
          </w:tcPr>
          <w:p w14:paraId="68D24BA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ETR for an investment entity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6ACFD43" w14:textId="59DFE1C1"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w:t>
            </w:r>
            <w:r>
              <w:rPr>
                <w:rFonts w:eastAsia="Times New Roman" w:cs="Times New Roman"/>
                <w:sz w:val="20"/>
                <w:szCs w:val="20"/>
                <w:lang w:eastAsia="en-AU"/>
              </w:rPr>
              <w:t>95</w:t>
            </w:r>
            <w:r w:rsidRPr="00EB655C">
              <w:rPr>
                <w:rFonts w:eastAsia="Times New Roman" w:cs="Times New Roman"/>
                <w:sz w:val="20"/>
                <w:szCs w:val="20"/>
                <w:lang w:eastAsia="en-AU"/>
              </w:rPr>
              <w:t xml:space="preserve"> and 7-</w:t>
            </w:r>
            <w:r>
              <w:rPr>
                <w:rFonts w:eastAsia="Times New Roman" w:cs="Times New Roman"/>
                <w:sz w:val="20"/>
                <w:szCs w:val="20"/>
                <w:lang w:eastAsia="en-AU"/>
              </w:rPr>
              <w:t>105</w:t>
            </w:r>
          </w:p>
        </w:tc>
      </w:tr>
      <w:tr w:rsidR="00C33621" w:rsidRPr="00EB655C" w14:paraId="3C9707FC" w14:textId="77777777">
        <w:trPr>
          <w:trHeight w:val="300"/>
        </w:trPr>
        <w:tc>
          <w:tcPr>
            <w:tcW w:w="1694" w:type="dxa"/>
            <w:tcBorders>
              <w:top w:val="nil"/>
              <w:left w:val="single" w:sz="4" w:space="0" w:color="auto"/>
              <w:bottom w:val="single" w:sz="4" w:space="0" w:color="auto"/>
              <w:right w:val="single" w:sz="4" w:space="0" w:color="auto"/>
            </w:tcBorders>
            <w:vAlign w:val="bottom"/>
          </w:tcPr>
          <w:p w14:paraId="74503BE9"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7.4.3</w:t>
            </w:r>
          </w:p>
        </w:tc>
        <w:tc>
          <w:tcPr>
            <w:tcW w:w="3953" w:type="dxa"/>
            <w:tcBorders>
              <w:top w:val="nil"/>
              <w:left w:val="single" w:sz="4" w:space="0" w:color="auto"/>
              <w:bottom w:val="single" w:sz="4" w:space="0" w:color="auto"/>
              <w:right w:val="single" w:sz="4" w:space="0" w:color="auto"/>
            </w:tcBorders>
            <w:vAlign w:val="bottom"/>
          </w:tcPr>
          <w:p w14:paraId="45173C7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Adjusted Covered Taxes of an investment entity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777DE47" w14:textId="33D5BF0C"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w:t>
            </w:r>
            <w:r>
              <w:rPr>
                <w:rFonts w:eastAsia="Times New Roman" w:cs="Times New Roman"/>
                <w:sz w:val="20"/>
                <w:szCs w:val="20"/>
                <w:lang w:eastAsia="en-AU"/>
              </w:rPr>
              <w:t>105</w:t>
            </w:r>
            <w:r w:rsidRPr="00EB655C">
              <w:rPr>
                <w:rFonts w:eastAsia="Times New Roman" w:cs="Times New Roman"/>
                <w:sz w:val="20"/>
                <w:szCs w:val="20"/>
                <w:lang w:eastAsia="en-AU"/>
              </w:rPr>
              <w:t>(4) and 7-1</w:t>
            </w:r>
            <w:r>
              <w:rPr>
                <w:rFonts w:eastAsia="Times New Roman" w:cs="Times New Roman"/>
                <w:sz w:val="20"/>
                <w:szCs w:val="20"/>
                <w:lang w:eastAsia="en-AU"/>
              </w:rPr>
              <w:t>10</w:t>
            </w:r>
            <w:r w:rsidRPr="00EB655C">
              <w:rPr>
                <w:rFonts w:eastAsia="Times New Roman" w:cs="Times New Roman"/>
                <w:sz w:val="20"/>
                <w:szCs w:val="20"/>
                <w:lang w:eastAsia="en-AU"/>
              </w:rPr>
              <w:t>(1)-(2)</w:t>
            </w:r>
          </w:p>
        </w:tc>
      </w:tr>
      <w:tr w:rsidR="00C33621" w:rsidRPr="00EB655C" w14:paraId="4E7824CC" w14:textId="77777777">
        <w:trPr>
          <w:trHeight w:val="300"/>
        </w:trPr>
        <w:tc>
          <w:tcPr>
            <w:tcW w:w="1694" w:type="dxa"/>
            <w:tcBorders>
              <w:top w:val="nil"/>
              <w:left w:val="single" w:sz="4" w:space="0" w:color="auto"/>
              <w:bottom w:val="single" w:sz="4" w:space="0" w:color="auto"/>
              <w:right w:val="single" w:sz="4" w:space="0" w:color="auto"/>
            </w:tcBorders>
            <w:vAlign w:val="bottom"/>
          </w:tcPr>
          <w:p w14:paraId="091A1F4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7.4.4</w:t>
            </w:r>
          </w:p>
        </w:tc>
        <w:tc>
          <w:tcPr>
            <w:tcW w:w="3953" w:type="dxa"/>
            <w:tcBorders>
              <w:top w:val="nil"/>
              <w:left w:val="single" w:sz="4" w:space="0" w:color="auto"/>
              <w:bottom w:val="single" w:sz="4" w:space="0" w:color="auto"/>
              <w:right w:val="single" w:sz="4" w:space="0" w:color="auto"/>
            </w:tcBorders>
            <w:vAlign w:val="bottom"/>
          </w:tcPr>
          <w:p w14:paraId="4A2D7F6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Allocable share of investment entity's income</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E7DE2F1" w14:textId="6FD195D3"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w:t>
            </w:r>
            <w:r>
              <w:rPr>
                <w:rFonts w:eastAsia="Times New Roman" w:cs="Times New Roman"/>
                <w:sz w:val="20"/>
                <w:szCs w:val="20"/>
                <w:lang w:eastAsia="en-AU"/>
              </w:rPr>
              <w:t>10</w:t>
            </w:r>
            <w:r w:rsidRPr="00EB655C">
              <w:rPr>
                <w:rFonts w:eastAsia="Times New Roman" w:cs="Times New Roman"/>
                <w:sz w:val="20"/>
                <w:szCs w:val="20"/>
                <w:lang w:eastAsia="en-AU"/>
              </w:rPr>
              <w:t>(3)</w:t>
            </w:r>
          </w:p>
        </w:tc>
      </w:tr>
      <w:tr w:rsidR="00C33621" w:rsidRPr="00EB655C" w14:paraId="7293A1E8" w14:textId="77777777">
        <w:trPr>
          <w:trHeight w:val="300"/>
        </w:trPr>
        <w:tc>
          <w:tcPr>
            <w:tcW w:w="1694" w:type="dxa"/>
            <w:tcBorders>
              <w:top w:val="nil"/>
              <w:left w:val="single" w:sz="4" w:space="0" w:color="auto"/>
              <w:bottom w:val="single" w:sz="4" w:space="0" w:color="auto"/>
              <w:right w:val="single" w:sz="4" w:space="0" w:color="auto"/>
            </w:tcBorders>
            <w:vAlign w:val="bottom"/>
          </w:tcPr>
          <w:p w14:paraId="7228798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7.4.5</w:t>
            </w:r>
          </w:p>
        </w:tc>
        <w:tc>
          <w:tcPr>
            <w:tcW w:w="3953" w:type="dxa"/>
            <w:tcBorders>
              <w:top w:val="nil"/>
              <w:left w:val="single" w:sz="4" w:space="0" w:color="auto"/>
              <w:bottom w:val="single" w:sz="4" w:space="0" w:color="auto"/>
              <w:right w:val="single" w:sz="4" w:space="0" w:color="auto"/>
            </w:tcBorders>
            <w:vAlign w:val="bottom"/>
          </w:tcPr>
          <w:p w14:paraId="15CA2A13" w14:textId="3CB068C6"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Top</w:t>
            </w:r>
            <w:r>
              <w:rPr>
                <w:rFonts w:eastAsia="Times New Roman" w:cs="Times New Roman"/>
                <w:sz w:val="20"/>
                <w:szCs w:val="20"/>
                <w:lang w:eastAsia="en-AU"/>
              </w:rPr>
              <w:noBreakHyphen/>
            </w:r>
            <w:r w:rsidRPr="00EB655C">
              <w:rPr>
                <w:rFonts w:eastAsia="Times New Roman" w:cs="Times New Roman"/>
                <w:sz w:val="20"/>
                <w:szCs w:val="20"/>
                <w:lang w:eastAsia="en-AU"/>
              </w:rPr>
              <w:t xml:space="preserve">up </w:t>
            </w:r>
            <w:r>
              <w:rPr>
                <w:rFonts w:eastAsia="Times New Roman" w:cs="Times New Roman"/>
                <w:sz w:val="20"/>
                <w:szCs w:val="20"/>
                <w:lang w:eastAsia="en-AU"/>
              </w:rPr>
              <w:t>T</w:t>
            </w:r>
            <w:r w:rsidRPr="00EB655C">
              <w:rPr>
                <w:rFonts w:eastAsia="Times New Roman" w:cs="Times New Roman"/>
                <w:sz w:val="20"/>
                <w:szCs w:val="20"/>
                <w:lang w:eastAsia="en-AU"/>
              </w:rPr>
              <w:t xml:space="preserve">ax for an Investment entity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7BCD713" w14:textId="23540F11"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w:t>
            </w:r>
            <w:r>
              <w:rPr>
                <w:rFonts w:eastAsia="Times New Roman" w:cs="Times New Roman"/>
                <w:sz w:val="20"/>
                <w:szCs w:val="20"/>
                <w:lang w:eastAsia="en-AU"/>
              </w:rPr>
              <w:t>100</w:t>
            </w:r>
          </w:p>
        </w:tc>
      </w:tr>
      <w:tr w:rsidR="00C33621" w:rsidRPr="00EB655C" w14:paraId="5240FBD8" w14:textId="77777777">
        <w:trPr>
          <w:trHeight w:val="300"/>
        </w:trPr>
        <w:tc>
          <w:tcPr>
            <w:tcW w:w="1694" w:type="dxa"/>
            <w:tcBorders>
              <w:top w:val="nil"/>
              <w:left w:val="single" w:sz="4" w:space="0" w:color="auto"/>
              <w:bottom w:val="single" w:sz="4" w:space="0" w:color="auto"/>
              <w:right w:val="single" w:sz="4" w:space="0" w:color="auto"/>
            </w:tcBorders>
            <w:vAlign w:val="bottom"/>
          </w:tcPr>
          <w:p w14:paraId="24B72F5A"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7.4.6</w:t>
            </w:r>
          </w:p>
        </w:tc>
        <w:tc>
          <w:tcPr>
            <w:tcW w:w="3953" w:type="dxa"/>
            <w:tcBorders>
              <w:top w:val="nil"/>
              <w:left w:val="single" w:sz="4" w:space="0" w:color="auto"/>
              <w:bottom w:val="single" w:sz="4" w:space="0" w:color="auto"/>
              <w:right w:val="single" w:sz="4" w:space="0" w:color="auto"/>
            </w:tcBorders>
            <w:vAlign w:val="bottom"/>
          </w:tcPr>
          <w:p w14:paraId="22A06318"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SBIE modification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E06498F" w14:textId="1629D349"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7-105</w:t>
            </w:r>
            <w:r>
              <w:rPr>
                <w:rFonts w:eastAsia="Times New Roman" w:cs="Times New Roman"/>
                <w:sz w:val="20"/>
                <w:szCs w:val="20"/>
                <w:lang w:eastAsia="en-AU"/>
              </w:rPr>
              <w:t>(3)</w:t>
            </w:r>
          </w:p>
        </w:tc>
      </w:tr>
      <w:tr w:rsidR="00C33621" w:rsidRPr="00EB655C" w14:paraId="0DBD698C" w14:textId="77777777">
        <w:trPr>
          <w:trHeight w:val="300"/>
        </w:trPr>
        <w:tc>
          <w:tcPr>
            <w:tcW w:w="1694" w:type="dxa"/>
            <w:tcBorders>
              <w:top w:val="nil"/>
              <w:left w:val="single" w:sz="4" w:space="0" w:color="auto"/>
              <w:bottom w:val="single" w:sz="4" w:space="0" w:color="auto"/>
              <w:right w:val="single" w:sz="4" w:space="0" w:color="auto"/>
            </w:tcBorders>
            <w:vAlign w:val="bottom"/>
          </w:tcPr>
          <w:p w14:paraId="220A61EA" w14:textId="77777777" w:rsidR="00C33621" w:rsidRPr="004F35BD" w:rsidRDefault="00C33621" w:rsidP="00C33621">
            <w:pPr>
              <w:spacing w:before="60" w:after="60"/>
              <w:ind w:left="34"/>
              <w:rPr>
                <w:rFonts w:eastAsia="Times New Roman" w:cs="Times New Roman"/>
                <w:b/>
                <w:bCs/>
                <w:sz w:val="20"/>
                <w:szCs w:val="20"/>
                <w:lang w:eastAsia="en-AU"/>
              </w:rPr>
            </w:pPr>
            <w:r w:rsidRPr="004F35BD">
              <w:rPr>
                <w:rFonts w:eastAsia="Times New Roman" w:cs="Times New Roman"/>
                <w:b/>
                <w:bCs/>
                <w:sz w:val="20"/>
                <w:szCs w:val="20"/>
                <w:lang w:eastAsia="en-AU"/>
              </w:rPr>
              <w:t>7.5</w:t>
            </w:r>
          </w:p>
        </w:tc>
        <w:tc>
          <w:tcPr>
            <w:tcW w:w="3953" w:type="dxa"/>
            <w:tcBorders>
              <w:top w:val="nil"/>
              <w:left w:val="single" w:sz="4" w:space="0" w:color="auto"/>
              <w:bottom w:val="single" w:sz="4" w:space="0" w:color="auto"/>
              <w:right w:val="single" w:sz="4" w:space="0" w:color="auto"/>
            </w:tcBorders>
            <w:vAlign w:val="bottom"/>
          </w:tcPr>
          <w:p w14:paraId="035B1CB0" w14:textId="77777777" w:rsidR="00C33621" w:rsidRPr="004F35BD" w:rsidRDefault="00C33621" w:rsidP="00C33621">
            <w:pPr>
              <w:spacing w:before="60" w:after="60"/>
              <w:ind w:left="34"/>
              <w:rPr>
                <w:rFonts w:eastAsia="Times New Roman" w:cs="Times New Roman"/>
                <w:b/>
                <w:bCs/>
                <w:sz w:val="20"/>
                <w:szCs w:val="20"/>
                <w:lang w:eastAsia="en-AU"/>
              </w:rPr>
            </w:pPr>
            <w:r w:rsidRPr="004F35BD">
              <w:rPr>
                <w:rFonts w:eastAsia="Times New Roman" w:cs="Times New Roman"/>
                <w:b/>
                <w:bCs/>
                <w:sz w:val="20"/>
                <w:szCs w:val="20"/>
                <w:lang w:eastAsia="en-AU"/>
              </w:rPr>
              <w:t xml:space="preserve">Investment Entity Tax Transparency Election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96834C6" w14:textId="77777777" w:rsidR="00C33621" w:rsidRPr="004F35BD" w:rsidRDefault="00C33621" w:rsidP="00C33621">
            <w:pPr>
              <w:spacing w:before="60" w:after="60"/>
              <w:ind w:left="34"/>
              <w:rPr>
                <w:rFonts w:eastAsia="Times New Roman" w:cs="Times New Roman"/>
                <w:b/>
                <w:bCs/>
                <w:sz w:val="20"/>
                <w:szCs w:val="20"/>
                <w:lang w:eastAsia="en-AU"/>
              </w:rPr>
            </w:pPr>
            <w:r w:rsidRPr="004F35BD">
              <w:rPr>
                <w:rFonts w:eastAsia="Times New Roman" w:cs="Times New Roman"/>
                <w:b/>
                <w:bCs/>
                <w:sz w:val="20"/>
                <w:szCs w:val="20"/>
                <w:lang w:eastAsia="en-AU"/>
              </w:rPr>
              <w:t>Part 7-5</w:t>
            </w:r>
          </w:p>
        </w:tc>
      </w:tr>
      <w:tr w:rsidR="00C33621" w:rsidRPr="00EB655C" w14:paraId="0CC36580" w14:textId="77777777">
        <w:trPr>
          <w:trHeight w:val="300"/>
        </w:trPr>
        <w:tc>
          <w:tcPr>
            <w:tcW w:w="1694" w:type="dxa"/>
            <w:tcBorders>
              <w:top w:val="nil"/>
              <w:left w:val="single" w:sz="4" w:space="0" w:color="auto"/>
              <w:bottom w:val="single" w:sz="4" w:space="0" w:color="auto"/>
              <w:right w:val="single" w:sz="4" w:space="0" w:color="auto"/>
            </w:tcBorders>
            <w:vAlign w:val="bottom"/>
          </w:tcPr>
          <w:p w14:paraId="3686DCA1"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7.5.1</w:t>
            </w:r>
          </w:p>
        </w:tc>
        <w:tc>
          <w:tcPr>
            <w:tcW w:w="3953" w:type="dxa"/>
            <w:tcBorders>
              <w:top w:val="nil"/>
              <w:left w:val="single" w:sz="4" w:space="0" w:color="auto"/>
              <w:bottom w:val="single" w:sz="4" w:space="0" w:color="auto"/>
              <w:right w:val="single" w:sz="4" w:space="0" w:color="auto"/>
            </w:tcBorders>
            <w:vAlign w:val="bottom"/>
          </w:tcPr>
          <w:p w14:paraId="6ECACBE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Details of the election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4FC43D6" w14:textId="7BBE10D5" w:rsidR="00C33621" w:rsidRPr="00EB655C" w:rsidRDefault="00424F18"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w:t>
            </w:r>
            <w:r>
              <w:rPr>
                <w:rFonts w:eastAsia="Times New Roman" w:cs="Times New Roman"/>
                <w:sz w:val="20"/>
                <w:szCs w:val="20"/>
                <w:lang w:eastAsia="en-AU"/>
              </w:rPr>
              <w:t>2</w:t>
            </w:r>
            <w:r w:rsidRPr="00EB655C">
              <w:rPr>
                <w:rFonts w:eastAsia="Times New Roman" w:cs="Times New Roman"/>
                <w:sz w:val="20"/>
                <w:szCs w:val="20"/>
                <w:lang w:eastAsia="en-AU"/>
              </w:rPr>
              <w:t>0</w:t>
            </w:r>
            <w:r>
              <w:rPr>
                <w:rFonts w:eastAsia="Times New Roman" w:cs="Times New Roman"/>
                <w:sz w:val="20"/>
                <w:szCs w:val="20"/>
                <w:lang w:eastAsia="en-AU"/>
              </w:rPr>
              <w:t xml:space="preserve">, </w:t>
            </w:r>
            <w:r w:rsidR="00C33621" w:rsidRPr="00EB655C">
              <w:rPr>
                <w:rFonts w:eastAsia="Times New Roman" w:cs="Times New Roman"/>
                <w:sz w:val="20"/>
                <w:szCs w:val="20"/>
                <w:lang w:eastAsia="en-AU"/>
              </w:rPr>
              <w:t>7-1</w:t>
            </w:r>
            <w:r w:rsidR="00C33621">
              <w:rPr>
                <w:rFonts w:eastAsia="Times New Roman" w:cs="Times New Roman"/>
                <w:sz w:val="20"/>
                <w:szCs w:val="20"/>
                <w:lang w:eastAsia="en-AU"/>
              </w:rPr>
              <w:t>25</w:t>
            </w:r>
            <w:r w:rsidR="00106FB8">
              <w:rPr>
                <w:rFonts w:eastAsia="Times New Roman" w:cs="Times New Roman"/>
                <w:sz w:val="20"/>
                <w:szCs w:val="20"/>
                <w:lang w:eastAsia="en-AU"/>
              </w:rPr>
              <w:t xml:space="preserve"> and</w:t>
            </w:r>
            <w:r w:rsidR="00C33621" w:rsidRPr="00EB655C">
              <w:rPr>
                <w:rFonts w:eastAsia="Times New Roman" w:cs="Times New Roman"/>
                <w:sz w:val="20"/>
                <w:szCs w:val="20"/>
                <w:lang w:eastAsia="en-AU"/>
              </w:rPr>
              <w:t xml:space="preserve"> 7</w:t>
            </w:r>
            <w:r>
              <w:rPr>
                <w:rFonts w:eastAsia="Times New Roman" w:cs="Times New Roman"/>
                <w:sz w:val="20"/>
                <w:szCs w:val="20"/>
                <w:lang w:eastAsia="en-AU"/>
              </w:rPr>
              <w:noBreakHyphen/>
            </w:r>
            <w:r w:rsidR="00C33621" w:rsidRPr="00EB655C">
              <w:rPr>
                <w:rFonts w:eastAsia="Times New Roman" w:cs="Times New Roman"/>
                <w:sz w:val="20"/>
                <w:szCs w:val="20"/>
                <w:lang w:eastAsia="en-AU"/>
              </w:rPr>
              <w:t>1</w:t>
            </w:r>
            <w:r w:rsidR="00C33621">
              <w:rPr>
                <w:rFonts w:eastAsia="Times New Roman" w:cs="Times New Roman"/>
                <w:sz w:val="20"/>
                <w:szCs w:val="20"/>
                <w:lang w:eastAsia="en-AU"/>
              </w:rPr>
              <w:t>3</w:t>
            </w:r>
            <w:r w:rsidR="00C33621" w:rsidRPr="00EB655C">
              <w:rPr>
                <w:rFonts w:eastAsia="Times New Roman" w:cs="Times New Roman"/>
                <w:sz w:val="20"/>
                <w:szCs w:val="20"/>
                <w:lang w:eastAsia="en-AU"/>
              </w:rPr>
              <w:t>0</w:t>
            </w:r>
          </w:p>
        </w:tc>
      </w:tr>
      <w:tr w:rsidR="00C33621" w:rsidRPr="00EB655C" w14:paraId="44BBF77F" w14:textId="77777777">
        <w:trPr>
          <w:trHeight w:val="300"/>
        </w:trPr>
        <w:tc>
          <w:tcPr>
            <w:tcW w:w="1694" w:type="dxa"/>
            <w:tcBorders>
              <w:top w:val="nil"/>
              <w:left w:val="single" w:sz="4" w:space="0" w:color="auto"/>
              <w:bottom w:val="single" w:sz="4" w:space="0" w:color="auto"/>
              <w:right w:val="single" w:sz="4" w:space="0" w:color="auto"/>
            </w:tcBorders>
            <w:vAlign w:val="bottom"/>
          </w:tcPr>
          <w:p w14:paraId="3F19A39C" w14:textId="77777777" w:rsidR="00C33621" w:rsidRPr="004F35BD" w:rsidRDefault="00C33621" w:rsidP="00C33621">
            <w:pPr>
              <w:spacing w:before="60" w:after="60"/>
              <w:ind w:left="34"/>
              <w:rPr>
                <w:rFonts w:eastAsia="Times New Roman" w:cs="Times New Roman"/>
                <w:sz w:val="20"/>
                <w:szCs w:val="20"/>
                <w:lang w:eastAsia="en-AU"/>
              </w:rPr>
            </w:pPr>
            <w:r w:rsidRPr="004F35BD">
              <w:rPr>
                <w:rFonts w:eastAsia="Times New Roman" w:cs="Times New Roman"/>
                <w:sz w:val="20"/>
                <w:szCs w:val="20"/>
                <w:lang w:eastAsia="en-AU"/>
              </w:rPr>
              <w:t>3.6 of the February AG</w:t>
            </w:r>
          </w:p>
        </w:tc>
        <w:tc>
          <w:tcPr>
            <w:tcW w:w="3953" w:type="dxa"/>
            <w:tcBorders>
              <w:top w:val="nil"/>
              <w:left w:val="single" w:sz="4" w:space="0" w:color="auto"/>
              <w:bottom w:val="single" w:sz="4" w:space="0" w:color="auto"/>
              <w:right w:val="single" w:sz="4" w:space="0" w:color="auto"/>
            </w:tcBorders>
            <w:vAlign w:val="bottom"/>
          </w:tcPr>
          <w:p w14:paraId="55A675C8" w14:textId="77777777" w:rsidR="00C33621" w:rsidRPr="004F35BD" w:rsidRDefault="00C33621" w:rsidP="00C33621">
            <w:pPr>
              <w:spacing w:before="60" w:after="60"/>
              <w:ind w:left="34"/>
              <w:rPr>
                <w:rFonts w:eastAsia="Times New Roman" w:cs="Times New Roman"/>
                <w:sz w:val="20"/>
                <w:szCs w:val="20"/>
                <w:lang w:eastAsia="en-AU"/>
              </w:rPr>
            </w:pPr>
            <w:r w:rsidRPr="004F35BD">
              <w:rPr>
                <w:rFonts w:eastAsia="Times New Roman" w:cs="Times New Roman"/>
                <w:sz w:val="20"/>
                <w:szCs w:val="20"/>
                <w:lang w:eastAsia="en-AU"/>
              </w:rPr>
              <w:t xml:space="preserve">Application of Article 7.5 to Mutual insurance companies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E0158E3" w14:textId="08E97B34" w:rsidR="00C33621" w:rsidRPr="004F35BD" w:rsidRDefault="003A3899" w:rsidP="00C33621">
            <w:pPr>
              <w:spacing w:before="60" w:after="60"/>
              <w:ind w:left="34"/>
              <w:rPr>
                <w:rFonts w:eastAsia="Times New Roman" w:cs="Times New Roman"/>
                <w:sz w:val="20"/>
                <w:szCs w:val="20"/>
                <w:lang w:eastAsia="en-AU"/>
              </w:rPr>
            </w:pPr>
            <w:r>
              <w:rPr>
                <w:rFonts w:eastAsia="Times New Roman" w:cs="Times New Roman"/>
                <w:sz w:val="20"/>
                <w:szCs w:val="20"/>
                <w:lang w:eastAsia="en-AU"/>
              </w:rPr>
              <w:t>7-1</w:t>
            </w:r>
            <w:r w:rsidR="005E089F">
              <w:rPr>
                <w:rFonts w:eastAsia="Times New Roman" w:cs="Times New Roman"/>
                <w:sz w:val="20"/>
                <w:szCs w:val="20"/>
                <w:lang w:eastAsia="en-AU"/>
              </w:rPr>
              <w:t>3</w:t>
            </w:r>
            <w:r>
              <w:rPr>
                <w:rFonts w:eastAsia="Times New Roman" w:cs="Times New Roman"/>
                <w:sz w:val="20"/>
                <w:szCs w:val="20"/>
                <w:lang w:eastAsia="en-AU"/>
              </w:rPr>
              <w:t>0(2)</w:t>
            </w:r>
          </w:p>
        </w:tc>
      </w:tr>
      <w:tr w:rsidR="00C33621" w:rsidRPr="00EB655C" w14:paraId="109AB6FE" w14:textId="77777777">
        <w:trPr>
          <w:trHeight w:val="300"/>
        </w:trPr>
        <w:tc>
          <w:tcPr>
            <w:tcW w:w="1694" w:type="dxa"/>
            <w:tcBorders>
              <w:top w:val="nil"/>
              <w:left w:val="single" w:sz="4" w:space="0" w:color="auto"/>
              <w:bottom w:val="single" w:sz="4" w:space="0" w:color="auto"/>
              <w:right w:val="single" w:sz="4" w:space="0" w:color="auto"/>
            </w:tcBorders>
            <w:vAlign w:val="bottom"/>
          </w:tcPr>
          <w:p w14:paraId="7A12A6DD"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7.5.2</w:t>
            </w:r>
          </w:p>
        </w:tc>
        <w:tc>
          <w:tcPr>
            <w:tcW w:w="3953" w:type="dxa"/>
            <w:tcBorders>
              <w:top w:val="nil"/>
              <w:left w:val="single" w:sz="4" w:space="0" w:color="auto"/>
              <w:bottom w:val="single" w:sz="4" w:space="0" w:color="auto"/>
              <w:right w:val="single" w:sz="4" w:space="0" w:color="auto"/>
            </w:tcBorders>
            <w:vAlign w:val="bottom"/>
          </w:tcPr>
          <w:p w14:paraId="3898636C" w14:textId="77777777" w:rsidR="00C33621" w:rsidRPr="00EB655C" w:rsidRDefault="00C33621" w:rsidP="00C33621">
            <w:pPr>
              <w:spacing w:before="60" w:after="60"/>
              <w:ind w:left="34"/>
              <w:rPr>
                <w:rFonts w:eastAsia="Times New Roman" w:cs="Times New Roman"/>
                <w:sz w:val="20"/>
                <w:szCs w:val="20"/>
                <w:lang w:eastAsia="en-AU"/>
              </w:rPr>
            </w:pPr>
            <w:r w:rsidRPr="00D3316F">
              <w:rPr>
                <w:rFonts w:eastAsia="Times New Roman" w:cs="Times New Roman"/>
                <w:sz w:val="20"/>
                <w:szCs w:val="20"/>
                <w:lang w:eastAsia="en-AU"/>
              </w:rPr>
              <w:t>Five</w:t>
            </w:r>
            <w:r>
              <w:rPr>
                <w:rFonts w:eastAsia="Times New Roman" w:cs="Times New Roman"/>
                <w:sz w:val="20"/>
                <w:szCs w:val="20"/>
                <w:lang w:eastAsia="en-AU"/>
              </w:rPr>
              <w:noBreakHyphen/>
            </w:r>
            <w:r w:rsidRPr="00D3316F">
              <w:rPr>
                <w:rFonts w:eastAsia="Times New Roman" w:cs="Times New Roman"/>
                <w:sz w:val="20"/>
                <w:szCs w:val="20"/>
                <w:lang w:eastAsia="en-AU"/>
              </w:rPr>
              <w:t>Year Election</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92AF8E1" w14:textId="336BB5BB"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w:t>
            </w:r>
            <w:r>
              <w:rPr>
                <w:rFonts w:eastAsia="Times New Roman" w:cs="Times New Roman"/>
                <w:sz w:val="20"/>
                <w:szCs w:val="20"/>
                <w:lang w:eastAsia="en-AU"/>
              </w:rPr>
              <w:t>2</w:t>
            </w:r>
            <w:r w:rsidRPr="00EB655C">
              <w:rPr>
                <w:rFonts w:eastAsia="Times New Roman" w:cs="Times New Roman"/>
                <w:sz w:val="20"/>
                <w:szCs w:val="20"/>
                <w:lang w:eastAsia="en-AU"/>
              </w:rPr>
              <w:t>5(1), 7-1</w:t>
            </w:r>
            <w:r>
              <w:rPr>
                <w:rFonts w:eastAsia="Times New Roman" w:cs="Times New Roman"/>
                <w:sz w:val="20"/>
                <w:szCs w:val="20"/>
                <w:lang w:eastAsia="en-AU"/>
              </w:rPr>
              <w:t>3</w:t>
            </w:r>
            <w:r w:rsidRPr="00EB655C">
              <w:rPr>
                <w:rFonts w:eastAsia="Times New Roman" w:cs="Times New Roman"/>
                <w:sz w:val="20"/>
                <w:szCs w:val="20"/>
                <w:lang w:eastAsia="en-AU"/>
              </w:rPr>
              <w:t>5</w:t>
            </w:r>
          </w:p>
        </w:tc>
      </w:tr>
      <w:tr w:rsidR="00C33621" w:rsidRPr="00EB655C" w14:paraId="67C9E393" w14:textId="77777777">
        <w:trPr>
          <w:trHeight w:val="300"/>
        </w:trPr>
        <w:tc>
          <w:tcPr>
            <w:tcW w:w="1694" w:type="dxa"/>
            <w:tcBorders>
              <w:top w:val="nil"/>
              <w:left w:val="single" w:sz="4" w:space="0" w:color="auto"/>
              <w:bottom w:val="single" w:sz="4" w:space="0" w:color="auto"/>
              <w:right w:val="single" w:sz="4" w:space="0" w:color="auto"/>
            </w:tcBorders>
            <w:vAlign w:val="bottom"/>
          </w:tcPr>
          <w:p w14:paraId="1A6AED4A" w14:textId="77777777" w:rsidR="00C33621" w:rsidRPr="006D2FCE" w:rsidRDefault="00C33621" w:rsidP="00C33621">
            <w:pPr>
              <w:spacing w:before="60" w:after="60"/>
              <w:ind w:left="34"/>
              <w:rPr>
                <w:rFonts w:eastAsia="Times New Roman" w:cs="Times New Roman"/>
                <w:b/>
                <w:bCs/>
                <w:sz w:val="20"/>
                <w:szCs w:val="20"/>
                <w:lang w:eastAsia="en-AU"/>
              </w:rPr>
            </w:pPr>
            <w:r w:rsidRPr="006D2FCE">
              <w:rPr>
                <w:rFonts w:eastAsia="Times New Roman" w:cs="Times New Roman"/>
                <w:b/>
                <w:bCs/>
                <w:sz w:val="20"/>
                <w:szCs w:val="20"/>
                <w:lang w:eastAsia="en-AU"/>
              </w:rPr>
              <w:t>7.6</w:t>
            </w:r>
          </w:p>
        </w:tc>
        <w:tc>
          <w:tcPr>
            <w:tcW w:w="3953" w:type="dxa"/>
            <w:tcBorders>
              <w:top w:val="nil"/>
              <w:left w:val="single" w:sz="4" w:space="0" w:color="auto"/>
              <w:bottom w:val="single" w:sz="4" w:space="0" w:color="auto"/>
              <w:right w:val="single" w:sz="4" w:space="0" w:color="auto"/>
            </w:tcBorders>
            <w:vAlign w:val="bottom"/>
          </w:tcPr>
          <w:p w14:paraId="131E0082" w14:textId="77777777" w:rsidR="00C33621" w:rsidRPr="006D2FCE" w:rsidRDefault="00C33621" w:rsidP="00C33621">
            <w:pPr>
              <w:spacing w:before="60" w:after="60"/>
              <w:ind w:left="34"/>
              <w:rPr>
                <w:rFonts w:eastAsia="Times New Roman" w:cs="Times New Roman"/>
                <w:b/>
                <w:bCs/>
                <w:sz w:val="20"/>
                <w:szCs w:val="20"/>
                <w:lang w:eastAsia="en-AU"/>
              </w:rPr>
            </w:pPr>
            <w:r w:rsidRPr="006D2FCE">
              <w:rPr>
                <w:rFonts w:eastAsia="Times New Roman" w:cs="Times New Roman"/>
                <w:b/>
                <w:bCs/>
                <w:sz w:val="20"/>
                <w:szCs w:val="20"/>
                <w:lang w:eastAsia="en-AU"/>
              </w:rPr>
              <w:t>Taxable Distribution Method Election</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1063FCA" w14:textId="77777777" w:rsidR="00C33621" w:rsidRPr="006D2FCE" w:rsidRDefault="00C33621" w:rsidP="00C33621">
            <w:pPr>
              <w:spacing w:before="60" w:after="60"/>
              <w:ind w:left="34"/>
              <w:rPr>
                <w:rFonts w:eastAsia="Times New Roman" w:cs="Times New Roman"/>
                <w:b/>
                <w:bCs/>
                <w:sz w:val="20"/>
                <w:szCs w:val="20"/>
                <w:lang w:eastAsia="en-AU"/>
              </w:rPr>
            </w:pPr>
            <w:r w:rsidRPr="006D2FCE">
              <w:rPr>
                <w:rFonts w:eastAsia="Times New Roman" w:cs="Times New Roman"/>
                <w:b/>
                <w:bCs/>
                <w:sz w:val="20"/>
                <w:szCs w:val="20"/>
                <w:lang w:eastAsia="en-AU"/>
              </w:rPr>
              <w:t>Part 7-6</w:t>
            </w:r>
          </w:p>
        </w:tc>
      </w:tr>
      <w:tr w:rsidR="00C33621" w:rsidRPr="00EB655C" w14:paraId="2FE24196" w14:textId="77777777">
        <w:trPr>
          <w:trHeight w:val="300"/>
        </w:trPr>
        <w:tc>
          <w:tcPr>
            <w:tcW w:w="1694" w:type="dxa"/>
            <w:tcBorders>
              <w:top w:val="nil"/>
              <w:left w:val="single" w:sz="4" w:space="0" w:color="auto"/>
              <w:bottom w:val="single" w:sz="4" w:space="0" w:color="auto"/>
              <w:right w:val="single" w:sz="4" w:space="0" w:color="auto"/>
            </w:tcBorders>
            <w:vAlign w:val="bottom"/>
          </w:tcPr>
          <w:p w14:paraId="472C6B46"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7.6.1</w:t>
            </w:r>
          </w:p>
        </w:tc>
        <w:tc>
          <w:tcPr>
            <w:tcW w:w="3953" w:type="dxa"/>
            <w:tcBorders>
              <w:top w:val="nil"/>
              <w:left w:val="single" w:sz="4" w:space="0" w:color="auto"/>
              <w:bottom w:val="single" w:sz="4" w:space="0" w:color="auto"/>
              <w:right w:val="single" w:sz="4" w:space="0" w:color="auto"/>
            </w:tcBorders>
            <w:vAlign w:val="bottom"/>
          </w:tcPr>
          <w:p w14:paraId="0E1C3ED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Application of the Taxable Distribution method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CA277FE" w14:textId="3B0F83C2"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w:t>
            </w:r>
            <w:r w:rsidR="00424F18">
              <w:rPr>
                <w:rFonts w:eastAsia="Times New Roman" w:cs="Times New Roman"/>
                <w:sz w:val="20"/>
                <w:szCs w:val="20"/>
                <w:lang w:eastAsia="en-AU"/>
              </w:rPr>
              <w:t>140, 7</w:t>
            </w:r>
            <w:r w:rsidR="00424F18">
              <w:rPr>
                <w:rFonts w:eastAsia="Times New Roman" w:cs="Times New Roman"/>
                <w:sz w:val="20"/>
                <w:szCs w:val="20"/>
                <w:lang w:eastAsia="en-AU"/>
              </w:rPr>
              <w:noBreakHyphen/>
              <w:t>145, 7</w:t>
            </w:r>
            <w:r w:rsidR="00424F18">
              <w:rPr>
                <w:rFonts w:eastAsia="Times New Roman" w:cs="Times New Roman"/>
                <w:sz w:val="20"/>
                <w:szCs w:val="20"/>
                <w:lang w:eastAsia="en-AU"/>
              </w:rPr>
              <w:noBreakHyphen/>
              <w:t>150</w:t>
            </w:r>
          </w:p>
        </w:tc>
      </w:tr>
      <w:tr w:rsidR="00C33621" w:rsidRPr="00EB655C" w14:paraId="790F46CB" w14:textId="77777777">
        <w:trPr>
          <w:trHeight w:val="300"/>
        </w:trPr>
        <w:tc>
          <w:tcPr>
            <w:tcW w:w="1694" w:type="dxa"/>
            <w:tcBorders>
              <w:top w:val="nil"/>
              <w:left w:val="single" w:sz="4" w:space="0" w:color="auto"/>
              <w:bottom w:val="single" w:sz="4" w:space="0" w:color="auto"/>
              <w:right w:val="single" w:sz="4" w:space="0" w:color="auto"/>
            </w:tcBorders>
            <w:vAlign w:val="bottom"/>
          </w:tcPr>
          <w:p w14:paraId="15FAEA24"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7.6.2</w:t>
            </w:r>
          </w:p>
        </w:tc>
        <w:tc>
          <w:tcPr>
            <w:tcW w:w="3953" w:type="dxa"/>
            <w:tcBorders>
              <w:top w:val="nil"/>
              <w:left w:val="single" w:sz="4" w:space="0" w:color="auto"/>
              <w:bottom w:val="single" w:sz="4" w:space="0" w:color="auto"/>
              <w:right w:val="single" w:sz="4" w:space="0" w:color="auto"/>
            </w:tcBorders>
            <w:vAlign w:val="bottom"/>
          </w:tcPr>
          <w:p w14:paraId="55F527F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Computation of the taxable distribution method</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90B141C" w14:textId="249799E5"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w:t>
            </w:r>
            <w:r>
              <w:rPr>
                <w:rFonts w:eastAsia="Times New Roman" w:cs="Times New Roman"/>
                <w:sz w:val="20"/>
                <w:szCs w:val="20"/>
                <w:lang w:eastAsia="en-AU"/>
              </w:rPr>
              <w:t>5</w:t>
            </w:r>
            <w:r w:rsidRPr="00EB655C">
              <w:rPr>
                <w:rFonts w:eastAsia="Times New Roman" w:cs="Times New Roman"/>
                <w:sz w:val="20"/>
                <w:szCs w:val="20"/>
                <w:lang w:eastAsia="en-AU"/>
              </w:rPr>
              <w:t>0(2)-(4),</w:t>
            </w:r>
            <w:r w:rsidR="00424F18">
              <w:rPr>
                <w:rFonts w:eastAsia="Times New Roman" w:cs="Times New Roman"/>
                <w:sz w:val="20"/>
                <w:szCs w:val="20"/>
                <w:lang w:eastAsia="en-AU"/>
              </w:rPr>
              <w:t xml:space="preserve"> and</w:t>
            </w:r>
            <w:r w:rsidRPr="00EB655C">
              <w:rPr>
                <w:rFonts w:eastAsia="Times New Roman" w:cs="Times New Roman"/>
                <w:sz w:val="20"/>
                <w:szCs w:val="20"/>
                <w:lang w:eastAsia="en-AU"/>
              </w:rPr>
              <w:t xml:space="preserve"> 7-1</w:t>
            </w:r>
            <w:r>
              <w:rPr>
                <w:rFonts w:eastAsia="Times New Roman" w:cs="Times New Roman"/>
                <w:sz w:val="20"/>
                <w:szCs w:val="20"/>
                <w:lang w:eastAsia="en-AU"/>
              </w:rPr>
              <w:t>5</w:t>
            </w:r>
            <w:r w:rsidRPr="00EB655C">
              <w:rPr>
                <w:rFonts w:eastAsia="Times New Roman" w:cs="Times New Roman"/>
                <w:sz w:val="20"/>
                <w:szCs w:val="20"/>
                <w:lang w:eastAsia="en-AU"/>
              </w:rPr>
              <w:t xml:space="preserve">5(1)-(2) </w:t>
            </w:r>
          </w:p>
        </w:tc>
      </w:tr>
      <w:tr w:rsidR="00C33621" w:rsidRPr="00EB655C" w14:paraId="27E4C5CE" w14:textId="77777777">
        <w:trPr>
          <w:trHeight w:val="300"/>
        </w:trPr>
        <w:tc>
          <w:tcPr>
            <w:tcW w:w="1694" w:type="dxa"/>
            <w:tcBorders>
              <w:top w:val="nil"/>
              <w:left w:val="single" w:sz="4" w:space="0" w:color="auto"/>
              <w:bottom w:val="single" w:sz="4" w:space="0" w:color="auto"/>
              <w:right w:val="single" w:sz="4" w:space="0" w:color="auto"/>
            </w:tcBorders>
            <w:vAlign w:val="bottom"/>
          </w:tcPr>
          <w:p w14:paraId="5A1BC4AB"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7.6.3</w:t>
            </w:r>
          </w:p>
        </w:tc>
        <w:tc>
          <w:tcPr>
            <w:tcW w:w="3953" w:type="dxa"/>
            <w:tcBorders>
              <w:top w:val="nil"/>
              <w:left w:val="single" w:sz="4" w:space="0" w:color="auto"/>
              <w:bottom w:val="single" w:sz="4" w:space="0" w:color="auto"/>
              <w:right w:val="single" w:sz="4" w:space="0" w:color="auto"/>
            </w:tcBorders>
            <w:vAlign w:val="bottom"/>
          </w:tcPr>
          <w:p w14:paraId="7654B5C0"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Undistributed Net GloBE Income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ACD7A97" w14:textId="30FEF5B2"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w:t>
            </w:r>
            <w:r>
              <w:rPr>
                <w:rFonts w:eastAsia="Times New Roman" w:cs="Times New Roman"/>
                <w:sz w:val="20"/>
                <w:szCs w:val="20"/>
                <w:lang w:eastAsia="en-AU"/>
              </w:rPr>
              <w:t>6</w:t>
            </w:r>
            <w:r w:rsidRPr="00EB655C">
              <w:rPr>
                <w:rFonts w:eastAsia="Times New Roman" w:cs="Times New Roman"/>
                <w:sz w:val="20"/>
                <w:szCs w:val="20"/>
                <w:lang w:eastAsia="en-AU"/>
              </w:rPr>
              <w:t>0(5)</w:t>
            </w:r>
          </w:p>
        </w:tc>
      </w:tr>
      <w:tr w:rsidR="00C33621" w:rsidRPr="00EB655C" w14:paraId="7DEDA411" w14:textId="77777777">
        <w:trPr>
          <w:trHeight w:val="300"/>
        </w:trPr>
        <w:tc>
          <w:tcPr>
            <w:tcW w:w="1694" w:type="dxa"/>
            <w:tcBorders>
              <w:top w:val="nil"/>
              <w:left w:val="single" w:sz="4" w:space="0" w:color="auto"/>
              <w:bottom w:val="single" w:sz="4" w:space="0" w:color="auto"/>
              <w:right w:val="single" w:sz="4" w:space="0" w:color="auto"/>
            </w:tcBorders>
            <w:vAlign w:val="bottom"/>
          </w:tcPr>
          <w:p w14:paraId="0E85263D"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7.6.4</w:t>
            </w:r>
          </w:p>
        </w:tc>
        <w:tc>
          <w:tcPr>
            <w:tcW w:w="3953" w:type="dxa"/>
            <w:tcBorders>
              <w:top w:val="nil"/>
              <w:left w:val="single" w:sz="4" w:space="0" w:color="auto"/>
              <w:bottom w:val="single" w:sz="4" w:space="0" w:color="auto"/>
              <w:right w:val="single" w:sz="4" w:space="0" w:color="auto"/>
            </w:tcBorders>
            <w:vAlign w:val="bottom"/>
          </w:tcPr>
          <w:p w14:paraId="2518A0B1"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Undistributed Net GloBE Income reduced by certain distributions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CD9786C" w14:textId="3D579B12"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w:t>
            </w:r>
            <w:r>
              <w:rPr>
                <w:rFonts w:eastAsia="Times New Roman" w:cs="Times New Roman"/>
                <w:sz w:val="20"/>
                <w:szCs w:val="20"/>
                <w:lang w:eastAsia="en-AU"/>
              </w:rPr>
              <w:t>6</w:t>
            </w:r>
            <w:r w:rsidRPr="00EB655C">
              <w:rPr>
                <w:rFonts w:eastAsia="Times New Roman" w:cs="Times New Roman"/>
                <w:sz w:val="20"/>
                <w:szCs w:val="20"/>
                <w:lang w:eastAsia="en-AU"/>
              </w:rPr>
              <w:t>0(6) and (7)</w:t>
            </w:r>
          </w:p>
        </w:tc>
      </w:tr>
      <w:tr w:rsidR="00C33621" w:rsidRPr="00EB655C" w14:paraId="64B1EEE6" w14:textId="77777777">
        <w:trPr>
          <w:trHeight w:val="300"/>
        </w:trPr>
        <w:tc>
          <w:tcPr>
            <w:tcW w:w="1694" w:type="dxa"/>
            <w:tcBorders>
              <w:top w:val="nil"/>
              <w:left w:val="single" w:sz="4" w:space="0" w:color="auto"/>
              <w:bottom w:val="single" w:sz="4" w:space="0" w:color="auto"/>
              <w:right w:val="single" w:sz="4" w:space="0" w:color="auto"/>
            </w:tcBorders>
            <w:vAlign w:val="bottom"/>
          </w:tcPr>
          <w:p w14:paraId="20BC2267"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7.6.5</w:t>
            </w:r>
          </w:p>
        </w:tc>
        <w:tc>
          <w:tcPr>
            <w:tcW w:w="3953" w:type="dxa"/>
            <w:tcBorders>
              <w:top w:val="nil"/>
              <w:left w:val="single" w:sz="4" w:space="0" w:color="auto"/>
              <w:bottom w:val="single" w:sz="4" w:space="0" w:color="auto"/>
              <w:right w:val="single" w:sz="4" w:space="0" w:color="auto"/>
            </w:tcBorders>
            <w:vAlign w:val="bottom"/>
          </w:tcPr>
          <w:p w14:paraId="6C809791" w14:textId="77777777"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Definitions used in Part 7-6</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C4380D3" w14:textId="1581B893" w:rsidR="00C33621" w:rsidRPr="00EB655C" w:rsidRDefault="00C33621" w:rsidP="00C33621">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w:t>
            </w:r>
            <w:r>
              <w:rPr>
                <w:rFonts w:eastAsia="Times New Roman" w:cs="Times New Roman"/>
                <w:sz w:val="20"/>
                <w:szCs w:val="20"/>
                <w:lang w:eastAsia="en-AU"/>
              </w:rPr>
              <w:t>6</w:t>
            </w:r>
            <w:r w:rsidRPr="00EB655C">
              <w:rPr>
                <w:rFonts w:eastAsia="Times New Roman" w:cs="Times New Roman"/>
                <w:sz w:val="20"/>
                <w:szCs w:val="20"/>
                <w:lang w:eastAsia="en-AU"/>
              </w:rPr>
              <w:t>0(1)-(4) and 7-1</w:t>
            </w:r>
            <w:r>
              <w:rPr>
                <w:rFonts w:eastAsia="Times New Roman" w:cs="Times New Roman"/>
                <w:sz w:val="20"/>
                <w:szCs w:val="20"/>
                <w:lang w:eastAsia="en-AU"/>
              </w:rPr>
              <w:t>6</w:t>
            </w:r>
            <w:r w:rsidRPr="00EB655C">
              <w:rPr>
                <w:rFonts w:eastAsia="Times New Roman" w:cs="Times New Roman"/>
                <w:sz w:val="20"/>
                <w:szCs w:val="20"/>
                <w:lang w:eastAsia="en-AU"/>
              </w:rPr>
              <w:t>5</w:t>
            </w:r>
          </w:p>
        </w:tc>
      </w:tr>
      <w:tr w:rsidR="00424F18" w:rsidRPr="00EB655C" w14:paraId="6FAB8807" w14:textId="77777777">
        <w:trPr>
          <w:trHeight w:val="300"/>
        </w:trPr>
        <w:tc>
          <w:tcPr>
            <w:tcW w:w="1694" w:type="dxa"/>
            <w:tcBorders>
              <w:top w:val="nil"/>
              <w:left w:val="single" w:sz="4" w:space="0" w:color="auto"/>
              <w:bottom w:val="single" w:sz="4" w:space="0" w:color="auto"/>
              <w:right w:val="single" w:sz="4" w:space="0" w:color="auto"/>
            </w:tcBorders>
            <w:vAlign w:val="bottom"/>
          </w:tcPr>
          <w:p w14:paraId="62DBF49A" w14:textId="5500859C" w:rsidR="00424F18" w:rsidRPr="004F35BD"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7.6.6</w:t>
            </w:r>
          </w:p>
        </w:tc>
        <w:tc>
          <w:tcPr>
            <w:tcW w:w="3953" w:type="dxa"/>
            <w:tcBorders>
              <w:top w:val="nil"/>
              <w:left w:val="single" w:sz="4" w:space="0" w:color="auto"/>
              <w:bottom w:val="single" w:sz="4" w:space="0" w:color="auto"/>
              <w:right w:val="single" w:sz="4" w:space="0" w:color="auto"/>
            </w:tcBorders>
            <w:vAlign w:val="bottom"/>
          </w:tcPr>
          <w:p w14:paraId="2B43A98A" w14:textId="10128D76" w:rsidR="00424F18" w:rsidRPr="004F35BD" w:rsidRDefault="00424F18" w:rsidP="00424F18">
            <w:pPr>
              <w:spacing w:before="60" w:after="60"/>
              <w:ind w:left="34"/>
              <w:rPr>
                <w:rFonts w:eastAsia="Times New Roman" w:cs="Times New Roman"/>
                <w:sz w:val="20"/>
                <w:szCs w:val="20"/>
                <w:lang w:eastAsia="en-AU"/>
              </w:rPr>
            </w:pPr>
            <w:r w:rsidRPr="00DF6523">
              <w:rPr>
                <w:rFonts w:eastAsia="Times New Roman" w:cs="Times New Roman"/>
                <w:sz w:val="20"/>
                <w:szCs w:val="20"/>
                <w:lang w:eastAsia="en-AU"/>
              </w:rPr>
              <w:t>Five-Year Election</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5DCBD4B2" w14:textId="32C9AEE6" w:rsidR="00424F18" w:rsidRPr="004F35BD"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w:t>
            </w:r>
            <w:r>
              <w:rPr>
                <w:rFonts w:eastAsia="Times New Roman" w:cs="Times New Roman"/>
                <w:sz w:val="20"/>
                <w:szCs w:val="20"/>
                <w:lang w:eastAsia="en-AU"/>
              </w:rPr>
              <w:t>4</w:t>
            </w:r>
            <w:r w:rsidRPr="00EB655C">
              <w:rPr>
                <w:rFonts w:eastAsia="Times New Roman" w:cs="Times New Roman"/>
                <w:sz w:val="20"/>
                <w:szCs w:val="20"/>
                <w:lang w:eastAsia="en-AU"/>
              </w:rPr>
              <w:t>5(2) and 7-1</w:t>
            </w:r>
            <w:r>
              <w:rPr>
                <w:rFonts w:eastAsia="Times New Roman" w:cs="Times New Roman"/>
                <w:sz w:val="20"/>
                <w:szCs w:val="20"/>
                <w:lang w:eastAsia="en-AU"/>
              </w:rPr>
              <w:t>7</w:t>
            </w:r>
            <w:r w:rsidRPr="00EB655C">
              <w:rPr>
                <w:rFonts w:eastAsia="Times New Roman" w:cs="Times New Roman"/>
                <w:sz w:val="20"/>
                <w:szCs w:val="20"/>
                <w:lang w:eastAsia="en-AU"/>
              </w:rPr>
              <w:t>0</w:t>
            </w:r>
          </w:p>
        </w:tc>
      </w:tr>
      <w:tr w:rsidR="00424F18" w:rsidRPr="00EB655C" w14:paraId="3EEF3056" w14:textId="77777777">
        <w:trPr>
          <w:trHeight w:val="300"/>
        </w:trPr>
        <w:tc>
          <w:tcPr>
            <w:tcW w:w="1694" w:type="dxa"/>
            <w:tcBorders>
              <w:top w:val="nil"/>
              <w:left w:val="single" w:sz="4" w:space="0" w:color="auto"/>
              <w:bottom w:val="single" w:sz="4" w:space="0" w:color="auto"/>
              <w:right w:val="single" w:sz="4" w:space="0" w:color="auto"/>
            </w:tcBorders>
            <w:vAlign w:val="bottom"/>
          </w:tcPr>
          <w:p w14:paraId="1926DC00" w14:textId="77777777" w:rsidR="00424F18" w:rsidRPr="004F35BD" w:rsidRDefault="00424F18" w:rsidP="00424F18">
            <w:pPr>
              <w:spacing w:before="60" w:after="60"/>
              <w:ind w:left="34"/>
              <w:rPr>
                <w:rFonts w:eastAsia="Times New Roman" w:cs="Times New Roman"/>
                <w:sz w:val="20"/>
                <w:szCs w:val="20"/>
                <w:lang w:eastAsia="en-AU"/>
              </w:rPr>
            </w:pPr>
            <w:r w:rsidRPr="004F35BD">
              <w:rPr>
                <w:rFonts w:eastAsia="Times New Roman" w:cs="Times New Roman"/>
                <w:sz w:val="20"/>
                <w:szCs w:val="20"/>
                <w:lang w:eastAsia="en-AU"/>
              </w:rPr>
              <w:t>3.1 of the February 2023 AG</w:t>
            </w:r>
          </w:p>
        </w:tc>
        <w:tc>
          <w:tcPr>
            <w:tcW w:w="3953" w:type="dxa"/>
            <w:tcBorders>
              <w:top w:val="nil"/>
              <w:left w:val="single" w:sz="4" w:space="0" w:color="auto"/>
              <w:bottom w:val="single" w:sz="4" w:space="0" w:color="auto"/>
              <w:right w:val="single" w:sz="4" w:space="0" w:color="auto"/>
            </w:tcBorders>
            <w:vAlign w:val="bottom"/>
          </w:tcPr>
          <w:p w14:paraId="02D2BBCD" w14:textId="56A60CEA" w:rsidR="00424F18" w:rsidRPr="004F35BD" w:rsidRDefault="00424F18" w:rsidP="00424F18">
            <w:pPr>
              <w:spacing w:before="60" w:after="60"/>
              <w:ind w:left="34"/>
              <w:rPr>
                <w:rFonts w:eastAsia="Times New Roman" w:cs="Times New Roman"/>
                <w:sz w:val="20"/>
                <w:szCs w:val="20"/>
                <w:lang w:eastAsia="en-AU"/>
              </w:rPr>
            </w:pPr>
            <w:r w:rsidRPr="004F35BD">
              <w:rPr>
                <w:rFonts w:eastAsia="Times New Roman" w:cs="Times New Roman"/>
                <w:sz w:val="20"/>
                <w:szCs w:val="20"/>
                <w:lang w:eastAsia="en-AU"/>
              </w:rPr>
              <w:t xml:space="preserve">Application of </w:t>
            </w:r>
            <w:r>
              <w:rPr>
                <w:rFonts w:eastAsia="Times New Roman" w:cs="Times New Roman"/>
                <w:sz w:val="20"/>
                <w:szCs w:val="20"/>
                <w:lang w:eastAsia="en-AU"/>
              </w:rPr>
              <w:t xml:space="preserve">Chapter 7 Articles </w:t>
            </w:r>
            <w:r w:rsidRPr="004F35BD">
              <w:rPr>
                <w:rFonts w:eastAsia="Times New Roman" w:cs="Times New Roman"/>
                <w:sz w:val="20"/>
                <w:szCs w:val="20"/>
                <w:lang w:eastAsia="en-AU"/>
              </w:rPr>
              <w:t xml:space="preserve">to </w:t>
            </w:r>
            <w:r>
              <w:rPr>
                <w:rFonts w:eastAsia="Times New Roman" w:cs="Times New Roman"/>
                <w:sz w:val="20"/>
                <w:szCs w:val="20"/>
                <w:lang w:eastAsia="en-AU"/>
              </w:rPr>
              <w:t>I</w:t>
            </w:r>
            <w:r w:rsidRPr="004F35BD">
              <w:rPr>
                <w:rFonts w:eastAsia="Times New Roman" w:cs="Times New Roman"/>
                <w:sz w:val="20"/>
                <w:szCs w:val="20"/>
                <w:lang w:eastAsia="en-AU"/>
              </w:rPr>
              <w:t xml:space="preserve">nsurance </w:t>
            </w:r>
            <w:r>
              <w:rPr>
                <w:rFonts w:eastAsia="Times New Roman" w:cs="Times New Roman"/>
                <w:sz w:val="20"/>
                <w:szCs w:val="20"/>
                <w:lang w:eastAsia="en-AU"/>
              </w:rPr>
              <w:t>I</w:t>
            </w:r>
            <w:r w:rsidRPr="004F35BD">
              <w:rPr>
                <w:rFonts w:eastAsia="Times New Roman" w:cs="Times New Roman"/>
                <w:sz w:val="20"/>
                <w:szCs w:val="20"/>
                <w:lang w:eastAsia="en-AU"/>
              </w:rPr>
              <w:t xml:space="preserve">nvestment </w:t>
            </w:r>
            <w:r>
              <w:rPr>
                <w:rFonts w:eastAsia="Times New Roman" w:cs="Times New Roman"/>
                <w:sz w:val="20"/>
                <w:szCs w:val="20"/>
                <w:lang w:eastAsia="en-AU"/>
              </w:rPr>
              <w:t>E</w:t>
            </w:r>
            <w:r w:rsidRPr="004F35BD">
              <w:rPr>
                <w:rFonts w:eastAsia="Times New Roman" w:cs="Times New Roman"/>
                <w:sz w:val="20"/>
                <w:szCs w:val="20"/>
                <w:lang w:eastAsia="en-AU"/>
              </w:rPr>
              <w:t xml:space="preserve">ntities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97B6C1B" w14:textId="22DA9DB3" w:rsidR="00424F18" w:rsidRPr="004F35BD" w:rsidRDefault="00424F18" w:rsidP="00424F18">
            <w:pPr>
              <w:spacing w:before="60" w:after="60"/>
              <w:ind w:left="34"/>
              <w:rPr>
                <w:rFonts w:eastAsia="Times New Roman" w:cs="Times New Roman"/>
                <w:sz w:val="20"/>
                <w:szCs w:val="20"/>
                <w:lang w:eastAsia="en-AU"/>
              </w:rPr>
            </w:pPr>
            <w:r w:rsidRPr="004F35BD">
              <w:rPr>
                <w:rFonts w:eastAsia="Times New Roman" w:cs="Times New Roman"/>
                <w:sz w:val="20"/>
                <w:szCs w:val="20"/>
                <w:lang w:eastAsia="en-AU"/>
              </w:rPr>
              <w:t>7-</w:t>
            </w:r>
            <w:r>
              <w:rPr>
                <w:rFonts w:eastAsia="Times New Roman" w:cs="Times New Roman"/>
                <w:sz w:val="20"/>
                <w:szCs w:val="20"/>
                <w:lang w:eastAsia="en-AU"/>
              </w:rPr>
              <w:t>85, 7</w:t>
            </w:r>
            <w:r>
              <w:rPr>
                <w:rFonts w:eastAsia="Times New Roman" w:cs="Times New Roman"/>
                <w:sz w:val="20"/>
                <w:szCs w:val="20"/>
                <w:lang w:eastAsia="en-AU"/>
              </w:rPr>
              <w:noBreakHyphen/>
              <w:t>120, and 7</w:t>
            </w:r>
            <w:r>
              <w:rPr>
                <w:rFonts w:eastAsia="Times New Roman" w:cs="Times New Roman"/>
                <w:sz w:val="20"/>
                <w:szCs w:val="20"/>
                <w:lang w:eastAsia="en-AU"/>
              </w:rPr>
              <w:noBreakHyphen/>
              <w:t xml:space="preserve">140 </w:t>
            </w:r>
          </w:p>
        </w:tc>
      </w:tr>
      <w:tr w:rsidR="00424F18" w:rsidRPr="00EB655C" w14:paraId="6E478C01" w14:textId="77777777">
        <w:trPr>
          <w:trHeight w:val="300"/>
        </w:trPr>
        <w:tc>
          <w:tcPr>
            <w:tcW w:w="7475" w:type="dxa"/>
            <w:gridSpan w:val="3"/>
            <w:tcBorders>
              <w:top w:val="nil"/>
              <w:left w:val="single" w:sz="4" w:space="0" w:color="auto"/>
              <w:bottom w:val="single" w:sz="4" w:space="0" w:color="auto"/>
              <w:right w:val="single" w:sz="4" w:space="0" w:color="auto"/>
            </w:tcBorders>
            <w:vAlign w:val="bottom"/>
          </w:tcPr>
          <w:p w14:paraId="237583A1" w14:textId="77777777" w:rsidR="00424F18" w:rsidRPr="00EB655C" w:rsidRDefault="00424F18" w:rsidP="00424F18">
            <w:pPr>
              <w:pStyle w:val="Tableheaderrowtext"/>
              <w:numPr>
                <w:ilvl w:val="3"/>
                <w:numId w:val="2"/>
              </w:numPr>
              <w:rPr>
                <w:lang w:eastAsia="en-AU"/>
              </w:rPr>
            </w:pPr>
            <w:r>
              <w:rPr>
                <w:lang w:eastAsia="en-AU"/>
              </w:rPr>
              <w:t xml:space="preserve">Chapter 8 – Administration </w:t>
            </w:r>
          </w:p>
        </w:tc>
      </w:tr>
      <w:tr w:rsidR="00424F18" w:rsidRPr="00EB655C" w14:paraId="40656EF8" w14:textId="77777777">
        <w:trPr>
          <w:trHeight w:val="300"/>
        </w:trPr>
        <w:tc>
          <w:tcPr>
            <w:tcW w:w="1694" w:type="dxa"/>
            <w:tcBorders>
              <w:top w:val="nil"/>
              <w:left w:val="single" w:sz="4" w:space="0" w:color="auto"/>
              <w:bottom w:val="single" w:sz="4" w:space="0" w:color="auto"/>
              <w:right w:val="single" w:sz="4" w:space="0" w:color="auto"/>
            </w:tcBorders>
            <w:vAlign w:val="bottom"/>
          </w:tcPr>
          <w:p w14:paraId="49D2FE5F" w14:textId="77777777" w:rsidR="00424F18" w:rsidRPr="00ED3206" w:rsidRDefault="00424F18" w:rsidP="00424F18">
            <w:pPr>
              <w:spacing w:before="60" w:after="60"/>
              <w:ind w:left="34"/>
              <w:rPr>
                <w:rFonts w:eastAsia="Times New Roman" w:cs="Times New Roman"/>
                <w:sz w:val="20"/>
                <w:szCs w:val="20"/>
                <w:lang w:eastAsia="en-AU"/>
              </w:rPr>
            </w:pPr>
            <w:r w:rsidRPr="00ED3206">
              <w:rPr>
                <w:rFonts w:eastAsia="Times New Roman" w:cs="Times New Roman"/>
                <w:sz w:val="20"/>
                <w:szCs w:val="20"/>
                <w:lang w:eastAsia="en-AU"/>
              </w:rPr>
              <w:t>8.2</w:t>
            </w:r>
          </w:p>
        </w:tc>
        <w:tc>
          <w:tcPr>
            <w:tcW w:w="3953" w:type="dxa"/>
            <w:tcBorders>
              <w:top w:val="nil"/>
              <w:left w:val="single" w:sz="4" w:space="0" w:color="auto"/>
              <w:bottom w:val="single" w:sz="4" w:space="0" w:color="auto"/>
              <w:right w:val="single" w:sz="4" w:space="0" w:color="auto"/>
            </w:tcBorders>
            <w:vAlign w:val="bottom"/>
          </w:tcPr>
          <w:p w14:paraId="3E754DAA" w14:textId="77777777" w:rsidR="00424F18" w:rsidRPr="00ED3206" w:rsidRDefault="00424F18" w:rsidP="00424F18">
            <w:pPr>
              <w:spacing w:before="60" w:after="60"/>
              <w:ind w:left="34"/>
              <w:rPr>
                <w:rFonts w:eastAsia="Times New Roman" w:cs="Times New Roman"/>
                <w:sz w:val="20"/>
                <w:szCs w:val="20"/>
                <w:lang w:eastAsia="en-AU"/>
              </w:rPr>
            </w:pPr>
            <w:r w:rsidRPr="00ED3206">
              <w:rPr>
                <w:rFonts w:eastAsia="Times New Roman" w:cs="Times New Roman"/>
                <w:sz w:val="20"/>
                <w:szCs w:val="20"/>
                <w:lang w:eastAsia="en-AU"/>
              </w:rPr>
              <w:t>Safe Harbours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53153B7" w14:textId="77777777" w:rsidR="00424F18" w:rsidRPr="00ED3206" w:rsidRDefault="00424F18" w:rsidP="00424F18">
            <w:pPr>
              <w:spacing w:before="60" w:after="60"/>
              <w:ind w:left="34"/>
              <w:rPr>
                <w:rFonts w:eastAsia="Times New Roman" w:cs="Times New Roman"/>
                <w:sz w:val="20"/>
                <w:szCs w:val="20"/>
                <w:lang w:eastAsia="en-AU"/>
              </w:rPr>
            </w:pPr>
            <w:r w:rsidRPr="00ED3206">
              <w:rPr>
                <w:rFonts w:eastAsia="Times New Roman" w:cs="Times New Roman"/>
                <w:sz w:val="20"/>
                <w:szCs w:val="20"/>
                <w:lang w:eastAsia="en-AU"/>
              </w:rPr>
              <w:t>Part 8-1</w:t>
            </w:r>
          </w:p>
        </w:tc>
      </w:tr>
      <w:tr w:rsidR="00424F18" w:rsidRPr="00EB655C" w14:paraId="17310EEA" w14:textId="77777777">
        <w:trPr>
          <w:trHeight w:val="300"/>
        </w:trPr>
        <w:tc>
          <w:tcPr>
            <w:tcW w:w="1694" w:type="dxa"/>
            <w:tcBorders>
              <w:top w:val="nil"/>
              <w:left w:val="single" w:sz="4" w:space="0" w:color="auto"/>
              <w:bottom w:val="single" w:sz="4" w:space="0" w:color="auto"/>
              <w:right w:val="single" w:sz="4" w:space="0" w:color="auto"/>
            </w:tcBorders>
            <w:vAlign w:val="bottom"/>
          </w:tcPr>
          <w:p w14:paraId="0E5EF19E"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lastRenderedPageBreak/>
              <w:t>8.2.1</w:t>
            </w:r>
          </w:p>
        </w:tc>
        <w:tc>
          <w:tcPr>
            <w:tcW w:w="3953" w:type="dxa"/>
            <w:tcBorders>
              <w:top w:val="nil"/>
              <w:left w:val="single" w:sz="4" w:space="0" w:color="auto"/>
              <w:bottom w:val="single" w:sz="4" w:space="0" w:color="auto"/>
              <w:right w:val="single" w:sz="4" w:space="0" w:color="auto"/>
            </w:tcBorders>
            <w:vAlign w:val="bottom"/>
          </w:tcPr>
          <w:p w14:paraId="6B6805D9" w14:textId="626B5A7A" w:rsidR="00424F18" w:rsidRPr="00EB655C" w:rsidRDefault="00424F18" w:rsidP="00424F18">
            <w:pPr>
              <w:spacing w:before="60" w:after="60"/>
              <w:ind w:left="34"/>
              <w:rPr>
                <w:rFonts w:eastAsia="Times New Roman" w:cs="Times New Roman"/>
                <w:i/>
                <w:iCs/>
                <w:sz w:val="20"/>
                <w:szCs w:val="20"/>
                <w:lang w:eastAsia="en-AU"/>
              </w:rPr>
            </w:pPr>
            <w:r w:rsidRPr="00EB655C">
              <w:rPr>
                <w:rFonts w:eastAsia="Times New Roman" w:cs="Times New Roman"/>
                <w:i/>
                <w:iCs/>
                <w:sz w:val="20"/>
                <w:szCs w:val="20"/>
                <w:lang w:eastAsia="en-AU"/>
              </w:rPr>
              <w:t>Safe harbour document: transitional CbC data, transitional penalty relief</w:t>
            </w:r>
            <w:r w:rsidRPr="00EB655C">
              <w:rPr>
                <w:rFonts w:eastAsia="Times New Roman" w:cs="Times New Roman"/>
                <w:sz w:val="20"/>
                <w:szCs w:val="20"/>
                <w:lang w:eastAsia="en-AU"/>
              </w:rPr>
              <w:t xml:space="preserve">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0B552AA" w14:textId="212A2F48"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8-</w:t>
            </w:r>
            <w:r>
              <w:rPr>
                <w:rFonts w:eastAsia="Times New Roman" w:cs="Times New Roman"/>
                <w:sz w:val="20"/>
                <w:szCs w:val="20"/>
                <w:lang w:eastAsia="en-AU"/>
              </w:rPr>
              <w:t>10</w:t>
            </w:r>
            <w:r w:rsidRPr="00EB655C">
              <w:rPr>
                <w:rFonts w:eastAsia="Times New Roman" w:cs="Times New Roman"/>
                <w:sz w:val="20"/>
                <w:szCs w:val="20"/>
                <w:lang w:eastAsia="en-AU"/>
              </w:rPr>
              <w:t xml:space="preserve"> and 8-1</w:t>
            </w:r>
            <w:r>
              <w:rPr>
                <w:rFonts w:eastAsia="Times New Roman" w:cs="Times New Roman"/>
                <w:sz w:val="20"/>
                <w:szCs w:val="20"/>
                <w:lang w:eastAsia="en-AU"/>
              </w:rPr>
              <w:t>55</w:t>
            </w:r>
          </w:p>
        </w:tc>
      </w:tr>
      <w:tr w:rsidR="00424F18" w:rsidRPr="00EB655C" w14:paraId="16D1234A" w14:textId="77777777">
        <w:trPr>
          <w:trHeight w:val="300"/>
        </w:trPr>
        <w:tc>
          <w:tcPr>
            <w:tcW w:w="1694" w:type="dxa"/>
            <w:tcBorders>
              <w:top w:val="nil"/>
              <w:left w:val="single" w:sz="4" w:space="0" w:color="auto"/>
              <w:bottom w:val="single" w:sz="4" w:space="0" w:color="auto"/>
              <w:right w:val="single" w:sz="4" w:space="0" w:color="auto"/>
            </w:tcBorders>
            <w:vAlign w:val="bottom"/>
          </w:tcPr>
          <w:p w14:paraId="5015E19A" w14:textId="77777777" w:rsidR="00424F18" w:rsidRPr="00EB655C" w:rsidRDefault="00424F18" w:rsidP="00424F18">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8.2.2</w:t>
            </w:r>
          </w:p>
        </w:tc>
        <w:tc>
          <w:tcPr>
            <w:tcW w:w="3953" w:type="dxa"/>
            <w:tcBorders>
              <w:top w:val="nil"/>
              <w:left w:val="single" w:sz="4" w:space="0" w:color="auto"/>
              <w:bottom w:val="single" w:sz="4" w:space="0" w:color="auto"/>
              <w:right w:val="single" w:sz="4" w:space="0" w:color="auto"/>
            </w:tcBorders>
            <w:vAlign w:val="bottom"/>
          </w:tcPr>
          <w:p w14:paraId="727CAC6E" w14:textId="77777777" w:rsidR="00424F18" w:rsidRPr="00EB655C" w:rsidRDefault="00424F18" w:rsidP="00424F18">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Safe harbour</w:t>
            </w:r>
            <w:r>
              <w:rPr>
                <w:rFonts w:eastAsia="Times New Roman" w:cs="Times New Roman"/>
                <w:b/>
                <w:bCs/>
                <w:sz w:val="20"/>
                <w:szCs w:val="20"/>
                <w:lang w:eastAsia="en-AU"/>
              </w:rPr>
              <w:t>s</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14:paraId="33EFEFD9" w14:textId="77777777" w:rsidR="00424F18" w:rsidRPr="00EB655C" w:rsidRDefault="00424F18" w:rsidP="00424F18">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8-2</w:t>
            </w:r>
          </w:p>
        </w:tc>
      </w:tr>
      <w:tr w:rsidR="00424F18" w:rsidRPr="00EB655C" w14:paraId="1EFB6925" w14:textId="77777777">
        <w:trPr>
          <w:trHeight w:val="300"/>
        </w:trPr>
        <w:tc>
          <w:tcPr>
            <w:tcW w:w="1694" w:type="dxa"/>
            <w:tcBorders>
              <w:top w:val="nil"/>
              <w:left w:val="single" w:sz="4" w:space="0" w:color="auto"/>
              <w:bottom w:val="single" w:sz="4" w:space="0" w:color="auto"/>
              <w:right w:val="single" w:sz="4" w:space="0" w:color="auto"/>
            </w:tcBorders>
            <w:vAlign w:val="bottom"/>
          </w:tcPr>
          <w:p w14:paraId="70437DFC"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Chapter 1 of the </w:t>
            </w:r>
            <w:r>
              <w:rPr>
                <w:rFonts w:eastAsia="Times New Roman" w:cs="Times New Roman"/>
                <w:sz w:val="20"/>
                <w:szCs w:val="20"/>
                <w:lang w:eastAsia="en-AU"/>
              </w:rPr>
              <w:t xml:space="preserve">2022 </w:t>
            </w:r>
            <w:r w:rsidRPr="00EB655C">
              <w:rPr>
                <w:rFonts w:eastAsia="Times New Roman" w:cs="Times New Roman"/>
                <w:sz w:val="20"/>
                <w:szCs w:val="20"/>
                <w:lang w:eastAsia="en-AU"/>
              </w:rPr>
              <w:t xml:space="preserve">Safe Harbour document </w:t>
            </w:r>
          </w:p>
        </w:tc>
        <w:tc>
          <w:tcPr>
            <w:tcW w:w="3953" w:type="dxa"/>
            <w:tcBorders>
              <w:top w:val="nil"/>
              <w:left w:val="single" w:sz="4" w:space="0" w:color="auto"/>
              <w:bottom w:val="single" w:sz="4" w:space="0" w:color="auto"/>
              <w:right w:val="single" w:sz="4" w:space="0" w:color="auto"/>
            </w:tcBorders>
            <w:vAlign w:val="bottom"/>
          </w:tcPr>
          <w:p w14:paraId="68451DE9"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Transitional CbC Safe Harbour and associated definitions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E996D1B"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Division 1 of Part 8-2</w:t>
            </w:r>
          </w:p>
        </w:tc>
      </w:tr>
      <w:tr w:rsidR="00424F18" w:rsidRPr="00EB655C" w14:paraId="650A0B64" w14:textId="77777777">
        <w:trPr>
          <w:trHeight w:val="300"/>
        </w:trPr>
        <w:tc>
          <w:tcPr>
            <w:tcW w:w="1694" w:type="dxa"/>
            <w:tcBorders>
              <w:top w:val="nil"/>
              <w:left w:val="single" w:sz="4" w:space="0" w:color="auto"/>
              <w:bottom w:val="single" w:sz="4" w:space="0" w:color="auto"/>
              <w:right w:val="single" w:sz="4" w:space="0" w:color="auto"/>
            </w:tcBorders>
            <w:vAlign w:val="bottom"/>
          </w:tcPr>
          <w:p w14:paraId="2DFD7D18"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Chapter 1 of the December </w:t>
            </w:r>
            <w:r>
              <w:rPr>
                <w:rFonts w:eastAsia="Times New Roman" w:cs="Times New Roman"/>
                <w:sz w:val="20"/>
                <w:szCs w:val="20"/>
                <w:lang w:eastAsia="en-AU"/>
              </w:rPr>
              <w:t xml:space="preserve">2023 </w:t>
            </w:r>
            <w:r w:rsidRPr="00EB655C">
              <w:rPr>
                <w:rFonts w:eastAsia="Times New Roman" w:cs="Times New Roman"/>
                <w:sz w:val="20"/>
                <w:szCs w:val="20"/>
                <w:lang w:eastAsia="en-AU"/>
              </w:rPr>
              <w:t>AG</w:t>
            </w:r>
          </w:p>
        </w:tc>
        <w:tc>
          <w:tcPr>
            <w:tcW w:w="3953" w:type="dxa"/>
            <w:tcBorders>
              <w:top w:val="nil"/>
              <w:left w:val="single" w:sz="4" w:space="0" w:color="auto"/>
              <w:bottom w:val="single" w:sz="4" w:space="0" w:color="auto"/>
              <w:right w:val="single" w:sz="4" w:space="0" w:color="auto"/>
            </w:tcBorders>
            <w:vAlign w:val="bottom"/>
          </w:tcPr>
          <w:p w14:paraId="70B4D496"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Purchase price accounting adjustments in Qualified Financial Statements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44C7AA5"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Division 1 of Part 8-2</w:t>
            </w:r>
          </w:p>
        </w:tc>
      </w:tr>
      <w:tr w:rsidR="00424F18" w:rsidRPr="00EB655C" w14:paraId="7542B236" w14:textId="77777777">
        <w:trPr>
          <w:trHeight w:val="300"/>
        </w:trPr>
        <w:tc>
          <w:tcPr>
            <w:tcW w:w="1694" w:type="dxa"/>
            <w:tcBorders>
              <w:top w:val="nil"/>
              <w:left w:val="single" w:sz="4" w:space="0" w:color="auto"/>
              <w:bottom w:val="single" w:sz="4" w:space="0" w:color="auto"/>
              <w:right w:val="single" w:sz="4" w:space="0" w:color="auto"/>
            </w:tcBorders>
            <w:vAlign w:val="bottom"/>
          </w:tcPr>
          <w:p w14:paraId="4D63FA68"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2.2 of the Dec</w:t>
            </w:r>
            <w:r>
              <w:rPr>
                <w:rFonts w:eastAsia="Times New Roman" w:cs="Times New Roman"/>
                <w:sz w:val="20"/>
                <w:szCs w:val="20"/>
                <w:lang w:eastAsia="en-AU"/>
              </w:rPr>
              <w:t>ember 2023</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0F8A4405"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Tested Jurisdictions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6603E4C" w14:textId="3BB6B52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w:t>
            </w:r>
            <w:r>
              <w:rPr>
                <w:rFonts w:eastAsia="Times New Roman" w:cs="Times New Roman"/>
                <w:sz w:val="20"/>
                <w:szCs w:val="20"/>
                <w:lang w:eastAsia="en-AU"/>
              </w:rPr>
              <w:t>8-5 and 8-135(c)</w:t>
            </w:r>
          </w:p>
        </w:tc>
      </w:tr>
      <w:tr w:rsidR="00424F18" w:rsidRPr="00EB655C" w14:paraId="33D7A5B7" w14:textId="77777777">
        <w:trPr>
          <w:trHeight w:val="300"/>
        </w:trPr>
        <w:tc>
          <w:tcPr>
            <w:tcW w:w="1694" w:type="dxa"/>
            <w:tcBorders>
              <w:top w:val="nil"/>
              <w:left w:val="single" w:sz="4" w:space="0" w:color="auto"/>
              <w:bottom w:val="single" w:sz="4" w:space="0" w:color="auto"/>
              <w:right w:val="single" w:sz="4" w:space="0" w:color="auto"/>
            </w:tcBorders>
            <w:vAlign w:val="bottom"/>
          </w:tcPr>
          <w:p w14:paraId="1ABBC232"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2.3</w:t>
            </w:r>
            <w:r>
              <w:rPr>
                <w:rFonts w:eastAsia="Times New Roman" w:cs="Times New Roman"/>
                <w:sz w:val="20"/>
                <w:szCs w:val="20"/>
                <w:lang w:eastAsia="en-AU"/>
              </w:rPr>
              <w:t>.1</w:t>
            </w:r>
            <w:r w:rsidRPr="00EB655C">
              <w:rPr>
                <w:rFonts w:eastAsia="Times New Roman" w:cs="Times New Roman"/>
                <w:sz w:val="20"/>
                <w:szCs w:val="20"/>
                <w:lang w:eastAsia="en-AU"/>
              </w:rPr>
              <w:t xml:space="preserve"> of the Dec</w:t>
            </w:r>
            <w:r>
              <w:rPr>
                <w:rFonts w:eastAsia="Times New Roman" w:cs="Times New Roman"/>
                <w:sz w:val="20"/>
                <w:szCs w:val="20"/>
                <w:lang w:eastAsia="en-AU"/>
              </w:rPr>
              <w:t>ember 2023</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3015C651"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Qualified Financial Statements</w:t>
            </w:r>
            <w:r>
              <w:rPr>
                <w:rFonts w:eastAsia="Times New Roman" w:cs="Times New Roman"/>
                <w:sz w:val="20"/>
                <w:szCs w:val="20"/>
                <w:lang w:eastAsia="en-AU"/>
              </w:rPr>
              <w:t>: Constituent use of data</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E65D636" w14:textId="41191103" w:rsidR="00424F18" w:rsidRPr="00EB655C" w:rsidRDefault="00424F1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8-75</w:t>
            </w:r>
          </w:p>
        </w:tc>
      </w:tr>
      <w:tr w:rsidR="00424F18" w:rsidRPr="00EB655C" w14:paraId="7E782231" w14:textId="77777777">
        <w:trPr>
          <w:trHeight w:val="300"/>
        </w:trPr>
        <w:tc>
          <w:tcPr>
            <w:tcW w:w="1694" w:type="dxa"/>
            <w:tcBorders>
              <w:top w:val="nil"/>
              <w:left w:val="single" w:sz="4" w:space="0" w:color="auto"/>
              <w:bottom w:val="single" w:sz="4" w:space="0" w:color="auto"/>
              <w:right w:val="single" w:sz="4" w:space="0" w:color="auto"/>
            </w:tcBorders>
          </w:tcPr>
          <w:p w14:paraId="72FD3DFC" w14:textId="77777777" w:rsidR="00424F18" w:rsidRPr="00070458" w:rsidRDefault="00424F18" w:rsidP="00424F18">
            <w:pPr>
              <w:spacing w:before="60" w:after="60"/>
              <w:ind w:left="34"/>
              <w:rPr>
                <w:rFonts w:eastAsia="Times New Roman" w:cs="Times New Roman"/>
                <w:sz w:val="20"/>
                <w:szCs w:val="20"/>
                <w:lang w:eastAsia="en-AU"/>
              </w:rPr>
            </w:pPr>
            <w:r w:rsidRPr="006D2FCE">
              <w:rPr>
                <w:sz w:val="20"/>
                <w:szCs w:val="20"/>
              </w:rPr>
              <w:t>2.3.2 of the December 2023 AG</w:t>
            </w:r>
          </w:p>
        </w:tc>
        <w:tc>
          <w:tcPr>
            <w:tcW w:w="3953" w:type="dxa"/>
            <w:tcBorders>
              <w:top w:val="nil"/>
              <w:left w:val="single" w:sz="4" w:space="0" w:color="auto"/>
              <w:bottom w:val="single" w:sz="4" w:space="0" w:color="auto"/>
              <w:right w:val="single" w:sz="4" w:space="0" w:color="auto"/>
            </w:tcBorders>
          </w:tcPr>
          <w:p w14:paraId="783FEAF3" w14:textId="77777777" w:rsidR="00424F18" w:rsidRPr="00070458" w:rsidRDefault="00424F18" w:rsidP="00424F18">
            <w:pPr>
              <w:spacing w:before="60" w:after="60"/>
              <w:ind w:left="34"/>
              <w:rPr>
                <w:rFonts w:eastAsia="Times New Roman" w:cs="Times New Roman"/>
                <w:sz w:val="20"/>
                <w:szCs w:val="20"/>
                <w:lang w:eastAsia="en-AU"/>
              </w:rPr>
            </w:pPr>
            <w:r w:rsidRPr="006D2FCE">
              <w:rPr>
                <w:sz w:val="20"/>
                <w:szCs w:val="20"/>
              </w:rPr>
              <w:t>Qualified Financial Statements: Using different accounting standards</w:t>
            </w:r>
          </w:p>
        </w:tc>
        <w:tc>
          <w:tcPr>
            <w:tcW w:w="1828" w:type="dxa"/>
            <w:tcBorders>
              <w:top w:val="nil"/>
              <w:left w:val="single" w:sz="4" w:space="0" w:color="auto"/>
              <w:bottom w:val="single" w:sz="4" w:space="0" w:color="auto"/>
              <w:right w:val="single" w:sz="4" w:space="0" w:color="auto"/>
            </w:tcBorders>
            <w:shd w:val="clear" w:color="auto" w:fill="auto"/>
            <w:noWrap/>
          </w:tcPr>
          <w:p w14:paraId="4725569A" w14:textId="58B4469A" w:rsidR="00424F18" w:rsidRPr="00070458" w:rsidRDefault="00424F18" w:rsidP="00424F18">
            <w:pPr>
              <w:spacing w:before="60" w:after="60"/>
              <w:ind w:left="34"/>
              <w:rPr>
                <w:rFonts w:eastAsia="Times New Roman" w:cs="Times New Roman"/>
                <w:sz w:val="20"/>
                <w:szCs w:val="20"/>
                <w:lang w:eastAsia="en-AU"/>
              </w:rPr>
            </w:pPr>
            <w:r w:rsidRPr="006D2FCE">
              <w:rPr>
                <w:sz w:val="20"/>
                <w:szCs w:val="20"/>
              </w:rPr>
              <w:t>8-</w:t>
            </w:r>
            <w:r>
              <w:rPr>
                <w:sz w:val="20"/>
                <w:szCs w:val="20"/>
              </w:rPr>
              <w:t>70</w:t>
            </w:r>
          </w:p>
        </w:tc>
      </w:tr>
      <w:tr w:rsidR="00424F18" w:rsidRPr="00EB655C" w14:paraId="7BCF1158" w14:textId="77777777">
        <w:trPr>
          <w:trHeight w:val="300"/>
        </w:trPr>
        <w:tc>
          <w:tcPr>
            <w:tcW w:w="1694" w:type="dxa"/>
            <w:tcBorders>
              <w:top w:val="nil"/>
              <w:left w:val="single" w:sz="4" w:space="0" w:color="auto"/>
              <w:bottom w:val="single" w:sz="4" w:space="0" w:color="auto"/>
              <w:right w:val="single" w:sz="4" w:space="0" w:color="auto"/>
            </w:tcBorders>
          </w:tcPr>
          <w:p w14:paraId="61C4A03E" w14:textId="77777777" w:rsidR="00424F18" w:rsidRPr="00070458" w:rsidRDefault="00424F18" w:rsidP="00424F18">
            <w:pPr>
              <w:spacing w:before="60" w:after="60"/>
              <w:ind w:left="34"/>
              <w:rPr>
                <w:rFonts w:eastAsia="Times New Roman" w:cs="Times New Roman"/>
                <w:sz w:val="20"/>
                <w:szCs w:val="20"/>
                <w:lang w:eastAsia="en-AU"/>
              </w:rPr>
            </w:pPr>
            <w:r w:rsidRPr="006D2FCE">
              <w:rPr>
                <w:sz w:val="20"/>
                <w:szCs w:val="20"/>
              </w:rPr>
              <w:t>2.3.3 of the December 2023 AG</w:t>
            </w:r>
          </w:p>
        </w:tc>
        <w:tc>
          <w:tcPr>
            <w:tcW w:w="3953" w:type="dxa"/>
            <w:tcBorders>
              <w:top w:val="nil"/>
              <w:left w:val="single" w:sz="4" w:space="0" w:color="auto"/>
              <w:bottom w:val="single" w:sz="4" w:space="0" w:color="auto"/>
              <w:right w:val="single" w:sz="4" w:space="0" w:color="auto"/>
            </w:tcBorders>
          </w:tcPr>
          <w:p w14:paraId="4F4460D6" w14:textId="77777777" w:rsidR="00424F18" w:rsidRPr="00070458" w:rsidRDefault="00424F18" w:rsidP="00424F18">
            <w:pPr>
              <w:spacing w:before="60" w:after="60"/>
              <w:ind w:left="34"/>
              <w:rPr>
                <w:rFonts w:eastAsia="Times New Roman" w:cs="Times New Roman"/>
                <w:sz w:val="20"/>
                <w:szCs w:val="20"/>
                <w:lang w:eastAsia="en-AU"/>
              </w:rPr>
            </w:pPr>
            <w:r w:rsidRPr="006D2FCE">
              <w:rPr>
                <w:sz w:val="20"/>
                <w:szCs w:val="20"/>
              </w:rPr>
              <w:t>Adjustments to Qualified Financial Statements</w:t>
            </w:r>
          </w:p>
        </w:tc>
        <w:tc>
          <w:tcPr>
            <w:tcW w:w="1828" w:type="dxa"/>
            <w:tcBorders>
              <w:top w:val="nil"/>
              <w:left w:val="single" w:sz="4" w:space="0" w:color="auto"/>
              <w:bottom w:val="single" w:sz="4" w:space="0" w:color="auto"/>
              <w:right w:val="single" w:sz="4" w:space="0" w:color="auto"/>
            </w:tcBorders>
            <w:shd w:val="clear" w:color="auto" w:fill="auto"/>
            <w:noWrap/>
          </w:tcPr>
          <w:p w14:paraId="0D43C451" w14:textId="464A898F" w:rsidR="00424F18" w:rsidRPr="00070458" w:rsidRDefault="00424F18" w:rsidP="00424F18">
            <w:pPr>
              <w:spacing w:before="60" w:after="60"/>
              <w:ind w:left="34"/>
              <w:rPr>
                <w:rFonts w:eastAsia="Times New Roman" w:cs="Times New Roman"/>
                <w:sz w:val="20"/>
                <w:szCs w:val="20"/>
                <w:lang w:eastAsia="en-AU"/>
              </w:rPr>
            </w:pPr>
            <w:r w:rsidRPr="006D2FCE">
              <w:rPr>
                <w:sz w:val="20"/>
                <w:szCs w:val="20"/>
              </w:rPr>
              <w:t>8-</w:t>
            </w:r>
            <w:r>
              <w:rPr>
                <w:sz w:val="20"/>
                <w:szCs w:val="20"/>
              </w:rPr>
              <w:t>25</w:t>
            </w:r>
            <w:r w:rsidRPr="006D2FCE">
              <w:rPr>
                <w:sz w:val="20"/>
                <w:szCs w:val="20"/>
              </w:rPr>
              <w:t>(2)-(3) and 8-</w:t>
            </w:r>
            <w:r>
              <w:rPr>
                <w:sz w:val="20"/>
                <w:szCs w:val="20"/>
              </w:rPr>
              <w:t>30</w:t>
            </w:r>
            <w:r w:rsidRPr="006D2FCE">
              <w:rPr>
                <w:sz w:val="20"/>
                <w:szCs w:val="20"/>
              </w:rPr>
              <w:t>(2)-(3)</w:t>
            </w:r>
          </w:p>
        </w:tc>
      </w:tr>
      <w:tr w:rsidR="00424F18" w:rsidRPr="00EB655C" w14:paraId="34278006" w14:textId="77777777">
        <w:trPr>
          <w:trHeight w:val="300"/>
        </w:trPr>
        <w:tc>
          <w:tcPr>
            <w:tcW w:w="1694" w:type="dxa"/>
            <w:tcBorders>
              <w:top w:val="nil"/>
              <w:left w:val="single" w:sz="4" w:space="0" w:color="auto"/>
              <w:bottom w:val="single" w:sz="4" w:space="0" w:color="auto"/>
              <w:right w:val="single" w:sz="4" w:space="0" w:color="auto"/>
            </w:tcBorders>
          </w:tcPr>
          <w:p w14:paraId="51D94678" w14:textId="77777777" w:rsidR="00424F18" w:rsidRPr="00070458" w:rsidRDefault="00424F18" w:rsidP="00424F18">
            <w:pPr>
              <w:spacing w:before="60" w:after="60"/>
              <w:ind w:left="34"/>
              <w:rPr>
                <w:rFonts w:eastAsia="Times New Roman" w:cs="Times New Roman"/>
                <w:sz w:val="20"/>
                <w:szCs w:val="20"/>
                <w:lang w:eastAsia="en-AU"/>
              </w:rPr>
            </w:pPr>
            <w:r w:rsidRPr="006D2FCE">
              <w:rPr>
                <w:sz w:val="20"/>
                <w:szCs w:val="20"/>
              </w:rPr>
              <w:t>2.3.4 of the December 2023 AG</w:t>
            </w:r>
          </w:p>
        </w:tc>
        <w:tc>
          <w:tcPr>
            <w:tcW w:w="3953" w:type="dxa"/>
            <w:tcBorders>
              <w:top w:val="nil"/>
              <w:left w:val="single" w:sz="4" w:space="0" w:color="auto"/>
              <w:bottom w:val="single" w:sz="4" w:space="0" w:color="auto"/>
              <w:right w:val="single" w:sz="4" w:space="0" w:color="auto"/>
            </w:tcBorders>
          </w:tcPr>
          <w:p w14:paraId="177139D8" w14:textId="77777777" w:rsidR="00424F18" w:rsidRPr="00070458" w:rsidRDefault="00424F18" w:rsidP="00424F18">
            <w:pPr>
              <w:spacing w:before="60" w:after="60"/>
              <w:ind w:left="34"/>
              <w:rPr>
                <w:rFonts w:eastAsia="Times New Roman" w:cs="Times New Roman"/>
                <w:sz w:val="20"/>
                <w:szCs w:val="20"/>
                <w:lang w:eastAsia="en-AU"/>
              </w:rPr>
            </w:pPr>
            <w:r w:rsidRPr="006D2FCE">
              <w:rPr>
                <w:sz w:val="20"/>
                <w:szCs w:val="20"/>
              </w:rPr>
              <w:t>MNE Groups not required to file CbCR</w:t>
            </w:r>
          </w:p>
        </w:tc>
        <w:tc>
          <w:tcPr>
            <w:tcW w:w="1828" w:type="dxa"/>
            <w:tcBorders>
              <w:top w:val="nil"/>
              <w:left w:val="single" w:sz="4" w:space="0" w:color="auto"/>
              <w:bottom w:val="single" w:sz="4" w:space="0" w:color="auto"/>
              <w:right w:val="single" w:sz="4" w:space="0" w:color="auto"/>
            </w:tcBorders>
            <w:shd w:val="clear" w:color="auto" w:fill="auto"/>
            <w:noWrap/>
          </w:tcPr>
          <w:p w14:paraId="6DC4DB8C" w14:textId="1B228FB0" w:rsidR="00424F18" w:rsidRPr="00070458" w:rsidRDefault="00424F18" w:rsidP="00424F18">
            <w:pPr>
              <w:spacing w:before="60" w:after="60"/>
              <w:ind w:left="34"/>
              <w:rPr>
                <w:rFonts w:eastAsia="Times New Roman" w:cs="Times New Roman"/>
                <w:sz w:val="20"/>
                <w:szCs w:val="20"/>
                <w:lang w:eastAsia="en-AU"/>
              </w:rPr>
            </w:pPr>
            <w:r w:rsidRPr="006D2FCE">
              <w:rPr>
                <w:sz w:val="20"/>
                <w:szCs w:val="20"/>
              </w:rPr>
              <w:t>8-</w:t>
            </w:r>
            <w:r>
              <w:rPr>
                <w:sz w:val="20"/>
                <w:szCs w:val="20"/>
              </w:rPr>
              <w:t>35</w:t>
            </w:r>
          </w:p>
        </w:tc>
      </w:tr>
      <w:tr w:rsidR="00424F18" w:rsidRPr="00EB655C" w14:paraId="72440A84" w14:textId="77777777">
        <w:trPr>
          <w:trHeight w:val="300"/>
        </w:trPr>
        <w:tc>
          <w:tcPr>
            <w:tcW w:w="1694" w:type="dxa"/>
            <w:tcBorders>
              <w:top w:val="nil"/>
              <w:left w:val="single" w:sz="4" w:space="0" w:color="auto"/>
              <w:bottom w:val="single" w:sz="4" w:space="0" w:color="auto"/>
              <w:right w:val="single" w:sz="4" w:space="0" w:color="auto"/>
            </w:tcBorders>
            <w:vAlign w:val="bottom"/>
          </w:tcPr>
          <w:p w14:paraId="6A672AE3"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2.4</w:t>
            </w:r>
            <w:r>
              <w:rPr>
                <w:rFonts w:eastAsia="Times New Roman" w:cs="Times New Roman"/>
                <w:sz w:val="20"/>
                <w:szCs w:val="20"/>
                <w:lang w:eastAsia="en-AU"/>
              </w:rPr>
              <w:t>.1</w:t>
            </w:r>
            <w:r w:rsidRPr="00EB655C">
              <w:rPr>
                <w:rFonts w:eastAsia="Times New Roman" w:cs="Times New Roman"/>
                <w:sz w:val="20"/>
                <w:szCs w:val="20"/>
                <w:lang w:eastAsia="en-AU"/>
              </w:rPr>
              <w:t xml:space="preserve"> of the Dec</w:t>
            </w:r>
            <w:r>
              <w:rPr>
                <w:rFonts w:eastAsia="Times New Roman" w:cs="Times New Roman"/>
                <w:sz w:val="20"/>
                <w:szCs w:val="20"/>
                <w:lang w:eastAsia="en-AU"/>
              </w:rPr>
              <w:t>ember</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12E535F6"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Simplified </w:t>
            </w:r>
            <w:r>
              <w:rPr>
                <w:rFonts w:eastAsia="Times New Roman" w:cs="Times New Roman"/>
                <w:sz w:val="20"/>
                <w:szCs w:val="20"/>
                <w:lang w:eastAsia="en-AU"/>
              </w:rPr>
              <w:t>Covered Taxes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E53DCA1" w14:textId="705D5084" w:rsidR="00424F18" w:rsidRPr="00EB655C" w:rsidRDefault="00424F18" w:rsidP="00424F18">
            <w:pPr>
              <w:spacing w:before="60" w:after="60"/>
              <w:rPr>
                <w:rFonts w:eastAsia="Times New Roman" w:cs="Times New Roman"/>
                <w:sz w:val="20"/>
                <w:szCs w:val="20"/>
                <w:lang w:eastAsia="en-AU"/>
              </w:rPr>
            </w:pPr>
            <w:r>
              <w:rPr>
                <w:rFonts w:eastAsia="Times New Roman" w:cs="Times New Roman"/>
                <w:sz w:val="20"/>
                <w:szCs w:val="20"/>
                <w:lang w:eastAsia="en-AU"/>
              </w:rPr>
              <w:t>8-50(2)</w:t>
            </w:r>
          </w:p>
        </w:tc>
      </w:tr>
      <w:tr w:rsidR="00424F18" w:rsidRPr="00EB655C" w14:paraId="064486CD" w14:textId="77777777">
        <w:trPr>
          <w:trHeight w:val="300"/>
        </w:trPr>
        <w:tc>
          <w:tcPr>
            <w:tcW w:w="1694" w:type="dxa"/>
            <w:tcBorders>
              <w:top w:val="nil"/>
              <w:left w:val="single" w:sz="4" w:space="0" w:color="auto"/>
              <w:bottom w:val="single" w:sz="4" w:space="0" w:color="auto"/>
              <w:right w:val="single" w:sz="4" w:space="0" w:color="auto"/>
            </w:tcBorders>
            <w:vAlign w:val="bottom"/>
          </w:tcPr>
          <w:p w14:paraId="375457E0" w14:textId="77777777" w:rsidR="00424F18" w:rsidRPr="00EB655C" w:rsidRDefault="00424F1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2.4.2 of the December 2023 AG</w:t>
            </w:r>
          </w:p>
        </w:tc>
        <w:tc>
          <w:tcPr>
            <w:tcW w:w="3953" w:type="dxa"/>
            <w:tcBorders>
              <w:top w:val="nil"/>
              <w:left w:val="single" w:sz="4" w:space="0" w:color="auto"/>
              <w:bottom w:val="single" w:sz="4" w:space="0" w:color="auto"/>
              <w:right w:val="single" w:sz="4" w:space="0" w:color="auto"/>
            </w:tcBorders>
            <w:vAlign w:val="bottom"/>
          </w:tcPr>
          <w:p w14:paraId="39BBF1D6" w14:textId="759CC340" w:rsidR="00424F18" w:rsidRPr="00EB655C" w:rsidRDefault="00424F1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Covered Taxes on income of P</w:t>
            </w:r>
            <w:r w:rsidR="004913F5">
              <w:rPr>
                <w:rFonts w:eastAsia="Times New Roman" w:cs="Times New Roman"/>
                <w:sz w:val="20"/>
                <w:szCs w:val="20"/>
                <w:lang w:eastAsia="en-AU"/>
              </w:rPr>
              <w:t xml:space="preserve">ermanent </w:t>
            </w:r>
            <w:r>
              <w:rPr>
                <w:rFonts w:eastAsia="Times New Roman" w:cs="Times New Roman"/>
                <w:sz w:val="20"/>
                <w:szCs w:val="20"/>
                <w:lang w:eastAsia="en-AU"/>
              </w:rPr>
              <w:t>Es</w:t>
            </w:r>
            <w:r w:rsidR="004913F5">
              <w:rPr>
                <w:rFonts w:eastAsia="Times New Roman" w:cs="Times New Roman"/>
                <w:sz w:val="20"/>
                <w:szCs w:val="20"/>
                <w:lang w:eastAsia="en-AU"/>
              </w:rPr>
              <w:t>tablishments</w:t>
            </w:r>
            <w:r>
              <w:rPr>
                <w:rFonts w:eastAsia="Times New Roman" w:cs="Times New Roman"/>
                <w:sz w:val="20"/>
                <w:szCs w:val="20"/>
                <w:lang w:eastAsia="en-AU"/>
              </w:rPr>
              <w:t xml:space="preserve">, CFCs, and Hybrid Entities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7A3960D3" w14:textId="3F1465E6" w:rsidR="00424F18" w:rsidRDefault="00424F18" w:rsidP="00424F18">
            <w:pPr>
              <w:spacing w:before="60" w:after="60"/>
              <w:rPr>
                <w:rFonts w:eastAsia="Times New Roman" w:cs="Times New Roman"/>
                <w:sz w:val="20"/>
                <w:szCs w:val="20"/>
                <w:lang w:eastAsia="en-AU"/>
              </w:rPr>
            </w:pPr>
            <w:r>
              <w:rPr>
                <w:rFonts w:eastAsia="Times New Roman" w:cs="Times New Roman"/>
                <w:sz w:val="20"/>
                <w:szCs w:val="20"/>
                <w:lang w:eastAsia="en-AU"/>
              </w:rPr>
              <w:t>8-60(3)</w:t>
            </w:r>
          </w:p>
        </w:tc>
      </w:tr>
      <w:tr w:rsidR="00424F18" w:rsidRPr="00EB655C" w14:paraId="600F79CE" w14:textId="77777777">
        <w:trPr>
          <w:trHeight w:val="300"/>
        </w:trPr>
        <w:tc>
          <w:tcPr>
            <w:tcW w:w="1694" w:type="dxa"/>
            <w:tcBorders>
              <w:top w:val="nil"/>
              <w:left w:val="single" w:sz="4" w:space="0" w:color="auto"/>
              <w:bottom w:val="single" w:sz="4" w:space="0" w:color="auto"/>
              <w:right w:val="single" w:sz="4" w:space="0" w:color="auto"/>
            </w:tcBorders>
            <w:vAlign w:val="bottom"/>
          </w:tcPr>
          <w:p w14:paraId="0DF41B9A"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2.5 of the Dec</w:t>
            </w:r>
            <w:r>
              <w:rPr>
                <w:rFonts w:eastAsia="Times New Roman" w:cs="Times New Roman"/>
                <w:sz w:val="20"/>
                <w:szCs w:val="20"/>
                <w:lang w:eastAsia="en-AU"/>
              </w:rPr>
              <w:t>ember</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68D38E1A"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Routine Profits Test</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6FF6D44" w14:textId="6467B615" w:rsidR="00424F18" w:rsidRPr="00EB655C" w:rsidRDefault="00424F18" w:rsidP="00424F18">
            <w:pPr>
              <w:spacing w:before="60" w:after="60"/>
              <w:rPr>
                <w:rFonts w:eastAsia="Times New Roman" w:cs="Times New Roman"/>
                <w:sz w:val="20"/>
                <w:szCs w:val="20"/>
                <w:lang w:eastAsia="en-AU"/>
              </w:rPr>
            </w:pPr>
            <w:r>
              <w:rPr>
                <w:rFonts w:eastAsia="Times New Roman" w:cs="Times New Roman"/>
                <w:sz w:val="20"/>
                <w:szCs w:val="20"/>
                <w:lang w:eastAsia="en-AU"/>
              </w:rPr>
              <w:t>8-60(3)</w:t>
            </w:r>
          </w:p>
        </w:tc>
      </w:tr>
      <w:tr w:rsidR="00424F18" w:rsidRPr="00EB655C" w14:paraId="2AD127A6" w14:textId="77777777">
        <w:trPr>
          <w:trHeight w:val="300"/>
        </w:trPr>
        <w:tc>
          <w:tcPr>
            <w:tcW w:w="1694" w:type="dxa"/>
            <w:tcBorders>
              <w:top w:val="nil"/>
              <w:left w:val="single" w:sz="4" w:space="0" w:color="auto"/>
              <w:bottom w:val="single" w:sz="4" w:space="0" w:color="auto"/>
              <w:right w:val="single" w:sz="4" w:space="0" w:color="auto"/>
            </w:tcBorders>
            <w:vAlign w:val="bottom"/>
          </w:tcPr>
          <w:p w14:paraId="4CC0C534"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2.6 of the Dec</w:t>
            </w:r>
            <w:r>
              <w:rPr>
                <w:rFonts w:eastAsia="Times New Roman" w:cs="Times New Roman"/>
                <w:sz w:val="20"/>
                <w:szCs w:val="20"/>
                <w:lang w:eastAsia="en-AU"/>
              </w:rPr>
              <w:t>ember</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1A5A2EEA"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Treatment of hybrid arbitrage arrangements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0C68461" w14:textId="579C62F9"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8-</w:t>
            </w:r>
            <w:r w:rsidR="00D51433">
              <w:rPr>
                <w:rFonts w:eastAsia="Times New Roman" w:cs="Times New Roman"/>
                <w:sz w:val="20"/>
                <w:szCs w:val="20"/>
                <w:lang w:eastAsia="en-AU"/>
              </w:rPr>
              <w:t>110 to 8</w:t>
            </w:r>
            <w:r w:rsidR="00D51433">
              <w:rPr>
                <w:rFonts w:eastAsia="Times New Roman" w:cs="Times New Roman"/>
                <w:sz w:val="20"/>
                <w:szCs w:val="20"/>
                <w:lang w:eastAsia="en-AU"/>
              </w:rPr>
              <w:noBreakHyphen/>
              <w:t>150</w:t>
            </w:r>
          </w:p>
        </w:tc>
      </w:tr>
      <w:tr w:rsidR="00424F18" w:rsidRPr="00EB655C" w14:paraId="3810E974" w14:textId="77777777">
        <w:trPr>
          <w:trHeight w:val="300"/>
        </w:trPr>
        <w:tc>
          <w:tcPr>
            <w:tcW w:w="1694" w:type="dxa"/>
            <w:tcBorders>
              <w:top w:val="nil"/>
              <w:left w:val="single" w:sz="4" w:space="0" w:color="auto"/>
              <w:bottom w:val="single" w:sz="4" w:space="0" w:color="auto"/>
              <w:right w:val="single" w:sz="4" w:space="0" w:color="auto"/>
            </w:tcBorders>
            <w:vAlign w:val="bottom"/>
          </w:tcPr>
          <w:p w14:paraId="34EADDCD"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Chapter 2 of the </w:t>
            </w:r>
            <w:r>
              <w:rPr>
                <w:rFonts w:eastAsia="Times New Roman" w:cs="Times New Roman"/>
                <w:sz w:val="20"/>
                <w:szCs w:val="20"/>
                <w:lang w:eastAsia="en-AU"/>
              </w:rPr>
              <w:t xml:space="preserve">2022 </w:t>
            </w:r>
            <w:r w:rsidRPr="00EB655C">
              <w:rPr>
                <w:rFonts w:eastAsia="Times New Roman" w:cs="Times New Roman"/>
                <w:sz w:val="20"/>
                <w:szCs w:val="20"/>
                <w:lang w:eastAsia="en-AU"/>
              </w:rPr>
              <w:t>Safe Harbour</w:t>
            </w:r>
            <w:r>
              <w:rPr>
                <w:rFonts w:eastAsia="Times New Roman" w:cs="Times New Roman"/>
                <w:sz w:val="20"/>
                <w:szCs w:val="20"/>
                <w:lang w:eastAsia="en-AU"/>
              </w:rPr>
              <w:t>s</w:t>
            </w:r>
            <w:r w:rsidRPr="00EB655C">
              <w:rPr>
                <w:rFonts w:eastAsia="Times New Roman" w:cs="Times New Roman"/>
                <w:sz w:val="20"/>
                <w:szCs w:val="20"/>
                <w:lang w:eastAsia="en-AU"/>
              </w:rPr>
              <w:t xml:space="preserve"> document</w:t>
            </w:r>
          </w:p>
        </w:tc>
        <w:tc>
          <w:tcPr>
            <w:tcW w:w="3953" w:type="dxa"/>
            <w:tcBorders>
              <w:top w:val="nil"/>
              <w:left w:val="single" w:sz="4" w:space="0" w:color="auto"/>
              <w:bottom w:val="single" w:sz="4" w:space="0" w:color="auto"/>
              <w:right w:val="single" w:sz="4" w:space="0" w:color="auto"/>
            </w:tcBorders>
            <w:vAlign w:val="bottom"/>
          </w:tcPr>
          <w:p w14:paraId="314BDACA"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Simplified Calculations Safe Harbour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6153EA4" w14:textId="0B429340" w:rsidR="00424F18" w:rsidRPr="00EB655C" w:rsidRDefault="00424F18" w:rsidP="00424F18">
            <w:pPr>
              <w:spacing w:before="60" w:after="60"/>
              <w:ind w:left="34"/>
              <w:rPr>
                <w:rFonts w:eastAsia="Times New Roman" w:cs="Times New Roman"/>
                <w:sz w:val="20"/>
                <w:szCs w:val="20"/>
                <w:lang w:eastAsia="en-AU"/>
              </w:rPr>
            </w:pPr>
            <w:r w:rsidRPr="00224E7D">
              <w:rPr>
                <w:rFonts w:eastAsia="Times New Roman" w:cs="Times New Roman"/>
                <w:sz w:val="20"/>
                <w:szCs w:val="20"/>
                <w:lang w:eastAsia="en-AU"/>
              </w:rPr>
              <w:t>8-1</w:t>
            </w:r>
            <w:r>
              <w:rPr>
                <w:rFonts w:eastAsia="Times New Roman" w:cs="Times New Roman"/>
                <w:sz w:val="20"/>
                <w:szCs w:val="20"/>
                <w:lang w:eastAsia="en-AU"/>
              </w:rPr>
              <w:t>55</w:t>
            </w:r>
            <w:r w:rsidRPr="00224E7D">
              <w:rPr>
                <w:rFonts w:eastAsia="Times New Roman" w:cs="Times New Roman"/>
                <w:sz w:val="20"/>
                <w:szCs w:val="20"/>
                <w:lang w:eastAsia="en-AU"/>
              </w:rPr>
              <w:t xml:space="preserve"> to 8-1</w:t>
            </w:r>
            <w:r>
              <w:rPr>
                <w:rFonts w:eastAsia="Times New Roman" w:cs="Times New Roman"/>
                <w:sz w:val="20"/>
                <w:szCs w:val="20"/>
                <w:lang w:eastAsia="en-AU"/>
              </w:rPr>
              <w:t>70</w:t>
            </w:r>
          </w:p>
        </w:tc>
      </w:tr>
      <w:tr w:rsidR="00424F18" w:rsidRPr="00EB655C" w14:paraId="716B31F9" w14:textId="77777777">
        <w:trPr>
          <w:trHeight w:val="300"/>
        </w:trPr>
        <w:tc>
          <w:tcPr>
            <w:tcW w:w="1694" w:type="dxa"/>
            <w:tcBorders>
              <w:top w:val="nil"/>
              <w:left w:val="single" w:sz="4" w:space="0" w:color="auto"/>
              <w:bottom w:val="single" w:sz="4" w:space="0" w:color="auto"/>
              <w:right w:val="single" w:sz="4" w:space="0" w:color="auto"/>
            </w:tcBorders>
            <w:vAlign w:val="bottom"/>
          </w:tcPr>
          <w:p w14:paraId="7BD8D2BD"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lastRenderedPageBreak/>
              <w:t>Chapter 6 of the Dec</w:t>
            </w:r>
            <w:r>
              <w:rPr>
                <w:rFonts w:eastAsia="Times New Roman" w:cs="Times New Roman"/>
                <w:sz w:val="20"/>
                <w:szCs w:val="20"/>
                <w:lang w:eastAsia="en-AU"/>
              </w:rPr>
              <w:t>ember</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4819A76D"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Simplified Calculation Safe Harbour for Non-Material Constituent Entities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B38E9BA" w14:textId="2105CCC8" w:rsidR="00424F18" w:rsidRPr="00EB655C" w:rsidRDefault="00424F18" w:rsidP="00424F18">
            <w:pPr>
              <w:spacing w:before="60" w:after="60"/>
              <w:ind w:left="34"/>
              <w:rPr>
                <w:rFonts w:eastAsia="Times New Roman" w:cs="Times New Roman"/>
                <w:sz w:val="20"/>
                <w:szCs w:val="20"/>
                <w:lang w:eastAsia="en-AU"/>
              </w:rPr>
            </w:pPr>
            <w:r w:rsidRPr="00D014FC">
              <w:rPr>
                <w:rFonts w:eastAsia="Times New Roman" w:cs="Times New Roman"/>
                <w:sz w:val="20"/>
                <w:szCs w:val="20"/>
                <w:lang w:eastAsia="en-AU"/>
              </w:rPr>
              <w:t>8-120 to 8-1</w:t>
            </w:r>
            <w:r>
              <w:rPr>
                <w:rFonts w:eastAsia="Times New Roman" w:cs="Times New Roman"/>
                <w:sz w:val="20"/>
                <w:szCs w:val="20"/>
                <w:lang w:eastAsia="en-AU"/>
              </w:rPr>
              <w:t>85</w:t>
            </w:r>
          </w:p>
        </w:tc>
      </w:tr>
      <w:tr w:rsidR="00424F18" w:rsidRPr="00EB655C" w14:paraId="594C297F" w14:textId="77777777">
        <w:trPr>
          <w:trHeight w:val="300"/>
        </w:trPr>
        <w:tc>
          <w:tcPr>
            <w:tcW w:w="1694" w:type="dxa"/>
            <w:tcBorders>
              <w:top w:val="nil"/>
              <w:left w:val="single" w:sz="4" w:space="0" w:color="auto"/>
              <w:bottom w:val="single" w:sz="4" w:space="0" w:color="auto"/>
              <w:right w:val="single" w:sz="4" w:space="0" w:color="auto"/>
            </w:tcBorders>
            <w:vAlign w:val="bottom"/>
          </w:tcPr>
          <w:p w14:paraId="38692082" w14:textId="77777777" w:rsidR="00424F18" w:rsidRPr="00EB655C" w:rsidRDefault="00424F1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5.1</w:t>
            </w:r>
            <w:r w:rsidRPr="00EB655C">
              <w:rPr>
                <w:rFonts w:eastAsia="Times New Roman" w:cs="Times New Roman"/>
                <w:sz w:val="20"/>
                <w:szCs w:val="20"/>
                <w:lang w:eastAsia="en-AU"/>
              </w:rPr>
              <w:t xml:space="preserve"> of the July AG </w:t>
            </w:r>
          </w:p>
        </w:tc>
        <w:tc>
          <w:tcPr>
            <w:tcW w:w="3953" w:type="dxa"/>
            <w:tcBorders>
              <w:top w:val="nil"/>
              <w:left w:val="single" w:sz="4" w:space="0" w:color="auto"/>
              <w:bottom w:val="single" w:sz="4" w:space="0" w:color="auto"/>
              <w:right w:val="single" w:sz="4" w:space="0" w:color="auto"/>
            </w:tcBorders>
            <w:vAlign w:val="bottom"/>
          </w:tcPr>
          <w:p w14:paraId="3410E93A"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QDMTT Safe Harbour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7D03349"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Division 3 of Part 8-2</w:t>
            </w:r>
          </w:p>
        </w:tc>
      </w:tr>
      <w:tr w:rsidR="00424F18" w:rsidRPr="00EB655C" w14:paraId="6F9F2E80" w14:textId="77777777">
        <w:trPr>
          <w:trHeight w:val="300"/>
        </w:trPr>
        <w:tc>
          <w:tcPr>
            <w:tcW w:w="1694" w:type="dxa"/>
            <w:tcBorders>
              <w:top w:val="nil"/>
              <w:left w:val="single" w:sz="4" w:space="0" w:color="auto"/>
              <w:bottom w:val="single" w:sz="4" w:space="0" w:color="auto"/>
              <w:right w:val="single" w:sz="4" w:space="0" w:color="auto"/>
            </w:tcBorders>
          </w:tcPr>
          <w:p w14:paraId="59E0CCE5" w14:textId="77777777" w:rsidR="00424F18" w:rsidRPr="00D72F10" w:rsidDel="00D70177" w:rsidRDefault="00424F18" w:rsidP="00424F18">
            <w:pPr>
              <w:spacing w:before="60" w:after="60"/>
              <w:ind w:left="34"/>
              <w:rPr>
                <w:rFonts w:eastAsia="Times New Roman" w:cs="Times New Roman"/>
                <w:sz w:val="20"/>
                <w:szCs w:val="20"/>
                <w:lang w:eastAsia="en-AU"/>
              </w:rPr>
            </w:pPr>
            <w:r w:rsidRPr="006D2FCE">
              <w:rPr>
                <w:sz w:val="20"/>
                <w:szCs w:val="20"/>
              </w:rPr>
              <w:t>5.2 of the July 2023 AG</w:t>
            </w:r>
          </w:p>
        </w:tc>
        <w:tc>
          <w:tcPr>
            <w:tcW w:w="3953" w:type="dxa"/>
            <w:tcBorders>
              <w:top w:val="nil"/>
              <w:left w:val="single" w:sz="4" w:space="0" w:color="auto"/>
              <w:bottom w:val="single" w:sz="4" w:space="0" w:color="auto"/>
              <w:right w:val="single" w:sz="4" w:space="0" w:color="auto"/>
            </w:tcBorders>
          </w:tcPr>
          <w:p w14:paraId="20214C47" w14:textId="77777777" w:rsidR="00424F18" w:rsidRPr="00D72F10" w:rsidRDefault="00424F18" w:rsidP="00424F18">
            <w:pPr>
              <w:spacing w:before="60" w:after="60"/>
              <w:ind w:left="34"/>
              <w:rPr>
                <w:rFonts w:eastAsia="Times New Roman" w:cs="Times New Roman"/>
                <w:sz w:val="20"/>
                <w:szCs w:val="20"/>
                <w:lang w:eastAsia="en-AU"/>
              </w:rPr>
            </w:pPr>
            <w:r w:rsidRPr="006D2FCE">
              <w:rPr>
                <w:sz w:val="20"/>
                <w:szCs w:val="20"/>
              </w:rPr>
              <w:t>Transitional UTPR Safe Harbour</w:t>
            </w:r>
          </w:p>
        </w:tc>
        <w:tc>
          <w:tcPr>
            <w:tcW w:w="1828" w:type="dxa"/>
            <w:tcBorders>
              <w:top w:val="nil"/>
              <w:left w:val="single" w:sz="4" w:space="0" w:color="auto"/>
              <w:bottom w:val="single" w:sz="4" w:space="0" w:color="auto"/>
              <w:right w:val="single" w:sz="4" w:space="0" w:color="auto"/>
            </w:tcBorders>
            <w:shd w:val="clear" w:color="auto" w:fill="auto"/>
            <w:noWrap/>
          </w:tcPr>
          <w:p w14:paraId="38780687" w14:textId="77777777" w:rsidR="00424F18" w:rsidRPr="00D72F10" w:rsidRDefault="00424F18" w:rsidP="00424F18">
            <w:pPr>
              <w:spacing w:before="60" w:after="60"/>
              <w:ind w:left="34"/>
              <w:rPr>
                <w:rFonts w:eastAsia="Times New Roman" w:cs="Times New Roman"/>
                <w:sz w:val="20"/>
                <w:szCs w:val="20"/>
                <w:lang w:eastAsia="en-AU"/>
              </w:rPr>
            </w:pPr>
            <w:r w:rsidRPr="006D2FCE">
              <w:rPr>
                <w:sz w:val="20"/>
                <w:szCs w:val="20"/>
              </w:rPr>
              <w:t>Division 4 of Part 8-2</w:t>
            </w:r>
          </w:p>
        </w:tc>
      </w:tr>
      <w:tr w:rsidR="00424F18" w:rsidRPr="00EB655C" w14:paraId="340E6836" w14:textId="77777777">
        <w:trPr>
          <w:trHeight w:val="300"/>
        </w:trPr>
        <w:tc>
          <w:tcPr>
            <w:tcW w:w="7475" w:type="dxa"/>
            <w:gridSpan w:val="3"/>
            <w:tcBorders>
              <w:top w:val="nil"/>
              <w:left w:val="single" w:sz="4" w:space="0" w:color="auto"/>
              <w:bottom w:val="single" w:sz="4" w:space="0" w:color="auto"/>
              <w:right w:val="single" w:sz="4" w:space="0" w:color="auto"/>
            </w:tcBorders>
            <w:vAlign w:val="bottom"/>
          </w:tcPr>
          <w:p w14:paraId="48C7CCF3" w14:textId="77777777" w:rsidR="00424F18" w:rsidRPr="00EB655C" w:rsidRDefault="00424F18" w:rsidP="00424F18">
            <w:pPr>
              <w:pStyle w:val="Tableheaderrowtext"/>
              <w:numPr>
                <w:ilvl w:val="3"/>
                <w:numId w:val="2"/>
              </w:numPr>
              <w:rPr>
                <w:lang w:eastAsia="en-AU"/>
              </w:rPr>
            </w:pPr>
            <w:r>
              <w:rPr>
                <w:lang w:eastAsia="en-AU"/>
              </w:rPr>
              <w:t xml:space="preserve">Chapter 9 - </w:t>
            </w:r>
            <w:r w:rsidRPr="00CD3495">
              <w:rPr>
                <w:lang w:eastAsia="en-AU"/>
              </w:rPr>
              <w:t>Transition rules</w:t>
            </w:r>
          </w:p>
        </w:tc>
      </w:tr>
      <w:tr w:rsidR="00424F18" w:rsidRPr="00EB655C" w14:paraId="1757B50B" w14:textId="77777777">
        <w:trPr>
          <w:trHeight w:val="300"/>
        </w:trPr>
        <w:tc>
          <w:tcPr>
            <w:tcW w:w="1694" w:type="dxa"/>
            <w:tcBorders>
              <w:top w:val="nil"/>
              <w:left w:val="single" w:sz="4" w:space="0" w:color="auto"/>
              <w:bottom w:val="single" w:sz="4" w:space="0" w:color="auto"/>
              <w:right w:val="single" w:sz="4" w:space="0" w:color="auto"/>
            </w:tcBorders>
            <w:vAlign w:val="bottom"/>
          </w:tcPr>
          <w:p w14:paraId="27C0A29B" w14:textId="77777777" w:rsidR="00424F18" w:rsidRPr="00EB655C" w:rsidRDefault="00424F18" w:rsidP="00424F18">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9.1</w:t>
            </w:r>
          </w:p>
        </w:tc>
        <w:tc>
          <w:tcPr>
            <w:tcW w:w="3953" w:type="dxa"/>
            <w:tcBorders>
              <w:top w:val="nil"/>
              <w:left w:val="single" w:sz="4" w:space="0" w:color="auto"/>
              <w:bottom w:val="single" w:sz="4" w:space="0" w:color="auto"/>
              <w:right w:val="single" w:sz="4" w:space="0" w:color="auto"/>
            </w:tcBorders>
            <w:vAlign w:val="bottom"/>
          </w:tcPr>
          <w:p w14:paraId="242AD69F" w14:textId="77777777" w:rsidR="00424F18" w:rsidRPr="00EB655C" w:rsidRDefault="00424F18" w:rsidP="00424F18">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 xml:space="preserve">Tax Attributes Upon Transition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A786216" w14:textId="77777777" w:rsidR="00424F18" w:rsidRPr="00EB655C" w:rsidRDefault="00424F18" w:rsidP="00424F18">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9-1</w:t>
            </w:r>
          </w:p>
        </w:tc>
      </w:tr>
      <w:tr w:rsidR="00424F18" w:rsidRPr="00EB655C" w14:paraId="1FCD7976" w14:textId="77777777">
        <w:trPr>
          <w:trHeight w:val="300"/>
        </w:trPr>
        <w:tc>
          <w:tcPr>
            <w:tcW w:w="1694" w:type="dxa"/>
            <w:tcBorders>
              <w:top w:val="nil"/>
              <w:left w:val="single" w:sz="4" w:space="0" w:color="auto"/>
              <w:bottom w:val="single" w:sz="4" w:space="0" w:color="auto"/>
              <w:right w:val="single" w:sz="4" w:space="0" w:color="auto"/>
            </w:tcBorders>
            <w:vAlign w:val="bottom"/>
          </w:tcPr>
          <w:p w14:paraId="1AC932AD"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9.1.1</w:t>
            </w:r>
          </w:p>
        </w:tc>
        <w:tc>
          <w:tcPr>
            <w:tcW w:w="3953" w:type="dxa"/>
            <w:tcBorders>
              <w:top w:val="nil"/>
              <w:left w:val="single" w:sz="4" w:space="0" w:color="auto"/>
              <w:bottom w:val="single" w:sz="4" w:space="0" w:color="auto"/>
              <w:right w:val="single" w:sz="4" w:space="0" w:color="auto"/>
            </w:tcBorders>
            <w:vAlign w:val="bottom"/>
          </w:tcPr>
          <w:p w14:paraId="33A9DBDC"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Deferred tax assets and liabilities in a transition year for the ETR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6644591"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9-5 and 9-10 </w:t>
            </w:r>
          </w:p>
        </w:tc>
      </w:tr>
      <w:tr w:rsidR="00424F18" w:rsidRPr="00EB655C" w14:paraId="6DE1DE7E" w14:textId="77777777">
        <w:trPr>
          <w:trHeight w:val="300"/>
        </w:trPr>
        <w:tc>
          <w:tcPr>
            <w:tcW w:w="1694" w:type="dxa"/>
            <w:tcBorders>
              <w:top w:val="nil"/>
              <w:left w:val="single" w:sz="4" w:space="0" w:color="auto"/>
              <w:bottom w:val="single" w:sz="4" w:space="0" w:color="auto"/>
              <w:right w:val="single" w:sz="4" w:space="0" w:color="auto"/>
            </w:tcBorders>
            <w:vAlign w:val="bottom"/>
          </w:tcPr>
          <w:p w14:paraId="28B956AC"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9.1.2</w:t>
            </w:r>
          </w:p>
        </w:tc>
        <w:tc>
          <w:tcPr>
            <w:tcW w:w="3953" w:type="dxa"/>
            <w:tcBorders>
              <w:top w:val="nil"/>
              <w:left w:val="single" w:sz="4" w:space="0" w:color="auto"/>
              <w:bottom w:val="single" w:sz="4" w:space="0" w:color="auto"/>
              <w:right w:val="single" w:sz="4" w:space="0" w:color="auto"/>
            </w:tcBorders>
            <w:vAlign w:val="bottom"/>
          </w:tcPr>
          <w:p w14:paraId="693EBDCD"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Deferred tax assets from excluded items under </w:t>
            </w:r>
            <w:r>
              <w:rPr>
                <w:rFonts w:eastAsia="Times New Roman" w:cs="Times New Roman"/>
                <w:sz w:val="20"/>
                <w:szCs w:val="20"/>
                <w:lang w:eastAsia="en-AU"/>
              </w:rPr>
              <w:t>C</w:t>
            </w:r>
            <w:r w:rsidRPr="00EB655C">
              <w:rPr>
                <w:rFonts w:eastAsia="Times New Roman" w:cs="Times New Roman"/>
                <w:sz w:val="20"/>
                <w:szCs w:val="20"/>
                <w:lang w:eastAsia="en-AU"/>
              </w:rPr>
              <w:t>hapter 3</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7045FF4"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9-5(3)(a)</w:t>
            </w:r>
          </w:p>
        </w:tc>
      </w:tr>
      <w:tr w:rsidR="00424F18" w:rsidRPr="00EB655C" w14:paraId="60183F19" w14:textId="77777777">
        <w:trPr>
          <w:trHeight w:val="300"/>
        </w:trPr>
        <w:tc>
          <w:tcPr>
            <w:tcW w:w="1694" w:type="dxa"/>
            <w:tcBorders>
              <w:top w:val="nil"/>
              <w:left w:val="single" w:sz="4" w:space="0" w:color="auto"/>
              <w:bottom w:val="single" w:sz="4" w:space="0" w:color="auto"/>
              <w:right w:val="single" w:sz="4" w:space="0" w:color="auto"/>
            </w:tcBorders>
            <w:vAlign w:val="bottom"/>
          </w:tcPr>
          <w:p w14:paraId="0D217339"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9.1.3</w:t>
            </w:r>
          </w:p>
        </w:tc>
        <w:tc>
          <w:tcPr>
            <w:tcW w:w="3953" w:type="dxa"/>
            <w:tcBorders>
              <w:top w:val="nil"/>
              <w:left w:val="single" w:sz="4" w:space="0" w:color="auto"/>
              <w:bottom w:val="single" w:sz="4" w:space="0" w:color="auto"/>
              <w:right w:val="single" w:sz="4" w:space="0" w:color="auto"/>
            </w:tcBorders>
            <w:vAlign w:val="bottom"/>
          </w:tcPr>
          <w:p w14:paraId="574E1777"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Transfer of assets between C</w:t>
            </w:r>
            <w:r>
              <w:rPr>
                <w:rFonts w:eastAsia="Times New Roman" w:cs="Times New Roman"/>
                <w:sz w:val="20"/>
                <w:szCs w:val="20"/>
                <w:lang w:eastAsia="en-AU"/>
              </w:rPr>
              <w:t>onstituent Entitie</w:t>
            </w:r>
            <w:r w:rsidRPr="00EB655C">
              <w:rPr>
                <w:rFonts w:eastAsia="Times New Roman" w:cs="Times New Roman"/>
                <w:sz w:val="20"/>
                <w:szCs w:val="20"/>
                <w:lang w:eastAsia="en-AU"/>
              </w:rPr>
              <w:t xml:space="preserve">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9E70E30"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9-15</w:t>
            </w:r>
          </w:p>
        </w:tc>
      </w:tr>
      <w:tr w:rsidR="00424F18" w:rsidRPr="00EB655C" w14:paraId="0BD9DF87" w14:textId="77777777">
        <w:trPr>
          <w:trHeight w:val="300"/>
        </w:trPr>
        <w:tc>
          <w:tcPr>
            <w:tcW w:w="1694" w:type="dxa"/>
            <w:tcBorders>
              <w:top w:val="nil"/>
              <w:left w:val="single" w:sz="4" w:space="0" w:color="auto"/>
              <w:bottom w:val="single" w:sz="4" w:space="0" w:color="auto"/>
              <w:right w:val="single" w:sz="4" w:space="0" w:color="auto"/>
            </w:tcBorders>
            <w:vAlign w:val="bottom"/>
          </w:tcPr>
          <w:p w14:paraId="1D397EFF"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4.1 of the </w:t>
            </w:r>
            <w:r>
              <w:rPr>
                <w:rFonts w:eastAsia="Times New Roman" w:cs="Times New Roman"/>
                <w:sz w:val="20"/>
                <w:szCs w:val="20"/>
                <w:lang w:eastAsia="en-AU"/>
              </w:rPr>
              <w:t xml:space="preserve">February 2023 </w:t>
            </w:r>
            <w:r w:rsidRPr="00EB655C">
              <w:rPr>
                <w:rFonts w:eastAsia="Times New Roman" w:cs="Times New Roman"/>
                <w:sz w:val="20"/>
                <w:szCs w:val="20"/>
                <w:lang w:eastAsia="en-AU"/>
              </w:rPr>
              <w:t>AG</w:t>
            </w:r>
          </w:p>
        </w:tc>
        <w:tc>
          <w:tcPr>
            <w:tcW w:w="3953" w:type="dxa"/>
            <w:tcBorders>
              <w:top w:val="nil"/>
              <w:left w:val="single" w:sz="4" w:space="0" w:color="auto"/>
              <w:bottom w:val="single" w:sz="4" w:space="0" w:color="auto"/>
              <w:right w:val="single" w:sz="4" w:space="0" w:color="auto"/>
            </w:tcBorders>
            <w:vAlign w:val="bottom"/>
          </w:tcPr>
          <w:p w14:paraId="41C9B91B"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Deferred tax assets with respect to tax credits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2CF0AAF"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Part 9-1</w:t>
            </w:r>
          </w:p>
        </w:tc>
      </w:tr>
      <w:tr w:rsidR="00424F18" w:rsidRPr="00EB655C" w14:paraId="47B42DD1" w14:textId="77777777">
        <w:trPr>
          <w:trHeight w:val="300"/>
        </w:trPr>
        <w:tc>
          <w:tcPr>
            <w:tcW w:w="1694" w:type="dxa"/>
            <w:tcBorders>
              <w:top w:val="nil"/>
              <w:left w:val="single" w:sz="4" w:space="0" w:color="auto"/>
              <w:bottom w:val="single" w:sz="4" w:space="0" w:color="auto"/>
              <w:right w:val="single" w:sz="4" w:space="0" w:color="auto"/>
            </w:tcBorders>
            <w:vAlign w:val="bottom"/>
          </w:tcPr>
          <w:p w14:paraId="4060EC93"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4.2 of the </w:t>
            </w:r>
            <w:r w:rsidRPr="001D02FD">
              <w:rPr>
                <w:rFonts w:eastAsia="Times New Roman" w:cs="Times New Roman"/>
                <w:sz w:val="20"/>
                <w:szCs w:val="20"/>
                <w:lang w:eastAsia="en-AU"/>
              </w:rPr>
              <w:t xml:space="preserve">February </w:t>
            </w:r>
            <w:r>
              <w:rPr>
                <w:rFonts w:eastAsia="Times New Roman" w:cs="Times New Roman"/>
                <w:sz w:val="20"/>
                <w:szCs w:val="20"/>
                <w:lang w:eastAsia="en-AU"/>
              </w:rPr>
              <w:t xml:space="preserve">2023 </w:t>
            </w:r>
            <w:r w:rsidRPr="00EB655C">
              <w:rPr>
                <w:rFonts w:eastAsia="Times New Roman" w:cs="Times New Roman"/>
                <w:sz w:val="20"/>
                <w:szCs w:val="20"/>
                <w:lang w:eastAsia="en-AU"/>
              </w:rPr>
              <w:t>AG</w:t>
            </w:r>
          </w:p>
        </w:tc>
        <w:tc>
          <w:tcPr>
            <w:tcW w:w="3953" w:type="dxa"/>
            <w:tcBorders>
              <w:top w:val="nil"/>
              <w:left w:val="single" w:sz="4" w:space="0" w:color="auto"/>
              <w:bottom w:val="single" w:sz="4" w:space="0" w:color="auto"/>
              <w:right w:val="single" w:sz="4" w:space="0" w:color="auto"/>
            </w:tcBorders>
            <w:vAlign w:val="bottom"/>
          </w:tcPr>
          <w:p w14:paraId="61609586"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Applicability of Article 9.1.3 to transactions similar to asset transfers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1551284" w14:textId="77777777" w:rsidR="00424F18" w:rsidRPr="00EB655C" w:rsidRDefault="00424F1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9-15</w:t>
            </w:r>
          </w:p>
        </w:tc>
      </w:tr>
      <w:tr w:rsidR="00424F18" w:rsidRPr="00EB655C" w14:paraId="41E17377" w14:textId="77777777">
        <w:trPr>
          <w:trHeight w:val="300"/>
        </w:trPr>
        <w:tc>
          <w:tcPr>
            <w:tcW w:w="1694" w:type="dxa"/>
            <w:tcBorders>
              <w:top w:val="nil"/>
              <w:left w:val="single" w:sz="4" w:space="0" w:color="auto"/>
              <w:bottom w:val="single" w:sz="4" w:space="0" w:color="auto"/>
              <w:right w:val="single" w:sz="4" w:space="0" w:color="auto"/>
            </w:tcBorders>
            <w:vAlign w:val="bottom"/>
          </w:tcPr>
          <w:p w14:paraId="664E78ED"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4.3 of the </w:t>
            </w:r>
            <w:r w:rsidRPr="001D02FD">
              <w:rPr>
                <w:rFonts w:eastAsia="Times New Roman" w:cs="Times New Roman"/>
                <w:sz w:val="20"/>
                <w:szCs w:val="20"/>
                <w:lang w:eastAsia="en-AU"/>
              </w:rPr>
              <w:t xml:space="preserve">February </w:t>
            </w:r>
            <w:r>
              <w:rPr>
                <w:rFonts w:eastAsia="Times New Roman" w:cs="Times New Roman"/>
                <w:sz w:val="20"/>
                <w:szCs w:val="20"/>
                <w:lang w:eastAsia="en-AU"/>
              </w:rPr>
              <w:t>2023</w:t>
            </w:r>
            <w:r w:rsidRPr="00EB655C">
              <w:rPr>
                <w:rFonts w:eastAsia="Times New Roman" w:cs="Times New Roman"/>
                <w:sz w:val="20"/>
                <w:szCs w:val="20"/>
                <w:lang w:eastAsia="en-AU"/>
              </w:rPr>
              <w:t xml:space="preserve"> AG</w:t>
            </w:r>
          </w:p>
        </w:tc>
        <w:tc>
          <w:tcPr>
            <w:tcW w:w="3953" w:type="dxa"/>
            <w:tcBorders>
              <w:top w:val="nil"/>
              <w:left w:val="single" w:sz="4" w:space="0" w:color="auto"/>
              <w:bottom w:val="single" w:sz="4" w:space="0" w:color="auto"/>
              <w:right w:val="single" w:sz="4" w:space="0" w:color="auto"/>
            </w:tcBorders>
            <w:vAlign w:val="bottom"/>
          </w:tcPr>
          <w:p w14:paraId="6B81F94E"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Clarifies aspect of the ‘carrying value’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74462409" w14:textId="77777777" w:rsidR="00424F18" w:rsidRPr="00EB655C" w:rsidRDefault="00424F1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9-15</w:t>
            </w:r>
          </w:p>
        </w:tc>
      </w:tr>
      <w:tr w:rsidR="00424F18" w:rsidRPr="00EB655C" w14:paraId="759A06D1" w14:textId="77777777">
        <w:trPr>
          <w:trHeight w:val="300"/>
        </w:trPr>
        <w:tc>
          <w:tcPr>
            <w:tcW w:w="1694" w:type="dxa"/>
            <w:tcBorders>
              <w:top w:val="nil"/>
              <w:left w:val="single" w:sz="4" w:space="0" w:color="auto"/>
              <w:bottom w:val="single" w:sz="4" w:space="0" w:color="auto"/>
              <w:right w:val="single" w:sz="4" w:space="0" w:color="auto"/>
            </w:tcBorders>
            <w:vAlign w:val="bottom"/>
          </w:tcPr>
          <w:p w14:paraId="0117825D" w14:textId="77777777" w:rsidR="00424F18" w:rsidRPr="00EB655C" w:rsidRDefault="00424F1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Para 53 Chapter 4 of the July 2023 AG </w:t>
            </w:r>
          </w:p>
        </w:tc>
        <w:tc>
          <w:tcPr>
            <w:tcW w:w="3953" w:type="dxa"/>
            <w:tcBorders>
              <w:top w:val="nil"/>
              <w:left w:val="single" w:sz="4" w:space="0" w:color="auto"/>
              <w:bottom w:val="single" w:sz="4" w:space="0" w:color="auto"/>
              <w:right w:val="single" w:sz="4" w:space="0" w:color="auto"/>
            </w:tcBorders>
            <w:vAlign w:val="bottom"/>
          </w:tcPr>
          <w:p w14:paraId="7DF0CCFF" w14:textId="77777777" w:rsidR="00424F18" w:rsidRPr="00EB655C" w:rsidRDefault="00424F1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Transition Year for the purpose of Art 9.1.3</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19F56114" w14:textId="77777777" w:rsidR="00424F18" w:rsidRPr="00EB655C" w:rsidDel="005A3783" w:rsidRDefault="00424F1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9-20</w:t>
            </w:r>
          </w:p>
        </w:tc>
      </w:tr>
      <w:tr w:rsidR="00424F18" w:rsidRPr="00EB655C" w14:paraId="0F466C40" w14:textId="77777777">
        <w:trPr>
          <w:trHeight w:val="300"/>
        </w:trPr>
        <w:tc>
          <w:tcPr>
            <w:tcW w:w="1694" w:type="dxa"/>
            <w:tcBorders>
              <w:top w:val="nil"/>
              <w:left w:val="single" w:sz="4" w:space="0" w:color="auto"/>
              <w:bottom w:val="single" w:sz="4" w:space="0" w:color="auto"/>
              <w:right w:val="single" w:sz="4" w:space="0" w:color="auto"/>
            </w:tcBorders>
            <w:vAlign w:val="bottom"/>
          </w:tcPr>
          <w:p w14:paraId="310475DD" w14:textId="77777777" w:rsidR="00424F18" w:rsidRPr="00EB655C" w:rsidRDefault="00424F18" w:rsidP="00424F18">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9.2</w:t>
            </w:r>
          </w:p>
        </w:tc>
        <w:tc>
          <w:tcPr>
            <w:tcW w:w="3953" w:type="dxa"/>
            <w:tcBorders>
              <w:top w:val="nil"/>
              <w:left w:val="single" w:sz="4" w:space="0" w:color="auto"/>
              <w:bottom w:val="single" w:sz="4" w:space="0" w:color="auto"/>
              <w:right w:val="single" w:sz="4" w:space="0" w:color="auto"/>
            </w:tcBorders>
            <w:vAlign w:val="bottom"/>
          </w:tcPr>
          <w:p w14:paraId="132A7588" w14:textId="77777777" w:rsidR="00424F18" w:rsidRPr="00EB655C" w:rsidRDefault="00424F18" w:rsidP="00424F18">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Transitional relief for the Substance-based Income Exclusion</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EEB9881" w14:textId="77777777" w:rsidR="00424F18" w:rsidRPr="00EB655C" w:rsidRDefault="00424F18" w:rsidP="00424F18">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9-2</w:t>
            </w:r>
          </w:p>
        </w:tc>
      </w:tr>
      <w:tr w:rsidR="00424F18" w:rsidRPr="00EB655C" w14:paraId="671ED4F4" w14:textId="77777777">
        <w:trPr>
          <w:trHeight w:val="300"/>
        </w:trPr>
        <w:tc>
          <w:tcPr>
            <w:tcW w:w="1694" w:type="dxa"/>
            <w:tcBorders>
              <w:top w:val="nil"/>
              <w:left w:val="single" w:sz="4" w:space="0" w:color="auto"/>
              <w:bottom w:val="single" w:sz="4" w:space="0" w:color="auto"/>
              <w:right w:val="single" w:sz="4" w:space="0" w:color="auto"/>
            </w:tcBorders>
            <w:vAlign w:val="bottom"/>
          </w:tcPr>
          <w:p w14:paraId="1BB38F7F"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9.2.1</w:t>
            </w:r>
          </w:p>
        </w:tc>
        <w:tc>
          <w:tcPr>
            <w:tcW w:w="3953" w:type="dxa"/>
            <w:tcBorders>
              <w:top w:val="nil"/>
              <w:left w:val="single" w:sz="4" w:space="0" w:color="auto"/>
              <w:bottom w:val="single" w:sz="4" w:space="0" w:color="auto"/>
              <w:right w:val="single" w:sz="4" w:space="0" w:color="auto"/>
            </w:tcBorders>
            <w:vAlign w:val="bottom"/>
          </w:tcPr>
          <w:p w14:paraId="5294B01C"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Percentages for eligible employees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D350C1F"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9-25 and 9-30</w:t>
            </w:r>
          </w:p>
        </w:tc>
      </w:tr>
      <w:tr w:rsidR="00424F18" w:rsidRPr="00EB655C" w14:paraId="7B67A8AA" w14:textId="77777777">
        <w:trPr>
          <w:trHeight w:val="300"/>
        </w:trPr>
        <w:tc>
          <w:tcPr>
            <w:tcW w:w="1694" w:type="dxa"/>
            <w:tcBorders>
              <w:top w:val="nil"/>
              <w:left w:val="single" w:sz="4" w:space="0" w:color="auto"/>
              <w:bottom w:val="single" w:sz="4" w:space="0" w:color="auto"/>
              <w:right w:val="single" w:sz="4" w:space="0" w:color="auto"/>
            </w:tcBorders>
            <w:vAlign w:val="bottom"/>
          </w:tcPr>
          <w:p w14:paraId="24DC90B9"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9.2.2</w:t>
            </w:r>
          </w:p>
        </w:tc>
        <w:tc>
          <w:tcPr>
            <w:tcW w:w="3953" w:type="dxa"/>
            <w:tcBorders>
              <w:top w:val="nil"/>
              <w:left w:val="single" w:sz="4" w:space="0" w:color="auto"/>
              <w:bottom w:val="single" w:sz="4" w:space="0" w:color="auto"/>
              <w:right w:val="single" w:sz="4" w:space="0" w:color="auto"/>
            </w:tcBorders>
            <w:vAlign w:val="bottom"/>
          </w:tcPr>
          <w:p w14:paraId="3CA8DB41"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Percentages for eligible assets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34F0227B"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9-35</w:t>
            </w:r>
          </w:p>
        </w:tc>
      </w:tr>
      <w:tr w:rsidR="00424F18" w:rsidRPr="00EB655C" w14:paraId="5598E481" w14:textId="77777777">
        <w:trPr>
          <w:trHeight w:val="600"/>
        </w:trPr>
        <w:tc>
          <w:tcPr>
            <w:tcW w:w="1694" w:type="dxa"/>
            <w:tcBorders>
              <w:top w:val="nil"/>
              <w:left w:val="single" w:sz="4" w:space="0" w:color="auto"/>
              <w:bottom w:val="single" w:sz="4" w:space="0" w:color="auto"/>
              <w:right w:val="single" w:sz="4" w:space="0" w:color="auto"/>
            </w:tcBorders>
            <w:vAlign w:val="bottom"/>
          </w:tcPr>
          <w:p w14:paraId="52BE75BF" w14:textId="77777777" w:rsidR="00424F18" w:rsidRPr="00EB655C" w:rsidRDefault="00424F18" w:rsidP="00424F18">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9.3</w:t>
            </w:r>
          </w:p>
        </w:tc>
        <w:tc>
          <w:tcPr>
            <w:tcW w:w="3953" w:type="dxa"/>
            <w:tcBorders>
              <w:top w:val="nil"/>
              <w:left w:val="single" w:sz="4" w:space="0" w:color="auto"/>
              <w:bottom w:val="single" w:sz="4" w:space="0" w:color="auto"/>
              <w:right w:val="single" w:sz="4" w:space="0" w:color="auto"/>
            </w:tcBorders>
            <w:vAlign w:val="bottom"/>
          </w:tcPr>
          <w:p w14:paraId="6FB8011E" w14:textId="77777777" w:rsidR="00424F18" w:rsidRPr="00EB655C" w:rsidRDefault="00424F18" w:rsidP="00424F18">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Exclusion from the UTPR of MNE Groups in the initial phase of their international activity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10FC8D9" w14:textId="77777777" w:rsidR="00424F18" w:rsidRPr="00EB655C" w:rsidRDefault="00424F18" w:rsidP="00424F18">
            <w:pPr>
              <w:spacing w:before="60" w:after="60"/>
              <w:ind w:left="34"/>
              <w:rPr>
                <w:rFonts w:eastAsia="Times New Roman" w:cs="Times New Roman"/>
                <w:b/>
                <w:bCs/>
                <w:sz w:val="20"/>
                <w:szCs w:val="20"/>
                <w:lang w:eastAsia="en-AU"/>
              </w:rPr>
            </w:pPr>
            <w:r w:rsidRPr="00EB655C">
              <w:rPr>
                <w:rFonts w:eastAsia="Times New Roman" w:cs="Times New Roman"/>
                <w:b/>
                <w:bCs/>
                <w:sz w:val="20"/>
                <w:szCs w:val="20"/>
                <w:lang w:eastAsia="en-AU"/>
              </w:rPr>
              <w:t>Part 9-</w:t>
            </w:r>
            <w:r w:rsidRPr="00A51E0F">
              <w:rPr>
                <w:rFonts w:eastAsia="Times New Roman" w:cs="Times New Roman"/>
                <w:b/>
                <w:bCs/>
                <w:sz w:val="20"/>
                <w:szCs w:val="20"/>
                <w:lang w:eastAsia="en-AU"/>
              </w:rPr>
              <w:t>3</w:t>
            </w:r>
          </w:p>
        </w:tc>
      </w:tr>
      <w:tr w:rsidR="00424F18" w:rsidRPr="00EB655C" w14:paraId="79079E33" w14:textId="77777777">
        <w:trPr>
          <w:trHeight w:val="300"/>
        </w:trPr>
        <w:tc>
          <w:tcPr>
            <w:tcW w:w="1694" w:type="dxa"/>
            <w:tcBorders>
              <w:top w:val="nil"/>
              <w:left w:val="single" w:sz="4" w:space="0" w:color="auto"/>
              <w:bottom w:val="single" w:sz="4" w:space="0" w:color="auto"/>
              <w:right w:val="single" w:sz="4" w:space="0" w:color="auto"/>
            </w:tcBorders>
            <w:vAlign w:val="bottom"/>
          </w:tcPr>
          <w:p w14:paraId="65830121"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9.3.1</w:t>
            </w:r>
          </w:p>
        </w:tc>
        <w:tc>
          <w:tcPr>
            <w:tcW w:w="3953" w:type="dxa"/>
            <w:tcBorders>
              <w:top w:val="nil"/>
              <w:left w:val="single" w:sz="4" w:space="0" w:color="auto"/>
              <w:bottom w:val="single" w:sz="4" w:space="0" w:color="auto"/>
              <w:right w:val="single" w:sz="4" w:space="0" w:color="auto"/>
            </w:tcBorders>
            <w:vAlign w:val="bottom"/>
          </w:tcPr>
          <w:p w14:paraId="6DCF333D" w14:textId="77777777" w:rsidR="00424F18" w:rsidRPr="00EB655C" w:rsidRDefault="00424F1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The Total UTPR Top up Tax Amount is reduced to zero during the initial phase of an MNE Group’s international activity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0EDACB6"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w:t>
            </w:r>
            <w:r>
              <w:rPr>
                <w:rFonts w:eastAsia="Times New Roman" w:cs="Times New Roman"/>
                <w:sz w:val="20"/>
                <w:szCs w:val="20"/>
                <w:lang w:eastAsia="en-AU"/>
              </w:rPr>
              <w:t>9-40</w:t>
            </w:r>
          </w:p>
        </w:tc>
      </w:tr>
      <w:tr w:rsidR="00424F18" w:rsidRPr="00EB655C" w14:paraId="374371CA" w14:textId="77777777">
        <w:trPr>
          <w:trHeight w:val="300"/>
        </w:trPr>
        <w:tc>
          <w:tcPr>
            <w:tcW w:w="1694" w:type="dxa"/>
            <w:tcBorders>
              <w:top w:val="nil"/>
              <w:left w:val="single" w:sz="4" w:space="0" w:color="auto"/>
              <w:bottom w:val="single" w:sz="4" w:space="0" w:color="auto"/>
              <w:right w:val="single" w:sz="4" w:space="0" w:color="auto"/>
            </w:tcBorders>
            <w:vAlign w:val="bottom"/>
          </w:tcPr>
          <w:p w14:paraId="344D13CC"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lastRenderedPageBreak/>
              <w:t>9.3.2</w:t>
            </w:r>
          </w:p>
        </w:tc>
        <w:tc>
          <w:tcPr>
            <w:tcW w:w="3953" w:type="dxa"/>
            <w:tcBorders>
              <w:top w:val="nil"/>
              <w:left w:val="single" w:sz="4" w:space="0" w:color="auto"/>
              <w:bottom w:val="single" w:sz="4" w:space="0" w:color="auto"/>
              <w:right w:val="single" w:sz="4" w:space="0" w:color="auto"/>
            </w:tcBorders>
            <w:vAlign w:val="bottom"/>
          </w:tcPr>
          <w:p w14:paraId="0BFD49F6" w14:textId="77777777" w:rsidR="00424F18" w:rsidRPr="00EB655C" w:rsidRDefault="00424F1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Meaning of initial phase of an MNE Group’s international activity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F0B1579"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w:t>
            </w:r>
            <w:r>
              <w:rPr>
                <w:rFonts w:eastAsia="Times New Roman" w:cs="Times New Roman"/>
                <w:sz w:val="20"/>
                <w:szCs w:val="20"/>
                <w:lang w:eastAsia="en-AU"/>
              </w:rPr>
              <w:t>9-40</w:t>
            </w:r>
          </w:p>
        </w:tc>
      </w:tr>
      <w:tr w:rsidR="00424F18" w:rsidRPr="00EB655C" w14:paraId="357A7F71" w14:textId="77777777">
        <w:trPr>
          <w:trHeight w:val="300"/>
        </w:trPr>
        <w:tc>
          <w:tcPr>
            <w:tcW w:w="1694" w:type="dxa"/>
            <w:tcBorders>
              <w:top w:val="nil"/>
              <w:left w:val="single" w:sz="4" w:space="0" w:color="auto"/>
              <w:bottom w:val="single" w:sz="4" w:space="0" w:color="auto"/>
              <w:right w:val="single" w:sz="4" w:space="0" w:color="auto"/>
            </w:tcBorders>
            <w:vAlign w:val="bottom"/>
          </w:tcPr>
          <w:p w14:paraId="31711A04"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9.3.3</w:t>
            </w:r>
          </w:p>
        </w:tc>
        <w:tc>
          <w:tcPr>
            <w:tcW w:w="3953" w:type="dxa"/>
            <w:tcBorders>
              <w:top w:val="nil"/>
              <w:left w:val="single" w:sz="4" w:space="0" w:color="auto"/>
              <w:bottom w:val="single" w:sz="4" w:space="0" w:color="auto"/>
              <w:right w:val="single" w:sz="4" w:space="0" w:color="auto"/>
            </w:tcBorders>
            <w:vAlign w:val="bottom"/>
          </w:tcPr>
          <w:p w14:paraId="5AFFD7CE" w14:textId="77777777" w:rsidR="00424F18" w:rsidRPr="00EB655C" w:rsidRDefault="00424F18" w:rsidP="00424F18">
            <w:pPr>
              <w:spacing w:before="60" w:after="60"/>
              <w:rPr>
                <w:rFonts w:eastAsia="Times New Roman" w:cs="Times New Roman"/>
                <w:sz w:val="20"/>
                <w:szCs w:val="20"/>
                <w:lang w:eastAsia="en-AU"/>
              </w:rPr>
            </w:pPr>
            <w:r>
              <w:rPr>
                <w:rFonts w:eastAsia="Times New Roman" w:cs="Times New Roman"/>
                <w:sz w:val="20"/>
                <w:szCs w:val="20"/>
                <w:lang w:eastAsia="en-AU"/>
              </w:rPr>
              <w:t>Meaning of</w:t>
            </w:r>
            <w:r w:rsidRPr="00EB655C">
              <w:rPr>
                <w:rFonts w:eastAsia="Times New Roman" w:cs="Times New Roman"/>
                <w:sz w:val="20"/>
                <w:szCs w:val="20"/>
                <w:lang w:eastAsia="en-AU"/>
              </w:rPr>
              <w:t> </w:t>
            </w:r>
            <w:r w:rsidRPr="008B4499">
              <w:rPr>
                <w:rFonts w:eastAsia="Times New Roman" w:cs="Times New Roman"/>
                <w:sz w:val="20"/>
                <w:szCs w:val="20"/>
                <w:lang w:eastAsia="en-AU"/>
              </w:rPr>
              <w:t xml:space="preserve">Reference Jurisdiction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406D733" w14:textId="6AF30164" w:rsidR="00424F18" w:rsidRPr="00EB655C" w:rsidRDefault="00424F1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 9-50</w:t>
            </w:r>
          </w:p>
        </w:tc>
      </w:tr>
      <w:tr w:rsidR="00424F18" w:rsidRPr="00EB655C" w14:paraId="527D40C4" w14:textId="77777777">
        <w:trPr>
          <w:trHeight w:val="300"/>
        </w:trPr>
        <w:tc>
          <w:tcPr>
            <w:tcW w:w="1694" w:type="dxa"/>
            <w:tcBorders>
              <w:top w:val="nil"/>
              <w:left w:val="single" w:sz="4" w:space="0" w:color="auto"/>
              <w:bottom w:val="single" w:sz="4" w:space="0" w:color="auto"/>
              <w:right w:val="single" w:sz="4" w:space="0" w:color="auto"/>
            </w:tcBorders>
            <w:vAlign w:val="bottom"/>
          </w:tcPr>
          <w:p w14:paraId="3777E991"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9.3.4</w:t>
            </w:r>
          </w:p>
        </w:tc>
        <w:tc>
          <w:tcPr>
            <w:tcW w:w="3953" w:type="dxa"/>
            <w:tcBorders>
              <w:top w:val="nil"/>
              <w:left w:val="single" w:sz="4" w:space="0" w:color="auto"/>
              <w:bottom w:val="single" w:sz="4" w:space="0" w:color="auto"/>
              <w:right w:val="single" w:sz="4" w:space="0" w:color="auto"/>
            </w:tcBorders>
            <w:vAlign w:val="bottom"/>
          </w:tcPr>
          <w:p w14:paraId="0E483F83" w14:textId="77777777" w:rsidR="00424F18" w:rsidRPr="00EB655C" w:rsidRDefault="00424F18" w:rsidP="00424F18">
            <w:pPr>
              <w:spacing w:before="60" w:after="60"/>
              <w:rPr>
                <w:rFonts w:eastAsia="Times New Roman" w:cs="Times New Roman"/>
                <w:sz w:val="20"/>
                <w:szCs w:val="20"/>
                <w:lang w:eastAsia="en-AU"/>
              </w:rPr>
            </w:pPr>
            <w:r>
              <w:rPr>
                <w:rFonts w:eastAsia="Times New Roman" w:cs="Times New Roman"/>
                <w:sz w:val="20"/>
                <w:szCs w:val="20"/>
                <w:lang w:eastAsia="en-AU"/>
              </w:rPr>
              <w:t>Period of initial phase of international activity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4B94448" w14:textId="77777777" w:rsidR="00424F18" w:rsidRPr="00EB655C" w:rsidRDefault="00424F1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10-5</w:t>
            </w:r>
          </w:p>
        </w:tc>
      </w:tr>
      <w:tr w:rsidR="00424F18" w:rsidRPr="00EB655C" w14:paraId="47ABF27E" w14:textId="77777777">
        <w:trPr>
          <w:trHeight w:val="300"/>
        </w:trPr>
        <w:tc>
          <w:tcPr>
            <w:tcW w:w="1694" w:type="dxa"/>
            <w:tcBorders>
              <w:top w:val="nil"/>
              <w:left w:val="single" w:sz="4" w:space="0" w:color="auto"/>
              <w:bottom w:val="single" w:sz="4" w:space="0" w:color="auto"/>
              <w:right w:val="single" w:sz="4" w:space="0" w:color="auto"/>
            </w:tcBorders>
            <w:vAlign w:val="bottom"/>
          </w:tcPr>
          <w:p w14:paraId="2A2A8B67"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9.3.5</w:t>
            </w:r>
          </w:p>
        </w:tc>
        <w:tc>
          <w:tcPr>
            <w:tcW w:w="3953" w:type="dxa"/>
            <w:tcBorders>
              <w:top w:val="nil"/>
              <w:left w:val="single" w:sz="4" w:space="0" w:color="auto"/>
              <w:bottom w:val="single" w:sz="4" w:space="0" w:color="auto"/>
              <w:right w:val="single" w:sz="4" w:space="0" w:color="auto"/>
            </w:tcBorders>
            <w:vAlign w:val="bottom"/>
          </w:tcPr>
          <w:p w14:paraId="3D32ACFC" w14:textId="2AA60E34" w:rsidR="00424F18" w:rsidRPr="00EB655C" w:rsidRDefault="00424F18" w:rsidP="00424F18">
            <w:pPr>
              <w:spacing w:before="60" w:after="60"/>
              <w:rPr>
                <w:rFonts w:eastAsia="Times New Roman" w:cs="Times New Roman"/>
                <w:sz w:val="20"/>
                <w:szCs w:val="20"/>
                <w:lang w:eastAsia="en-AU"/>
              </w:rPr>
            </w:pPr>
            <w:r>
              <w:rPr>
                <w:rFonts w:eastAsia="Times New Roman" w:cs="Times New Roman"/>
                <w:sz w:val="20"/>
                <w:szCs w:val="20"/>
                <w:lang w:eastAsia="en-AU"/>
              </w:rPr>
              <w:t>If Australia is the Reference Jurisdiction, the Top up Tax of a LTCE in Australia is taken to be zero</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5C230CB9"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w:t>
            </w:r>
            <w:r>
              <w:rPr>
                <w:rFonts w:eastAsia="Times New Roman" w:cs="Times New Roman"/>
                <w:sz w:val="20"/>
                <w:szCs w:val="20"/>
                <w:lang w:eastAsia="en-AU"/>
              </w:rPr>
              <w:t>9-45</w:t>
            </w:r>
          </w:p>
        </w:tc>
      </w:tr>
      <w:tr w:rsidR="00424F18" w:rsidRPr="00EB655C" w14:paraId="71EA2043" w14:textId="77777777">
        <w:trPr>
          <w:trHeight w:val="300"/>
        </w:trPr>
        <w:tc>
          <w:tcPr>
            <w:tcW w:w="7475" w:type="dxa"/>
            <w:gridSpan w:val="3"/>
            <w:tcBorders>
              <w:top w:val="nil"/>
              <w:left w:val="single" w:sz="4" w:space="0" w:color="auto"/>
              <w:bottom w:val="single" w:sz="4" w:space="0" w:color="auto"/>
              <w:right w:val="single" w:sz="4" w:space="0" w:color="auto"/>
            </w:tcBorders>
            <w:vAlign w:val="bottom"/>
          </w:tcPr>
          <w:p w14:paraId="2A82AB15" w14:textId="77777777" w:rsidR="00424F18" w:rsidRPr="00EB655C" w:rsidRDefault="00424F18" w:rsidP="00424F18">
            <w:pPr>
              <w:pStyle w:val="Tableheaderrowtext"/>
              <w:numPr>
                <w:ilvl w:val="3"/>
                <w:numId w:val="2"/>
              </w:numPr>
              <w:rPr>
                <w:lang w:eastAsia="en-AU"/>
              </w:rPr>
            </w:pPr>
            <w:r>
              <w:rPr>
                <w:lang w:eastAsia="en-AU"/>
              </w:rPr>
              <w:t xml:space="preserve">Chapter 10 – Definitions </w:t>
            </w:r>
          </w:p>
        </w:tc>
      </w:tr>
      <w:tr w:rsidR="00424F18" w:rsidRPr="00EB655C" w14:paraId="195A7B4E" w14:textId="77777777">
        <w:trPr>
          <w:trHeight w:val="300"/>
        </w:trPr>
        <w:tc>
          <w:tcPr>
            <w:tcW w:w="1694" w:type="dxa"/>
            <w:tcBorders>
              <w:top w:val="nil"/>
              <w:left w:val="single" w:sz="4" w:space="0" w:color="auto"/>
              <w:bottom w:val="single" w:sz="4" w:space="0" w:color="auto"/>
              <w:right w:val="single" w:sz="4" w:space="0" w:color="auto"/>
            </w:tcBorders>
            <w:vAlign w:val="bottom"/>
          </w:tcPr>
          <w:p w14:paraId="3DE4B02A" w14:textId="77777777" w:rsidR="00424F18" w:rsidRPr="00EB655C" w:rsidRDefault="00424F18" w:rsidP="00424F18">
            <w:pPr>
              <w:spacing w:before="60" w:after="60"/>
              <w:ind w:left="34"/>
              <w:rPr>
                <w:rFonts w:eastAsia="Times New Roman" w:cs="Times New Roman"/>
                <w:b/>
                <w:sz w:val="20"/>
                <w:szCs w:val="20"/>
                <w:lang w:eastAsia="en-AU"/>
              </w:rPr>
            </w:pPr>
            <w:r w:rsidRPr="00EB655C">
              <w:rPr>
                <w:rFonts w:eastAsia="Times New Roman" w:cs="Times New Roman"/>
                <w:b/>
                <w:sz w:val="20"/>
                <w:szCs w:val="20"/>
                <w:lang w:eastAsia="en-AU"/>
              </w:rPr>
              <w:t>10.1</w:t>
            </w:r>
          </w:p>
        </w:tc>
        <w:tc>
          <w:tcPr>
            <w:tcW w:w="3953" w:type="dxa"/>
            <w:tcBorders>
              <w:top w:val="nil"/>
              <w:left w:val="single" w:sz="4" w:space="0" w:color="auto"/>
              <w:bottom w:val="single" w:sz="4" w:space="0" w:color="auto"/>
              <w:right w:val="single" w:sz="4" w:space="0" w:color="auto"/>
            </w:tcBorders>
            <w:vAlign w:val="bottom"/>
          </w:tcPr>
          <w:p w14:paraId="0946FE9F" w14:textId="77777777" w:rsidR="00424F18" w:rsidRPr="00EB655C" w:rsidRDefault="00424F18" w:rsidP="00424F18">
            <w:pPr>
              <w:spacing w:before="60" w:after="60"/>
              <w:ind w:left="34"/>
              <w:rPr>
                <w:rFonts w:eastAsia="Times New Roman" w:cs="Times New Roman"/>
                <w:b/>
                <w:sz w:val="20"/>
                <w:szCs w:val="20"/>
                <w:lang w:eastAsia="en-AU"/>
              </w:rPr>
            </w:pPr>
            <w:r w:rsidRPr="00EB655C">
              <w:rPr>
                <w:rFonts w:eastAsia="Times New Roman" w:cs="Times New Roman"/>
                <w:b/>
                <w:sz w:val="20"/>
                <w:szCs w:val="20"/>
                <w:lang w:eastAsia="en-AU"/>
              </w:rPr>
              <w:t>Definitions</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3A2D88E" w14:textId="77777777" w:rsidR="00424F18" w:rsidRPr="00EB655C" w:rsidRDefault="00424F1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10-5 </w:t>
            </w:r>
          </w:p>
        </w:tc>
      </w:tr>
      <w:tr w:rsidR="00722C88" w:rsidRPr="00EB655C" w14:paraId="264B2784" w14:textId="77777777">
        <w:trPr>
          <w:trHeight w:val="300"/>
        </w:trPr>
        <w:tc>
          <w:tcPr>
            <w:tcW w:w="1694" w:type="dxa"/>
            <w:tcBorders>
              <w:top w:val="nil"/>
              <w:left w:val="single" w:sz="4" w:space="0" w:color="auto"/>
              <w:bottom w:val="single" w:sz="4" w:space="0" w:color="auto"/>
              <w:right w:val="single" w:sz="4" w:space="0" w:color="auto"/>
            </w:tcBorders>
            <w:vAlign w:val="bottom"/>
          </w:tcPr>
          <w:p w14:paraId="14C6FE76"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311CA32D"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Accrued Pension Expense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2ACB291"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3-60</w:t>
            </w:r>
          </w:p>
        </w:tc>
      </w:tr>
      <w:tr w:rsidR="00722C88" w:rsidRPr="00EB655C" w14:paraId="29872E42" w14:textId="77777777">
        <w:trPr>
          <w:trHeight w:val="300"/>
        </w:trPr>
        <w:tc>
          <w:tcPr>
            <w:tcW w:w="1694" w:type="dxa"/>
            <w:tcBorders>
              <w:top w:val="nil"/>
              <w:left w:val="single" w:sz="4" w:space="0" w:color="auto"/>
              <w:bottom w:val="single" w:sz="4" w:space="0" w:color="auto"/>
              <w:right w:val="single" w:sz="4" w:space="0" w:color="auto"/>
            </w:tcBorders>
            <w:vAlign w:val="bottom"/>
          </w:tcPr>
          <w:p w14:paraId="2C37A754"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E1B1A14"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Additional Current Top-up Tax</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20C465EE"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 4-</w:t>
            </w:r>
            <w:r>
              <w:rPr>
                <w:rFonts w:eastAsia="Times New Roman" w:cs="Times New Roman"/>
                <w:sz w:val="20"/>
                <w:szCs w:val="20"/>
                <w:lang w:eastAsia="en-AU"/>
              </w:rPr>
              <w:t>25</w:t>
            </w:r>
            <w:r w:rsidRPr="00EB655C">
              <w:rPr>
                <w:rFonts w:eastAsia="Times New Roman" w:cs="Times New Roman"/>
                <w:sz w:val="20"/>
                <w:szCs w:val="20"/>
                <w:lang w:eastAsia="en-AU"/>
              </w:rPr>
              <w:t>(</w:t>
            </w:r>
            <w:r>
              <w:rPr>
                <w:rFonts w:eastAsia="Times New Roman" w:cs="Times New Roman"/>
                <w:sz w:val="20"/>
                <w:szCs w:val="20"/>
                <w:lang w:eastAsia="en-AU"/>
              </w:rPr>
              <w:t>3</w:t>
            </w:r>
            <w:r w:rsidRPr="00EB655C">
              <w:rPr>
                <w:rFonts w:eastAsia="Times New Roman" w:cs="Times New Roman"/>
                <w:sz w:val="20"/>
                <w:szCs w:val="20"/>
                <w:lang w:eastAsia="en-AU"/>
              </w:rPr>
              <w:t>), 5-</w:t>
            </w:r>
            <w:r>
              <w:rPr>
                <w:rFonts w:eastAsia="Times New Roman" w:cs="Times New Roman"/>
                <w:sz w:val="20"/>
                <w:szCs w:val="20"/>
                <w:lang w:eastAsia="en-AU"/>
              </w:rPr>
              <w:t>95</w:t>
            </w:r>
            <w:r w:rsidRPr="00EB655C">
              <w:rPr>
                <w:rFonts w:eastAsia="Times New Roman" w:cs="Times New Roman"/>
                <w:sz w:val="20"/>
                <w:szCs w:val="20"/>
                <w:lang w:eastAsia="en-AU"/>
              </w:rPr>
              <w:t>(3)(b) and 7-75(2)(c)</w:t>
            </w:r>
          </w:p>
        </w:tc>
      </w:tr>
      <w:tr w:rsidR="00722C88" w:rsidRPr="00EB655C" w14:paraId="0739B8E1" w14:textId="77777777">
        <w:trPr>
          <w:trHeight w:val="300"/>
        </w:trPr>
        <w:tc>
          <w:tcPr>
            <w:tcW w:w="1694" w:type="dxa"/>
            <w:tcBorders>
              <w:top w:val="nil"/>
              <w:left w:val="single" w:sz="4" w:space="0" w:color="auto"/>
              <w:bottom w:val="single" w:sz="4" w:space="0" w:color="auto"/>
              <w:right w:val="single" w:sz="4" w:space="0" w:color="auto"/>
            </w:tcBorders>
            <w:vAlign w:val="bottom"/>
          </w:tcPr>
          <w:p w14:paraId="420668C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0AEF5D9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Additional Tier One Capital</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1BE6FB0C"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210</w:t>
            </w:r>
            <w:r w:rsidRPr="00EB655C">
              <w:rPr>
                <w:rFonts w:eastAsia="Times New Roman" w:cs="Times New Roman"/>
                <w:sz w:val="20"/>
                <w:szCs w:val="20"/>
                <w:lang w:eastAsia="en-AU"/>
              </w:rPr>
              <w:t>(2)</w:t>
            </w:r>
          </w:p>
        </w:tc>
      </w:tr>
      <w:tr w:rsidR="00722C88" w:rsidRPr="00EB655C" w14:paraId="09B4E102" w14:textId="77777777">
        <w:trPr>
          <w:trHeight w:val="300"/>
        </w:trPr>
        <w:tc>
          <w:tcPr>
            <w:tcW w:w="1694" w:type="dxa"/>
            <w:tcBorders>
              <w:top w:val="nil"/>
              <w:left w:val="single" w:sz="4" w:space="0" w:color="auto"/>
              <w:bottom w:val="single" w:sz="4" w:space="0" w:color="auto"/>
              <w:right w:val="single" w:sz="4" w:space="0" w:color="auto"/>
            </w:tcBorders>
            <w:vAlign w:val="bottom"/>
          </w:tcPr>
          <w:p w14:paraId="4C764815"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70B83E3E"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Additions to Covered Tax</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738D0F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4-15</w:t>
            </w:r>
          </w:p>
        </w:tc>
      </w:tr>
      <w:tr w:rsidR="00722C88" w:rsidRPr="00EB655C" w14:paraId="25212088" w14:textId="77777777">
        <w:trPr>
          <w:trHeight w:val="300"/>
        </w:trPr>
        <w:tc>
          <w:tcPr>
            <w:tcW w:w="1694" w:type="dxa"/>
            <w:tcBorders>
              <w:top w:val="nil"/>
              <w:left w:val="single" w:sz="4" w:space="0" w:color="auto"/>
              <w:bottom w:val="single" w:sz="4" w:space="0" w:color="auto"/>
              <w:right w:val="single" w:sz="4" w:space="0" w:color="auto"/>
            </w:tcBorders>
            <w:vAlign w:val="bottom"/>
          </w:tcPr>
          <w:p w14:paraId="7B28BE5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51A639F"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Adjusted Covered Taxes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406CB32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4-5</w:t>
            </w:r>
          </w:p>
        </w:tc>
      </w:tr>
      <w:tr w:rsidR="00722C88" w:rsidRPr="00EB655C" w14:paraId="22FC3A6E" w14:textId="77777777">
        <w:trPr>
          <w:trHeight w:val="300"/>
        </w:trPr>
        <w:tc>
          <w:tcPr>
            <w:tcW w:w="1694" w:type="dxa"/>
            <w:tcBorders>
              <w:top w:val="nil"/>
              <w:left w:val="single" w:sz="4" w:space="0" w:color="auto"/>
              <w:bottom w:val="single" w:sz="4" w:space="0" w:color="auto"/>
              <w:right w:val="single" w:sz="4" w:space="0" w:color="auto"/>
            </w:tcBorders>
            <w:vAlign w:val="bottom"/>
          </w:tcPr>
          <w:p w14:paraId="02E9BA95"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5BA789F1"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Aggregate Asset Gain</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4563DC0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w:t>
            </w:r>
            <w:r>
              <w:rPr>
                <w:rFonts w:eastAsia="Times New Roman" w:cs="Times New Roman"/>
                <w:sz w:val="20"/>
                <w:szCs w:val="20"/>
                <w:lang w:eastAsia="en-AU"/>
              </w:rPr>
              <w:t>70</w:t>
            </w:r>
          </w:p>
        </w:tc>
      </w:tr>
      <w:tr w:rsidR="00722C88" w:rsidRPr="00EB655C" w14:paraId="14775E63" w14:textId="77777777">
        <w:trPr>
          <w:trHeight w:val="300"/>
        </w:trPr>
        <w:tc>
          <w:tcPr>
            <w:tcW w:w="1694" w:type="dxa"/>
            <w:tcBorders>
              <w:top w:val="nil"/>
              <w:left w:val="single" w:sz="4" w:space="0" w:color="auto"/>
              <w:bottom w:val="single" w:sz="4" w:space="0" w:color="auto"/>
              <w:right w:val="single" w:sz="4" w:space="0" w:color="auto"/>
            </w:tcBorders>
            <w:vAlign w:val="bottom"/>
          </w:tcPr>
          <w:p w14:paraId="415A518C"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40F73B8E"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Allocable Share of the Top-up Tax</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7B48C4D"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2</w:t>
            </w:r>
            <w:r>
              <w:rPr>
                <w:rFonts w:eastAsia="Times New Roman" w:cs="Times New Roman"/>
                <w:sz w:val="20"/>
                <w:szCs w:val="20"/>
                <w:lang w:eastAsia="en-AU"/>
              </w:rPr>
              <w:noBreakHyphen/>
              <w:t xml:space="preserve">10 </w:t>
            </w:r>
          </w:p>
        </w:tc>
      </w:tr>
      <w:tr w:rsidR="00722C88" w:rsidRPr="00EB655C" w14:paraId="42B35610" w14:textId="77777777">
        <w:trPr>
          <w:trHeight w:val="300"/>
        </w:trPr>
        <w:tc>
          <w:tcPr>
            <w:tcW w:w="1694" w:type="dxa"/>
            <w:tcBorders>
              <w:top w:val="nil"/>
              <w:left w:val="single" w:sz="4" w:space="0" w:color="auto"/>
              <w:bottom w:val="single" w:sz="4" w:space="0" w:color="auto"/>
              <w:right w:val="single" w:sz="4" w:space="0" w:color="auto"/>
            </w:tcBorders>
            <w:vAlign w:val="bottom"/>
          </w:tcPr>
          <w:p w14:paraId="426CAB78"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5DFAFA93"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Allocated Asset Gain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06BCD65"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No equivalent</w:t>
            </w:r>
          </w:p>
        </w:tc>
      </w:tr>
      <w:tr w:rsidR="00722C88" w:rsidRPr="00EB655C" w14:paraId="065AACC4" w14:textId="77777777">
        <w:trPr>
          <w:trHeight w:val="300"/>
        </w:trPr>
        <w:tc>
          <w:tcPr>
            <w:tcW w:w="1694" w:type="dxa"/>
            <w:tcBorders>
              <w:top w:val="nil"/>
              <w:left w:val="single" w:sz="4" w:space="0" w:color="auto"/>
              <w:bottom w:val="single" w:sz="4" w:space="0" w:color="auto"/>
              <w:right w:val="single" w:sz="4" w:space="0" w:color="auto"/>
            </w:tcBorders>
            <w:vAlign w:val="bottom"/>
          </w:tcPr>
          <w:p w14:paraId="74F96A65"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1F738E0B"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Arm’s Length Principle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2F1CFE75"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3-10</w:t>
            </w:r>
            <w:r>
              <w:rPr>
                <w:rFonts w:eastAsia="Times New Roman" w:cs="Times New Roman"/>
                <w:sz w:val="20"/>
                <w:szCs w:val="20"/>
                <w:lang w:eastAsia="en-AU"/>
              </w:rPr>
              <w:t>5</w:t>
            </w:r>
          </w:p>
        </w:tc>
      </w:tr>
      <w:tr w:rsidR="00722C88" w:rsidRPr="00EB655C" w14:paraId="4824C963" w14:textId="77777777">
        <w:trPr>
          <w:trHeight w:val="300"/>
        </w:trPr>
        <w:tc>
          <w:tcPr>
            <w:tcW w:w="1694" w:type="dxa"/>
            <w:tcBorders>
              <w:top w:val="nil"/>
              <w:left w:val="single" w:sz="4" w:space="0" w:color="auto"/>
              <w:bottom w:val="single" w:sz="4" w:space="0" w:color="auto"/>
              <w:right w:val="single" w:sz="4" w:space="0" w:color="auto"/>
            </w:tcBorders>
            <w:vAlign w:val="bottom"/>
          </w:tcPr>
          <w:p w14:paraId="5FA2A202"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7D2E1983"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Asymmetric Foreign Currency Gains or Losses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C95C148"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3-55</w:t>
            </w:r>
          </w:p>
        </w:tc>
      </w:tr>
      <w:tr w:rsidR="00722C88" w:rsidRPr="00EB655C" w14:paraId="41070169" w14:textId="77777777">
        <w:trPr>
          <w:trHeight w:val="300"/>
        </w:trPr>
        <w:tc>
          <w:tcPr>
            <w:tcW w:w="1694" w:type="dxa"/>
            <w:tcBorders>
              <w:top w:val="nil"/>
              <w:left w:val="single" w:sz="4" w:space="0" w:color="auto"/>
              <w:bottom w:val="single" w:sz="4" w:space="0" w:color="auto"/>
              <w:right w:val="single" w:sz="4" w:space="0" w:color="auto"/>
            </w:tcBorders>
            <w:vAlign w:val="bottom"/>
          </w:tcPr>
          <w:p w14:paraId="464EB9E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553E8BB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Average GloBE Income or Loss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5B82B92E"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5-1</w:t>
            </w:r>
            <w:r>
              <w:rPr>
                <w:rFonts w:eastAsia="Times New Roman" w:cs="Times New Roman"/>
                <w:sz w:val="20"/>
                <w:szCs w:val="20"/>
                <w:lang w:eastAsia="en-AU"/>
              </w:rPr>
              <w:t>1</w:t>
            </w:r>
            <w:r w:rsidRPr="00EB655C">
              <w:rPr>
                <w:rFonts w:eastAsia="Times New Roman" w:cs="Times New Roman"/>
                <w:sz w:val="20"/>
                <w:szCs w:val="20"/>
                <w:lang w:eastAsia="en-AU"/>
              </w:rPr>
              <w:t>0(</w:t>
            </w:r>
            <w:r>
              <w:rPr>
                <w:rFonts w:eastAsia="Times New Roman" w:cs="Times New Roman"/>
                <w:sz w:val="20"/>
                <w:szCs w:val="20"/>
                <w:lang w:eastAsia="en-AU"/>
              </w:rPr>
              <w:t>1</w:t>
            </w:r>
            <w:r w:rsidRPr="00EB655C">
              <w:rPr>
                <w:rFonts w:eastAsia="Times New Roman" w:cs="Times New Roman"/>
                <w:sz w:val="20"/>
                <w:szCs w:val="20"/>
                <w:lang w:eastAsia="en-AU"/>
              </w:rPr>
              <w:t>)(b)</w:t>
            </w:r>
          </w:p>
        </w:tc>
      </w:tr>
      <w:tr w:rsidR="00722C88" w:rsidRPr="00EB655C" w14:paraId="3D5A8313" w14:textId="77777777">
        <w:trPr>
          <w:trHeight w:val="300"/>
        </w:trPr>
        <w:tc>
          <w:tcPr>
            <w:tcW w:w="1694" w:type="dxa"/>
            <w:tcBorders>
              <w:top w:val="nil"/>
              <w:left w:val="single" w:sz="4" w:space="0" w:color="auto"/>
              <w:bottom w:val="single" w:sz="4" w:space="0" w:color="auto"/>
              <w:right w:val="single" w:sz="4" w:space="0" w:color="auto"/>
            </w:tcBorders>
            <w:vAlign w:val="bottom"/>
          </w:tcPr>
          <w:p w14:paraId="44CE01F8"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2E2E655B"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Average GloBE Revenue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44F31ADE"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5</w:t>
            </w:r>
            <w:r>
              <w:rPr>
                <w:rFonts w:eastAsia="Times New Roman" w:cs="Times New Roman"/>
                <w:sz w:val="20"/>
                <w:szCs w:val="20"/>
                <w:lang w:eastAsia="en-AU"/>
              </w:rPr>
              <w:noBreakHyphen/>
            </w:r>
            <w:r w:rsidRPr="00EB655C">
              <w:rPr>
                <w:rFonts w:eastAsia="Times New Roman" w:cs="Times New Roman"/>
                <w:sz w:val="20"/>
                <w:szCs w:val="20"/>
                <w:lang w:eastAsia="en-AU"/>
              </w:rPr>
              <w:t>1</w:t>
            </w:r>
            <w:r>
              <w:rPr>
                <w:rFonts w:eastAsia="Times New Roman" w:cs="Times New Roman"/>
                <w:sz w:val="20"/>
                <w:szCs w:val="20"/>
                <w:lang w:eastAsia="en-AU"/>
              </w:rPr>
              <w:t>10</w:t>
            </w:r>
            <w:r w:rsidRPr="00EB655C">
              <w:rPr>
                <w:rFonts w:eastAsia="Times New Roman" w:cs="Times New Roman"/>
                <w:sz w:val="20"/>
                <w:szCs w:val="20"/>
                <w:lang w:eastAsia="en-AU"/>
              </w:rPr>
              <w:t>(</w:t>
            </w:r>
            <w:r>
              <w:rPr>
                <w:rFonts w:eastAsia="Times New Roman" w:cs="Times New Roman"/>
                <w:sz w:val="20"/>
                <w:szCs w:val="20"/>
                <w:lang w:eastAsia="en-AU"/>
              </w:rPr>
              <w:t>1</w:t>
            </w:r>
            <w:r w:rsidRPr="00EB655C">
              <w:rPr>
                <w:rFonts w:eastAsia="Times New Roman" w:cs="Times New Roman"/>
                <w:sz w:val="20"/>
                <w:szCs w:val="20"/>
                <w:lang w:eastAsia="en-AU"/>
              </w:rPr>
              <w:t xml:space="preserve">)(a) </w:t>
            </w:r>
          </w:p>
        </w:tc>
      </w:tr>
      <w:tr w:rsidR="00722C88" w:rsidRPr="00EB655C" w14:paraId="0B0FF8B4" w14:textId="77777777">
        <w:trPr>
          <w:trHeight w:val="300"/>
        </w:trPr>
        <w:tc>
          <w:tcPr>
            <w:tcW w:w="1694" w:type="dxa"/>
            <w:tcBorders>
              <w:top w:val="nil"/>
              <w:left w:val="single" w:sz="4" w:space="0" w:color="auto"/>
              <w:bottom w:val="single" w:sz="4" w:space="0" w:color="auto"/>
              <w:right w:val="single" w:sz="4" w:space="0" w:color="auto"/>
            </w:tcBorders>
            <w:vAlign w:val="bottom"/>
          </w:tcPr>
          <w:p w14:paraId="5463543B"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2.10 of the February 2023 AG</w:t>
            </w:r>
          </w:p>
        </w:tc>
        <w:tc>
          <w:tcPr>
            <w:tcW w:w="3953" w:type="dxa"/>
            <w:tcBorders>
              <w:top w:val="nil"/>
              <w:left w:val="single" w:sz="4" w:space="0" w:color="auto"/>
              <w:bottom w:val="single" w:sz="4" w:space="0" w:color="auto"/>
              <w:right w:val="single" w:sz="4" w:space="0" w:color="auto"/>
            </w:tcBorders>
            <w:vAlign w:val="bottom"/>
          </w:tcPr>
          <w:p w14:paraId="01A33D98"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Blended CFC Tax Regime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E7EA1BE"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4-60</w:t>
            </w:r>
          </w:p>
        </w:tc>
      </w:tr>
      <w:tr w:rsidR="00722C88" w:rsidRPr="00EB655C" w14:paraId="3F51AC74" w14:textId="77777777">
        <w:trPr>
          <w:trHeight w:val="300"/>
        </w:trPr>
        <w:tc>
          <w:tcPr>
            <w:tcW w:w="1694" w:type="dxa"/>
            <w:tcBorders>
              <w:top w:val="nil"/>
              <w:left w:val="single" w:sz="4" w:space="0" w:color="auto"/>
              <w:bottom w:val="single" w:sz="4" w:space="0" w:color="auto"/>
              <w:right w:val="single" w:sz="4" w:space="0" w:color="auto"/>
            </w:tcBorders>
            <w:vAlign w:val="bottom"/>
          </w:tcPr>
          <w:p w14:paraId="7EC4C80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5E3A04E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Constituent Entity-owner</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72DA6495"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p>
        </w:tc>
      </w:tr>
      <w:tr w:rsidR="00722C88" w:rsidRPr="00EB655C" w14:paraId="4CFFD4CB" w14:textId="77777777">
        <w:trPr>
          <w:trHeight w:val="300"/>
        </w:trPr>
        <w:tc>
          <w:tcPr>
            <w:tcW w:w="1694" w:type="dxa"/>
            <w:tcBorders>
              <w:top w:val="nil"/>
              <w:left w:val="single" w:sz="4" w:space="0" w:color="auto"/>
              <w:bottom w:val="single" w:sz="4" w:space="0" w:color="auto"/>
              <w:right w:val="single" w:sz="4" w:space="0" w:color="auto"/>
            </w:tcBorders>
            <w:vAlign w:val="bottom"/>
          </w:tcPr>
          <w:p w14:paraId="3B51AF97"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47C9F857"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Controlled Foreign Company Tax Regime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2A48FC32"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p>
        </w:tc>
      </w:tr>
      <w:tr w:rsidR="00722C88" w:rsidRPr="00EB655C" w14:paraId="490F129C" w14:textId="77777777">
        <w:trPr>
          <w:trHeight w:val="300"/>
        </w:trPr>
        <w:tc>
          <w:tcPr>
            <w:tcW w:w="1694" w:type="dxa"/>
            <w:tcBorders>
              <w:top w:val="nil"/>
              <w:left w:val="single" w:sz="4" w:space="0" w:color="auto"/>
              <w:bottom w:val="single" w:sz="4" w:space="0" w:color="auto"/>
              <w:right w:val="single" w:sz="4" w:space="0" w:color="auto"/>
            </w:tcBorders>
            <w:vAlign w:val="bottom"/>
          </w:tcPr>
          <w:p w14:paraId="0D93464B"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5FC56DA"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Cooperative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1C9CDE7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p>
        </w:tc>
      </w:tr>
      <w:tr w:rsidR="00722C88" w:rsidRPr="00EB655C" w14:paraId="5508C818" w14:textId="77777777">
        <w:trPr>
          <w:trHeight w:val="300"/>
        </w:trPr>
        <w:tc>
          <w:tcPr>
            <w:tcW w:w="1694" w:type="dxa"/>
            <w:tcBorders>
              <w:top w:val="nil"/>
              <w:left w:val="single" w:sz="4" w:space="0" w:color="auto"/>
              <w:bottom w:val="single" w:sz="4" w:space="0" w:color="auto"/>
              <w:right w:val="single" w:sz="4" w:space="0" w:color="auto"/>
            </w:tcBorders>
            <w:vAlign w:val="bottom"/>
          </w:tcPr>
          <w:p w14:paraId="6249B7EC"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4121BCF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Covered Taxes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465C1119"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40</w:t>
            </w:r>
          </w:p>
        </w:tc>
      </w:tr>
      <w:tr w:rsidR="00722C88" w:rsidRPr="00EB655C" w14:paraId="27D83E13" w14:textId="77777777">
        <w:trPr>
          <w:trHeight w:val="300"/>
        </w:trPr>
        <w:tc>
          <w:tcPr>
            <w:tcW w:w="1694" w:type="dxa"/>
            <w:tcBorders>
              <w:top w:val="nil"/>
              <w:left w:val="single" w:sz="4" w:space="0" w:color="auto"/>
              <w:bottom w:val="single" w:sz="4" w:space="0" w:color="auto"/>
              <w:right w:val="single" w:sz="4" w:space="0" w:color="auto"/>
            </w:tcBorders>
            <w:vAlign w:val="bottom"/>
          </w:tcPr>
          <w:p w14:paraId="4CF11CA8"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58E52E00"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Deductible Dividend</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B228F1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7-35</w:t>
            </w:r>
          </w:p>
        </w:tc>
      </w:tr>
      <w:tr w:rsidR="00722C88" w:rsidRPr="00EB655C" w14:paraId="7520660E" w14:textId="77777777">
        <w:trPr>
          <w:trHeight w:val="300"/>
        </w:trPr>
        <w:tc>
          <w:tcPr>
            <w:tcW w:w="1694" w:type="dxa"/>
            <w:tcBorders>
              <w:top w:val="nil"/>
              <w:left w:val="single" w:sz="4" w:space="0" w:color="auto"/>
              <w:bottom w:val="single" w:sz="4" w:space="0" w:color="auto"/>
              <w:right w:val="single" w:sz="4" w:space="0" w:color="auto"/>
            </w:tcBorders>
            <w:vAlign w:val="bottom"/>
          </w:tcPr>
          <w:p w14:paraId="2DD214C7"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F73E0C5"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Deductible Dividend Regime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4B82D489"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7-30</w:t>
            </w:r>
          </w:p>
        </w:tc>
      </w:tr>
      <w:tr w:rsidR="00722C88" w:rsidRPr="00EB655C" w14:paraId="11F0F325" w14:textId="77777777">
        <w:trPr>
          <w:trHeight w:val="300"/>
        </w:trPr>
        <w:tc>
          <w:tcPr>
            <w:tcW w:w="1694" w:type="dxa"/>
            <w:tcBorders>
              <w:top w:val="nil"/>
              <w:left w:val="single" w:sz="4" w:space="0" w:color="auto"/>
              <w:bottom w:val="single" w:sz="4" w:space="0" w:color="auto"/>
              <w:right w:val="single" w:sz="4" w:space="0" w:color="auto"/>
            </w:tcBorders>
            <w:vAlign w:val="bottom"/>
          </w:tcPr>
          <w:p w14:paraId="76F82291"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lastRenderedPageBreak/>
              <w:t>2.6 of the December 2023 AG</w:t>
            </w:r>
          </w:p>
        </w:tc>
        <w:tc>
          <w:tcPr>
            <w:tcW w:w="3953" w:type="dxa"/>
            <w:tcBorders>
              <w:top w:val="nil"/>
              <w:left w:val="single" w:sz="4" w:space="0" w:color="auto"/>
              <w:bottom w:val="single" w:sz="4" w:space="0" w:color="auto"/>
              <w:right w:val="single" w:sz="4" w:space="0" w:color="auto"/>
            </w:tcBorders>
            <w:vAlign w:val="bottom"/>
          </w:tcPr>
          <w:p w14:paraId="2852FBB4"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Deduction/Non-Inclusion arrangement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128EF8F1"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8-120</w:t>
            </w:r>
          </w:p>
        </w:tc>
      </w:tr>
      <w:tr w:rsidR="00722C88" w:rsidRPr="00EB655C" w14:paraId="7EF5F14C" w14:textId="77777777">
        <w:trPr>
          <w:trHeight w:val="300"/>
        </w:trPr>
        <w:tc>
          <w:tcPr>
            <w:tcW w:w="1694" w:type="dxa"/>
            <w:tcBorders>
              <w:top w:val="nil"/>
              <w:left w:val="single" w:sz="4" w:space="0" w:color="auto"/>
              <w:bottom w:val="single" w:sz="4" w:space="0" w:color="auto"/>
              <w:right w:val="single" w:sz="4" w:space="0" w:color="auto"/>
            </w:tcBorders>
            <w:vAlign w:val="bottom"/>
          </w:tcPr>
          <w:p w14:paraId="63AC91C1"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E60859B"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Deemed Distribution Tax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7F28C1D"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7-50(2)</w:t>
            </w:r>
          </w:p>
        </w:tc>
      </w:tr>
      <w:tr w:rsidR="00722C88" w:rsidRPr="00EB655C" w14:paraId="13C513B0" w14:textId="77777777">
        <w:trPr>
          <w:trHeight w:val="300"/>
        </w:trPr>
        <w:tc>
          <w:tcPr>
            <w:tcW w:w="1694" w:type="dxa"/>
            <w:tcBorders>
              <w:top w:val="nil"/>
              <w:left w:val="single" w:sz="4" w:space="0" w:color="auto"/>
              <w:bottom w:val="single" w:sz="4" w:space="0" w:color="auto"/>
              <w:right w:val="single" w:sz="4" w:space="0" w:color="auto"/>
            </w:tcBorders>
            <w:vAlign w:val="bottom"/>
          </w:tcPr>
          <w:p w14:paraId="3C36FCBA"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248A38D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Deemed Distribution Tax Recapture Account</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5B2B48B"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7-50(4)</w:t>
            </w:r>
          </w:p>
        </w:tc>
      </w:tr>
      <w:tr w:rsidR="00722C88" w:rsidRPr="00EB655C" w14:paraId="0BA805B4" w14:textId="77777777">
        <w:trPr>
          <w:trHeight w:val="300"/>
        </w:trPr>
        <w:tc>
          <w:tcPr>
            <w:tcW w:w="1694" w:type="dxa"/>
            <w:tcBorders>
              <w:top w:val="nil"/>
              <w:left w:val="single" w:sz="4" w:space="0" w:color="auto"/>
              <w:bottom w:val="single" w:sz="4" w:space="0" w:color="auto"/>
              <w:right w:val="single" w:sz="4" w:space="0" w:color="auto"/>
            </w:tcBorders>
            <w:vAlign w:val="bottom"/>
          </w:tcPr>
          <w:p w14:paraId="0A90FC97"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10.2.5</w:t>
            </w:r>
          </w:p>
        </w:tc>
        <w:tc>
          <w:tcPr>
            <w:tcW w:w="3953" w:type="dxa"/>
            <w:tcBorders>
              <w:top w:val="nil"/>
              <w:left w:val="single" w:sz="4" w:space="0" w:color="auto"/>
              <w:bottom w:val="single" w:sz="4" w:space="0" w:color="auto"/>
              <w:right w:val="single" w:sz="4" w:space="0" w:color="auto"/>
            </w:tcBorders>
            <w:vAlign w:val="bottom"/>
          </w:tcPr>
          <w:p w14:paraId="7736E26D"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Deeming an entity as a separate taxable person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F996AEF"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w:t>
            </w:r>
            <w:r>
              <w:rPr>
                <w:rFonts w:eastAsia="Times New Roman" w:cs="Times New Roman"/>
                <w:sz w:val="20"/>
                <w:szCs w:val="20"/>
                <w:lang w:eastAsia="en-AU"/>
              </w:rPr>
              <w:t>55</w:t>
            </w:r>
          </w:p>
        </w:tc>
      </w:tr>
      <w:tr w:rsidR="00722C88" w:rsidRPr="00EB655C" w14:paraId="3223B39C" w14:textId="77777777">
        <w:trPr>
          <w:trHeight w:val="300"/>
        </w:trPr>
        <w:tc>
          <w:tcPr>
            <w:tcW w:w="1694" w:type="dxa"/>
            <w:tcBorders>
              <w:top w:val="nil"/>
              <w:left w:val="single" w:sz="4" w:space="0" w:color="auto"/>
              <w:bottom w:val="single" w:sz="4" w:space="0" w:color="auto"/>
              <w:right w:val="single" w:sz="4" w:space="0" w:color="auto"/>
            </w:tcBorders>
            <w:vAlign w:val="bottom"/>
          </w:tcPr>
          <w:p w14:paraId="47EF8AAE"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10.2.4</w:t>
            </w:r>
          </w:p>
        </w:tc>
        <w:tc>
          <w:tcPr>
            <w:tcW w:w="3953" w:type="dxa"/>
            <w:tcBorders>
              <w:top w:val="nil"/>
              <w:left w:val="single" w:sz="4" w:space="0" w:color="auto"/>
              <w:bottom w:val="single" w:sz="4" w:space="0" w:color="auto"/>
              <w:right w:val="single" w:sz="4" w:space="0" w:color="auto"/>
            </w:tcBorders>
            <w:vAlign w:val="bottom"/>
          </w:tcPr>
          <w:p w14:paraId="4BA80935"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Deeming of a Flow Through or Tax Transparent Entity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876017C"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w:t>
            </w:r>
            <w:r>
              <w:rPr>
                <w:rFonts w:eastAsia="Times New Roman" w:cs="Times New Roman"/>
                <w:sz w:val="20"/>
                <w:szCs w:val="20"/>
                <w:lang w:eastAsia="en-AU"/>
              </w:rPr>
              <w:t>50</w:t>
            </w:r>
          </w:p>
        </w:tc>
      </w:tr>
      <w:tr w:rsidR="00722C88" w:rsidRPr="00EB655C" w14:paraId="48E58478" w14:textId="77777777">
        <w:trPr>
          <w:trHeight w:val="600"/>
        </w:trPr>
        <w:tc>
          <w:tcPr>
            <w:tcW w:w="1694" w:type="dxa"/>
            <w:tcBorders>
              <w:top w:val="nil"/>
              <w:left w:val="single" w:sz="4" w:space="0" w:color="auto"/>
              <w:bottom w:val="single" w:sz="4" w:space="0" w:color="auto"/>
              <w:right w:val="single" w:sz="4" w:space="0" w:color="auto"/>
            </w:tcBorders>
            <w:vAlign w:val="bottom"/>
          </w:tcPr>
          <w:p w14:paraId="1EAE3F0A"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10.2</w:t>
            </w:r>
          </w:p>
        </w:tc>
        <w:tc>
          <w:tcPr>
            <w:tcW w:w="3953" w:type="dxa"/>
            <w:tcBorders>
              <w:top w:val="nil"/>
              <w:left w:val="single" w:sz="4" w:space="0" w:color="auto"/>
              <w:bottom w:val="single" w:sz="4" w:space="0" w:color="auto"/>
              <w:right w:val="single" w:sz="4" w:space="0" w:color="auto"/>
            </w:tcBorders>
            <w:vAlign w:val="bottom"/>
          </w:tcPr>
          <w:p w14:paraId="1DB53488"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Definitions of Flow-through Entity, Tax Transparent Entity, Reverse Hybrid Entity, and Hybrid Entity</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BAD0D56" w14:textId="77777777" w:rsidR="00722C88" w:rsidRPr="00EB655C" w:rsidRDefault="00722C88" w:rsidP="00FA53C4">
            <w:pPr>
              <w:spacing w:before="60" w:after="60"/>
              <w:ind w:left="34"/>
              <w:rPr>
                <w:rFonts w:eastAsia="Times New Roman" w:cs="Times New Roman"/>
                <w:b/>
                <w:sz w:val="20"/>
                <w:szCs w:val="20"/>
                <w:lang w:eastAsia="en-AU"/>
              </w:rPr>
            </w:pPr>
            <w:r w:rsidRPr="00786B81">
              <w:rPr>
                <w:rFonts w:eastAsia="Times New Roman" w:cs="Times New Roman"/>
                <w:bCs/>
                <w:sz w:val="20"/>
                <w:szCs w:val="20"/>
                <w:lang w:eastAsia="en-AU"/>
              </w:rPr>
              <w:t>10-</w:t>
            </w:r>
            <w:r>
              <w:rPr>
                <w:rFonts w:eastAsia="Times New Roman" w:cs="Times New Roman"/>
                <w:bCs/>
                <w:sz w:val="20"/>
                <w:szCs w:val="20"/>
                <w:lang w:eastAsia="en-AU"/>
              </w:rPr>
              <w:t>30</w:t>
            </w:r>
            <w:r w:rsidRPr="00786B81">
              <w:rPr>
                <w:rFonts w:eastAsia="Times New Roman" w:cs="Times New Roman"/>
                <w:bCs/>
                <w:sz w:val="20"/>
                <w:szCs w:val="20"/>
                <w:lang w:eastAsia="en-AU"/>
              </w:rPr>
              <w:t>, 10-</w:t>
            </w:r>
            <w:r>
              <w:rPr>
                <w:rFonts w:eastAsia="Times New Roman" w:cs="Times New Roman"/>
                <w:bCs/>
                <w:sz w:val="20"/>
                <w:szCs w:val="20"/>
                <w:lang w:eastAsia="en-AU"/>
              </w:rPr>
              <w:t>35</w:t>
            </w:r>
            <w:r w:rsidRPr="00786B81">
              <w:rPr>
                <w:rFonts w:eastAsia="Times New Roman" w:cs="Times New Roman"/>
                <w:bCs/>
                <w:sz w:val="20"/>
                <w:szCs w:val="20"/>
                <w:lang w:eastAsia="en-AU"/>
              </w:rPr>
              <w:t>, 10-</w:t>
            </w:r>
            <w:r>
              <w:rPr>
                <w:rFonts w:eastAsia="Times New Roman" w:cs="Times New Roman"/>
                <w:bCs/>
                <w:sz w:val="20"/>
                <w:szCs w:val="20"/>
                <w:lang w:eastAsia="en-AU"/>
              </w:rPr>
              <w:t>40</w:t>
            </w:r>
            <w:r w:rsidRPr="00786B81">
              <w:rPr>
                <w:rFonts w:eastAsia="Times New Roman" w:cs="Times New Roman"/>
                <w:bCs/>
                <w:sz w:val="20"/>
                <w:szCs w:val="20"/>
                <w:lang w:eastAsia="en-AU"/>
              </w:rPr>
              <w:t>, 10-</w:t>
            </w:r>
            <w:r>
              <w:rPr>
                <w:rFonts w:eastAsia="Times New Roman" w:cs="Times New Roman"/>
                <w:bCs/>
                <w:sz w:val="20"/>
                <w:szCs w:val="20"/>
                <w:lang w:eastAsia="en-AU"/>
              </w:rPr>
              <w:t>45</w:t>
            </w:r>
            <w:r w:rsidRPr="00786B81">
              <w:rPr>
                <w:rFonts w:eastAsia="Times New Roman" w:cs="Times New Roman"/>
                <w:bCs/>
                <w:sz w:val="20"/>
                <w:szCs w:val="20"/>
                <w:lang w:eastAsia="en-AU"/>
              </w:rPr>
              <w:t xml:space="preserve">, </w:t>
            </w:r>
            <w:r>
              <w:rPr>
                <w:rFonts w:eastAsia="Times New Roman" w:cs="Times New Roman"/>
                <w:bCs/>
                <w:sz w:val="20"/>
                <w:szCs w:val="20"/>
                <w:lang w:eastAsia="en-AU"/>
              </w:rPr>
              <w:t>10-50, 10-55</w:t>
            </w:r>
          </w:p>
        </w:tc>
      </w:tr>
      <w:tr w:rsidR="00722C88" w:rsidRPr="00EB655C" w14:paraId="33EDAFB1" w14:textId="77777777">
        <w:trPr>
          <w:trHeight w:val="300"/>
        </w:trPr>
        <w:tc>
          <w:tcPr>
            <w:tcW w:w="1694" w:type="dxa"/>
            <w:tcBorders>
              <w:top w:val="nil"/>
              <w:left w:val="single" w:sz="4" w:space="0" w:color="auto"/>
              <w:bottom w:val="single" w:sz="4" w:space="0" w:color="auto"/>
              <w:right w:val="single" w:sz="4" w:space="0" w:color="auto"/>
            </w:tcBorders>
            <w:vAlign w:val="bottom"/>
          </w:tcPr>
          <w:p w14:paraId="2817BC79"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31A62F5F"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Departing Constituent Entity</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4F7418F1"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No equivalent. </w:t>
            </w:r>
          </w:p>
        </w:tc>
      </w:tr>
      <w:tr w:rsidR="00722C88" w:rsidRPr="00EB655C" w14:paraId="3FF518D1" w14:textId="77777777">
        <w:trPr>
          <w:trHeight w:val="300"/>
        </w:trPr>
        <w:tc>
          <w:tcPr>
            <w:tcW w:w="1694" w:type="dxa"/>
            <w:tcBorders>
              <w:top w:val="nil"/>
              <w:left w:val="single" w:sz="4" w:space="0" w:color="auto"/>
              <w:bottom w:val="single" w:sz="4" w:space="0" w:color="auto"/>
              <w:right w:val="single" w:sz="4" w:space="0" w:color="auto"/>
            </w:tcBorders>
            <w:vAlign w:val="bottom"/>
          </w:tcPr>
          <w:p w14:paraId="4079E07C"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1EA5BDF4"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Disallowed Accrual</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5775095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115</w:t>
            </w:r>
            <w:r w:rsidRPr="00EB655C">
              <w:rPr>
                <w:rFonts w:eastAsia="Times New Roman" w:cs="Times New Roman"/>
                <w:sz w:val="20"/>
                <w:szCs w:val="20"/>
                <w:lang w:eastAsia="en-AU"/>
              </w:rPr>
              <w:t>(1)</w:t>
            </w:r>
          </w:p>
        </w:tc>
      </w:tr>
      <w:tr w:rsidR="00722C88" w:rsidRPr="00EB655C" w14:paraId="19BA0982" w14:textId="77777777">
        <w:trPr>
          <w:trHeight w:val="300"/>
        </w:trPr>
        <w:tc>
          <w:tcPr>
            <w:tcW w:w="1694" w:type="dxa"/>
            <w:tcBorders>
              <w:top w:val="nil"/>
              <w:left w:val="single" w:sz="4" w:space="0" w:color="auto"/>
              <w:bottom w:val="single" w:sz="4" w:space="0" w:color="auto"/>
              <w:right w:val="single" w:sz="4" w:space="0" w:color="auto"/>
            </w:tcBorders>
            <w:vAlign w:val="bottom"/>
          </w:tcPr>
          <w:p w14:paraId="38C5D03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17D169A2"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Disposition Recapture Ratio</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57CE204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7-75(3)</w:t>
            </w:r>
          </w:p>
        </w:tc>
      </w:tr>
      <w:tr w:rsidR="00722C88" w:rsidRPr="00EB655C" w14:paraId="527A0B8E" w14:textId="77777777">
        <w:trPr>
          <w:trHeight w:val="300"/>
        </w:trPr>
        <w:tc>
          <w:tcPr>
            <w:tcW w:w="1694" w:type="dxa"/>
            <w:tcBorders>
              <w:top w:val="nil"/>
              <w:left w:val="single" w:sz="4" w:space="0" w:color="auto"/>
              <w:bottom w:val="single" w:sz="4" w:space="0" w:color="auto"/>
              <w:right w:val="single" w:sz="4" w:space="0" w:color="auto"/>
            </w:tcBorders>
            <w:vAlign w:val="bottom"/>
          </w:tcPr>
          <w:p w14:paraId="110B8A69"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02C98AE1"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Disqualified Refundable Imputation Tax</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8E19E14"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p>
        </w:tc>
      </w:tr>
      <w:tr w:rsidR="00722C88" w:rsidRPr="00EB655C" w14:paraId="48E31F63" w14:textId="77777777">
        <w:trPr>
          <w:trHeight w:val="300"/>
        </w:trPr>
        <w:tc>
          <w:tcPr>
            <w:tcW w:w="1694" w:type="dxa"/>
            <w:tcBorders>
              <w:top w:val="nil"/>
              <w:left w:val="single" w:sz="4" w:space="0" w:color="auto"/>
              <w:bottom w:val="single" w:sz="4" w:space="0" w:color="auto"/>
              <w:right w:val="single" w:sz="4" w:space="0" w:color="auto"/>
            </w:tcBorders>
            <w:vAlign w:val="bottom"/>
          </w:tcPr>
          <w:p w14:paraId="2F1A3074"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10.3.4</w:t>
            </w:r>
          </w:p>
        </w:tc>
        <w:tc>
          <w:tcPr>
            <w:tcW w:w="3953" w:type="dxa"/>
            <w:tcBorders>
              <w:top w:val="nil"/>
              <w:left w:val="single" w:sz="4" w:space="0" w:color="auto"/>
              <w:bottom w:val="single" w:sz="4" w:space="0" w:color="auto"/>
              <w:right w:val="single" w:sz="4" w:space="0" w:color="auto"/>
            </w:tcBorders>
            <w:vAlign w:val="bottom"/>
          </w:tcPr>
          <w:p w14:paraId="1AC18F96"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Dual located entity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EAE1EE0"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w:t>
            </w:r>
            <w:r>
              <w:rPr>
                <w:rFonts w:eastAsia="Times New Roman" w:cs="Times New Roman"/>
                <w:sz w:val="20"/>
                <w:szCs w:val="20"/>
                <w:lang w:eastAsia="en-AU"/>
              </w:rPr>
              <w:t>6</w:t>
            </w:r>
            <w:r w:rsidRPr="00EB655C">
              <w:rPr>
                <w:rFonts w:eastAsia="Times New Roman" w:cs="Times New Roman"/>
                <w:sz w:val="20"/>
                <w:szCs w:val="20"/>
                <w:lang w:eastAsia="en-AU"/>
              </w:rPr>
              <w:t>0</w:t>
            </w:r>
          </w:p>
        </w:tc>
      </w:tr>
      <w:tr w:rsidR="00722C88" w:rsidRPr="00EB655C" w14:paraId="4A274938" w14:textId="77777777">
        <w:trPr>
          <w:trHeight w:val="300"/>
        </w:trPr>
        <w:tc>
          <w:tcPr>
            <w:tcW w:w="1694" w:type="dxa"/>
            <w:tcBorders>
              <w:top w:val="nil"/>
              <w:left w:val="single" w:sz="4" w:space="0" w:color="auto"/>
              <w:bottom w:val="single" w:sz="4" w:space="0" w:color="auto"/>
              <w:right w:val="single" w:sz="4" w:space="0" w:color="auto"/>
            </w:tcBorders>
            <w:vAlign w:val="bottom"/>
          </w:tcPr>
          <w:p w14:paraId="4C37F2A7"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10.3.5</w:t>
            </w:r>
          </w:p>
        </w:tc>
        <w:tc>
          <w:tcPr>
            <w:tcW w:w="3953" w:type="dxa"/>
            <w:tcBorders>
              <w:top w:val="nil"/>
              <w:left w:val="single" w:sz="4" w:space="0" w:color="auto"/>
              <w:bottom w:val="single" w:sz="4" w:space="0" w:color="auto"/>
              <w:right w:val="single" w:sz="4" w:space="0" w:color="auto"/>
            </w:tcBorders>
            <w:vAlign w:val="bottom"/>
          </w:tcPr>
          <w:p w14:paraId="1964DAC5"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Dual located parent entity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D2972D6"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w:t>
            </w:r>
            <w:r>
              <w:rPr>
                <w:rFonts w:eastAsia="Times New Roman" w:cs="Times New Roman"/>
                <w:sz w:val="20"/>
                <w:szCs w:val="20"/>
                <w:lang w:eastAsia="en-AU"/>
              </w:rPr>
              <w:t>65</w:t>
            </w:r>
          </w:p>
        </w:tc>
      </w:tr>
      <w:tr w:rsidR="00722C88" w:rsidRPr="00EB655C" w14:paraId="2D555076" w14:textId="77777777">
        <w:trPr>
          <w:trHeight w:val="300"/>
        </w:trPr>
        <w:tc>
          <w:tcPr>
            <w:tcW w:w="1694" w:type="dxa"/>
            <w:tcBorders>
              <w:top w:val="nil"/>
              <w:left w:val="single" w:sz="4" w:space="0" w:color="auto"/>
              <w:bottom w:val="single" w:sz="4" w:space="0" w:color="auto"/>
              <w:right w:val="single" w:sz="4" w:space="0" w:color="auto"/>
            </w:tcBorders>
            <w:vAlign w:val="bottom"/>
          </w:tcPr>
          <w:p w14:paraId="6030BC2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48AE7FE7"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Dual-listed Arrangement</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96D9E0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w:t>
            </w:r>
            <w:r>
              <w:rPr>
                <w:rFonts w:eastAsia="Times New Roman" w:cs="Times New Roman"/>
                <w:sz w:val="20"/>
                <w:szCs w:val="20"/>
                <w:lang w:eastAsia="en-AU"/>
              </w:rPr>
              <w:t>85</w:t>
            </w:r>
            <w:r w:rsidRPr="00EB655C">
              <w:rPr>
                <w:rFonts w:eastAsia="Times New Roman" w:cs="Times New Roman"/>
                <w:sz w:val="20"/>
                <w:szCs w:val="20"/>
                <w:lang w:eastAsia="en-AU"/>
              </w:rPr>
              <w:t>(4)</w:t>
            </w:r>
          </w:p>
        </w:tc>
      </w:tr>
      <w:tr w:rsidR="00722C88" w:rsidRPr="00EB655C" w14:paraId="58EA327D" w14:textId="77777777">
        <w:trPr>
          <w:trHeight w:val="300"/>
        </w:trPr>
        <w:tc>
          <w:tcPr>
            <w:tcW w:w="1694" w:type="dxa"/>
            <w:tcBorders>
              <w:top w:val="nil"/>
              <w:left w:val="single" w:sz="4" w:space="0" w:color="auto"/>
              <w:bottom w:val="single" w:sz="4" w:space="0" w:color="auto"/>
              <w:right w:val="single" w:sz="4" w:space="0" w:color="auto"/>
            </w:tcBorders>
            <w:vAlign w:val="bottom"/>
          </w:tcPr>
          <w:p w14:paraId="3CFC7C62"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2.6 of the December 2023 AG</w:t>
            </w:r>
          </w:p>
        </w:tc>
        <w:tc>
          <w:tcPr>
            <w:tcW w:w="3953" w:type="dxa"/>
            <w:tcBorders>
              <w:top w:val="nil"/>
              <w:left w:val="single" w:sz="4" w:space="0" w:color="auto"/>
              <w:bottom w:val="single" w:sz="4" w:space="0" w:color="auto"/>
              <w:right w:val="single" w:sz="4" w:space="0" w:color="auto"/>
            </w:tcBorders>
            <w:vAlign w:val="bottom"/>
          </w:tcPr>
          <w:p w14:paraId="3D3C9A50"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Duplicate loss arrangement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58F8B951"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8-125</w:t>
            </w:r>
          </w:p>
        </w:tc>
      </w:tr>
      <w:tr w:rsidR="00722C88" w:rsidRPr="00EB655C" w14:paraId="50233A52" w14:textId="77777777">
        <w:trPr>
          <w:trHeight w:val="300"/>
        </w:trPr>
        <w:tc>
          <w:tcPr>
            <w:tcW w:w="1694" w:type="dxa"/>
            <w:tcBorders>
              <w:top w:val="nil"/>
              <w:left w:val="single" w:sz="4" w:space="0" w:color="auto"/>
              <w:bottom w:val="single" w:sz="4" w:space="0" w:color="auto"/>
              <w:right w:val="single" w:sz="4" w:space="0" w:color="auto"/>
            </w:tcBorders>
            <w:vAlign w:val="bottom"/>
          </w:tcPr>
          <w:p w14:paraId="2B9FCBFD"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2.6 of the December 2023 AG</w:t>
            </w:r>
          </w:p>
        </w:tc>
        <w:tc>
          <w:tcPr>
            <w:tcW w:w="3953" w:type="dxa"/>
            <w:tcBorders>
              <w:top w:val="nil"/>
              <w:left w:val="single" w:sz="4" w:space="0" w:color="auto"/>
              <w:bottom w:val="single" w:sz="4" w:space="0" w:color="auto"/>
              <w:right w:val="single" w:sz="4" w:space="0" w:color="auto"/>
            </w:tcBorders>
            <w:vAlign w:val="bottom"/>
          </w:tcPr>
          <w:p w14:paraId="2C6175F0"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Duplicate tax recognition arrangement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1F6478A"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8-130</w:t>
            </w:r>
          </w:p>
        </w:tc>
      </w:tr>
      <w:tr w:rsidR="00722C88" w:rsidRPr="00EB655C" w14:paraId="72787295" w14:textId="77777777">
        <w:trPr>
          <w:trHeight w:val="300"/>
        </w:trPr>
        <w:tc>
          <w:tcPr>
            <w:tcW w:w="1694" w:type="dxa"/>
            <w:tcBorders>
              <w:top w:val="nil"/>
              <w:left w:val="single" w:sz="4" w:space="0" w:color="auto"/>
              <w:bottom w:val="single" w:sz="4" w:space="0" w:color="auto"/>
              <w:right w:val="single" w:sz="4" w:space="0" w:color="auto"/>
            </w:tcBorders>
            <w:vAlign w:val="bottom"/>
          </w:tcPr>
          <w:p w14:paraId="728136A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21B7159"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Effective Tax Rate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51D84FC1"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5-5</w:t>
            </w:r>
          </w:p>
        </w:tc>
      </w:tr>
      <w:tr w:rsidR="00722C88" w:rsidRPr="00EB655C" w14:paraId="40B8216D" w14:textId="77777777">
        <w:trPr>
          <w:trHeight w:val="300"/>
        </w:trPr>
        <w:tc>
          <w:tcPr>
            <w:tcW w:w="1694" w:type="dxa"/>
            <w:tcBorders>
              <w:top w:val="nil"/>
              <w:left w:val="single" w:sz="4" w:space="0" w:color="auto"/>
              <w:bottom w:val="single" w:sz="4" w:space="0" w:color="auto"/>
              <w:right w:val="single" w:sz="4" w:space="0" w:color="auto"/>
            </w:tcBorders>
            <w:vAlign w:val="bottom"/>
          </w:tcPr>
          <w:p w14:paraId="11D0A54F"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0C627FD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Eligible Distribution Tax System</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9CE7701"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7-45</w:t>
            </w:r>
          </w:p>
        </w:tc>
      </w:tr>
      <w:tr w:rsidR="00722C88" w:rsidRPr="00EB655C" w14:paraId="0EF00917" w14:textId="77777777">
        <w:trPr>
          <w:trHeight w:val="300"/>
        </w:trPr>
        <w:tc>
          <w:tcPr>
            <w:tcW w:w="1694" w:type="dxa"/>
            <w:tcBorders>
              <w:top w:val="nil"/>
              <w:left w:val="single" w:sz="4" w:space="0" w:color="auto"/>
              <w:bottom w:val="single" w:sz="4" w:space="0" w:color="auto"/>
              <w:right w:val="single" w:sz="4" w:space="0" w:color="auto"/>
            </w:tcBorders>
            <w:vAlign w:val="bottom"/>
          </w:tcPr>
          <w:p w14:paraId="72E7380C"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2B5E2251"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Eligible Employees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55573DF0"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5-60(2)</w:t>
            </w:r>
          </w:p>
        </w:tc>
      </w:tr>
      <w:tr w:rsidR="00722C88" w:rsidRPr="00EB655C" w14:paraId="008158A9" w14:textId="77777777">
        <w:trPr>
          <w:trHeight w:val="300"/>
        </w:trPr>
        <w:tc>
          <w:tcPr>
            <w:tcW w:w="1694" w:type="dxa"/>
            <w:tcBorders>
              <w:top w:val="nil"/>
              <w:left w:val="single" w:sz="4" w:space="0" w:color="auto"/>
              <w:bottom w:val="single" w:sz="4" w:space="0" w:color="auto"/>
              <w:right w:val="single" w:sz="4" w:space="0" w:color="auto"/>
            </w:tcBorders>
            <w:vAlign w:val="bottom"/>
          </w:tcPr>
          <w:p w14:paraId="29997639"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7F592B64"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Eligible Payroll Costs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1AE28E7F"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5-60(1)</w:t>
            </w:r>
          </w:p>
        </w:tc>
      </w:tr>
      <w:tr w:rsidR="00722C88" w:rsidRPr="00EB655C" w14:paraId="3CAABB84" w14:textId="77777777">
        <w:trPr>
          <w:trHeight w:val="300"/>
        </w:trPr>
        <w:tc>
          <w:tcPr>
            <w:tcW w:w="1694" w:type="dxa"/>
            <w:tcBorders>
              <w:top w:val="nil"/>
              <w:left w:val="single" w:sz="4" w:space="0" w:color="auto"/>
              <w:bottom w:val="single" w:sz="4" w:space="0" w:color="auto"/>
              <w:right w:val="single" w:sz="4" w:space="0" w:color="auto"/>
            </w:tcBorders>
            <w:vAlign w:val="bottom"/>
          </w:tcPr>
          <w:p w14:paraId="7D32F98C"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279C6BDE"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Eligible Tangible Assets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6E2FA57"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5-75</w:t>
            </w:r>
          </w:p>
        </w:tc>
      </w:tr>
      <w:tr w:rsidR="00722C88" w:rsidRPr="00EB655C" w14:paraId="06DD337A" w14:textId="77777777">
        <w:trPr>
          <w:trHeight w:val="300"/>
        </w:trPr>
        <w:tc>
          <w:tcPr>
            <w:tcW w:w="1694" w:type="dxa"/>
            <w:tcBorders>
              <w:top w:val="nil"/>
              <w:left w:val="single" w:sz="4" w:space="0" w:color="auto"/>
              <w:bottom w:val="single" w:sz="4" w:space="0" w:color="auto"/>
              <w:right w:val="single" w:sz="4" w:space="0" w:color="auto"/>
            </w:tcBorders>
            <w:vAlign w:val="bottom"/>
          </w:tcPr>
          <w:p w14:paraId="7CE87D9B"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7E27AE8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ETR Adjustment Article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535F376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w:t>
            </w:r>
            <w:r>
              <w:rPr>
                <w:rFonts w:eastAsia="Times New Roman" w:cs="Times New Roman"/>
                <w:sz w:val="20"/>
                <w:szCs w:val="20"/>
                <w:lang w:eastAsia="en-AU"/>
              </w:rPr>
              <w:noBreakHyphen/>
              <w:t>95(6)</w:t>
            </w:r>
          </w:p>
        </w:tc>
      </w:tr>
      <w:tr w:rsidR="00722C88" w:rsidRPr="00EB655C" w14:paraId="4DF603CC" w14:textId="77777777">
        <w:trPr>
          <w:trHeight w:val="300"/>
        </w:trPr>
        <w:tc>
          <w:tcPr>
            <w:tcW w:w="1694" w:type="dxa"/>
            <w:tcBorders>
              <w:top w:val="nil"/>
              <w:left w:val="single" w:sz="4" w:space="0" w:color="auto"/>
              <w:bottom w:val="single" w:sz="4" w:space="0" w:color="auto"/>
              <w:right w:val="single" w:sz="4" w:space="0" w:color="auto"/>
            </w:tcBorders>
            <w:vAlign w:val="bottom"/>
          </w:tcPr>
          <w:p w14:paraId="6F0C869D"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2.7 of the February 2023 AG</w:t>
            </w:r>
          </w:p>
        </w:tc>
        <w:tc>
          <w:tcPr>
            <w:tcW w:w="3953" w:type="dxa"/>
            <w:tcBorders>
              <w:top w:val="nil"/>
              <w:left w:val="single" w:sz="4" w:space="0" w:color="auto"/>
              <w:bottom w:val="single" w:sz="4" w:space="0" w:color="auto"/>
              <w:right w:val="single" w:sz="4" w:space="0" w:color="auto"/>
            </w:tcBorders>
            <w:vAlign w:val="bottom"/>
          </w:tcPr>
          <w:p w14:paraId="4E95372F"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Excess Negative Tax Expense Carry-forward</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4D72F38B"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4-30(5)(a)(i) and 5</w:t>
            </w:r>
            <w:r>
              <w:rPr>
                <w:rFonts w:eastAsia="Times New Roman" w:cs="Times New Roman"/>
                <w:sz w:val="20"/>
                <w:szCs w:val="20"/>
                <w:lang w:eastAsia="en-AU"/>
              </w:rPr>
              <w:noBreakHyphen/>
              <w:t>-10(3)(a)(i)</w:t>
            </w:r>
          </w:p>
        </w:tc>
      </w:tr>
      <w:tr w:rsidR="00722C88" w:rsidRPr="00EB655C" w14:paraId="20DF51F2" w14:textId="77777777">
        <w:trPr>
          <w:trHeight w:val="300"/>
        </w:trPr>
        <w:tc>
          <w:tcPr>
            <w:tcW w:w="1694" w:type="dxa"/>
            <w:tcBorders>
              <w:top w:val="nil"/>
              <w:left w:val="single" w:sz="4" w:space="0" w:color="auto"/>
              <w:bottom w:val="single" w:sz="4" w:space="0" w:color="auto"/>
              <w:right w:val="single" w:sz="4" w:space="0" w:color="auto"/>
            </w:tcBorders>
            <w:vAlign w:val="bottom"/>
          </w:tcPr>
          <w:p w14:paraId="71FC7CF4"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lastRenderedPageBreak/>
              <w:t>10.1.1</w:t>
            </w:r>
          </w:p>
        </w:tc>
        <w:tc>
          <w:tcPr>
            <w:tcW w:w="3953" w:type="dxa"/>
            <w:tcBorders>
              <w:top w:val="nil"/>
              <w:left w:val="single" w:sz="4" w:space="0" w:color="auto"/>
              <w:bottom w:val="single" w:sz="4" w:space="0" w:color="auto"/>
              <w:right w:val="single" w:sz="4" w:space="0" w:color="auto"/>
            </w:tcBorders>
            <w:vAlign w:val="bottom"/>
          </w:tcPr>
          <w:p w14:paraId="7E52804B"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Excess Profit</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E10AD90"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5-25</w:t>
            </w:r>
          </w:p>
        </w:tc>
      </w:tr>
      <w:tr w:rsidR="00722C88" w:rsidRPr="00EB655C" w14:paraId="27173BAD" w14:textId="77777777">
        <w:trPr>
          <w:trHeight w:val="300"/>
        </w:trPr>
        <w:tc>
          <w:tcPr>
            <w:tcW w:w="1694" w:type="dxa"/>
            <w:tcBorders>
              <w:top w:val="nil"/>
              <w:left w:val="single" w:sz="4" w:space="0" w:color="auto"/>
              <w:bottom w:val="single" w:sz="4" w:space="0" w:color="auto"/>
              <w:right w:val="single" w:sz="4" w:space="0" w:color="auto"/>
            </w:tcBorders>
            <w:vAlign w:val="bottom"/>
          </w:tcPr>
          <w:p w14:paraId="32576238"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5D5FC5C0"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Excluded Dividends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E323490"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25</w:t>
            </w:r>
            <w:r w:rsidRPr="00EB655C">
              <w:rPr>
                <w:rFonts w:eastAsia="Times New Roman" w:cs="Times New Roman"/>
                <w:sz w:val="20"/>
                <w:szCs w:val="20"/>
                <w:lang w:eastAsia="en-AU"/>
              </w:rPr>
              <w:t>(1)</w:t>
            </w:r>
          </w:p>
        </w:tc>
      </w:tr>
      <w:tr w:rsidR="00722C88" w:rsidRPr="00EB655C" w14:paraId="284FAED7" w14:textId="77777777">
        <w:trPr>
          <w:trHeight w:val="300"/>
        </w:trPr>
        <w:tc>
          <w:tcPr>
            <w:tcW w:w="1694" w:type="dxa"/>
            <w:tcBorders>
              <w:top w:val="nil"/>
              <w:left w:val="single" w:sz="4" w:space="0" w:color="auto"/>
              <w:bottom w:val="single" w:sz="4" w:space="0" w:color="auto"/>
              <w:right w:val="single" w:sz="4" w:space="0" w:color="auto"/>
            </w:tcBorders>
            <w:vAlign w:val="bottom"/>
          </w:tcPr>
          <w:p w14:paraId="41591AA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125FC14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Excluded Equity Gain or Loss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7E875187"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35</w:t>
            </w:r>
          </w:p>
        </w:tc>
      </w:tr>
      <w:tr w:rsidR="00722C88" w:rsidRPr="00EB655C" w14:paraId="70045BE1" w14:textId="77777777">
        <w:trPr>
          <w:trHeight w:val="300"/>
        </w:trPr>
        <w:tc>
          <w:tcPr>
            <w:tcW w:w="1694" w:type="dxa"/>
            <w:tcBorders>
              <w:top w:val="nil"/>
              <w:left w:val="single" w:sz="4" w:space="0" w:color="auto"/>
              <w:bottom w:val="single" w:sz="4" w:space="0" w:color="auto"/>
              <w:right w:val="single" w:sz="4" w:space="0" w:color="auto"/>
            </w:tcBorders>
            <w:vAlign w:val="bottom"/>
          </w:tcPr>
          <w:p w14:paraId="13F33F41"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3.2 of the </w:t>
            </w:r>
            <w:r w:rsidRPr="001D02FD">
              <w:rPr>
                <w:rFonts w:eastAsia="Times New Roman" w:cs="Times New Roman"/>
                <w:sz w:val="20"/>
                <w:szCs w:val="20"/>
                <w:lang w:eastAsia="en-AU"/>
              </w:rPr>
              <w:t xml:space="preserve">February </w:t>
            </w:r>
            <w:r w:rsidRPr="00EB655C">
              <w:rPr>
                <w:rFonts w:eastAsia="Times New Roman" w:cs="Times New Roman"/>
                <w:sz w:val="20"/>
                <w:szCs w:val="20"/>
                <w:lang w:eastAsia="en-AU"/>
              </w:rPr>
              <w:t>AG</w:t>
            </w:r>
          </w:p>
        </w:tc>
        <w:tc>
          <w:tcPr>
            <w:tcW w:w="3953" w:type="dxa"/>
            <w:tcBorders>
              <w:top w:val="nil"/>
              <w:left w:val="single" w:sz="4" w:space="0" w:color="auto"/>
              <w:bottom w:val="single" w:sz="4" w:space="0" w:color="auto"/>
              <w:right w:val="single" w:sz="4" w:space="0" w:color="auto"/>
            </w:tcBorders>
            <w:vAlign w:val="bottom"/>
          </w:tcPr>
          <w:p w14:paraId="75CE6F96"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Excluding </w:t>
            </w:r>
            <w:r>
              <w:rPr>
                <w:rFonts w:eastAsia="Times New Roman" w:cs="Times New Roman"/>
                <w:sz w:val="20"/>
                <w:szCs w:val="20"/>
                <w:lang w:eastAsia="en-AU"/>
              </w:rPr>
              <w:t>I</w:t>
            </w:r>
            <w:r w:rsidRPr="00EB655C">
              <w:rPr>
                <w:rFonts w:eastAsia="Times New Roman" w:cs="Times New Roman"/>
                <w:sz w:val="20"/>
                <w:szCs w:val="20"/>
                <w:lang w:eastAsia="en-AU"/>
              </w:rPr>
              <w:t xml:space="preserve">nvestment </w:t>
            </w:r>
            <w:r>
              <w:rPr>
                <w:rFonts w:eastAsia="Times New Roman" w:cs="Times New Roman"/>
                <w:sz w:val="20"/>
                <w:szCs w:val="20"/>
                <w:lang w:eastAsia="en-AU"/>
              </w:rPr>
              <w:t>E</w:t>
            </w:r>
            <w:r w:rsidRPr="00EB655C">
              <w:rPr>
                <w:rFonts w:eastAsia="Times New Roman" w:cs="Times New Roman"/>
                <w:sz w:val="20"/>
                <w:szCs w:val="20"/>
                <w:lang w:eastAsia="en-AU"/>
              </w:rPr>
              <w:t xml:space="preserve">ntities from definition of IPE and POPE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0B9BB891"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10-5 </w:t>
            </w:r>
          </w:p>
        </w:tc>
      </w:tr>
      <w:tr w:rsidR="00722C88" w:rsidRPr="00EB655C" w14:paraId="4EA21E7E" w14:textId="77777777">
        <w:trPr>
          <w:trHeight w:val="300"/>
        </w:trPr>
        <w:tc>
          <w:tcPr>
            <w:tcW w:w="1694" w:type="dxa"/>
            <w:tcBorders>
              <w:top w:val="nil"/>
              <w:left w:val="single" w:sz="4" w:space="0" w:color="auto"/>
              <w:bottom w:val="single" w:sz="4" w:space="0" w:color="auto"/>
              <w:right w:val="single" w:sz="4" w:space="0" w:color="auto"/>
            </w:tcBorders>
            <w:vAlign w:val="bottom"/>
          </w:tcPr>
          <w:p w14:paraId="7245B255"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76D760C9"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FANIL</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FA8ED3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3-10 and 3-2</w:t>
            </w:r>
            <w:r>
              <w:rPr>
                <w:rFonts w:eastAsia="Times New Roman" w:cs="Times New Roman"/>
                <w:sz w:val="20"/>
                <w:szCs w:val="20"/>
                <w:lang w:eastAsia="en-AU"/>
              </w:rPr>
              <w:t>40</w:t>
            </w:r>
          </w:p>
        </w:tc>
      </w:tr>
      <w:tr w:rsidR="00722C88" w:rsidRPr="00EB655C" w14:paraId="00BE369A" w14:textId="77777777">
        <w:trPr>
          <w:trHeight w:val="300"/>
        </w:trPr>
        <w:tc>
          <w:tcPr>
            <w:tcW w:w="1694" w:type="dxa"/>
            <w:tcBorders>
              <w:top w:val="nil"/>
              <w:left w:val="single" w:sz="4" w:space="0" w:color="auto"/>
              <w:bottom w:val="single" w:sz="4" w:space="0" w:color="auto"/>
              <w:right w:val="single" w:sz="4" w:space="0" w:color="auto"/>
            </w:tcBorders>
            <w:vAlign w:val="bottom"/>
          </w:tcPr>
          <w:p w14:paraId="3C789FBD"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10.2.2</w:t>
            </w:r>
          </w:p>
        </w:tc>
        <w:tc>
          <w:tcPr>
            <w:tcW w:w="3953" w:type="dxa"/>
            <w:tcBorders>
              <w:top w:val="nil"/>
              <w:left w:val="single" w:sz="4" w:space="0" w:color="auto"/>
              <w:bottom w:val="single" w:sz="4" w:space="0" w:color="auto"/>
              <w:right w:val="single" w:sz="4" w:space="0" w:color="auto"/>
            </w:tcBorders>
            <w:vAlign w:val="bottom"/>
          </w:tcPr>
          <w:p w14:paraId="7A94F8F0"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Fiscally transparent entity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01F02E1"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w:t>
            </w:r>
            <w:r>
              <w:rPr>
                <w:rFonts w:eastAsia="Times New Roman" w:cs="Times New Roman"/>
                <w:sz w:val="20"/>
                <w:szCs w:val="20"/>
                <w:lang w:eastAsia="en-AU"/>
              </w:rPr>
              <w:t>45</w:t>
            </w:r>
            <w:r w:rsidRPr="00EB655C">
              <w:rPr>
                <w:rFonts w:eastAsia="Times New Roman" w:cs="Times New Roman"/>
                <w:sz w:val="20"/>
                <w:szCs w:val="20"/>
                <w:lang w:eastAsia="en-AU"/>
              </w:rPr>
              <w:t>(1)</w:t>
            </w:r>
          </w:p>
        </w:tc>
      </w:tr>
      <w:tr w:rsidR="00722C88" w:rsidRPr="00EB655C" w14:paraId="2A663B5B" w14:textId="77777777">
        <w:trPr>
          <w:trHeight w:val="300"/>
        </w:trPr>
        <w:tc>
          <w:tcPr>
            <w:tcW w:w="1694" w:type="dxa"/>
            <w:tcBorders>
              <w:top w:val="nil"/>
              <w:left w:val="single" w:sz="4" w:space="0" w:color="auto"/>
              <w:bottom w:val="single" w:sz="4" w:space="0" w:color="auto"/>
              <w:right w:val="single" w:sz="4" w:space="0" w:color="auto"/>
            </w:tcBorders>
            <w:vAlign w:val="bottom"/>
          </w:tcPr>
          <w:p w14:paraId="1C4162A7"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10.2.1</w:t>
            </w:r>
          </w:p>
        </w:tc>
        <w:tc>
          <w:tcPr>
            <w:tcW w:w="3953" w:type="dxa"/>
            <w:tcBorders>
              <w:top w:val="nil"/>
              <w:left w:val="single" w:sz="4" w:space="0" w:color="auto"/>
              <w:bottom w:val="single" w:sz="4" w:space="0" w:color="auto"/>
              <w:right w:val="single" w:sz="4" w:space="0" w:color="auto"/>
            </w:tcBorders>
            <w:vAlign w:val="bottom"/>
          </w:tcPr>
          <w:p w14:paraId="137256B2"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Flow</w:t>
            </w:r>
            <w:r>
              <w:rPr>
                <w:rFonts w:eastAsia="Times New Roman" w:cs="Times New Roman"/>
                <w:sz w:val="20"/>
                <w:szCs w:val="20"/>
                <w:lang w:eastAsia="en-AU"/>
              </w:rPr>
              <w:noBreakHyphen/>
            </w:r>
            <w:r w:rsidRPr="00EB655C">
              <w:rPr>
                <w:rFonts w:eastAsia="Times New Roman" w:cs="Times New Roman"/>
                <w:sz w:val="20"/>
                <w:szCs w:val="20"/>
                <w:lang w:eastAsia="en-AU"/>
              </w:rPr>
              <w:t xml:space="preserve">through </w:t>
            </w:r>
            <w:r>
              <w:rPr>
                <w:rFonts w:eastAsia="Times New Roman" w:cs="Times New Roman"/>
                <w:sz w:val="20"/>
                <w:szCs w:val="20"/>
                <w:lang w:eastAsia="en-AU"/>
              </w:rPr>
              <w:t>E</w:t>
            </w:r>
            <w:r w:rsidRPr="00EB655C">
              <w:rPr>
                <w:rFonts w:eastAsia="Times New Roman" w:cs="Times New Roman"/>
                <w:sz w:val="20"/>
                <w:szCs w:val="20"/>
                <w:lang w:eastAsia="en-AU"/>
              </w:rPr>
              <w:t xml:space="preserve">ntity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2474A838"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w:t>
            </w:r>
            <w:r>
              <w:rPr>
                <w:rFonts w:eastAsia="Times New Roman" w:cs="Times New Roman"/>
                <w:sz w:val="20"/>
                <w:szCs w:val="20"/>
                <w:lang w:eastAsia="en-AU"/>
              </w:rPr>
              <w:t>30</w:t>
            </w:r>
          </w:p>
        </w:tc>
      </w:tr>
      <w:tr w:rsidR="00722C88" w:rsidRPr="00EB655C" w14:paraId="6BA6F33F" w14:textId="77777777">
        <w:trPr>
          <w:trHeight w:val="300"/>
        </w:trPr>
        <w:tc>
          <w:tcPr>
            <w:tcW w:w="1694" w:type="dxa"/>
            <w:tcBorders>
              <w:top w:val="nil"/>
              <w:left w:val="single" w:sz="4" w:space="0" w:color="auto"/>
              <w:bottom w:val="single" w:sz="4" w:space="0" w:color="auto"/>
              <w:right w:val="single" w:sz="4" w:space="0" w:color="auto"/>
            </w:tcBorders>
            <w:vAlign w:val="bottom"/>
          </w:tcPr>
          <w:p w14:paraId="2EFFED6F"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2B449594"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GloBE Implementation Framework</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12B0D39"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10</w:t>
            </w:r>
            <w:r>
              <w:rPr>
                <w:rFonts w:eastAsia="Times New Roman" w:cs="Times New Roman"/>
                <w:sz w:val="20"/>
                <w:szCs w:val="20"/>
                <w:lang w:eastAsia="en-AU"/>
              </w:rPr>
              <w:noBreakHyphen/>
              <w:t>10</w:t>
            </w:r>
          </w:p>
        </w:tc>
      </w:tr>
      <w:tr w:rsidR="00722C88" w:rsidRPr="00EB655C" w14:paraId="47FDA22D" w14:textId="77777777">
        <w:trPr>
          <w:trHeight w:val="300"/>
        </w:trPr>
        <w:tc>
          <w:tcPr>
            <w:tcW w:w="1694" w:type="dxa"/>
            <w:tcBorders>
              <w:top w:val="nil"/>
              <w:left w:val="single" w:sz="4" w:space="0" w:color="auto"/>
              <w:bottom w:val="single" w:sz="4" w:space="0" w:color="auto"/>
              <w:right w:val="single" w:sz="4" w:space="0" w:color="auto"/>
            </w:tcBorders>
            <w:vAlign w:val="bottom"/>
          </w:tcPr>
          <w:p w14:paraId="7ECEAE89"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5A0AA817"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GloBE Income of all Constituent Entities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5DF70F7"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w:t>
            </w:r>
            <w:r>
              <w:rPr>
                <w:rFonts w:eastAsia="Times New Roman" w:cs="Times New Roman"/>
                <w:sz w:val="20"/>
                <w:szCs w:val="20"/>
                <w:lang w:eastAsia="en-AU"/>
              </w:rPr>
              <w:t>15</w:t>
            </w:r>
            <w:r w:rsidRPr="00EB655C">
              <w:rPr>
                <w:rFonts w:eastAsia="Times New Roman" w:cs="Times New Roman"/>
                <w:sz w:val="20"/>
                <w:szCs w:val="20"/>
                <w:lang w:eastAsia="en-AU"/>
              </w:rPr>
              <w:t>(2)</w:t>
            </w:r>
          </w:p>
        </w:tc>
      </w:tr>
      <w:tr w:rsidR="00722C88" w:rsidRPr="00EB655C" w14:paraId="3451FB71" w14:textId="77777777">
        <w:trPr>
          <w:trHeight w:val="300"/>
        </w:trPr>
        <w:tc>
          <w:tcPr>
            <w:tcW w:w="1694" w:type="dxa"/>
            <w:tcBorders>
              <w:top w:val="nil"/>
              <w:left w:val="single" w:sz="4" w:space="0" w:color="auto"/>
              <w:bottom w:val="single" w:sz="4" w:space="0" w:color="auto"/>
              <w:right w:val="single" w:sz="4" w:space="0" w:color="auto"/>
            </w:tcBorders>
            <w:vAlign w:val="bottom"/>
          </w:tcPr>
          <w:p w14:paraId="68436825"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7CFF3E70"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GloBE Income or Loss of a Constituent Entity</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70B373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3-5</w:t>
            </w:r>
          </w:p>
        </w:tc>
      </w:tr>
      <w:tr w:rsidR="00722C88" w:rsidRPr="00EB655C" w14:paraId="3C21AF04" w14:textId="77777777">
        <w:trPr>
          <w:trHeight w:val="300"/>
        </w:trPr>
        <w:tc>
          <w:tcPr>
            <w:tcW w:w="1694" w:type="dxa"/>
            <w:tcBorders>
              <w:top w:val="nil"/>
              <w:left w:val="single" w:sz="4" w:space="0" w:color="auto"/>
              <w:bottom w:val="single" w:sz="4" w:space="0" w:color="auto"/>
              <w:right w:val="single" w:sz="4" w:space="0" w:color="auto"/>
            </w:tcBorders>
            <w:vAlign w:val="bottom"/>
          </w:tcPr>
          <w:p w14:paraId="4827FC4F"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41074FDF"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GloBE Loss Deferred Tax Asset</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508FEA70"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10-5, 4</w:t>
            </w:r>
            <w:r>
              <w:rPr>
                <w:rFonts w:eastAsia="Times New Roman" w:cs="Times New Roman"/>
                <w:sz w:val="20"/>
                <w:szCs w:val="20"/>
                <w:lang w:eastAsia="en-AU"/>
              </w:rPr>
              <w:noBreakHyphen/>
              <w:t>125 and 4</w:t>
            </w:r>
            <w:r>
              <w:rPr>
                <w:rFonts w:eastAsia="Times New Roman" w:cs="Times New Roman"/>
                <w:sz w:val="20"/>
                <w:szCs w:val="20"/>
                <w:lang w:eastAsia="en-AU"/>
              </w:rPr>
              <w:noBreakHyphen/>
              <w:t>135</w:t>
            </w:r>
          </w:p>
        </w:tc>
      </w:tr>
      <w:tr w:rsidR="00722C88" w:rsidRPr="00EB655C" w14:paraId="5D569971" w14:textId="77777777">
        <w:trPr>
          <w:trHeight w:val="300"/>
        </w:trPr>
        <w:tc>
          <w:tcPr>
            <w:tcW w:w="1694" w:type="dxa"/>
            <w:tcBorders>
              <w:top w:val="nil"/>
              <w:left w:val="single" w:sz="4" w:space="0" w:color="auto"/>
              <w:bottom w:val="single" w:sz="4" w:space="0" w:color="auto"/>
              <w:right w:val="single" w:sz="4" w:space="0" w:color="auto"/>
            </w:tcBorders>
            <w:vAlign w:val="bottom"/>
          </w:tcPr>
          <w:p w14:paraId="73440E9B"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14F14E91"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GloBE Loss Election</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85FC6B4"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120</w:t>
            </w:r>
            <w:r w:rsidRPr="00EB655C">
              <w:rPr>
                <w:rFonts w:eastAsia="Times New Roman" w:cs="Times New Roman"/>
                <w:sz w:val="20"/>
                <w:szCs w:val="20"/>
                <w:lang w:eastAsia="en-AU"/>
              </w:rPr>
              <w:t xml:space="preserve">(1) </w:t>
            </w:r>
          </w:p>
        </w:tc>
      </w:tr>
      <w:tr w:rsidR="00722C88" w:rsidRPr="00EB655C" w14:paraId="492813EE" w14:textId="77777777">
        <w:trPr>
          <w:trHeight w:val="300"/>
        </w:trPr>
        <w:tc>
          <w:tcPr>
            <w:tcW w:w="1694" w:type="dxa"/>
            <w:tcBorders>
              <w:top w:val="nil"/>
              <w:left w:val="single" w:sz="4" w:space="0" w:color="auto"/>
              <w:bottom w:val="single" w:sz="4" w:space="0" w:color="auto"/>
              <w:right w:val="single" w:sz="4" w:space="0" w:color="auto"/>
            </w:tcBorders>
            <w:vAlign w:val="bottom"/>
          </w:tcPr>
          <w:p w14:paraId="5E496AC7"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41922F42"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GloBE Losses of all Constituent Entities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202BBE1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5-1</w:t>
            </w:r>
            <w:r>
              <w:rPr>
                <w:rFonts w:eastAsia="Times New Roman" w:cs="Times New Roman"/>
                <w:sz w:val="20"/>
                <w:szCs w:val="20"/>
                <w:lang w:eastAsia="en-AU"/>
              </w:rPr>
              <w:t>5</w:t>
            </w:r>
            <w:r w:rsidRPr="00EB655C">
              <w:rPr>
                <w:rFonts w:eastAsia="Times New Roman" w:cs="Times New Roman"/>
                <w:sz w:val="20"/>
                <w:szCs w:val="20"/>
                <w:lang w:eastAsia="en-AU"/>
              </w:rPr>
              <w:t>(2)</w:t>
            </w:r>
          </w:p>
        </w:tc>
      </w:tr>
      <w:tr w:rsidR="00722C88" w:rsidRPr="00EB655C" w14:paraId="1E766BE3" w14:textId="77777777">
        <w:trPr>
          <w:trHeight w:val="300"/>
        </w:trPr>
        <w:tc>
          <w:tcPr>
            <w:tcW w:w="1694" w:type="dxa"/>
            <w:tcBorders>
              <w:top w:val="nil"/>
              <w:left w:val="single" w:sz="4" w:space="0" w:color="auto"/>
              <w:bottom w:val="single" w:sz="4" w:space="0" w:color="auto"/>
              <w:right w:val="single" w:sz="4" w:space="0" w:color="auto"/>
            </w:tcBorders>
            <w:vAlign w:val="bottom"/>
          </w:tcPr>
          <w:p w14:paraId="2191654F"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1E844F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GloBE Reorganisation</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26AB8E14"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w:t>
            </w:r>
            <w:r>
              <w:rPr>
                <w:rFonts w:eastAsia="Times New Roman" w:cs="Times New Roman"/>
                <w:sz w:val="20"/>
                <w:szCs w:val="20"/>
                <w:lang w:eastAsia="en-AU"/>
              </w:rPr>
              <w:t>65</w:t>
            </w:r>
            <w:r w:rsidRPr="00EB655C">
              <w:rPr>
                <w:rFonts w:eastAsia="Times New Roman" w:cs="Times New Roman"/>
                <w:sz w:val="20"/>
                <w:szCs w:val="20"/>
                <w:lang w:eastAsia="en-AU"/>
              </w:rPr>
              <w:t>(2)</w:t>
            </w:r>
          </w:p>
        </w:tc>
      </w:tr>
      <w:tr w:rsidR="00722C88" w:rsidRPr="00EB655C" w14:paraId="0194B3E1" w14:textId="77777777">
        <w:trPr>
          <w:trHeight w:val="300"/>
        </w:trPr>
        <w:tc>
          <w:tcPr>
            <w:tcW w:w="1694" w:type="dxa"/>
            <w:tcBorders>
              <w:top w:val="nil"/>
              <w:left w:val="single" w:sz="4" w:space="0" w:color="auto"/>
              <w:bottom w:val="single" w:sz="4" w:space="0" w:color="auto"/>
              <w:right w:val="single" w:sz="4" w:space="0" w:color="auto"/>
            </w:tcBorders>
            <w:vAlign w:val="bottom"/>
          </w:tcPr>
          <w:p w14:paraId="4015960B"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1729EEC7"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GloBE Revenue</w:t>
            </w:r>
            <w:r>
              <w:rPr>
                <w:rFonts w:eastAsia="Times New Roman" w:cs="Times New Roman"/>
                <w:sz w:val="20"/>
                <w:szCs w:val="20"/>
                <w:lang w:eastAsia="en-AU"/>
              </w:rPr>
              <w:t xml:space="preserve"> for the purpose of Art 5.5.2</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EBA0669"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w:t>
            </w:r>
            <w:r>
              <w:rPr>
                <w:rFonts w:eastAsia="Times New Roman" w:cs="Times New Roman"/>
                <w:sz w:val="20"/>
                <w:szCs w:val="20"/>
                <w:lang w:eastAsia="en-AU"/>
              </w:rPr>
              <w:t>110(3)</w:t>
            </w:r>
          </w:p>
        </w:tc>
      </w:tr>
      <w:tr w:rsidR="00722C88" w:rsidRPr="00EB655C" w14:paraId="53C59F76" w14:textId="77777777">
        <w:trPr>
          <w:trHeight w:val="300"/>
        </w:trPr>
        <w:tc>
          <w:tcPr>
            <w:tcW w:w="1694" w:type="dxa"/>
            <w:tcBorders>
              <w:top w:val="nil"/>
              <w:left w:val="single" w:sz="4" w:space="0" w:color="auto"/>
              <w:bottom w:val="single" w:sz="4" w:space="0" w:color="auto"/>
              <w:right w:val="single" w:sz="4" w:space="0" w:color="auto"/>
            </w:tcBorders>
            <w:vAlign w:val="bottom"/>
          </w:tcPr>
          <w:p w14:paraId="40C5680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70348B3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High-Tax Counterparty</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2ACE9F65"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w:t>
            </w:r>
            <w:r>
              <w:rPr>
                <w:rFonts w:eastAsia="Times New Roman" w:cs="Times New Roman"/>
                <w:sz w:val="20"/>
                <w:szCs w:val="20"/>
                <w:lang w:eastAsia="en-AU"/>
              </w:rPr>
              <w:t>90</w:t>
            </w:r>
            <w:r w:rsidRPr="00EB655C">
              <w:rPr>
                <w:rFonts w:eastAsia="Times New Roman" w:cs="Times New Roman"/>
                <w:sz w:val="20"/>
                <w:szCs w:val="20"/>
                <w:lang w:eastAsia="en-AU"/>
              </w:rPr>
              <w:t>(2) and 10-5</w:t>
            </w:r>
          </w:p>
        </w:tc>
      </w:tr>
      <w:tr w:rsidR="00722C88" w:rsidRPr="00EB655C" w14:paraId="74ED52CC" w14:textId="77777777">
        <w:trPr>
          <w:trHeight w:val="300"/>
        </w:trPr>
        <w:tc>
          <w:tcPr>
            <w:tcW w:w="1694" w:type="dxa"/>
            <w:tcBorders>
              <w:top w:val="nil"/>
              <w:left w:val="single" w:sz="4" w:space="0" w:color="auto"/>
              <w:bottom w:val="single" w:sz="4" w:space="0" w:color="auto"/>
              <w:right w:val="single" w:sz="4" w:space="0" w:color="auto"/>
            </w:tcBorders>
            <w:vAlign w:val="bottom"/>
          </w:tcPr>
          <w:p w14:paraId="5F834D6E"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2.6 of the December 2023 AG</w:t>
            </w:r>
          </w:p>
        </w:tc>
        <w:tc>
          <w:tcPr>
            <w:tcW w:w="3953" w:type="dxa"/>
            <w:tcBorders>
              <w:top w:val="nil"/>
              <w:left w:val="single" w:sz="4" w:space="0" w:color="auto"/>
              <w:bottom w:val="single" w:sz="4" w:space="0" w:color="auto"/>
              <w:right w:val="single" w:sz="4" w:space="0" w:color="auto"/>
            </w:tcBorders>
            <w:vAlign w:val="bottom"/>
          </w:tcPr>
          <w:p w14:paraId="4B3E4D73"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Hybrid Arbitrage Arrangement</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02E2279"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8-115</w:t>
            </w:r>
          </w:p>
        </w:tc>
      </w:tr>
      <w:tr w:rsidR="00722C88" w:rsidRPr="00EB655C" w14:paraId="26879B45" w14:textId="77777777">
        <w:trPr>
          <w:trHeight w:val="300"/>
        </w:trPr>
        <w:tc>
          <w:tcPr>
            <w:tcW w:w="1694" w:type="dxa"/>
            <w:tcBorders>
              <w:top w:val="nil"/>
              <w:left w:val="single" w:sz="4" w:space="0" w:color="auto"/>
              <w:bottom w:val="single" w:sz="4" w:space="0" w:color="auto"/>
              <w:right w:val="single" w:sz="4" w:space="0" w:color="auto"/>
            </w:tcBorders>
            <w:vAlign w:val="bottom"/>
          </w:tcPr>
          <w:p w14:paraId="4F8E49F4"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20B7FA92"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IIR</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4D148037"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r>
              <w:rPr>
                <w:rFonts w:eastAsia="Times New Roman" w:cs="Times New Roman"/>
                <w:sz w:val="20"/>
                <w:szCs w:val="20"/>
                <w:lang w:eastAsia="en-AU"/>
              </w:rPr>
              <w:t>, and 2</w:t>
            </w:r>
            <w:r>
              <w:rPr>
                <w:rFonts w:eastAsia="Times New Roman" w:cs="Times New Roman"/>
                <w:sz w:val="20"/>
                <w:szCs w:val="20"/>
                <w:lang w:eastAsia="en-AU"/>
              </w:rPr>
              <w:noBreakHyphen/>
              <w:t>5</w:t>
            </w:r>
          </w:p>
        </w:tc>
      </w:tr>
      <w:tr w:rsidR="00722C88" w:rsidRPr="00EB655C" w14:paraId="6743721D" w14:textId="77777777">
        <w:trPr>
          <w:trHeight w:val="300"/>
        </w:trPr>
        <w:tc>
          <w:tcPr>
            <w:tcW w:w="1694" w:type="dxa"/>
            <w:tcBorders>
              <w:top w:val="nil"/>
              <w:left w:val="single" w:sz="4" w:space="0" w:color="auto"/>
              <w:bottom w:val="single" w:sz="4" w:space="0" w:color="auto"/>
              <w:right w:val="single" w:sz="4" w:space="0" w:color="auto"/>
            </w:tcBorders>
            <w:vAlign w:val="bottom"/>
          </w:tcPr>
          <w:p w14:paraId="3B5C5F0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1B5D1BA"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Included Revaluation Method Gain or Loss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173BAC08"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50</w:t>
            </w:r>
            <w:r w:rsidRPr="00EB655C">
              <w:rPr>
                <w:rFonts w:eastAsia="Times New Roman" w:cs="Times New Roman"/>
                <w:sz w:val="20"/>
                <w:szCs w:val="20"/>
                <w:lang w:eastAsia="en-AU"/>
              </w:rPr>
              <w:t xml:space="preserve">(1) </w:t>
            </w:r>
          </w:p>
        </w:tc>
      </w:tr>
      <w:tr w:rsidR="00722C88" w:rsidRPr="00EB655C" w14:paraId="281DBA59" w14:textId="77777777">
        <w:trPr>
          <w:trHeight w:val="300"/>
        </w:trPr>
        <w:tc>
          <w:tcPr>
            <w:tcW w:w="1694" w:type="dxa"/>
            <w:tcBorders>
              <w:top w:val="nil"/>
              <w:left w:val="single" w:sz="4" w:space="0" w:color="auto"/>
              <w:bottom w:val="single" w:sz="4" w:space="0" w:color="auto"/>
              <w:right w:val="single" w:sz="4" w:space="0" w:color="auto"/>
            </w:tcBorders>
            <w:vAlign w:val="bottom"/>
          </w:tcPr>
          <w:p w14:paraId="217DC01E"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704002DB"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Insurance Investment Entity</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2BA8218"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p>
        </w:tc>
      </w:tr>
      <w:tr w:rsidR="00722C88" w:rsidRPr="00EB655C" w14:paraId="55F68457" w14:textId="77777777">
        <w:trPr>
          <w:trHeight w:val="300"/>
        </w:trPr>
        <w:tc>
          <w:tcPr>
            <w:tcW w:w="1694" w:type="dxa"/>
            <w:tcBorders>
              <w:top w:val="nil"/>
              <w:left w:val="single" w:sz="4" w:space="0" w:color="auto"/>
              <w:bottom w:val="single" w:sz="4" w:space="0" w:color="auto"/>
              <w:right w:val="single" w:sz="4" w:space="0" w:color="auto"/>
            </w:tcBorders>
            <w:vAlign w:val="bottom"/>
          </w:tcPr>
          <w:p w14:paraId="1782A3D4"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09D3B809"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Intermediate Parent Entity</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1A47F7B4"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p>
        </w:tc>
      </w:tr>
      <w:tr w:rsidR="00722C88" w:rsidRPr="00EB655C" w14:paraId="03CBFD08" w14:textId="77777777">
        <w:trPr>
          <w:trHeight w:val="300"/>
        </w:trPr>
        <w:tc>
          <w:tcPr>
            <w:tcW w:w="1694" w:type="dxa"/>
            <w:tcBorders>
              <w:top w:val="nil"/>
              <w:left w:val="single" w:sz="4" w:space="0" w:color="auto"/>
              <w:bottom w:val="single" w:sz="4" w:space="0" w:color="auto"/>
              <w:right w:val="single" w:sz="4" w:space="0" w:color="auto"/>
            </w:tcBorders>
            <w:vAlign w:val="bottom"/>
          </w:tcPr>
          <w:p w14:paraId="6D3FD02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44222EA1"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International Shipping Income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E63C00F"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w:t>
            </w:r>
            <w:r>
              <w:rPr>
                <w:rFonts w:eastAsia="Times New Roman" w:cs="Times New Roman"/>
                <w:sz w:val="20"/>
                <w:szCs w:val="20"/>
                <w:lang w:eastAsia="en-AU"/>
              </w:rPr>
              <w:t>25</w:t>
            </w:r>
            <w:r w:rsidRPr="00EB655C">
              <w:rPr>
                <w:rFonts w:eastAsia="Times New Roman" w:cs="Times New Roman"/>
                <w:sz w:val="20"/>
                <w:szCs w:val="20"/>
                <w:lang w:eastAsia="en-AU"/>
              </w:rPr>
              <w:t xml:space="preserve">(1) </w:t>
            </w:r>
          </w:p>
        </w:tc>
      </w:tr>
      <w:tr w:rsidR="00722C88" w:rsidRPr="00EB655C" w14:paraId="561EC51F" w14:textId="77777777">
        <w:trPr>
          <w:trHeight w:val="300"/>
        </w:trPr>
        <w:tc>
          <w:tcPr>
            <w:tcW w:w="1694" w:type="dxa"/>
            <w:tcBorders>
              <w:top w:val="nil"/>
              <w:left w:val="single" w:sz="4" w:space="0" w:color="auto"/>
              <w:bottom w:val="single" w:sz="4" w:space="0" w:color="auto"/>
              <w:right w:val="single" w:sz="4" w:space="0" w:color="auto"/>
            </w:tcBorders>
            <w:vAlign w:val="bottom"/>
          </w:tcPr>
          <w:p w14:paraId="43B6DFDE"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59B717D2"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Intragroup Financing Arrangement</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019BAC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w:t>
            </w:r>
            <w:r>
              <w:rPr>
                <w:rFonts w:eastAsia="Times New Roman" w:cs="Times New Roman"/>
                <w:sz w:val="20"/>
                <w:szCs w:val="20"/>
                <w:lang w:eastAsia="en-AU"/>
              </w:rPr>
              <w:t>85</w:t>
            </w:r>
            <w:r w:rsidRPr="00EB655C">
              <w:rPr>
                <w:rFonts w:eastAsia="Times New Roman" w:cs="Times New Roman"/>
                <w:sz w:val="20"/>
                <w:szCs w:val="20"/>
                <w:lang w:eastAsia="en-AU"/>
              </w:rPr>
              <w:t xml:space="preserve"> </w:t>
            </w:r>
          </w:p>
        </w:tc>
      </w:tr>
      <w:tr w:rsidR="00722C88" w:rsidRPr="00EB655C" w14:paraId="366CC945" w14:textId="77777777">
        <w:trPr>
          <w:trHeight w:val="300"/>
        </w:trPr>
        <w:tc>
          <w:tcPr>
            <w:tcW w:w="1694" w:type="dxa"/>
            <w:tcBorders>
              <w:top w:val="nil"/>
              <w:left w:val="single" w:sz="4" w:space="0" w:color="auto"/>
              <w:bottom w:val="single" w:sz="4" w:space="0" w:color="auto"/>
              <w:right w:val="single" w:sz="4" w:space="0" w:color="auto"/>
            </w:tcBorders>
            <w:vAlign w:val="bottom"/>
          </w:tcPr>
          <w:p w14:paraId="757D20E2"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5C636A2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Investment Entity</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CEC0AF2"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p>
        </w:tc>
      </w:tr>
      <w:tr w:rsidR="00722C88" w:rsidRPr="00EB655C" w14:paraId="1146FA89" w14:textId="77777777">
        <w:trPr>
          <w:trHeight w:val="300"/>
        </w:trPr>
        <w:tc>
          <w:tcPr>
            <w:tcW w:w="1694" w:type="dxa"/>
            <w:tcBorders>
              <w:top w:val="nil"/>
              <w:left w:val="single" w:sz="4" w:space="0" w:color="auto"/>
              <w:bottom w:val="single" w:sz="4" w:space="0" w:color="auto"/>
              <w:right w:val="single" w:sz="4" w:space="0" w:color="auto"/>
            </w:tcBorders>
            <w:vAlign w:val="bottom"/>
          </w:tcPr>
          <w:p w14:paraId="06723084"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5BBE043"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Liable Constituent Entity (or Entities)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73975FE6"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No equivalent</w:t>
            </w:r>
          </w:p>
        </w:tc>
      </w:tr>
      <w:tr w:rsidR="00722C88" w:rsidRPr="00EB655C" w14:paraId="1F8E4EB8" w14:textId="77777777">
        <w:trPr>
          <w:trHeight w:val="300"/>
        </w:trPr>
        <w:tc>
          <w:tcPr>
            <w:tcW w:w="1694" w:type="dxa"/>
            <w:tcBorders>
              <w:top w:val="nil"/>
              <w:left w:val="single" w:sz="4" w:space="0" w:color="auto"/>
              <w:bottom w:val="single" w:sz="4" w:space="0" w:color="auto"/>
              <w:right w:val="single" w:sz="4" w:space="0" w:color="auto"/>
            </w:tcBorders>
            <w:vAlign w:val="bottom"/>
          </w:tcPr>
          <w:p w14:paraId="6B061689"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39B6B85"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Local Tangible Asset</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5C78C0EE"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w:t>
            </w:r>
            <w:r>
              <w:rPr>
                <w:rFonts w:eastAsia="Times New Roman" w:cs="Times New Roman"/>
                <w:sz w:val="20"/>
                <w:szCs w:val="20"/>
                <w:lang w:eastAsia="en-AU"/>
              </w:rPr>
              <w:t>70</w:t>
            </w:r>
            <w:r w:rsidRPr="00EB655C">
              <w:rPr>
                <w:rFonts w:eastAsia="Times New Roman" w:cs="Times New Roman"/>
                <w:sz w:val="20"/>
                <w:szCs w:val="20"/>
                <w:lang w:eastAsia="en-AU"/>
              </w:rPr>
              <w:t xml:space="preserve"> </w:t>
            </w:r>
          </w:p>
        </w:tc>
      </w:tr>
      <w:tr w:rsidR="00722C88" w:rsidRPr="00EB655C" w14:paraId="2269FCEE" w14:textId="77777777">
        <w:trPr>
          <w:trHeight w:val="300"/>
        </w:trPr>
        <w:tc>
          <w:tcPr>
            <w:tcW w:w="1694" w:type="dxa"/>
            <w:tcBorders>
              <w:top w:val="nil"/>
              <w:left w:val="single" w:sz="4" w:space="0" w:color="auto"/>
              <w:bottom w:val="single" w:sz="4" w:space="0" w:color="auto"/>
              <w:right w:val="single" w:sz="4" w:space="0" w:color="auto"/>
            </w:tcBorders>
            <w:vAlign w:val="bottom"/>
          </w:tcPr>
          <w:p w14:paraId="316E9DAB"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10.3</w:t>
            </w:r>
          </w:p>
        </w:tc>
        <w:tc>
          <w:tcPr>
            <w:tcW w:w="3953" w:type="dxa"/>
            <w:tcBorders>
              <w:top w:val="nil"/>
              <w:left w:val="single" w:sz="4" w:space="0" w:color="auto"/>
              <w:bottom w:val="single" w:sz="4" w:space="0" w:color="auto"/>
              <w:right w:val="single" w:sz="4" w:space="0" w:color="auto"/>
            </w:tcBorders>
            <w:vAlign w:val="bottom"/>
          </w:tcPr>
          <w:p w14:paraId="7BA38521"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Location of an Entity and a Permanent Establishment</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4B37454A"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Assessment Act</w:t>
            </w:r>
          </w:p>
        </w:tc>
      </w:tr>
      <w:tr w:rsidR="00722C88" w:rsidRPr="00EB655C" w14:paraId="22FB4E1F" w14:textId="77777777">
        <w:trPr>
          <w:trHeight w:val="300"/>
        </w:trPr>
        <w:tc>
          <w:tcPr>
            <w:tcW w:w="1694" w:type="dxa"/>
            <w:tcBorders>
              <w:top w:val="nil"/>
              <w:left w:val="single" w:sz="4" w:space="0" w:color="auto"/>
              <w:bottom w:val="single" w:sz="4" w:space="0" w:color="auto"/>
              <w:right w:val="single" w:sz="4" w:space="0" w:color="auto"/>
            </w:tcBorders>
            <w:vAlign w:val="bottom"/>
          </w:tcPr>
          <w:p w14:paraId="5718F028"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lastRenderedPageBreak/>
              <w:t>10.1.1</w:t>
            </w:r>
          </w:p>
        </w:tc>
        <w:tc>
          <w:tcPr>
            <w:tcW w:w="3953" w:type="dxa"/>
            <w:tcBorders>
              <w:top w:val="nil"/>
              <w:left w:val="single" w:sz="4" w:space="0" w:color="auto"/>
              <w:bottom w:val="single" w:sz="4" w:space="0" w:color="auto"/>
              <w:right w:val="single" w:sz="4" w:space="0" w:color="auto"/>
            </w:tcBorders>
            <w:vAlign w:val="bottom"/>
          </w:tcPr>
          <w:p w14:paraId="72C2031F"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Look-back Period</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17FEBF3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w:t>
            </w:r>
            <w:r>
              <w:rPr>
                <w:rFonts w:eastAsia="Times New Roman" w:cs="Times New Roman"/>
                <w:sz w:val="20"/>
                <w:szCs w:val="20"/>
                <w:lang w:eastAsia="en-AU"/>
              </w:rPr>
              <w:t xml:space="preserve">75 </w:t>
            </w:r>
          </w:p>
        </w:tc>
      </w:tr>
      <w:tr w:rsidR="00722C88" w:rsidRPr="00EB655C" w14:paraId="6D417EB5" w14:textId="77777777">
        <w:trPr>
          <w:trHeight w:val="300"/>
        </w:trPr>
        <w:tc>
          <w:tcPr>
            <w:tcW w:w="1694" w:type="dxa"/>
            <w:tcBorders>
              <w:top w:val="nil"/>
              <w:left w:val="single" w:sz="4" w:space="0" w:color="auto"/>
              <w:bottom w:val="single" w:sz="4" w:space="0" w:color="auto"/>
              <w:right w:val="single" w:sz="4" w:space="0" w:color="auto"/>
            </w:tcBorders>
            <w:vAlign w:val="bottom"/>
          </w:tcPr>
          <w:p w14:paraId="1DF0AF44"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3580796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Loss Year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1CBF2D81"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w:t>
            </w:r>
            <w:r>
              <w:rPr>
                <w:rFonts w:eastAsia="Times New Roman" w:cs="Times New Roman"/>
                <w:sz w:val="20"/>
                <w:szCs w:val="20"/>
                <w:lang w:eastAsia="en-AU"/>
              </w:rPr>
              <w:t>75</w:t>
            </w:r>
            <w:r w:rsidRPr="00EB655C">
              <w:rPr>
                <w:rFonts w:eastAsia="Times New Roman" w:cs="Times New Roman"/>
                <w:sz w:val="20"/>
                <w:szCs w:val="20"/>
                <w:lang w:eastAsia="en-AU"/>
              </w:rPr>
              <w:t xml:space="preserve"> </w:t>
            </w:r>
          </w:p>
        </w:tc>
      </w:tr>
      <w:tr w:rsidR="00722C88" w:rsidRPr="00EB655C" w14:paraId="22156428" w14:textId="77777777">
        <w:trPr>
          <w:trHeight w:val="300"/>
        </w:trPr>
        <w:tc>
          <w:tcPr>
            <w:tcW w:w="1694" w:type="dxa"/>
            <w:tcBorders>
              <w:top w:val="nil"/>
              <w:left w:val="single" w:sz="4" w:space="0" w:color="auto"/>
              <w:bottom w:val="single" w:sz="4" w:space="0" w:color="auto"/>
              <w:right w:val="single" w:sz="4" w:space="0" w:color="auto"/>
            </w:tcBorders>
            <w:vAlign w:val="bottom"/>
          </w:tcPr>
          <w:p w14:paraId="04A6E59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11C25A7A"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Low-Tax Entity</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815A98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w:t>
            </w:r>
            <w:r>
              <w:rPr>
                <w:rFonts w:eastAsia="Times New Roman" w:cs="Times New Roman"/>
                <w:sz w:val="20"/>
                <w:szCs w:val="20"/>
                <w:lang w:eastAsia="en-AU"/>
              </w:rPr>
              <w:t>90</w:t>
            </w:r>
            <w:r w:rsidRPr="00EB655C">
              <w:rPr>
                <w:rFonts w:eastAsia="Times New Roman" w:cs="Times New Roman"/>
                <w:sz w:val="20"/>
                <w:szCs w:val="20"/>
                <w:lang w:eastAsia="en-AU"/>
              </w:rPr>
              <w:t xml:space="preserve"> </w:t>
            </w:r>
          </w:p>
        </w:tc>
      </w:tr>
      <w:tr w:rsidR="00722C88" w:rsidRPr="00EB655C" w14:paraId="72F2C532" w14:textId="77777777">
        <w:trPr>
          <w:trHeight w:val="300"/>
        </w:trPr>
        <w:tc>
          <w:tcPr>
            <w:tcW w:w="1694" w:type="dxa"/>
            <w:tcBorders>
              <w:top w:val="nil"/>
              <w:left w:val="single" w:sz="4" w:space="0" w:color="auto"/>
              <w:bottom w:val="single" w:sz="4" w:space="0" w:color="auto"/>
              <w:right w:val="single" w:sz="4" w:space="0" w:color="auto"/>
            </w:tcBorders>
            <w:vAlign w:val="bottom"/>
          </w:tcPr>
          <w:p w14:paraId="29B00A48"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187250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Low-Tax Jurisdiction</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18A45237"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w:t>
            </w:r>
            <w:r>
              <w:rPr>
                <w:rFonts w:eastAsia="Times New Roman" w:cs="Times New Roman"/>
                <w:sz w:val="20"/>
                <w:szCs w:val="20"/>
                <w:lang w:eastAsia="en-AU"/>
              </w:rPr>
              <w:t>95</w:t>
            </w:r>
            <w:r w:rsidRPr="00EB655C">
              <w:rPr>
                <w:rFonts w:eastAsia="Times New Roman" w:cs="Times New Roman"/>
                <w:sz w:val="20"/>
                <w:szCs w:val="20"/>
                <w:lang w:eastAsia="en-AU"/>
              </w:rPr>
              <w:t xml:space="preserve"> </w:t>
            </w:r>
          </w:p>
        </w:tc>
      </w:tr>
      <w:tr w:rsidR="00722C88" w:rsidRPr="00EB655C" w14:paraId="20B8CA57" w14:textId="77777777">
        <w:trPr>
          <w:trHeight w:val="300"/>
        </w:trPr>
        <w:tc>
          <w:tcPr>
            <w:tcW w:w="1694" w:type="dxa"/>
            <w:tcBorders>
              <w:top w:val="nil"/>
              <w:left w:val="single" w:sz="4" w:space="0" w:color="auto"/>
              <w:bottom w:val="single" w:sz="4" w:space="0" w:color="auto"/>
              <w:right w:val="single" w:sz="4" w:space="0" w:color="auto"/>
            </w:tcBorders>
            <w:vAlign w:val="bottom"/>
          </w:tcPr>
          <w:p w14:paraId="6683F85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FDBE285" w14:textId="77777777" w:rsidR="00722C88" w:rsidRPr="00EB655C" w:rsidRDefault="00722C88" w:rsidP="00424F18">
            <w:pPr>
              <w:spacing w:before="60" w:after="60"/>
              <w:ind w:left="34"/>
              <w:rPr>
                <w:rFonts w:eastAsia="Times New Roman" w:cs="Times New Roman"/>
                <w:sz w:val="20"/>
                <w:szCs w:val="20"/>
                <w:lang w:eastAsia="en-AU"/>
              </w:rPr>
            </w:pPr>
            <w:r w:rsidRPr="00D65384">
              <w:rPr>
                <w:rFonts w:eastAsia="Times New Roman" w:cs="Times New Roman"/>
                <w:sz w:val="20"/>
                <w:szCs w:val="20"/>
                <w:lang w:eastAsia="en-AU"/>
              </w:rPr>
              <w:t>Low-Taxed Constituent Entity</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18E073E"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p>
        </w:tc>
      </w:tr>
      <w:tr w:rsidR="00722C88" w:rsidRPr="00EB655C" w14:paraId="49FBA155" w14:textId="77777777">
        <w:trPr>
          <w:trHeight w:val="300"/>
        </w:trPr>
        <w:tc>
          <w:tcPr>
            <w:tcW w:w="1694" w:type="dxa"/>
            <w:tcBorders>
              <w:top w:val="nil"/>
              <w:left w:val="single" w:sz="4" w:space="0" w:color="auto"/>
              <w:bottom w:val="single" w:sz="4" w:space="0" w:color="auto"/>
              <w:right w:val="single" w:sz="4" w:space="0" w:color="auto"/>
            </w:tcBorders>
            <w:vAlign w:val="bottom"/>
          </w:tcPr>
          <w:p w14:paraId="6C3725E6"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Chapter 2 of July 2023 AG</w:t>
            </w:r>
          </w:p>
        </w:tc>
        <w:tc>
          <w:tcPr>
            <w:tcW w:w="3953" w:type="dxa"/>
            <w:tcBorders>
              <w:top w:val="nil"/>
              <w:left w:val="single" w:sz="4" w:space="0" w:color="auto"/>
              <w:bottom w:val="single" w:sz="4" w:space="0" w:color="auto"/>
              <w:right w:val="single" w:sz="4" w:space="0" w:color="auto"/>
            </w:tcBorders>
            <w:vAlign w:val="bottom"/>
          </w:tcPr>
          <w:p w14:paraId="1AB5CE89"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Marketable Price Floor</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4BC1197D"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3-135(1)</w:t>
            </w:r>
          </w:p>
        </w:tc>
      </w:tr>
      <w:tr w:rsidR="00722C88" w:rsidRPr="00EB655C" w14:paraId="1B85F00A" w14:textId="77777777">
        <w:trPr>
          <w:trHeight w:val="300"/>
        </w:trPr>
        <w:tc>
          <w:tcPr>
            <w:tcW w:w="1694" w:type="dxa"/>
            <w:tcBorders>
              <w:top w:val="nil"/>
              <w:left w:val="single" w:sz="4" w:space="0" w:color="auto"/>
              <w:bottom w:val="single" w:sz="4" w:space="0" w:color="auto"/>
              <w:right w:val="single" w:sz="4" w:space="0" w:color="auto"/>
            </w:tcBorders>
            <w:vAlign w:val="bottom"/>
          </w:tcPr>
          <w:p w14:paraId="55691A50"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Chapter 2 of July 2023 AG</w:t>
            </w:r>
          </w:p>
        </w:tc>
        <w:tc>
          <w:tcPr>
            <w:tcW w:w="3953" w:type="dxa"/>
            <w:tcBorders>
              <w:top w:val="nil"/>
              <w:left w:val="single" w:sz="4" w:space="0" w:color="auto"/>
              <w:bottom w:val="single" w:sz="4" w:space="0" w:color="auto"/>
              <w:right w:val="single" w:sz="4" w:space="0" w:color="auto"/>
            </w:tcBorders>
            <w:vAlign w:val="bottom"/>
          </w:tcPr>
          <w:p w14:paraId="3C234023"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Marketable Transferable Tax Credit</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2F6046B9"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3-130(1)</w:t>
            </w:r>
          </w:p>
        </w:tc>
      </w:tr>
      <w:tr w:rsidR="00722C88" w:rsidRPr="00EB655C" w14:paraId="6A0DC479" w14:textId="77777777">
        <w:trPr>
          <w:trHeight w:val="300"/>
        </w:trPr>
        <w:tc>
          <w:tcPr>
            <w:tcW w:w="1694" w:type="dxa"/>
            <w:tcBorders>
              <w:top w:val="nil"/>
              <w:left w:val="single" w:sz="4" w:space="0" w:color="auto"/>
              <w:bottom w:val="single" w:sz="4" w:space="0" w:color="auto"/>
              <w:right w:val="single" w:sz="4" w:space="0" w:color="auto"/>
            </w:tcBorders>
            <w:vAlign w:val="bottom"/>
          </w:tcPr>
          <w:p w14:paraId="7C567863"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1C55561E"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Minimum Rate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10D582F6"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10</w:t>
            </w:r>
            <w:r>
              <w:rPr>
                <w:rFonts w:eastAsia="Times New Roman" w:cs="Times New Roman"/>
                <w:sz w:val="20"/>
                <w:szCs w:val="20"/>
                <w:lang w:eastAsia="en-AU"/>
              </w:rPr>
              <w:noBreakHyphen/>
              <w:t>5</w:t>
            </w:r>
          </w:p>
        </w:tc>
      </w:tr>
      <w:tr w:rsidR="00722C88" w:rsidRPr="00EB655C" w14:paraId="15CC4EAE" w14:textId="77777777">
        <w:trPr>
          <w:trHeight w:val="300"/>
        </w:trPr>
        <w:tc>
          <w:tcPr>
            <w:tcW w:w="1694" w:type="dxa"/>
            <w:tcBorders>
              <w:top w:val="nil"/>
              <w:left w:val="single" w:sz="4" w:space="0" w:color="auto"/>
              <w:bottom w:val="single" w:sz="4" w:space="0" w:color="auto"/>
              <w:right w:val="single" w:sz="4" w:space="0" w:color="auto"/>
            </w:tcBorders>
            <w:vAlign w:val="bottom"/>
          </w:tcPr>
          <w:p w14:paraId="2D373D22"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3B311FC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Minority-Owned Constituent Entity</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69C5095"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w:t>
            </w:r>
            <w:r>
              <w:rPr>
                <w:rFonts w:eastAsia="Times New Roman" w:cs="Times New Roman"/>
                <w:sz w:val="20"/>
                <w:szCs w:val="20"/>
                <w:lang w:eastAsia="en-AU"/>
              </w:rPr>
              <w:noBreakHyphen/>
              <w:t>130(1)</w:t>
            </w:r>
          </w:p>
        </w:tc>
      </w:tr>
      <w:tr w:rsidR="00722C88" w:rsidRPr="00EB655C" w14:paraId="5A1D4974" w14:textId="77777777">
        <w:trPr>
          <w:trHeight w:val="300"/>
        </w:trPr>
        <w:tc>
          <w:tcPr>
            <w:tcW w:w="1694" w:type="dxa"/>
            <w:tcBorders>
              <w:top w:val="nil"/>
              <w:left w:val="single" w:sz="4" w:space="0" w:color="auto"/>
              <w:bottom w:val="single" w:sz="4" w:space="0" w:color="auto"/>
              <w:right w:val="single" w:sz="4" w:space="0" w:color="auto"/>
            </w:tcBorders>
            <w:vAlign w:val="bottom"/>
          </w:tcPr>
          <w:p w14:paraId="59F327E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04F8A35"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Minority-Owned Parent Entity</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6760EA9"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w:t>
            </w:r>
            <w:r>
              <w:rPr>
                <w:rFonts w:eastAsia="Times New Roman" w:cs="Times New Roman"/>
                <w:sz w:val="20"/>
                <w:szCs w:val="20"/>
                <w:lang w:eastAsia="en-AU"/>
              </w:rPr>
              <w:noBreakHyphen/>
              <w:t>130(2)</w:t>
            </w:r>
          </w:p>
        </w:tc>
      </w:tr>
      <w:tr w:rsidR="00722C88" w:rsidRPr="00EB655C" w14:paraId="43EB2A4F" w14:textId="77777777">
        <w:trPr>
          <w:trHeight w:val="300"/>
        </w:trPr>
        <w:tc>
          <w:tcPr>
            <w:tcW w:w="1694" w:type="dxa"/>
            <w:tcBorders>
              <w:top w:val="nil"/>
              <w:left w:val="single" w:sz="4" w:space="0" w:color="auto"/>
              <w:bottom w:val="single" w:sz="4" w:space="0" w:color="auto"/>
              <w:right w:val="single" w:sz="4" w:space="0" w:color="auto"/>
            </w:tcBorders>
            <w:vAlign w:val="bottom"/>
          </w:tcPr>
          <w:p w14:paraId="3097BBBC"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4809F7E8"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Minority-Owned Subgroup</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41786C9A"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5</w:t>
            </w:r>
            <w:r>
              <w:rPr>
                <w:rFonts w:eastAsia="Times New Roman" w:cs="Times New Roman"/>
                <w:sz w:val="20"/>
                <w:szCs w:val="20"/>
                <w:lang w:eastAsia="en-AU"/>
              </w:rPr>
              <w:noBreakHyphen/>
              <w:t>135(2)</w:t>
            </w:r>
          </w:p>
        </w:tc>
      </w:tr>
      <w:tr w:rsidR="00722C88" w:rsidRPr="00EB655C" w14:paraId="55272E61" w14:textId="77777777">
        <w:trPr>
          <w:trHeight w:val="300"/>
        </w:trPr>
        <w:tc>
          <w:tcPr>
            <w:tcW w:w="1694" w:type="dxa"/>
            <w:tcBorders>
              <w:top w:val="nil"/>
              <w:left w:val="single" w:sz="4" w:space="0" w:color="auto"/>
              <w:bottom w:val="single" w:sz="4" w:space="0" w:color="auto"/>
              <w:right w:val="single" w:sz="4" w:space="0" w:color="auto"/>
            </w:tcBorders>
            <w:vAlign w:val="bottom"/>
          </w:tcPr>
          <w:p w14:paraId="2FC2F4CA"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535A5EC"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Minority-Owned Subsidiary</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562B45F2"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5</w:t>
            </w:r>
            <w:r>
              <w:rPr>
                <w:rFonts w:eastAsia="Times New Roman" w:cs="Times New Roman"/>
                <w:sz w:val="20"/>
                <w:szCs w:val="20"/>
                <w:lang w:eastAsia="en-AU"/>
              </w:rPr>
              <w:noBreakHyphen/>
              <w:t>135(1)</w:t>
            </w:r>
          </w:p>
        </w:tc>
      </w:tr>
      <w:tr w:rsidR="00722C88" w:rsidRPr="00EB655C" w14:paraId="189CEC6C" w14:textId="77777777">
        <w:trPr>
          <w:trHeight w:val="300"/>
        </w:trPr>
        <w:tc>
          <w:tcPr>
            <w:tcW w:w="1694" w:type="dxa"/>
            <w:tcBorders>
              <w:top w:val="nil"/>
              <w:left w:val="single" w:sz="4" w:space="0" w:color="auto"/>
              <w:bottom w:val="single" w:sz="4" w:space="0" w:color="auto"/>
              <w:right w:val="single" w:sz="4" w:space="0" w:color="auto"/>
            </w:tcBorders>
            <w:vAlign w:val="bottom"/>
          </w:tcPr>
          <w:p w14:paraId="5B2B146E"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1EBBADF5"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MNE Group’s Allocable Share of the Investment Entity’s GloBE Income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210D5C5C"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7-100(1) and 10-5</w:t>
            </w:r>
          </w:p>
        </w:tc>
      </w:tr>
      <w:tr w:rsidR="00722C88" w:rsidRPr="00EB655C" w14:paraId="316A86D1" w14:textId="77777777">
        <w:trPr>
          <w:trHeight w:val="300"/>
        </w:trPr>
        <w:tc>
          <w:tcPr>
            <w:tcW w:w="1694" w:type="dxa"/>
            <w:tcBorders>
              <w:top w:val="nil"/>
              <w:left w:val="single" w:sz="4" w:space="0" w:color="auto"/>
              <w:bottom w:val="single" w:sz="4" w:space="0" w:color="auto"/>
              <w:right w:val="single" w:sz="4" w:space="0" w:color="auto"/>
            </w:tcBorders>
            <w:vAlign w:val="bottom"/>
          </w:tcPr>
          <w:p w14:paraId="5726AB2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0180A85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Multi-Parented MNE Group</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FC6319F"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w:t>
            </w:r>
            <w:r>
              <w:rPr>
                <w:rFonts w:eastAsia="Times New Roman" w:cs="Times New Roman"/>
                <w:sz w:val="20"/>
                <w:szCs w:val="20"/>
                <w:lang w:eastAsia="en-AU"/>
              </w:rPr>
              <w:t>85</w:t>
            </w:r>
            <w:r w:rsidRPr="00EB655C">
              <w:rPr>
                <w:rFonts w:eastAsia="Times New Roman" w:cs="Times New Roman"/>
                <w:sz w:val="20"/>
                <w:szCs w:val="20"/>
                <w:lang w:eastAsia="en-AU"/>
              </w:rPr>
              <w:t>(1)-(2)</w:t>
            </w:r>
          </w:p>
        </w:tc>
      </w:tr>
      <w:tr w:rsidR="00722C88" w:rsidRPr="00EB655C" w14:paraId="10DB6C99" w14:textId="77777777">
        <w:trPr>
          <w:trHeight w:val="300"/>
        </w:trPr>
        <w:tc>
          <w:tcPr>
            <w:tcW w:w="1694" w:type="dxa"/>
            <w:tcBorders>
              <w:top w:val="nil"/>
              <w:left w:val="single" w:sz="4" w:space="0" w:color="auto"/>
              <w:bottom w:val="single" w:sz="4" w:space="0" w:color="auto"/>
              <w:right w:val="single" w:sz="4" w:space="0" w:color="auto"/>
            </w:tcBorders>
            <w:vAlign w:val="bottom"/>
          </w:tcPr>
          <w:p w14:paraId="5EC2CE00"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7265BA2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Net Asset Gain</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43A44AEE"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w:t>
            </w:r>
            <w:r>
              <w:rPr>
                <w:rFonts w:eastAsia="Times New Roman" w:cs="Times New Roman"/>
                <w:sz w:val="20"/>
                <w:szCs w:val="20"/>
                <w:lang w:eastAsia="en-AU"/>
              </w:rPr>
              <w:t>70</w:t>
            </w:r>
            <w:r w:rsidRPr="00EB655C">
              <w:rPr>
                <w:rFonts w:eastAsia="Times New Roman" w:cs="Times New Roman"/>
                <w:sz w:val="20"/>
                <w:szCs w:val="20"/>
                <w:lang w:eastAsia="en-AU"/>
              </w:rPr>
              <w:t xml:space="preserve"> </w:t>
            </w:r>
          </w:p>
        </w:tc>
      </w:tr>
      <w:tr w:rsidR="00722C88" w:rsidRPr="00EB655C" w14:paraId="7E82798E" w14:textId="77777777">
        <w:trPr>
          <w:trHeight w:val="300"/>
        </w:trPr>
        <w:tc>
          <w:tcPr>
            <w:tcW w:w="1694" w:type="dxa"/>
            <w:tcBorders>
              <w:top w:val="nil"/>
              <w:left w:val="single" w:sz="4" w:space="0" w:color="auto"/>
              <w:bottom w:val="single" w:sz="4" w:space="0" w:color="auto"/>
              <w:right w:val="single" w:sz="4" w:space="0" w:color="auto"/>
            </w:tcBorders>
            <w:vAlign w:val="bottom"/>
          </w:tcPr>
          <w:p w14:paraId="4CE1DEC8"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102C772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Net Asset Loss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14E3B424"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w:t>
            </w:r>
            <w:r>
              <w:rPr>
                <w:rFonts w:eastAsia="Times New Roman" w:cs="Times New Roman"/>
                <w:sz w:val="20"/>
                <w:szCs w:val="20"/>
                <w:lang w:eastAsia="en-AU"/>
              </w:rPr>
              <w:t>70</w:t>
            </w:r>
            <w:r w:rsidRPr="00EB655C">
              <w:rPr>
                <w:rFonts w:eastAsia="Times New Roman" w:cs="Times New Roman"/>
                <w:sz w:val="20"/>
                <w:szCs w:val="20"/>
                <w:lang w:eastAsia="en-AU"/>
              </w:rPr>
              <w:t xml:space="preserve"> </w:t>
            </w:r>
          </w:p>
        </w:tc>
      </w:tr>
      <w:tr w:rsidR="00722C88" w:rsidRPr="00EB655C" w14:paraId="65272D98" w14:textId="77777777">
        <w:trPr>
          <w:trHeight w:val="300"/>
        </w:trPr>
        <w:tc>
          <w:tcPr>
            <w:tcW w:w="1694" w:type="dxa"/>
            <w:tcBorders>
              <w:top w:val="nil"/>
              <w:left w:val="single" w:sz="4" w:space="0" w:color="auto"/>
              <w:bottom w:val="single" w:sz="4" w:space="0" w:color="auto"/>
              <w:right w:val="single" w:sz="4" w:space="0" w:color="auto"/>
            </w:tcBorders>
            <w:vAlign w:val="bottom"/>
          </w:tcPr>
          <w:p w14:paraId="6E7E2A6E"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792EA2E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Net Book Value of Tangible Assets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D2BD215"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2-80</w:t>
            </w:r>
          </w:p>
        </w:tc>
      </w:tr>
      <w:tr w:rsidR="00722C88" w:rsidRPr="00EB655C" w14:paraId="0D3D9C67" w14:textId="77777777">
        <w:trPr>
          <w:trHeight w:val="300"/>
        </w:trPr>
        <w:tc>
          <w:tcPr>
            <w:tcW w:w="1694" w:type="dxa"/>
            <w:tcBorders>
              <w:top w:val="nil"/>
              <w:left w:val="single" w:sz="4" w:space="0" w:color="auto"/>
              <w:bottom w:val="single" w:sz="4" w:space="0" w:color="auto"/>
              <w:right w:val="single" w:sz="4" w:space="0" w:color="auto"/>
            </w:tcBorders>
            <w:vAlign w:val="bottom"/>
          </w:tcPr>
          <w:p w14:paraId="2B0D0260"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2D20F4C4"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Net GloBE Income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45ADF8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w:t>
            </w:r>
            <w:r>
              <w:rPr>
                <w:rFonts w:eastAsia="Times New Roman" w:cs="Times New Roman"/>
                <w:sz w:val="20"/>
                <w:szCs w:val="20"/>
                <w:lang w:eastAsia="en-AU"/>
              </w:rPr>
              <w:t>15</w:t>
            </w:r>
            <w:r w:rsidRPr="00EB655C">
              <w:rPr>
                <w:rFonts w:eastAsia="Times New Roman" w:cs="Times New Roman"/>
                <w:sz w:val="20"/>
                <w:szCs w:val="20"/>
                <w:lang w:eastAsia="en-AU"/>
              </w:rPr>
              <w:t xml:space="preserve"> </w:t>
            </w:r>
          </w:p>
        </w:tc>
      </w:tr>
      <w:tr w:rsidR="00722C88" w:rsidRPr="00EB655C" w14:paraId="5D774C19" w14:textId="77777777">
        <w:trPr>
          <w:trHeight w:val="300"/>
        </w:trPr>
        <w:tc>
          <w:tcPr>
            <w:tcW w:w="1694" w:type="dxa"/>
            <w:tcBorders>
              <w:top w:val="nil"/>
              <w:left w:val="single" w:sz="4" w:space="0" w:color="auto"/>
              <w:bottom w:val="single" w:sz="4" w:space="0" w:color="auto"/>
              <w:right w:val="single" w:sz="4" w:space="0" w:color="auto"/>
            </w:tcBorders>
            <w:vAlign w:val="bottom"/>
          </w:tcPr>
          <w:p w14:paraId="0FA5DFE8"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98B7B81"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Net GloBE Loss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270DF4DB"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w:t>
            </w:r>
            <w:r>
              <w:rPr>
                <w:rFonts w:eastAsia="Times New Roman" w:cs="Times New Roman"/>
                <w:sz w:val="20"/>
                <w:szCs w:val="20"/>
                <w:lang w:eastAsia="en-AU"/>
              </w:rPr>
              <w:t>15</w:t>
            </w:r>
            <w:r w:rsidRPr="00EB655C">
              <w:rPr>
                <w:rFonts w:eastAsia="Times New Roman" w:cs="Times New Roman"/>
                <w:sz w:val="20"/>
                <w:szCs w:val="20"/>
                <w:lang w:eastAsia="en-AU"/>
              </w:rPr>
              <w:t xml:space="preserve"> </w:t>
            </w:r>
          </w:p>
        </w:tc>
      </w:tr>
      <w:tr w:rsidR="00722C88" w:rsidRPr="00EB655C" w14:paraId="7BC926BB" w14:textId="77777777">
        <w:trPr>
          <w:trHeight w:val="300"/>
        </w:trPr>
        <w:tc>
          <w:tcPr>
            <w:tcW w:w="1694" w:type="dxa"/>
            <w:tcBorders>
              <w:top w:val="nil"/>
              <w:left w:val="single" w:sz="4" w:space="0" w:color="auto"/>
              <w:bottom w:val="single" w:sz="4" w:space="0" w:color="auto"/>
              <w:right w:val="single" w:sz="4" w:space="0" w:color="auto"/>
            </w:tcBorders>
            <w:vAlign w:val="bottom"/>
          </w:tcPr>
          <w:p w14:paraId="44AF536B"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151FFEC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Net Taxes Expense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77DAFA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15</w:t>
            </w:r>
          </w:p>
        </w:tc>
      </w:tr>
      <w:tr w:rsidR="00722C88" w:rsidRPr="00EB655C" w14:paraId="021FF820" w14:textId="77777777">
        <w:trPr>
          <w:trHeight w:val="300"/>
        </w:trPr>
        <w:tc>
          <w:tcPr>
            <w:tcW w:w="1694" w:type="dxa"/>
            <w:tcBorders>
              <w:top w:val="nil"/>
              <w:left w:val="single" w:sz="4" w:space="0" w:color="auto"/>
              <w:bottom w:val="single" w:sz="4" w:space="0" w:color="auto"/>
              <w:right w:val="single" w:sz="4" w:space="0" w:color="auto"/>
            </w:tcBorders>
            <w:vAlign w:val="bottom"/>
          </w:tcPr>
          <w:p w14:paraId="6EDFDE8C"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Chapter 1 of Safe Harbours and Penalty Relief 2022</w:t>
            </w:r>
          </w:p>
        </w:tc>
        <w:tc>
          <w:tcPr>
            <w:tcW w:w="3953" w:type="dxa"/>
            <w:tcBorders>
              <w:top w:val="nil"/>
              <w:left w:val="single" w:sz="4" w:space="0" w:color="auto"/>
              <w:bottom w:val="single" w:sz="4" w:space="0" w:color="auto"/>
              <w:right w:val="single" w:sz="4" w:space="0" w:color="auto"/>
            </w:tcBorders>
            <w:vAlign w:val="bottom"/>
          </w:tcPr>
          <w:p w14:paraId="1D69A290"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Net Unrealised Fair Value Loss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788E31F8"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8-100(2)</w:t>
            </w:r>
          </w:p>
        </w:tc>
      </w:tr>
      <w:tr w:rsidR="00722C88" w:rsidRPr="00EB655C" w14:paraId="3B612182" w14:textId="77777777">
        <w:trPr>
          <w:trHeight w:val="300"/>
        </w:trPr>
        <w:tc>
          <w:tcPr>
            <w:tcW w:w="1694" w:type="dxa"/>
            <w:tcBorders>
              <w:top w:val="nil"/>
              <w:left w:val="single" w:sz="4" w:space="0" w:color="auto"/>
              <w:bottom w:val="single" w:sz="4" w:space="0" w:color="auto"/>
              <w:right w:val="single" w:sz="4" w:space="0" w:color="auto"/>
            </w:tcBorders>
            <w:vAlign w:val="bottom"/>
          </w:tcPr>
          <w:p w14:paraId="1F7E8F03"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Chapter 2 of July 2023 AG</w:t>
            </w:r>
          </w:p>
        </w:tc>
        <w:tc>
          <w:tcPr>
            <w:tcW w:w="3953" w:type="dxa"/>
            <w:tcBorders>
              <w:top w:val="nil"/>
              <w:left w:val="single" w:sz="4" w:space="0" w:color="auto"/>
              <w:bottom w:val="single" w:sz="4" w:space="0" w:color="auto"/>
              <w:right w:val="single" w:sz="4" w:space="0" w:color="auto"/>
            </w:tcBorders>
            <w:vAlign w:val="bottom"/>
          </w:tcPr>
          <w:p w14:paraId="55412016"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Non-Marketable Transferable Tax Credit</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E78CD1A"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3-140</w:t>
            </w:r>
          </w:p>
        </w:tc>
      </w:tr>
      <w:tr w:rsidR="00722C88" w:rsidRPr="00EB655C" w14:paraId="5EF8E11F" w14:textId="77777777">
        <w:trPr>
          <w:trHeight w:val="300"/>
        </w:trPr>
        <w:tc>
          <w:tcPr>
            <w:tcW w:w="1694" w:type="dxa"/>
            <w:tcBorders>
              <w:top w:val="nil"/>
              <w:left w:val="single" w:sz="4" w:space="0" w:color="auto"/>
              <w:bottom w:val="single" w:sz="4" w:space="0" w:color="auto"/>
              <w:right w:val="single" w:sz="4" w:space="0" w:color="auto"/>
            </w:tcBorders>
            <w:vAlign w:val="bottom"/>
          </w:tcPr>
          <w:p w14:paraId="184F4182"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Chapter 2 of Safe Harbours and Penalty Relief 2022</w:t>
            </w:r>
          </w:p>
        </w:tc>
        <w:tc>
          <w:tcPr>
            <w:tcW w:w="3953" w:type="dxa"/>
            <w:tcBorders>
              <w:top w:val="nil"/>
              <w:left w:val="single" w:sz="4" w:space="0" w:color="auto"/>
              <w:bottom w:val="single" w:sz="4" w:space="0" w:color="auto"/>
              <w:right w:val="single" w:sz="4" w:space="0" w:color="auto"/>
            </w:tcBorders>
            <w:vAlign w:val="bottom"/>
          </w:tcPr>
          <w:p w14:paraId="3390E46E"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Non-material Constituent Entity</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58981F62"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8-185</w:t>
            </w:r>
          </w:p>
        </w:tc>
      </w:tr>
      <w:tr w:rsidR="00722C88" w:rsidRPr="00EB655C" w14:paraId="47BCDFCB" w14:textId="77777777">
        <w:trPr>
          <w:trHeight w:val="300"/>
        </w:trPr>
        <w:tc>
          <w:tcPr>
            <w:tcW w:w="1694" w:type="dxa"/>
            <w:tcBorders>
              <w:top w:val="nil"/>
              <w:left w:val="single" w:sz="4" w:space="0" w:color="auto"/>
              <w:bottom w:val="single" w:sz="4" w:space="0" w:color="auto"/>
              <w:right w:val="single" w:sz="4" w:space="0" w:color="auto"/>
            </w:tcBorders>
            <w:vAlign w:val="bottom"/>
          </w:tcPr>
          <w:p w14:paraId="0CE13908"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3755A86C"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Non-Qualified Refundable Tax Credit</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C2AF9C5"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3-12</w:t>
            </w:r>
            <w:r>
              <w:rPr>
                <w:rFonts w:eastAsia="Times New Roman" w:cs="Times New Roman"/>
                <w:sz w:val="20"/>
                <w:szCs w:val="20"/>
                <w:lang w:eastAsia="en-AU"/>
              </w:rPr>
              <w:t>5</w:t>
            </w:r>
            <w:r w:rsidRPr="00EB655C">
              <w:rPr>
                <w:rFonts w:eastAsia="Times New Roman" w:cs="Times New Roman"/>
                <w:sz w:val="20"/>
                <w:szCs w:val="20"/>
                <w:lang w:eastAsia="en-AU"/>
              </w:rPr>
              <w:t>(</w:t>
            </w:r>
            <w:r>
              <w:rPr>
                <w:rFonts w:eastAsia="Times New Roman" w:cs="Times New Roman"/>
                <w:sz w:val="20"/>
                <w:szCs w:val="20"/>
                <w:lang w:eastAsia="en-AU"/>
              </w:rPr>
              <w:t>3</w:t>
            </w:r>
            <w:r w:rsidRPr="00EB655C">
              <w:rPr>
                <w:rFonts w:eastAsia="Times New Roman" w:cs="Times New Roman"/>
                <w:sz w:val="20"/>
                <w:szCs w:val="20"/>
                <w:lang w:eastAsia="en-AU"/>
              </w:rPr>
              <w:t>)</w:t>
            </w:r>
          </w:p>
        </w:tc>
      </w:tr>
      <w:tr w:rsidR="00722C88" w:rsidRPr="00EB655C" w14:paraId="1EBFBFE6" w14:textId="77777777">
        <w:trPr>
          <w:trHeight w:val="300"/>
        </w:trPr>
        <w:tc>
          <w:tcPr>
            <w:tcW w:w="1694" w:type="dxa"/>
            <w:tcBorders>
              <w:top w:val="nil"/>
              <w:left w:val="single" w:sz="4" w:space="0" w:color="auto"/>
              <w:bottom w:val="single" w:sz="4" w:space="0" w:color="auto"/>
              <w:right w:val="single" w:sz="4" w:space="0" w:color="auto"/>
            </w:tcBorders>
            <w:vAlign w:val="bottom"/>
          </w:tcPr>
          <w:p w14:paraId="33E257DF"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lastRenderedPageBreak/>
              <w:t>10.1.1</w:t>
            </w:r>
          </w:p>
        </w:tc>
        <w:tc>
          <w:tcPr>
            <w:tcW w:w="3953" w:type="dxa"/>
            <w:tcBorders>
              <w:top w:val="nil"/>
              <w:left w:val="single" w:sz="4" w:space="0" w:color="auto"/>
              <w:bottom w:val="single" w:sz="4" w:space="0" w:color="auto"/>
              <w:right w:val="single" w:sz="4" w:space="0" w:color="auto"/>
            </w:tcBorders>
            <w:vAlign w:val="bottom"/>
          </w:tcPr>
          <w:p w14:paraId="0D51D9C9"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Non-qualifying Gain or Loss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181CAA58"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w:t>
            </w:r>
            <w:r>
              <w:rPr>
                <w:rFonts w:eastAsia="Times New Roman" w:cs="Times New Roman"/>
                <w:sz w:val="20"/>
                <w:szCs w:val="20"/>
                <w:lang w:eastAsia="en-AU"/>
              </w:rPr>
              <w:t>65</w:t>
            </w:r>
            <w:r w:rsidRPr="00EB655C">
              <w:rPr>
                <w:rFonts w:eastAsia="Times New Roman" w:cs="Times New Roman"/>
                <w:sz w:val="20"/>
                <w:szCs w:val="20"/>
                <w:lang w:eastAsia="en-AU"/>
              </w:rPr>
              <w:t>(4)</w:t>
            </w:r>
          </w:p>
        </w:tc>
      </w:tr>
      <w:tr w:rsidR="00722C88" w:rsidRPr="00EB655C" w14:paraId="11643807" w14:textId="77777777">
        <w:trPr>
          <w:trHeight w:val="300"/>
        </w:trPr>
        <w:tc>
          <w:tcPr>
            <w:tcW w:w="1694" w:type="dxa"/>
            <w:tcBorders>
              <w:top w:val="nil"/>
              <w:left w:val="single" w:sz="4" w:space="0" w:color="auto"/>
              <w:bottom w:val="single" w:sz="4" w:space="0" w:color="auto"/>
              <w:right w:val="single" w:sz="4" w:space="0" w:color="auto"/>
            </w:tcBorders>
            <w:vAlign w:val="bottom"/>
          </w:tcPr>
          <w:p w14:paraId="3D318A6F"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3098A0C9"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Number of Employees for the purpose of UTPR Percentage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A5D1E67"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2-75</w:t>
            </w:r>
          </w:p>
        </w:tc>
      </w:tr>
      <w:tr w:rsidR="00722C88" w:rsidRPr="00EB655C" w14:paraId="62E4DFC0" w14:textId="77777777">
        <w:trPr>
          <w:trHeight w:val="300"/>
        </w:trPr>
        <w:tc>
          <w:tcPr>
            <w:tcW w:w="1694" w:type="dxa"/>
            <w:tcBorders>
              <w:top w:val="nil"/>
              <w:left w:val="single" w:sz="4" w:space="0" w:color="auto"/>
              <w:bottom w:val="single" w:sz="4" w:space="0" w:color="auto"/>
              <w:right w:val="single" w:sz="4" w:space="0" w:color="auto"/>
            </w:tcBorders>
            <w:vAlign w:val="bottom"/>
          </w:tcPr>
          <w:p w14:paraId="4CC61984"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6CDC6E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OECD Model Tax Convention</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7F545F9C"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p>
        </w:tc>
      </w:tr>
      <w:tr w:rsidR="00722C88" w:rsidRPr="00EB655C" w14:paraId="74533EC7" w14:textId="77777777">
        <w:trPr>
          <w:trHeight w:val="300"/>
        </w:trPr>
        <w:tc>
          <w:tcPr>
            <w:tcW w:w="1694" w:type="dxa"/>
            <w:tcBorders>
              <w:top w:val="nil"/>
              <w:left w:val="single" w:sz="4" w:space="0" w:color="auto"/>
              <w:bottom w:val="single" w:sz="4" w:space="0" w:color="auto"/>
              <w:right w:val="single" w:sz="4" w:space="0" w:color="auto"/>
            </w:tcBorders>
            <w:vAlign w:val="bottom"/>
          </w:tcPr>
          <w:p w14:paraId="0168C12A"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6.1 of the June 2024 AG</w:t>
            </w:r>
          </w:p>
        </w:tc>
        <w:tc>
          <w:tcPr>
            <w:tcW w:w="3953" w:type="dxa"/>
            <w:tcBorders>
              <w:top w:val="nil"/>
              <w:left w:val="single" w:sz="4" w:space="0" w:color="auto"/>
              <w:bottom w:val="single" w:sz="4" w:space="0" w:color="auto"/>
              <w:right w:val="single" w:sz="4" w:space="0" w:color="auto"/>
            </w:tcBorders>
            <w:vAlign w:val="bottom"/>
          </w:tcPr>
          <w:p w14:paraId="2AC717C4"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OECD Securitisation Entity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2E773D3" w14:textId="77777777" w:rsidR="00722C88" w:rsidRPr="00EB655C" w:rsidRDefault="00722C88" w:rsidP="00424F18">
            <w:pPr>
              <w:spacing w:before="60" w:after="60"/>
              <w:ind w:left="34"/>
              <w:rPr>
                <w:rFonts w:eastAsia="Times New Roman" w:cs="Times New Roman"/>
                <w:sz w:val="20"/>
                <w:szCs w:val="20"/>
                <w:lang w:eastAsia="en-AU"/>
              </w:rPr>
            </w:pPr>
            <w:r>
              <w:rPr>
                <w:rFonts w:eastAsia="Times New Roman" w:cs="Times New Roman"/>
                <w:sz w:val="20"/>
                <w:szCs w:val="20"/>
                <w:lang w:eastAsia="en-AU"/>
              </w:rPr>
              <w:t>8-215</w:t>
            </w:r>
          </w:p>
        </w:tc>
      </w:tr>
      <w:tr w:rsidR="00722C88" w:rsidRPr="00EB655C" w14:paraId="7C087764" w14:textId="77777777">
        <w:trPr>
          <w:trHeight w:val="300"/>
        </w:trPr>
        <w:tc>
          <w:tcPr>
            <w:tcW w:w="1694" w:type="dxa"/>
            <w:tcBorders>
              <w:top w:val="nil"/>
              <w:left w:val="single" w:sz="4" w:space="0" w:color="auto"/>
              <w:bottom w:val="single" w:sz="4" w:space="0" w:color="auto"/>
              <w:right w:val="single" w:sz="4" w:space="0" w:color="auto"/>
            </w:tcBorders>
            <w:vAlign w:val="bottom"/>
          </w:tcPr>
          <w:p w14:paraId="389C47AD"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5E767EF4"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Other Comprehensive Income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2F13EF2"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50</w:t>
            </w:r>
            <w:r w:rsidRPr="00EB655C">
              <w:rPr>
                <w:rFonts w:eastAsia="Times New Roman" w:cs="Times New Roman"/>
                <w:sz w:val="20"/>
                <w:szCs w:val="20"/>
                <w:lang w:eastAsia="en-AU"/>
              </w:rPr>
              <w:t>(2)</w:t>
            </w:r>
          </w:p>
        </w:tc>
      </w:tr>
      <w:tr w:rsidR="00722C88" w:rsidRPr="00EB655C" w14:paraId="26ACE204" w14:textId="77777777">
        <w:trPr>
          <w:trHeight w:val="300"/>
        </w:trPr>
        <w:tc>
          <w:tcPr>
            <w:tcW w:w="1694" w:type="dxa"/>
            <w:tcBorders>
              <w:top w:val="nil"/>
              <w:left w:val="single" w:sz="4" w:space="0" w:color="auto"/>
              <w:bottom w:val="single" w:sz="4" w:space="0" w:color="auto"/>
              <w:right w:val="single" w:sz="4" w:space="0" w:color="auto"/>
            </w:tcBorders>
            <w:vAlign w:val="bottom"/>
          </w:tcPr>
          <w:p w14:paraId="6BD94159"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10.2.3</w:t>
            </w:r>
          </w:p>
        </w:tc>
        <w:tc>
          <w:tcPr>
            <w:tcW w:w="3953" w:type="dxa"/>
            <w:tcBorders>
              <w:top w:val="nil"/>
              <w:left w:val="single" w:sz="4" w:space="0" w:color="auto"/>
              <w:bottom w:val="single" w:sz="4" w:space="0" w:color="auto"/>
              <w:right w:val="single" w:sz="4" w:space="0" w:color="auto"/>
            </w:tcBorders>
            <w:vAlign w:val="bottom"/>
          </w:tcPr>
          <w:p w14:paraId="08ACD438"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Ownership interest in a </w:t>
            </w:r>
            <w:r>
              <w:rPr>
                <w:rFonts w:eastAsia="Times New Roman" w:cs="Times New Roman"/>
                <w:sz w:val="20"/>
                <w:szCs w:val="20"/>
                <w:lang w:eastAsia="en-AU"/>
              </w:rPr>
              <w:t>Constituent Entity</w:t>
            </w:r>
            <w:r w:rsidRPr="00EB655C">
              <w:rPr>
                <w:rFonts w:eastAsia="Times New Roman" w:cs="Times New Roman"/>
                <w:sz w:val="20"/>
                <w:szCs w:val="20"/>
                <w:lang w:eastAsia="en-AU"/>
              </w:rPr>
              <w:t xml:space="preserve"> through a tax transparent structure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69561693"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w:t>
            </w:r>
            <w:r>
              <w:rPr>
                <w:rFonts w:eastAsia="Times New Roman" w:cs="Times New Roman"/>
                <w:sz w:val="20"/>
                <w:szCs w:val="20"/>
                <w:lang w:eastAsia="en-AU"/>
              </w:rPr>
              <w:t>45</w:t>
            </w:r>
            <w:r w:rsidRPr="00EB655C">
              <w:rPr>
                <w:rFonts w:eastAsia="Times New Roman" w:cs="Times New Roman"/>
                <w:sz w:val="20"/>
                <w:szCs w:val="20"/>
                <w:lang w:eastAsia="en-AU"/>
              </w:rPr>
              <w:t>(2)</w:t>
            </w:r>
          </w:p>
        </w:tc>
      </w:tr>
      <w:tr w:rsidR="00722C88" w:rsidRPr="00EB655C" w14:paraId="0D47A2F9" w14:textId="77777777">
        <w:trPr>
          <w:trHeight w:val="300"/>
        </w:trPr>
        <w:tc>
          <w:tcPr>
            <w:tcW w:w="1694" w:type="dxa"/>
            <w:tcBorders>
              <w:top w:val="nil"/>
              <w:left w:val="single" w:sz="4" w:space="0" w:color="auto"/>
              <w:bottom w:val="single" w:sz="4" w:space="0" w:color="auto"/>
              <w:right w:val="single" w:sz="4" w:space="0" w:color="auto"/>
            </w:tcBorders>
            <w:vAlign w:val="bottom"/>
          </w:tcPr>
          <w:p w14:paraId="51677A69"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09CFE88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Parent Entity</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8179F51"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p>
        </w:tc>
      </w:tr>
      <w:tr w:rsidR="00722C88" w:rsidRPr="00EB655C" w14:paraId="411AB0F0" w14:textId="77777777">
        <w:trPr>
          <w:trHeight w:val="300"/>
        </w:trPr>
        <w:tc>
          <w:tcPr>
            <w:tcW w:w="1694" w:type="dxa"/>
            <w:tcBorders>
              <w:top w:val="nil"/>
              <w:left w:val="single" w:sz="4" w:space="0" w:color="auto"/>
              <w:bottom w:val="single" w:sz="4" w:space="0" w:color="auto"/>
              <w:right w:val="single" w:sz="4" w:space="0" w:color="auto"/>
            </w:tcBorders>
            <w:vAlign w:val="bottom"/>
          </w:tcPr>
          <w:p w14:paraId="1043D4F2"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154CFB05"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Parent Entity’s Inclusion Ratio</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45469DA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2-15</w:t>
            </w:r>
          </w:p>
        </w:tc>
      </w:tr>
      <w:tr w:rsidR="00722C88" w:rsidRPr="00EB655C" w14:paraId="3025143D" w14:textId="77777777">
        <w:trPr>
          <w:trHeight w:val="300"/>
        </w:trPr>
        <w:tc>
          <w:tcPr>
            <w:tcW w:w="1694" w:type="dxa"/>
            <w:tcBorders>
              <w:top w:val="nil"/>
              <w:left w:val="single" w:sz="4" w:space="0" w:color="auto"/>
              <w:bottom w:val="single" w:sz="4" w:space="0" w:color="auto"/>
              <w:right w:val="single" w:sz="4" w:space="0" w:color="auto"/>
            </w:tcBorders>
            <w:vAlign w:val="bottom"/>
          </w:tcPr>
          <w:p w14:paraId="3802B38A"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5AAE927E"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Partially-Owned Parent Entity</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7636D20C"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p>
        </w:tc>
      </w:tr>
      <w:tr w:rsidR="00722C88" w:rsidRPr="00EB655C" w14:paraId="273595D3" w14:textId="77777777">
        <w:trPr>
          <w:trHeight w:val="300"/>
        </w:trPr>
        <w:tc>
          <w:tcPr>
            <w:tcW w:w="1694" w:type="dxa"/>
            <w:tcBorders>
              <w:top w:val="nil"/>
              <w:left w:val="single" w:sz="4" w:space="0" w:color="auto"/>
              <w:bottom w:val="single" w:sz="4" w:space="0" w:color="auto"/>
              <w:right w:val="single" w:sz="4" w:space="0" w:color="auto"/>
            </w:tcBorders>
            <w:vAlign w:val="bottom"/>
          </w:tcPr>
          <w:p w14:paraId="198647FF"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4F84C153"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Passive Income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2F97621"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p>
        </w:tc>
      </w:tr>
      <w:tr w:rsidR="00722C88" w:rsidRPr="00EB655C" w14:paraId="5537A141" w14:textId="77777777">
        <w:trPr>
          <w:trHeight w:val="300"/>
        </w:trPr>
        <w:tc>
          <w:tcPr>
            <w:tcW w:w="1694" w:type="dxa"/>
            <w:tcBorders>
              <w:top w:val="nil"/>
              <w:left w:val="single" w:sz="4" w:space="0" w:color="auto"/>
              <w:bottom w:val="single" w:sz="4" w:space="0" w:color="auto"/>
              <w:right w:val="single" w:sz="4" w:space="0" w:color="auto"/>
            </w:tcBorders>
            <w:vAlign w:val="bottom"/>
          </w:tcPr>
          <w:p w14:paraId="4DC17E38"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1313F786"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Portfolio Shareholding</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00B869B"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25</w:t>
            </w:r>
            <w:r w:rsidRPr="00EB655C">
              <w:rPr>
                <w:rFonts w:eastAsia="Times New Roman" w:cs="Times New Roman"/>
                <w:sz w:val="20"/>
                <w:szCs w:val="20"/>
                <w:lang w:eastAsia="en-AU"/>
              </w:rPr>
              <w:t>(</w:t>
            </w:r>
            <w:r>
              <w:rPr>
                <w:rFonts w:eastAsia="Times New Roman" w:cs="Times New Roman"/>
                <w:sz w:val="20"/>
                <w:szCs w:val="20"/>
                <w:lang w:eastAsia="en-AU"/>
              </w:rPr>
              <w:t>4</w:t>
            </w:r>
            <w:r w:rsidRPr="00EB655C">
              <w:rPr>
                <w:rFonts w:eastAsia="Times New Roman" w:cs="Times New Roman"/>
                <w:sz w:val="20"/>
                <w:szCs w:val="20"/>
                <w:lang w:eastAsia="en-AU"/>
              </w:rPr>
              <w:t>)</w:t>
            </w:r>
          </w:p>
        </w:tc>
      </w:tr>
      <w:tr w:rsidR="00722C88" w:rsidRPr="00EB655C" w14:paraId="11F50ED6" w14:textId="77777777">
        <w:trPr>
          <w:trHeight w:val="300"/>
        </w:trPr>
        <w:tc>
          <w:tcPr>
            <w:tcW w:w="1694" w:type="dxa"/>
            <w:tcBorders>
              <w:top w:val="nil"/>
              <w:left w:val="single" w:sz="4" w:space="0" w:color="auto"/>
              <w:bottom w:val="single" w:sz="4" w:space="0" w:color="auto"/>
              <w:right w:val="single" w:sz="4" w:space="0" w:color="auto"/>
            </w:tcBorders>
            <w:vAlign w:val="bottom"/>
          </w:tcPr>
          <w:p w14:paraId="52321640"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68C8258"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Qualified Ancillary International Shipping Income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77155CB" w14:textId="77777777" w:rsidR="00722C88" w:rsidRPr="00EB655C" w:rsidRDefault="00722C88" w:rsidP="00424F18">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3-2</w:t>
            </w:r>
            <w:r>
              <w:rPr>
                <w:rFonts w:eastAsia="Times New Roman" w:cs="Times New Roman"/>
                <w:sz w:val="20"/>
                <w:szCs w:val="20"/>
                <w:lang w:eastAsia="en-AU"/>
              </w:rPr>
              <w:t>30</w:t>
            </w:r>
            <w:r w:rsidRPr="00EB655C">
              <w:rPr>
                <w:rFonts w:eastAsia="Times New Roman" w:cs="Times New Roman"/>
                <w:sz w:val="20"/>
                <w:szCs w:val="20"/>
                <w:lang w:eastAsia="en-AU"/>
              </w:rPr>
              <w:t>(1)</w:t>
            </w:r>
          </w:p>
        </w:tc>
      </w:tr>
      <w:tr w:rsidR="00722C88" w:rsidRPr="00EB655C" w14:paraId="649484B0" w14:textId="77777777">
        <w:trPr>
          <w:trHeight w:val="300"/>
        </w:trPr>
        <w:tc>
          <w:tcPr>
            <w:tcW w:w="1694" w:type="dxa"/>
            <w:tcBorders>
              <w:top w:val="nil"/>
              <w:left w:val="single" w:sz="4" w:space="0" w:color="auto"/>
              <w:bottom w:val="single" w:sz="4" w:space="0" w:color="auto"/>
              <w:right w:val="single" w:sz="4" w:space="0" w:color="auto"/>
            </w:tcBorders>
            <w:vAlign w:val="bottom"/>
          </w:tcPr>
          <w:p w14:paraId="0146E32A"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2.4 of the February 2023 AG</w:t>
            </w:r>
          </w:p>
        </w:tc>
        <w:tc>
          <w:tcPr>
            <w:tcW w:w="3953" w:type="dxa"/>
            <w:tcBorders>
              <w:top w:val="nil"/>
              <w:left w:val="single" w:sz="4" w:space="0" w:color="auto"/>
              <w:bottom w:val="single" w:sz="4" w:space="0" w:color="auto"/>
              <w:right w:val="single" w:sz="4" w:space="0" w:color="auto"/>
            </w:tcBorders>
            <w:vAlign w:val="bottom"/>
          </w:tcPr>
          <w:p w14:paraId="1785774F"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Qualified debt release amount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763EDC40"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3-85(1)</w:t>
            </w:r>
          </w:p>
        </w:tc>
      </w:tr>
      <w:tr w:rsidR="00722C88" w:rsidRPr="00EB655C" w14:paraId="35FB5617" w14:textId="77777777">
        <w:trPr>
          <w:trHeight w:val="300"/>
        </w:trPr>
        <w:tc>
          <w:tcPr>
            <w:tcW w:w="1694" w:type="dxa"/>
            <w:tcBorders>
              <w:top w:val="nil"/>
              <w:left w:val="single" w:sz="4" w:space="0" w:color="auto"/>
              <w:bottom w:val="single" w:sz="4" w:space="0" w:color="auto"/>
              <w:right w:val="single" w:sz="4" w:space="0" w:color="auto"/>
            </w:tcBorders>
            <w:vAlign w:val="bottom"/>
          </w:tcPr>
          <w:p w14:paraId="30B338B8"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693AA15"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Qualified Domestic Minimum Top-up Tax</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49F0CD28"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p>
        </w:tc>
      </w:tr>
      <w:tr w:rsidR="00722C88" w:rsidRPr="00EB655C" w14:paraId="3533F694" w14:textId="77777777">
        <w:trPr>
          <w:trHeight w:val="300"/>
        </w:trPr>
        <w:tc>
          <w:tcPr>
            <w:tcW w:w="1694" w:type="dxa"/>
            <w:tcBorders>
              <w:top w:val="nil"/>
              <w:left w:val="single" w:sz="4" w:space="0" w:color="auto"/>
              <w:bottom w:val="single" w:sz="4" w:space="0" w:color="auto"/>
              <w:right w:val="single" w:sz="4" w:space="0" w:color="auto"/>
            </w:tcBorders>
            <w:vAlign w:val="bottom"/>
          </w:tcPr>
          <w:p w14:paraId="0622930A"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776FA293"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 xml:space="preserve">Qualified </w:t>
            </w:r>
            <w:r>
              <w:rPr>
                <w:rFonts w:eastAsia="Times New Roman" w:cs="Times New Roman"/>
                <w:sz w:val="20"/>
                <w:szCs w:val="20"/>
                <w:lang w:eastAsia="en-AU"/>
              </w:rPr>
              <w:t>I</w:t>
            </w:r>
            <w:r w:rsidRPr="00EB655C">
              <w:rPr>
                <w:rFonts w:eastAsia="Times New Roman" w:cs="Times New Roman"/>
                <w:sz w:val="20"/>
                <w:szCs w:val="20"/>
                <w:lang w:eastAsia="en-AU"/>
              </w:rPr>
              <w:t>IR</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10BCC73C"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p>
        </w:tc>
      </w:tr>
      <w:tr w:rsidR="00722C88" w:rsidRPr="00EB655C" w14:paraId="3E457DCE" w14:textId="77777777">
        <w:trPr>
          <w:trHeight w:val="300"/>
        </w:trPr>
        <w:tc>
          <w:tcPr>
            <w:tcW w:w="1694" w:type="dxa"/>
            <w:tcBorders>
              <w:top w:val="nil"/>
              <w:left w:val="single" w:sz="4" w:space="0" w:color="auto"/>
              <w:bottom w:val="single" w:sz="4" w:space="0" w:color="auto"/>
              <w:right w:val="single" w:sz="4" w:space="0" w:color="auto"/>
            </w:tcBorders>
            <w:vAlign w:val="bottom"/>
          </w:tcPr>
          <w:p w14:paraId="258764EF"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5637DE25"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Qualified Imputation Tax</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852098F"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p>
        </w:tc>
      </w:tr>
      <w:tr w:rsidR="00722C88" w:rsidRPr="00EB655C" w14:paraId="335943D0" w14:textId="77777777">
        <w:trPr>
          <w:trHeight w:val="300"/>
        </w:trPr>
        <w:tc>
          <w:tcPr>
            <w:tcW w:w="1694" w:type="dxa"/>
            <w:tcBorders>
              <w:top w:val="nil"/>
              <w:left w:val="single" w:sz="4" w:space="0" w:color="auto"/>
              <w:bottom w:val="single" w:sz="4" w:space="0" w:color="auto"/>
              <w:right w:val="single" w:sz="4" w:space="0" w:color="auto"/>
            </w:tcBorders>
            <w:vAlign w:val="bottom"/>
          </w:tcPr>
          <w:p w14:paraId="0AF80CEC"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9147F57"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Qualified Refundable Tax Credit</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526622FE"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3-1</w:t>
            </w:r>
            <w:r>
              <w:rPr>
                <w:rFonts w:eastAsia="Times New Roman" w:cs="Times New Roman"/>
                <w:sz w:val="20"/>
                <w:szCs w:val="20"/>
                <w:lang w:eastAsia="en-AU"/>
              </w:rPr>
              <w:t>25</w:t>
            </w:r>
            <w:r w:rsidRPr="00EB655C">
              <w:rPr>
                <w:rFonts w:eastAsia="Times New Roman" w:cs="Times New Roman"/>
                <w:sz w:val="20"/>
                <w:szCs w:val="20"/>
                <w:lang w:eastAsia="en-AU"/>
              </w:rPr>
              <w:t>(1)-(2)</w:t>
            </w:r>
          </w:p>
        </w:tc>
      </w:tr>
      <w:tr w:rsidR="00722C88" w:rsidRPr="00EB655C" w14:paraId="26394EE7" w14:textId="77777777">
        <w:trPr>
          <w:trHeight w:val="300"/>
        </w:trPr>
        <w:tc>
          <w:tcPr>
            <w:tcW w:w="1694" w:type="dxa"/>
            <w:tcBorders>
              <w:top w:val="nil"/>
              <w:left w:val="single" w:sz="4" w:space="0" w:color="auto"/>
              <w:bottom w:val="single" w:sz="4" w:space="0" w:color="auto"/>
              <w:right w:val="single" w:sz="4" w:space="0" w:color="auto"/>
            </w:tcBorders>
            <w:vAlign w:val="bottom"/>
          </w:tcPr>
          <w:p w14:paraId="028B5EBA"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37BDC915"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Qualified UTPR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6D7F75D"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10-5 </w:t>
            </w:r>
          </w:p>
        </w:tc>
      </w:tr>
      <w:tr w:rsidR="00722C88" w:rsidRPr="00EB655C" w14:paraId="4D2AC1C1" w14:textId="77777777">
        <w:trPr>
          <w:trHeight w:val="300"/>
        </w:trPr>
        <w:tc>
          <w:tcPr>
            <w:tcW w:w="1694" w:type="dxa"/>
            <w:tcBorders>
              <w:top w:val="nil"/>
              <w:left w:val="single" w:sz="4" w:space="0" w:color="auto"/>
              <w:bottom w:val="single" w:sz="4" w:space="0" w:color="auto"/>
              <w:right w:val="single" w:sz="4" w:space="0" w:color="auto"/>
            </w:tcBorders>
            <w:vAlign w:val="bottom"/>
          </w:tcPr>
          <w:p w14:paraId="7F94BC85"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08113AE6"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Qualifying Competent Authority Agreement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180D3158"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No equivalent</w:t>
            </w:r>
          </w:p>
        </w:tc>
      </w:tr>
      <w:tr w:rsidR="00722C88" w:rsidRPr="00EB655C" w14:paraId="3F8E9002" w14:textId="77777777">
        <w:trPr>
          <w:trHeight w:val="300"/>
        </w:trPr>
        <w:tc>
          <w:tcPr>
            <w:tcW w:w="1694" w:type="dxa"/>
            <w:tcBorders>
              <w:top w:val="nil"/>
              <w:left w:val="single" w:sz="4" w:space="0" w:color="auto"/>
              <w:bottom w:val="single" w:sz="4" w:space="0" w:color="auto"/>
              <w:right w:val="single" w:sz="4" w:space="0" w:color="auto"/>
            </w:tcBorders>
            <w:vAlign w:val="bottom"/>
          </w:tcPr>
          <w:p w14:paraId="7C57D935"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5134CD20"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Recapture Exception Accrual</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71AE1CAA"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110</w:t>
            </w:r>
          </w:p>
        </w:tc>
      </w:tr>
      <w:tr w:rsidR="00722C88" w:rsidRPr="00EB655C" w14:paraId="22D1E7E7" w14:textId="77777777">
        <w:trPr>
          <w:trHeight w:val="300"/>
        </w:trPr>
        <w:tc>
          <w:tcPr>
            <w:tcW w:w="1694" w:type="dxa"/>
            <w:tcBorders>
              <w:top w:val="nil"/>
              <w:left w:val="single" w:sz="4" w:space="0" w:color="auto"/>
              <w:bottom w:val="single" w:sz="4" w:space="0" w:color="auto"/>
              <w:right w:val="single" w:sz="4" w:space="0" w:color="auto"/>
            </w:tcBorders>
            <w:vAlign w:val="bottom"/>
          </w:tcPr>
          <w:p w14:paraId="5B376614"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775406CC"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Recaptured Deferred Tax Liability</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D95B1C6"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w:t>
            </w:r>
            <w:r>
              <w:rPr>
                <w:rFonts w:eastAsia="Times New Roman" w:cs="Times New Roman"/>
                <w:sz w:val="20"/>
                <w:szCs w:val="20"/>
                <w:lang w:eastAsia="en-AU"/>
              </w:rPr>
              <w:t>105</w:t>
            </w:r>
          </w:p>
        </w:tc>
      </w:tr>
      <w:tr w:rsidR="00722C88" w:rsidRPr="00EB655C" w14:paraId="7D0832C9" w14:textId="77777777">
        <w:trPr>
          <w:trHeight w:val="300"/>
        </w:trPr>
        <w:tc>
          <w:tcPr>
            <w:tcW w:w="1694" w:type="dxa"/>
            <w:tcBorders>
              <w:top w:val="nil"/>
              <w:left w:val="single" w:sz="4" w:space="0" w:color="auto"/>
              <w:bottom w:val="single" w:sz="4" w:space="0" w:color="auto"/>
              <w:right w:val="single" w:sz="4" w:space="0" w:color="auto"/>
            </w:tcBorders>
            <w:vAlign w:val="bottom"/>
          </w:tcPr>
          <w:p w14:paraId="69BA3CD7"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28BCFF97"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Reductions to Covered Taxes</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75A60484"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4-20</w:t>
            </w:r>
          </w:p>
        </w:tc>
      </w:tr>
      <w:tr w:rsidR="00722C88" w:rsidRPr="00EB655C" w14:paraId="15976487" w14:textId="77777777">
        <w:trPr>
          <w:trHeight w:val="300"/>
        </w:trPr>
        <w:tc>
          <w:tcPr>
            <w:tcW w:w="1694" w:type="dxa"/>
            <w:tcBorders>
              <w:top w:val="nil"/>
              <w:left w:val="single" w:sz="4" w:space="0" w:color="auto"/>
              <w:bottom w:val="single" w:sz="4" w:space="0" w:color="auto"/>
              <w:right w:val="single" w:sz="4" w:space="0" w:color="auto"/>
            </w:tcBorders>
            <w:vAlign w:val="bottom"/>
          </w:tcPr>
          <w:p w14:paraId="3E914C85"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7315BC3"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Reference Jurisdiction</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B9A32AF"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9-50</w:t>
            </w:r>
          </w:p>
        </w:tc>
      </w:tr>
      <w:tr w:rsidR="00722C88" w:rsidRPr="00EB655C" w14:paraId="74068F0D" w14:textId="77777777">
        <w:trPr>
          <w:trHeight w:val="300"/>
        </w:trPr>
        <w:tc>
          <w:tcPr>
            <w:tcW w:w="1694" w:type="dxa"/>
            <w:tcBorders>
              <w:top w:val="nil"/>
              <w:left w:val="single" w:sz="4" w:space="0" w:color="auto"/>
              <w:bottom w:val="single" w:sz="4" w:space="0" w:color="auto"/>
              <w:right w:val="single" w:sz="4" w:space="0" w:color="auto"/>
            </w:tcBorders>
            <w:vAlign w:val="bottom"/>
          </w:tcPr>
          <w:p w14:paraId="6BF859BE"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3.3 of the February 2023 AG</w:t>
            </w:r>
          </w:p>
        </w:tc>
        <w:tc>
          <w:tcPr>
            <w:tcW w:w="3953" w:type="dxa"/>
            <w:tcBorders>
              <w:top w:val="nil"/>
              <w:left w:val="single" w:sz="4" w:space="0" w:color="auto"/>
              <w:bottom w:val="single" w:sz="4" w:space="0" w:color="auto"/>
              <w:right w:val="single" w:sz="4" w:space="0" w:color="auto"/>
            </w:tcBorders>
            <w:vAlign w:val="bottom"/>
          </w:tcPr>
          <w:p w14:paraId="3197D1E6"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Restricted Tier One Capital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285C3268"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3-210</w:t>
            </w:r>
          </w:p>
        </w:tc>
      </w:tr>
      <w:tr w:rsidR="00722C88" w:rsidRPr="00EB655C" w14:paraId="34967D5F" w14:textId="77777777">
        <w:trPr>
          <w:trHeight w:val="300"/>
        </w:trPr>
        <w:tc>
          <w:tcPr>
            <w:tcW w:w="1694" w:type="dxa"/>
            <w:tcBorders>
              <w:top w:val="nil"/>
              <w:left w:val="single" w:sz="4" w:space="0" w:color="auto"/>
              <w:bottom w:val="single" w:sz="4" w:space="0" w:color="auto"/>
              <w:right w:val="single" w:sz="4" w:space="0" w:color="auto"/>
            </w:tcBorders>
            <w:vAlign w:val="bottom"/>
          </w:tcPr>
          <w:p w14:paraId="3AAAECAB"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4A463B34"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Short-term Portfolio Shareholding</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35A26FE"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3-</w:t>
            </w:r>
            <w:r>
              <w:rPr>
                <w:rFonts w:eastAsia="Times New Roman" w:cs="Times New Roman"/>
                <w:sz w:val="20"/>
                <w:szCs w:val="20"/>
                <w:lang w:eastAsia="en-AU"/>
              </w:rPr>
              <w:t>25</w:t>
            </w:r>
            <w:r w:rsidRPr="00EB655C">
              <w:rPr>
                <w:rFonts w:eastAsia="Times New Roman" w:cs="Times New Roman"/>
                <w:sz w:val="20"/>
                <w:szCs w:val="20"/>
                <w:lang w:eastAsia="en-AU"/>
              </w:rPr>
              <w:t>(</w:t>
            </w:r>
            <w:r>
              <w:rPr>
                <w:rFonts w:eastAsia="Times New Roman" w:cs="Times New Roman"/>
                <w:sz w:val="20"/>
                <w:szCs w:val="20"/>
                <w:lang w:eastAsia="en-AU"/>
              </w:rPr>
              <w:t>3</w:t>
            </w:r>
            <w:r w:rsidRPr="00EB655C">
              <w:rPr>
                <w:rFonts w:eastAsia="Times New Roman" w:cs="Times New Roman"/>
                <w:sz w:val="20"/>
                <w:szCs w:val="20"/>
                <w:lang w:eastAsia="en-AU"/>
              </w:rPr>
              <w:t>)</w:t>
            </w:r>
          </w:p>
        </w:tc>
      </w:tr>
      <w:tr w:rsidR="00722C88" w:rsidRPr="00EB655C" w14:paraId="3100B815" w14:textId="77777777">
        <w:trPr>
          <w:trHeight w:val="300"/>
        </w:trPr>
        <w:tc>
          <w:tcPr>
            <w:tcW w:w="1694" w:type="dxa"/>
            <w:tcBorders>
              <w:top w:val="nil"/>
              <w:left w:val="single" w:sz="4" w:space="0" w:color="auto"/>
              <w:bottom w:val="single" w:sz="4" w:space="0" w:color="auto"/>
              <w:right w:val="single" w:sz="4" w:space="0" w:color="auto"/>
            </w:tcBorders>
            <w:vAlign w:val="bottom"/>
          </w:tcPr>
          <w:p w14:paraId="0C54679A"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lastRenderedPageBreak/>
              <w:t>10.1.1</w:t>
            </w:r>
          </w:p>
        </w:tc>
        <w:tc>
          <w:tcPr>
            <w:tcW w:w="3953" w:type="dxa"/>
            <w:tcBorders>
              <w:top w:val="nil"/>
              <w:left w:val="single" w:sz="4" w:space="0" w:color="auto"/>
              <w:bottom w:val="single" w:sz="4" w:space="0" w:color="auto"/>
              <w:right w:val="single" w:sz="4" w:space="0" w:color="auto"/>
            </w:tcBorders>
            <w:vAlign w:val="bottom"/>
          </w:tcPr>
          <w:p w14:paraId="1D173A5E"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Stapled Structure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1F26DD33"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6-</w:t>
            </w:r>
            <w:r>
              <w:rPr>
                <w:rFonts w:eastAsia="Times New Roman" w:cs="Times New Roman"/>
                <w:sz w:val="20"/>
                <w:szCs w:val="20"/>
                <w:lang w:eastAsia="en-AU"/>
              </w:rPr>
              <w:t>85(3)</w:t>
            </w:r>
          </w:p>
        </w:tc>
      </w:tr>
      <w:tr w:rsidR="00722C88" w:rsidRPr="00EB655C" w14:paraId="14C2452B" w14:textId="77777777">
        <w:trPr>
          <w:trHeight w:val="300"/>
        </w:trPr>
        <w:tc>
          <w:tcPr>
            <w:tcW w:w="1694" w:type="dxa"/>
            <w:tcBorders>
              <w:top w:val="nil"/>
              <w:left w:val="single" w:sz="4" w:space="0" w:color="auto"/>
              <w:bottom w:val="single" w:sz="4" w:space="0" w:color="auto"/>
              <w:right w:val="single" w:sz="4" w:space="0" w:color="auto"/>
            </w:tcBorders>
            <w:vAlign w:val="bottom"/>
          </w:tcPr>
          <w:p w14:paraId="03A2CD35"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17A719FC"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Substance-based Income Exclusion</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09CA713"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5-50</w:t>
            </w:r>
          </w:p>
        </w:tc>
      </w:tr>
      <w:tr w:rsidR="00722C88" w:rsidRPr="00EB655C" w14:paraId="4EA325E2" w14:textId="77777777">
        <w:trPr>
          <w:trHeight w:val="300"/>
        </w:trPr>
        <w:tc>
          <w:tcPr>
            <w:tcW w:w="1694" w:type="dxa"/>
            <w:tcBorders>
              <w:top w:val="nil"/>
              <w:left w:val="single" w:sz="4" w:space="0" w:color="auto"/>
              <w:bottom w:val="single" w:sz="4" w:space="0" w:color="auto"/>
              <w:right w:val="single" w:sz="4" w:space="0" w:color="auto"/>
            </w:tcBorders>
            <w:vAlign w:val="bottom"/>
          </w:tcPr>
          <w:p w14:paraId="7BE43E1D"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7E2FCC6A"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Tax</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AC1FA11"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10-5</w:t>
            </w:r>
          </w:p>
        </w:tc>
      </w:tr>
      <w:tr w:rsidR="00722C88" w:rsidRPr="00EB655C" w14:paraId="1D930EAB" w14:textId="77777777">
        <w:trPr>
          <w:trHeight w:val="300"/>
        </w:trPr>
        <w:tc>
          <w:tcPr>
            <w:tcW w:w="1694" w:type="dxa"/>
            <w:tcBorders>
              <w:top w:val="nil"/>
              <w:left w:val="single" w:sz="4" w:space="0" w:color="auto"/>
              <w:bottom w:val="single" w:sz="4" w:space="0" w:color="auto"/>
              <w:right w:val="single" w:sz="4" w:space="0" w:color="auto"/>
            </w:tcBorders>
            <w:vAlign w:val="bottom"/>
          </w:tcPr>
          <w:p w14:paraId="63F1226C"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34C2627A"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Taxable Distribution Method</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2048A29C"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7-145</w:t>
            </w:r>
          </w:p>
        </w:tc>
      </w:tr>
      <w:tr w:rsidR="00722C88" w:rsidRPr="00EB655C" w14:paraId="078723DF" w14:textId="77777777">
        <w:trPr>
          <w:trHeight w:val="300"/>
        </w:trPr>
        <w:tc>
          <w:tcPr>
            <w:tcW w:w="1694" w:type="dxa"/>
            <w:tcBorders>
              <w:top w:val="nil"/>
              <w:left w:val="single" w:sz="4" w:space="0" w:color="auto"/>
              <w:bottom w:val="single" w:sz="4" w:space="0" w:color="auto"/>
              <w:right w:val="single" w:sz="4" w:space="0" w:color="auto"/>
            </w:tcBorders>
            <w:vAlign w:val="bottom"/>
          </w:tcPr>
          <w:p w14:paraId="2DA6815A"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67BD1B41"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Tested Year</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5CCB8A57" w14:textId="77777777" w:rsidR="00722C88" w:rsidRPr="00EB655C" w:rsidRDefault="00722C88" w:rsidP="00FA53C4">
            <w:pPr>
              <w:spacing w:before="60" w:after="60"/>
              <w:ind w:left="34"/>
              <w:rPr>
                <w:rFonts w:eastAsia="Times New Roman" w:cs="Times New Roman"/>
                <w:sz w:val="20"/>
                <w:szCs w:val="20"/>
                <w:lang w:eastAsia="en-AU"/>
              </w:rPr>
            </w:pPr>
            <w:r w:rsidRPr="00EB655C">
              <w:rPr>
                <w:rFonts w:eastAsia="Times New Roman" w:cs="Times New Roman"/>
                <w:sz w:val="20"/>
                <w:szCs w:val="20"/>
                <w:lang w:eastAsia="en-AU"/>
              </w:rPr>
              <w:t>7-1</w:t>
            </w:r>
            <w:r>
              <w:rPr>
                <w:rFonts w:eastAsia="Times New Roman" w:cs="Times New Roman"/>
                <w:sz w:val="20"/>
                <w:szCs w:val="20"/>
                <w:lang w:eastAsia="en-AU"/>
              </w:rPr>
              <w:t>55</w:t>
            </w:r>
            <w:r w:rsidRPr="00EB655C">
              <w:rPr>
                <w:rFonts w:eastAsia="Times New Roman" w:cs="Times New Roman"/>
                <w:sz w:val="20"/>
                <w:szCs w:val="20"/>
                <w:lang w:eastAsia="en-AU"/>
              </w:rPr>
              <w:t>(1)(a)(iii) and 7-1</w:t>
            </w:r>
            <w:r>
              <w:rPr>
                <w:rFonts w:eastAsia="Times New Roman" w:cs="Times New Roman"/>
                <w:sz w:val="20"/>
                <w:szCs w:val="20"/>
                <w:lang w:eastAsia="en-AU"/>
              </w:rPr>
              <w:t>60</w:t>
            </w:r>
            <w:r w:rsidRPr="00EB655C">
              <w:rPr>
                <w:rFonts w:eastAsia="Times New Roman" w:cs="Times New Roman"/>
                <w:sz w:val="20"/>
                <w:szCs w:val="20"/>
                <w:lang w:eastAsia="en-AU"/>
              </w:rPr>
              <w:t>(1)(a)(ii)</w:t>
            </w:r>
          </w:p>
        </w:tc>
      </w:tr>
      <w:tr w:rsidR="00722C88" w:rsidRPr="00EB655C" w14:paraId="33162E95" w14:textId="77777777">
        <w:trPr>
          <w:trHeight w:val="300"/>
        </w:trPr>
        <w:tc>
          <w:tcPr>
            <w:tcW w:w="1694" w:type="dxa"/>
            <w:tcBorders>
              <w:top w:val="nil"/>
              <w:left w:val="single" w:sz="4" w:space="0" w:color="auto"/>
              <w:bottom w:val="single" w:sz="4" w:space="0" w:color="auto"/>
              <w:right w:val="single" w:sz="4" w:space="0" w:color="auto"/>
            </w:tcBorders>
            <w:vAlign w:val="bottom"/>
          </w:tcPr>
          <w:p w14:paraId="6677C394"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1B96ECFE"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Top-up Tax</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80E9927"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5-40</w:t>
            </w:r>
          </w:p>
        </w:tc>
      </w:tr>
      <w:tr w:rsidR="00722C88" w:rsidRPr="00EB655C" w14:paraId="6C86B2FB" w14:textId="77777777">
        <w:trPr>
          <w:trHeight w:val="300"/>
        </w:trPr>
        <w:tc>
          <w:tcPr>
            <w:tcW w:w="1694" w:type="dxa"/>
            <w:tcBorders>
              <w:top w:val="nil"/>
              <w:left w:val="single" w:sz="4" w:space="0" w:color="auto"/>
              <w:bottom w:val="single" w:sz="4" w:space="0" w:color="auto"/>
              <w:right w:val="single" w:sz="4" w:space="0" w:color="auto"/>
            </w:tcBorders>
            <w:vAlign w:val="bottom"/>
          </w:tcPr>
          <w:p w14:paraId="7505D38E"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7B91EF16"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Top-up Tax Percentage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288E0C9D"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5-20</w:t>
            </w:r>
          </w:p>
        </w:tc>
      </w:tr>
      <w:tr w:rsidR="00722C88" w:rsidRPr="00EB655C" w14:paraId="6DF068CB" w14:textId="77777777">
        <w:trPr>
          <w:trHeight w:val="300"/>
        </w:trPr>
        <w:tc>
          <w:tcPr>
            <w:tcW w:w="1694" w:type="dxa"/>
            <w:tcBorders>
              <w:top w:val="nil"/>
              <w:left w:val="single" w:sz="4" w:space="0" w:color="auto"/>
              <w:bottom w:val="single" w:sz="4" w:space="0" w:color="auto"/>
              <w:right w:val="single" w:sz="4" w:space="0" w:color="auto"/>
            </w:tcBorders>
            <w:vAlign w:val="bottom"/>
          </w:tcPr>
          <w:p w14:paraId="068D401F"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73E19F54"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Total Deferred Tax Adjustment Amount</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31AA50F4"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4-85</w:t>
            </w:r>
          </w:p>
        </w:tc>
      </w:tr>
      <w:tr w:rsidR="00722C88" w:rsidRPr="00EB655C" w14:paraId="781612D0" w14:textId="77777777">
        <w:trPr>
          <w:trHeight w:val="300"/>
        </w:trPr>
        <w:tc>
          <w:tcPr>
            <w:tcW w:w="1694" w:type="dxa"/>
            <w:tcBorders>
              <w:top w:val="nil"/>
              <w:left w:val="single" w:sz="4" w:space="0" w:color="auto"/>
              <w:bottom w:val="single" w:sz="4" w:space="0" w:color="auto"/>
              <w:right w:val="single" w:sz="4" w:space="0" w:color="auto"/>
            </w:tcBorders>
            <w:vAlign w:val="bottom"/>
          </w:tcPr>
          <w:p w14:paraId="3AF130E1"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51ECE867"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 xml:space="preserve">Total UTPR Top up Tax Amount </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89C87E5"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2-55</w:t>
            </w:r>
          </w:p>
        </w:tc>
      </w:tr>
      <w:tr w:rsidR="00722C88" w:rsidRPr="00EB655C" w14:paraId="73E852CB" w14:textId="77777777">
        <w:trPr>
          <w:trHeight w:val="300"/>
        </w:trPr>
        <w:tc>
          <w:tcPr>
            <w:tcW w:w="1694" w:type="dxa"/>
            <w:tcBorders>
              <w:top w:val="nil"/>
              <w:left w:val="single" w:sz="4" w:space="0" w:color="auto"/>
              <w:bottom w:val="single" w:sz="4" w:space="0" w:color="auto"/>
              <w:right w:val="single" w:sz="4" w:space="0" w:color="auto"/>
            </w:tcBorders>
            <w:vAlign w:val="bottom"/>
          </w:tcPr>
          <w:p w14:paraId="01DC9F5E"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10.1.1 and 118.49.1-2</w:t>
            </w:r>
          </w:p>
        </w:tc>
        <w:tc>
          <w:tcPr>
            <w:tcW w:w="3953" w:type="dxa"/>
            <w:tcBorders>
              <w:top w:val="nil"/>
              <w:left w:val="single" w:sz="4" w:space="0" w:color="auto"/>
              <w:bottom w:val="single" w:sz="4" w:space="0" w:color="auto"/>
              <w:right w:val="single" w:sz="4" w:space="0" w:color="auto"/>
            </w:tcBorders>
            <w:vAlign w:val="bottom"/>
          </w:tcPr>
          <w:p w14:paraId="07DA788C"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Transition Year</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634F4A75"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9-20</w:t>
            </w:r>
          </w:p>
        </w:tc>
      </w:tr>
      <w:tr w:rsidR="00722C88" w:rsidRPr="00EB655C" w14:paraId="46EB91A7" w14:textId="77777777">
        <w:trPr>
          <w:trHeight w:val="300"/>
        </w:trPr>
        <w:tc>
          <w:tcPr>
            <w:tcW w:w="1694" w:type="dxa"/>
            <w:tcBorders>
              <w:top w:val="nil"/>
              <w:left w:val="single" w:sz="4" w:space="0" w:color="auto"/>
              <w:bottom w:val="single" w:sz="4" w:space="0" w:color="auto"/>
              <w:right w:val="single" w:sz="4" w:space="0" w:color="auto"/>
            </w:tcBorders>
            <w:vAlign w:val="bottom"/>
          </w:tcPr>
          <w:p w14:paraId="32BD20AB"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1C9B21C1"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UPE Jurisdiction</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66AB698"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No equivalent</w:t>
            </w:r>
          </w:p>
        </w:tc>
      </w:tr>
      <w:tr w:rsidR="00722C88" w:rsidRPr="00EB655C" w14:paraId="014C8156" w14:textId="77777777">
        <w:trPr>
          <w:trHeight w:val="300"/>
        </w:trPr>
        <w:tc>
          <w:tcPr>
            <w:tcW w:w="1694" w:type="dxa"/>
            <w:tcBorders>
              <w:top w:val="nil"/>
              <w:left w:val="single" w:sz="4" w:space="0" w:color="auto"/>
              <w:bottom w:val="single" w:sz="4" w:space="0" w:color="auto"/>
              <w:right w:val="single" w:sz="4" w:space="0" w:color="auto"/>
            </w:tcBorders>
            <w:vAlign w:val="bottom"/>
          </w:tcPr>
          <w:p w14:paraId="563F827E"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5D7DF8E8"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UTPR</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44C2D404"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Parts 2</w:t>
            </w:r>
            <w:r>
              <w:rPr>
                <w:rFonts w:eastAsia="Times New Roman" w:cs="Times New Roman"/>
                <w:sz w:val="20"/>
                <w:szCs w:val="20"/>
                <w:lang w:eastAsia="en-AU"/>
              </w:rPr>
              <w:noBreakHyphen/>
              <w:t>4 to 2</w:t>
            </w:r>
            <w:r>
              <w:rPr>
                <w:rFonts w:eastAsia="Times New Roman" w:cs="Times New Roman"/>
                <w:sz w:val="20"/>
                <w:szCs w:val="20"/>
                <w:lang w:eastAsia="en-AU"/>
              </w:rPr>
              <w:noBreakHyphen/>
              <w:t>6</w:t>
            </w:r>
          </w:p>
        </w:tc>
      </w:tr>
      <w:tr w:rsidR="00722C88" w:rsidRPr="00EB655C" w14:paraId="048F2768" w14:textId="77777777">
        <w:trPr>
          <w:trHeight w:val="300"/>
        </w:trPr>
        <w:tc>
          <w:tcPr>
            <w:tcW w:w="1694" w:type="dxa"/>
            <w:tcBorders>
              <w:top w:val="nil"/>
              <w:left w:val="single" w:sz="4" w:space="0" w:color="auto"/>
              <w:bottom w:val="single" w:sz="4" w:space="0" w:color="auto"/>
              <w:right w:val="single" w:sz="4" w:space="0" w:color="auto"/>
            </w:tcBorders>
            <w:vAlign w:val="bottom"/>
          </w:tcPr>
          <w:p w14:paraId="6F0A7896"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7FC1031B"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UTPR Jurisdiction</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2AA12EDA"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No equivalent</w:t>
            </w:r>
          </w:p>
        </w:tc>
      </w:tr>
      <w:tr w:rsidR="00722C88" w:rsidRPr="00EB655C" w14:paraId="6F07CC5C" w14:textId="77777777">
        <w:trPr>
          <w:trHeight w:val="300"/>
        </w:trPr>
        <w:tc>
          <w:tcPr>
            <w:tcW w:w="1694" w:type="dxa"/>
            <w:tcBorders>
              <w:top w:val="nil"/>
              <w:left w:val="single" w:sz="4" w:space="0" w:color="auto"/>
              <w:bottom w:val="single" w:sz="4" w:space="0" w:color="auto"/>
              <w:right w:val="single" w:sz="4" w:space="0" w:color="auto"/>
            </w:tcBorders>
            <w:vAlign w:val="bottom"/>
          </w:tcPr>
          <w:p w14:paraId="02E77BD4"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10.1.1</w:t>
            </w:r>
          </w:p>
        </w:tc>
        <w:tc>
          <w:tcPr>
            <w:tcW w:w="3953" w:type="dxa"/>
            <w:tcBorders>
              <w:top w:val="nil"/>
              <w:left w:val="single" w:sz="4" w:space="0" w:color="auto"/>
              <w:bottom w:val="single" w:sz="4" w:space="0" w:color="auto"/>
              <w:right w:val="single" w:sz="4" w:space="0" w:color="auto"/>
            </w:tcBorders>
            <w:vAlign w:val="bottom"/>
          </w:tcPr>
          <w:p w14:paraId="05862C97"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UTPR Percentage</w:t>
            </w:r>
          </w:p>
        </w:tc>
        <w:tc>
          <w:tcPr>
            <w:tcW w:w="1828" w:type="dxa"/>
            <w:tcBorders>
              <w:top w:val="nil"/>
              <w:left w:val="single" w:sz="4" w:space="0" w:color="auto"/>
              <w:bottom w:val="single" w:sz="4" w:space="0" w:color="auto"/>
              <w:right w:val="single" w:sz="4" w:space="0" w:color="auto"/>
            </w:tcBorders>
            <w:shd w:val="clear" w:color="auto" w:fill="auto"/>
            <w:noWrap/>
            <w:vAlign w:val="bottom"/>
          </w:tcPr>
          <w:p w14:paraId="076955A8" w14:textId="77777777" w:rsidR="00722C88" w:rsidRPr="00EB655C" w:rsidRDefault="00722C88" w:rsidP="00FA53C4">
            <w:pPr>
              <w:spacing w:before="60" w:after="60"/>
              <w:ind w:left="34"/>
              <w:rPr>
                <w:rFonts w:eastAsia="Times New Roman" w:cs="Times New Roman"/>
                <w:sz w:val="20"/>
                <w:szCs w:val="20"/>
                <w:lang w:eastAsia="en-AU"/>
              </w:rPr>
            </w:pPr>
            <w:r>
              <w:rPr>
                <w:rFonts w:eastAsia="Times New Roman" w:cs="Times New Roman"/>
                <w:sz w:val="20"/>
                <w:szCs w:val="20"/>
                <w:lang w:eastAsia="en-AU"/>
              </w:rPr>
              <w:t>2-75</w:t>
            </w:r>
          </w:p>
        </w:tc>
      </w:tr>
    </w:tbl>
    <w:p w14:paraId="1360EDD5" w14:textId="643B131F" w:rsidR="00C46FDB" w:rsidRDefault="00C46FDB" w:rsidP="00873094"/>
    <w:p w14:paraId="49597144" w14:textId="47BC3EF7" w:rsidR="00C46FDB" w:rsidRDefault="00C46FDB">
      <w:pPr>
        <w:spacing w:before="0" w:after="160" w:line="259" w:lineRule="auto"/>
      </w:pPr>
      <w:r>
        <w:br w:type="page"/>
      </w:r>
    </w:p>
    <w:p w14:paraId="52EB25B6" w14:textId="1276DE24" w:rsidR="00C46FDB" w:rsidRDefault="00C46FDB" w:rsidP="00C46FDB">
      <w:pPr>
        <w:pStyle w:val="TableHeading"/>
      </w:pPr>
      <w:r w:rsidRPr="00C46FDB">
        <w:lastRenderedPageBreak/>
        <w:t xml:space="preserve">Conversion Table 2: Australian law to GloBE Rules  </w:t>
      </w:r>
    </w:p>
    <w:tbl>
      <w:tblPr>
        <w:tblW w:w="7701" w:type="dxa"/>
        <w:tblLook w:val="04A0" w:firstRow="1" w:lastRow="0" w:firstColumn="1" w:lastColumn="0" w:noHBand="0" w:noVBand="1"/>
      </w:tblPr>
      <w:tblGrid>
        <w:gridCol w:w="2212"/>
        <w:gridCol w:w="3743"/>
        <w:gridCol w:w="1746"/>
      </w:tblGrid>
      <w:tr w:rsidR="00283604" w:rsidRPr="00CD218D" w14:paraId="39C99BF9" w14:textId="77777777">
        <w:trPr>
          <w:trHeight w:val="533"/>
          <w:tblHeader/>
        </w:trPr>
        <w:tc>
          <w:tcPr>
            <w:tcW w:w="22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5B5DDB" w14:textId="77777777" w:rsidR="00283604" w:rsidRPr="00CD218D" w:rsidRDefault="00283604">
            <w:pPr>
              <w:pStyle w:val="Tableheaderrowtext"/>
              <w:numPr>
                <w:ilvl w:val="3"/>
                <w:numId w:val="2"/>
              </w:numPr>
              <w:rPr>
                <w:lang w:eastAsia="en-AU"/>
              </w:rPr>
            </w:pPr>
            <w:bookmarkStart w:id="343" w:name="IAGoesHere"/>
            <w:bookmarkEnd w:id="343"/>
            <w:r w:rsidRPr="00CD218D">
              <w:rPr>
                <w:lang w:eastAsia="en-AU"/>
              </w:rPr>
              <w:t>Rule section</w:t>
            </w:r>
          </w:p>
        </w:tc>
        <w:tc>
          <w:tcPr>
            <w:tcW w:w="3743" w:type="dxa"/>
            <w:tcBorders>
              <w:top w:val="single" w:sz="4" w:space="0" w:color="auto"/>
              <w:left w:val="nil"/>
              <w:bottom w:val="single" w:sz="4" w:space="0" w:color="auto"/>
              <w:right w:val="single" w:sz="4" w:space="0" w:color="auto"/>
            </w:tcBorders>
            <w:shd w:val="clear" w:color="auto" w:fill="auto"/>
            <w:vAlign w:val="bottom"/>
            <w:hideMark/>
          </w:tcPr>
          <w:p w14:paraId="392C8C60" w14:textId="77777777" w:rsidR="00283604" w:rsidRPr="00CD218D" w:rsidRDefault="00283604">
            <w:pPr>
              <w:pStyle w:val="Tableheaderrowtext"/>
              <w:numPr>
                <w:ilvl w:val="3"/>
                <w:numId w:val="2"/>
              </w:numPr>
              <w:rPr>
                <w:lang w:eastAsia="en-AU"/>
              </w:rPr>
            </w:pPr>
            <w:r w:rsidRPr="00CD218D">
              <w:rPr>
                <w:lang w:eastAsia="en-AU"/>
              </w:rPr>
              <w:t xml:space="preserve">Brief description </w:t>
            </w:r>
          </w:p>
        </w:tc>
        <w:tc>
          <w:tcPr>
            <w:tcW w:w="1746" w:type="dxa"/>
            <w:tcBorders>
              <w:top w:val="single" w:sz="4" w:space="0" w:color="auto"/>
              <w:left w:val="nil"/>
              <w:bottom w:val="single" w:sz="4" w:space="0" w:color="auto"/>
              <w:right w:val="single" w:sz="4" w:space="0" w:color="auto"/>
            </w:tcBorders>
            <w:shd w:val="clear" w:color="auto" w:fill="auto"/>
            <w:vAlign w:val="bottom"/>
            <w:hideMark/>
          </w:tcPr>
          <w:p w14:paraId="7D121557" w14:textId="77777777" w:rsidR="00283604" w:rsidRPr="00CD218D" w:rsidRDefault="00283604">
            <w:pPr>
              <w:pStyle w:val="Tableheaderrowtext"/>
              <w:numPr>
                <w:ilvl w:val="3"/>
                <w:numId w:val="2"/>
              </w:numPr>
              <w:rPr>
                <w:lang w:eastAsia="en-AU"/>
              </w:rPr>
            </w:pPr>
            <w:r w:rsidRPr="00CD218D">
              <w:rPr>
                <w:lang w:eastAsia="en-AU"/>
              </w:rPr>
              <w:t>GloBE reference</w:t>
            </w:r>
          </w:p>
        </w:tc>
      </w:tr>
      <w:tr w:rsidR="00283604" w:rsidRPr="00CD218D" w14:paraId="494475EC" w14:textId="77777777">
        <w:trPr>
          <w:trHeight w:val="594"/>
        </w:trPr>
        <w:tc>
          <w:tcPr>
            <w:tcW w:w="7701" w:type="dxa"/>
            <w:gridSpan w:val="3"/>
            <w:tcBorders>
              <w:top w:val="nil"/>
              <w:left w:val="single" w:sz="4" w:space="0" w:color="auto"/>
              <w:bottom w:val="single" w:sz="4" w:space="0" w:color="auto"/>
              <w:right w:val="single" w:sz="4" w:space="0" w:color="auto"/>
            </w:tcBorders>
            <w:shd w:val="clear" w:color="auto" w:fill="auto"/>
            <w:noWrap/>
            <w:vAlign w:val="bottom"/>
          </w:tcPr>
          <w:p w14:paraId="0671728E" w14:textId="77777777" w:rsidR="00283604" w:rsidRPr="00CD218D" w:rsidRDefault="00283604" w:rsidP="00283604">
            <w:pPr>
              <w:pStyle w:val="Tableheaderrowtext"/>
              <w:numPr>
                <w:ilvl w:val="3"/>
                <w:numId w:val="2"/>
              </w:numPr>
            </w:pPr>
            <w:r w:rsidRPr="00CD218D">
              <w:t xml:space="preserve">Chapter 1 - </w:t>
            </w:r>
            <w:r w:rsidRPr="00CD218D">
              <w:rPr>
                <w:rStyle w:val="CharChapText"/>
              </w:rPr>
              <w:t>Preliminary</w:t>
            </w:r>
          </w:p>
        </w:tc>
      </w:tr>
      <w:tr w:rsidR="00283604" w:rsidRPr="00CD218D" w14:paraId="73318ADB"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26CAB62" w14:textId="77777777" w:rsidR="00283604" w:rsidRPr="00CD218D" w:rsidRDefault="00283604">
            <w:pPr>
              <w:pStyle w:val="Tabletext"/>
              <w:rPr>
                <w:b/>
                <w:bCs/>
              </w:rPr>
            </w:pPr>
            <w:r w:rsidRPr="00CD218D">
              <w:rPr>
                <w:b/>
                <w:bCs/>
              </w:rPr>
              <w:t xml:space="preserve">Part 1-3 </w:t>
            </w:r>
          </w:p>
        </w:tc>
        <w:tc>
          <w:tcPr>
            <w:tcW w:w="3743" w:type="dxa"/>
            <w:tcBorders>
              <w:top w:val="nil"/>
              <w:left w:val="nil"/>
              <w:bottom w:val="single" w:sz="4" w:space="0" w:color="auto"/>
              <w:right w:val="single" w:sz="4" w:space="0" w:color="auto"/>
            </w:tcBorders>
            <w:shd w:val="clear" w:color="auto" w:fill="auto"/>
            <w:noWrap/>
            <w:vAlign w:val="bottom"/>
          </w:tcPr>
          <w:p w14:paraId="7DF7C7D5" w14:textId="77777777" w:rsidR="00283604" w:rsidRPr="00CD218D" w:rsidRDefault="00283604">
            <w:pPr>
              <w:pStyle w:val="Tabletext"/>
              <w:rPr>
                <w:b/>
                <w:bCs/>
              </w:rPr>
            </w:pPr>
            <w:r w:rsidRPr="00CD218D">
              <w:rPr>
                <w:b/>
                <w:bCs/>
              </w:rPr>
              <w:t>Currency Conversion</w:t>
            </w:r>
          </w:p>
        </w:tc>
        <w:tc>
          <w:tcPr>
            <w:tcW w:w="1746" w:type="dxa"/>
            <w:tcBorders>
              <w:top w:val="nil"/>
              <w:left w:val="nil"/>
              <w:bottom w:val="single" w:sz="4" w:space="0" w:color="auto"/>
              <w:right w:val="single" w:sz="4" w:space="0" w:color="auto"/>
            </w:tcBorders>
            <w:shd w:val="clear" w:color="auto" w:fill="auto"/>
            <w:noWrap/>
            <w:vAlign w:val="bottom"/>
          </w:tcPr>
          <w:p w14:paraId="25BA3289" w14:textId="77777777" w:rsidR="00283604" w:rsidRPr="00CD218D" w:rsidRDefault="00283604">
            <w:pPr>
              <w:pStyle w:val="Tabletext"/>
            </w:pPr>
          </w:p>
        </w:tc>
      </w:tr>
      <w:tr w:rsidR="00283604" w:rsidRPr="00CD218D" w14:paraId="3A2AA35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EA8F2A3" w14:textId="77777777" w:rsidR="00283604" w:rsidRPr="00CD218D" w:rsidRDefault="00283604">
            <w:pPr>
              <w:pStyle w:val="Tabletext"/>
            </w:pPr>
            <w:r w:rsidRPr="00CD218D">
              <w:t>1-20</w:t>
            </w:r>
          </w:p>
        </w:tc>
        <w:tc>
          <w:tcPr>
            <w:tcW w:w="3743" w:type="dxa"/>
            <w:tcBorders>
              <w:top w:val="nil"/>
              <w:left w:val="nil"/>
              <w:bottom w:val="single" w:sz="4" w:space="0" w:color="auto"/>
              <w:right w:val="single" w:sz="4" w:space="0" w:color="auto"/>
            </w:tcBorders>
            <w:shd w:val="clear" w:color="auto" w:fill="auto"/>
            <w:noWrap/>
            <w:vAlign w:val="bottom"/>
            <w:hideMark/>
          </w:tcPr>
          <w:p w14:paraId="42713374" w14:textId="77777777" w:rsidR="00283604" w:rsidRPr="00CD218D" w:rsidRDefault="00283604">
            <w:pPr>
              <w:pStyle w:val="Tabletext"/>
            </w:pPr>
            <w:r w:rsidRPr="00CD218D">
              <w:t>Excluded entity</w:t>
            </w:r>
          </w:p>
        </w:tc>
        <w:tc>
          <w:tcPr>
            <w:tcW w:w="1746" w:type="dxa"/>
            <w:tcBorders>
              <w:top w:val="nil"/>
              <w:left w:val="nil"/>
              <w:bottom w:val="single" w:sz="4" w:space="0" w:color="auto"/>
              <w:right w:val="single" w:sz="4" w:space="0" w:color="auto"/>
            </w:tcBorders>
            <w:shd w:val="clear" w:color="auto" w:fill="auto"/>
            <w:noWrap/>
            <w:vAlign w:val="bottom"/>
            <w:hideMark/>
          </w:tcPr>
          <w:p w14:paraId="0BCFB39F" w14:textId="1CA00203" w:rsidR="00283604" w:rsidRPr="00CD218D" w:rsidRDefault="00283604">
            <w:pPr>
              <w:pStyle w:val="Tabletext"/>
            </w:pPr>
            <w:r w:rsidRPr="00CD218D">
              <w:t xml:space="preserve">1.5 of the February </w:t>
            </w:r>
            <w:r w:rsidR="007F7FAB" w:rsidRPr="00CD218D">
              <w:t>2023</w:t>
            </w:r>
            <w:r w:rsidRPr="00CD218D">
              <w:t xml:space="preserve"> AG</w:t>
            </w:r>
          </w:p>
        </w:tc>
      </w:tr>
      <w:tr w:rsidR="00283604" w:rsidRPr="00CD218D" w14:paraId="279A378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0CA275E" w14:textId="77777777" w:rsidR="00283604" w:rsidRPr="00CD218D" w:rsidRDefault="00283604" w:rsidP="00CD218D">
            <w:pPr>
              <w:pStyle w:val="Tabletext"/>
              <w:ind w:left="0"/>
            </w:pPr>
            <w:r w:rsidRPr="00CD218D">
              <w:t>1-20</w:t>
            </w:r>
          </w:p>
        </w:tc>
        <w:tc>
          <w:tcPr>
            <w:tcW w:w="3743" w:type="dxa"/>
            <w:tcBorders>
              <w:top w:val="nil"/>
              <w:left w:val="nil"/>
              <w:bottom w:val="single" w:sz="4" w:space="0" w:color="auto"/>
              <w:right w:val="single" w:sz="4" w:space="0" w:color="auto"/>
            </w:tcBorders>
            <w:shd w:val="clear" w:color="auto" w:fill="auto"/>
            <w:noWrap/>
            <w:vAlign w:val="bottom"/>
            <w:hideMark/>
          </w:tcPr>
          <w:p w14:paraId="3654E8F0" w14:textId="77777777" w:rsidR="00283604" w:rsidRPr="00CD218D" w:rsidRDefault="00283604">
            <w:pPr>
              <w:pStyle w:val="Tabletext"/>
            </w:pPr>
            <w:r w:rsidRPr="00CD218D">
              <w:t>Ancillary not-for-profits</w:t>
            </w:r>
          </w:p>
        </w:tc>
        <w:tc>
          <w:tcPr>
            <w:tcW w:w="1746" w:type="dxa"/>
            <w:tcBorders>
              <w:top w:val="nil"/>
              <w:left w:val="nil"/>
              <w:bottom w:val="single" w:sz="4" w:space="0" w:color="auto"/>
              <w:right w:val="single" w:sz="4" w:space="0" w:color="auto"/>
            </w:tcBorders>
            <w:shd w:val="clear" w:color="auto" w:fill="auto"/>
            <w:noWrap/>
            <w:vAlign w:val="bottom"/>
            <w:hideMark/>
          </w:tcPr>
          <w:p w14:paraId="727903F8" w14:textId="0251B828" w:rsidR="00283604" w:rsidRPr="00CD218D" w:rsidRDefault="00283604">
            <w:pPr>
              <w:pStyle w:val="Tabletext"/>
            </w:pPr>
            <w:r w:rsidRPr="00CD218D">
              <w:t xml:space="preserve">1.6 of the February </w:t>
            </w:r>
            <w:r w:rsidR="007F7FAB" w:rsidRPr="00CD218D">
              <w:t>2023</w:t>
            </w:r>
            <w:r w:rsidRPr="00CD218D">
              <w:t xml:space="preserve"> AG</w:t>
            </w:r>
          </w:p>
        </w:tc>
      </w:tr>
      <w:tr w:rsidR="00283604" w:rsidRPr="00CD218D" w14:paraId="1AA823FB"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252232B" w14:textId="77777777" w:rsidR="00283604" w:rsidRPr="00CD218D" w:rsidRDefault="00283604">
            <w:pPr>
              <w:spacing w:before="0" w:after="0"/>
              <w:rPr>
                <w:rFonts w:cs="Times New Roman"/>
                <w:sz w:val="24"/>
                <w:szCs w:val="24"/>
                <w:lang w:eastAsia="en-AU"/>
              </w:rPr>
            </w:pPr>
            <w:r w:rsidRPr="00CD218D">
              <w:rPr>
                <w:rFonts w:eastAsia="Times New Roman" w:cs="Times New Roman"/>
                <w:sz w:val="20"/>
                <w:szCs w:val="20"/>
                <w:lang w:eastAsia="en-AU"/>
              </w:rPr>
              <w:t>1-25</w:t>
            </w:r>
            <w:r w:rsidRPr="00CD218D">
              <w:rPr>
                <w:rFonts w:cs="Times New Roman"/>
                <w:sz w:val="24"/>
                <w:szCs w:val="24"/>
                <w:lang w:eastAsia="en-AU"/>
              </w:rPr>
              <w:t xml:space="preserve"> </w:t>
            </w:r>
          </w:p>
        </w:tc>
        <w:tc>
          <w:tcPr>
            <w:tcW w:w="3743" w:type="dxa"/>
            <w:tcBorders>
              <w:top w:val="nil"/>
              <w:left w:val="nil"/>
              <w:bottom w:val="single" w:sz="4" w:space="0" w:color="auto"/>
              <w:right w:val="single" w:sz="4" w:space="0" w:color="auto"/>
            </w:tcBorders>
            <w:shd w:val="clear" w:color="auto" w:fill="auto"/>
            <w:noWrap/>
            <w:vAlign w:val="bottom"/>
          </w:tcPr>
          <w:p w14:paraId="041C07A2" w14:textId="77777777" w:rsidR="00283604" w:rsidRPr="00CD218D" w:rsidRDefault="00283604">
            <w:pPr>
              <w:pStyle w:val="Tabletext"/>
            </w:pPr>
            <w:r w:rsidRPr="00CD218D">
              <w:t>Currency guidance</w:t>
            </w:r>
          </w:p>
        </w:tc>
        <w:tc>
          <w:tcPr>
            <w:tcW w:w="1746" w:type="dxa"/>
            <w:tcBorders>
              <w:top w:val="nil"/>
              <w:left w:val="nil"/>
              <w:bottom w:val="single" w:sz="4" w:space="0" w:color="auto"/>
              <w:right w:val="single" w:sz="4" w:space="0" w:color="auto"/>
            </w:tcBorders>
            <w:shd w:val="clear" w:color="auto" w:fill="auto"/>
            <w:noWrap/>
            <w:vAlign w:val="bottom"/>
          </w:tcPr>
          <w:p w14:paraId="425D919E" w14:textId="77777777" w:rsidR="00283604" w:rsidRPr="00CD218D" w:rsidRDefault="00283604">
            <w:pPr>
              <w:pStyle w:val="Tabletext"/>
            </w:pPr>
            <w:r w:rsidRPr="00CD218D">
              <w:t>Chapter 1 of the July 2023 AG</w:t>
            </w:r>
          </w:p>
        </w:tc>
      </w:tr>
      <w:tr w:rsidR="00283604" w:rsidRPr="00CD218D" w14:paraId="2349D77F" w14:textId="77777777">
        <w:trPr>
          <w:trHeight w:val="300"/>
        </w:trPr>
        <w:tc>
          <w:tcPr>
            <w:tcW w:w="7701" w:type="dxa"/>
            <w:gridSpan w:val="3"/>
            <w:tcBorders>
              <w:top w:val="nil"/>
              <w:left w:val="single" w:sz="4" w:space="0" w:color="auto"/>
              <w:bottom w:val="single" w:sz="4" w:space="0" w:color="auto"/>
              <w:right w:val="single" w:sz="4" w:space="0" w:color="auto"/>
            </w:tcBorders>
            <w:shd w:val="clear" w:color="auto" w:fill="auto"/>
            <w:noWrap/>
            <w:vAlign w:val="bottom"/>
          </w:tcPr>
          <w:p w14:paraId="3F7915E5" w14:textId="77777777" w:rsidR="00283604" w:rsidRPr="00CD218D" w:rsidRDefault="00283604" w:rsidP="00283604">
            <w:pPr>
              <w:pStyle w:val="Tableheaderrowtext"/>
              <w:numPr>
                <w:ilvl w:val="3"/>
                <w:numId w:val="2"/>
              </w:numPr>
            </w:pPr>
            <w:r w:rsidRPr="00CD218D">
              <w:t xml:space="preserve">Chapter 2 - </w:t>
            </w:r>
            <w:r w:rsidRPr="00CD218D">
              <w:rPr>
                <w:rStyle w:val="CharChapText"/>
              </w:rPr>
              <w:t>Liability amounts</w:t>
            </w:r>
          </w:p>
        </w:tc>
      </w:tr>
      <w:tr w:rsidR="00283604" w:rsidRPr="00CD218D" w14:paraId="5BCBD0AF" w14:textId="77777777">
        <w:trPr>
          <w:trHeight w:val="300"/>
        </w:trPr>
        <w:tc>
          <w:tcPr>
            <w:tcW w:w="2212" w:type="dxa"/>
            <w:tcBorders>
              <w:top w:val="nil"/>
              <w:left w:val="single" w:sz="4" w:space="0" w:color="auto"/>
              <w:bottom w:val="single" w:sz="4" w:space="0" w:color="auto"/>
              <w:right w:val="single" w:sz="4" w:space="0" w:color="auto"/>
            </w:tcBorders>
            <w:shd w:val="clear" w:color="auto" w:fill="auto"/>
            <w:vAlign w:val="bottom"/>
            <w:hideMark/>
          </w:tcPr>
          <w:p w14:paraId="62DCECCA" w14:textId="77777777" w:rsidR="00283604" w:rsidRPr="00CD218D" w:rsidRDefault="00283604">
            <w:pPr>
              <w:pStyle w:val="Tabletext"/>
              <w:rPr>
                <w:b/>
                <w:bCs/>
              </w:rPr>
            </w:pPr>
            <w:r w:rsidRPr="00CD218D">
              <w:rPr>
                <w:b/>
                <w:bCs/>
              </w:rPr>
              <w:t>Part 2-1</w:t>
            </w:r>
          </w:p>
        </w:tc>
        <w:tc>
          <w:tcPr>
            <w:tcW w:w="3743" w:type="dxa"/>
            <w:tcBorders>
              <w:top w:val="nil"/>
              <w:left w:val="nil"/>
              <w:bottom w:val="single" w:sz="4" w:space="0" w:color="auto"/>
              <w:right w:val="single" w:sz="4" w:space="0" w:color="auto"/>
            </w:tcBorders>
            <w:shd w:val="clear" w:color="auto" w:fill="auto"/>
            <w:vAlign w:val="bottom"/>
            <w:hideMark/>
          </w:tcPr>
          <w:p w14:paraId="5074F06D" w14:textId="77777777" w:rsidR="00283604" w:rsidRPr="00CD218D" w:rsidRDefault="00283604">
            <w:pPr>
              <w:pStyle w:val="Tabletext"/>
              <w:rPr>
                <w:b/>
                <w:bCs/>
              </w:rPr>
            </w:pPr>
            <w:r w:rsidRPr="00CD218D">
              <w:rPr>
                <w:b/>
                <w:bCs/>
              </w:rPr>
              <w:t>Application of the IIR</w:t>
            </w:r>
          </w:p>
        </w:tc>
        <w:tc>
          <w:tcPr>
            <w:tcW w:w="1746" w:type="dxa"/>
            <w:tcBorders>
              <w:top w:val="nil"/>
              <w:left w:val="nil"/>
              <w:bottom w:val="single" w:sz="4" w:space="0" w:color="auto"/>
              <w:right w:val="single" w:sz="4" w:space="0" w:color="auto"/>
            </w:tcBorders>
            <w:shd w:val="clear" w:color="auto" w:fill="auto"/>
            <w:noWrap/>
            <w:vAlign w:val="bottom"/>
            <w:hideMark/>
          </w:tcPr>
          <w:p w14:paraId="313866C8" w14:textId="77777777" w:rsidR="00283604" w:rsidRPr="00CD218D" w:rsidRDefault="00283604">
            <w:pPr>
              <w:pStyle w:val="Tabletext"/>
              <w:rPr>
                <w:b/>
                <w:bCs/>
              </w:rPr>
            </w:pPr>
            <w:r w:rsidRPr="00CD218D">
              <w:rPr>
                <w:b/>
                <w:bCs/>
              </w:rPr>
              <w:t>2.1</w:t>
            </w:r>
          </w:p>
        </w:tc>
      </w:tr>
      <w:tr w:rsidR="00283604" w:rsidRPr="00CD218D" w14:paraId="59E82C86" w14:textId="77777777">
        <w:trPr>
          <w:trHeight w:val="900"/>
        </w:trPr>
        <w:tc>
          <w:tcPr>
            <w:tcW w:w="2212" w:type="dxa"/>
            <w:tcBorders>
              <w:top w:val="nil"/>
              <w:left w:val="single" w:sz="4" w:space="0" w:color="auto"/>
              <w:bottom w:val="single" w:sz="4" w:space="0" w:color="auto"/>
              <w:right w:val="single" w:sz="4" w:space="0" w:color="auto"/>
            </w:tcBorders>
            <w:shd w:val="clear" w:color="auto" w:fill="auto"/>
            <w:vAlign w:val="center"/>
            <w:hideMark/>
          </w:tcPr>
          <w:p w14:paraId="3511B519" w14:textId="77777777" w:rsidR="00283604" w:rsidRPr="00CD218D" w:rsidRDefault="00283604">
            <w:pPr>
              <w:pStyle w:val="Tabletext"/>
            </w:pPr>
            <w:r w:rsidRPr="00CD218D">
              <w:rPr>
                <w:color w:val="000000"/>
              </w:rPr>
              <w:t>2-5(1)(a)-(b) and 10-5</w:t>
            </w:r>
          </w:p>
        </w:tc>
        <w:tc>
          <w:tcPr>
            <w:tcW w:w="3743" w:type="dxa"/>
            <w:tcBorders>
              <w:top w:val="nil"/>
              <w:left w:val="nil"/>
              <w:bottom w:val="single" w:sz="4" w:space="0" w:color="auto"/>
              <w:right w:val="single" w:sz="4" w:space="0" w:color="auto"/>
            </w:tcBorders>
            <w:shd w:val="clear" w:color="auto" w:fill="auto"/>
            <w:vAlign w:val="center"/>
            <w:hideMark/>
          </w:tcPr>
          <w:p w14:paraId="035D4CAA" w14:textId="7FC5D75B" w:rsidR="00283604" w:rsidRPr="00CD218D" w:rsidRDefault="00283604">
            <w:pPr>
              <w:pStyle w:val="Tabletext"/>
            </w:pPr>
            <w:r w:rsidRPr="00CD218D">
              <w:rPr>
                <w:color w:val="000000"/>
              </w:rPr>
              <w:t xml:space="preserve">An Intermediate Parent Entity that owns an Ownership Interest in a LTCE will pay top up tax equal to its Allocable Share of the </w:t>
            </w:r>
            <w:r w:rsidR="00E44E87">
              <w:rPr>
                <w:color w:val="000000"/>
              </w:rPr>
              <w:t>Top-up Tax</w:t>
            </w:r>
            <w:r w:rsidRPr="00CD218D">
              <w:rPr>
                <w:color w:val="000000"/>
              </w:rPr>
              <w:t xml:space="preserve"> of that LTCE for the Fiscal Year</w:t>
            </w:r>
          </w:p>
        </w:tc>
        <w:tc>
          <w:tcPr>
            <w:tcW w:w="1746" w:type="dxa"/>
            <w:tcBorders>
              <w:top w:val="nil"/>
              <w:left w:val="nil"/>
              <w:bottom w:val="single" w:sz="4" w:space="0" w:color="auto"/>
              <w:right w:val="single" w:sz="4" w:space="0" w:color="auto"/>
            </w:tcBorders>
            <w:shd w:val="clear" w:color="auto" w:fill="auto"/>
            <w:noWrap/>
            <w:vAlign w:val="center"/>
            <w:hideMark/>
          </w:tcPr>
          <w:p w14:paraId="2D52BB4C" w14:textId="77777777" w:rsidR="00283604" w:rsidRPr="00CD218D" w:rsidRDefault="00283604">
            <w:pPr>
              <w:pStyle w:val="Tabletext"/>
            </w:pPr>
            <w:r w:rsidRPr="00CD218D">
              <w:rPr>
                <w:color w:val="000000"/>
              </w:rPr>
              <w:t>2.1.2</w:t>
            </w:r>
          </w:p>
        </w:tc>
      </w:tr>
      <w:tr w:rsidR="00283604" w:rsidRPr="00CD218D" w14:paraId="0743B4F5" w14:textId="77777777">
        <w:trPr>
          <w:trHeight w:val="600"/>
        </w:trPr>
        <w:tc>
          <w:tcPr>
            <w:tcW w:w="2212" w:type="dxa"/>
            <w:tcBorders>
              <w:top w:val="nil"/>
              <w:left w:val="single" w:sz="4" w:space="0" w:color="auto"/>
              <w:bottom w:val="single" w:sz="4" w:space="0" w:color="auto"/>
              <w:right w:val="single" w:sz="4" w:space="0" w:color="auto"/>
            </w:tcBorders>
            <w:shd w:val="clear" w:color="auto" w:fill="auto"/>
            <w:vAlign w:val="center"/>
            <w:hideMark/>
          </w:tcPr>
          <w:p w14:paraId="3B00E952" w14:textId="77777777" w:rsidR="00283604" w:rsidRPr="00CD218D" w:rsidRDefault="00283604">
            <w:pPr>
              <w:pStyle w:val="Tabletext"/>
            </w:pPr>
            <w:r w:rsidRPr="00CD218D">
              <w:rPr>
                <w:color w:val="000000"/>
              </w:rPr>
              <w:t>2-5(1)(a)-(b) and 10-5</w:t>
            </w:r>
          </w:p>
        </w:tc>
        <w:tc>
          <w:tcPr>
            <w:tcW w:w="3743" w:type="dxa"/>
            <w:tcBorders>
              <w:top w:val="nil"/>
              <w:left w:val="nil"/>
              <w:bottom w:val="single" w:sz="4" w:space="0" w:color="auto"/>
              <w:right w:val="single" w:sz="4" w:space="0" w:color="auto"/>
            </w:tcBorders>
            <w:shd w:val="clear" w:color="auto" w:fill="auto"/>
            <w:vAlign w:val="center"/>
            <w:hideMark/>
          </w:tcPr>
          <w:p w14:paraId="2D03C40F" w14:textId="4BA40083" w:rsidR="00283604" w:rsidRPr="00CD218D" w:rsidRDefault="00283604">
            <w:pPr>
              <w:pStyle w:val="Tabletext"/>
            </w:pPr>
            <w:r w:rsidRPr="00CD218D">
              <w:rPr>
                <w:color w:val="000000"/>
              </w:rPr>
              <w:t xml:space="preserve">POPE's will always pay a tax equal to its Allocable Share of the Top-up Tax of that </w:t>
            </w:r>
            <w:r w:rsidR="00125D0E" w:rsidRPr="00CD218D">
              <w:rPr>
                <w:color w:val="000000"/>
              </w:rPr>
              <w:t>LTCE</w:t>
            </w:r>
            <w:r w:rsidRPr="00CD218D">
              <w:rPr>
                <w:color w:val="000000"/>
              </w:rPr>
              <w:t xml:space="preserve"> for the Fiscal Year</w:t>
            </w:r>
          </w:p>
        </w:tc>
        <w:tc>
          <w:tcPr>
            <w:tcW w:w="1746" w:type="dxa"/>
            <w:tcBorders>
              <w:top w:val="nil"/>
              <w:left w:val="nil"/>
              <w:bottom w:val="single" w:sz="4" w:space="0" w:color="auto"/>
              <w:right w:val="single" w:sz="4" w:space="0" w:color="auto"/>
            </w:tcBorders>
            <w:shd w:val="clear" w:color="auto" w:fill="auto"/>
            <w:noWrap/>
            <w:vAlign w:val="center"/>
            <w:hideMark/>
          </w:tcPr>
          <w:p w14:paraId="0485420E" w14:textId="77777777" w:rsidR="00283604" w:rsidRPr="00CD218D" w:rsidRDefault="00283604">
            <w:pPr>
              <w:pStyle w:val="Tabletext"/>
            </w:pPr>
            <w:r w:rsidRPr="00CD218D">
              <w:rPr>
                <w:color w:val="000000"/>
              </w:rPr>
              <w:t>2.1.4</w:t>
            </w:r>
          </w:p>
        </w:tc>
      </w:tr>
      <w:tr w:rsidR="00283604" w:rsidRPr="00CD218D" w14:paraId="57E7A68C" w14:textId="77777777">
        <w:trPr>
          <w:trHeight w:val="600"/>
        </w:trPr>
        <w:tc>
          <w:tcPr>
            <w:tcW w:w="2212" w:type="dxa"/>
            <w:tcBorders>
              <w:top w:val="nil"/>
              <w:left w:val="single" w:sz="4" w:space="0" w:color="auto"/>
              <w:bottom w:val="single" w:sz="4" w:space="0" w:color="auto"/>
              <w:right w:val="single" w:sz="4" w:space="0" w:color="auto"/>
            </w:tcBorders>
            <w:shd w:val="clear" w:color="auto" w:fill="auto"/>
            <w:vAlign w:val="center"/>
            <w:hideMark/>
          </w:tcPr>
          <w:p w14:paraId="4B81D260" w14:textId="77777777" w:rsidR="00283604" w:rsidRPr="00CD218D" w:rsidRDefault="00283604">
            <w:pPr>
              <w:pStyle w:val="Tabletext"/>
            </w:pPr>
            <w:r w:rsidRPr="00CD218D">
              <w:rPr>
                <w:color w:val="000000"/>
              </w:rPr>
              <w:t>2-5(1)(c)</w:t>
            </w:r>
          </w:p>
        </w:tc>
        <w:tc>
          <w:tcPr>
            <w:tcW w:w="3743" w:type="dxa"/>
            <w:tcBorders>
              <w:top w:val="nil"/>
              <w:left w:val="nil"/>
              <w:bottom w:val="single" w:sz="4" w:space="0" w:color="auto"/>
              <w:right w:val="single" w:sz="4" w:space="0" w:color="auto"/>
            </w:tcBorders>
            <w:shd w:val="clear" w:color="auto" w:fill="auto"/>
            <w:vAlign w:val="center"/>
            <w:hideMark/>
          </w:tcPr>
          <w:p w14:paraId="4E708FA1" w14:textId="77777777" w:rsidR="00283604" w:rsidRPr="00CD218D" w:rsidRDefault="00283604">
            <w:pPr>
              <w:pStyle w:val="Tabletext"/>
            </w:pPr>
            <w:r w:rsidRPr="00CD218D">
              <w:rPr>
                <w:color w:val="000000"/>
              </w:rPr>
              <w:t>Parent entities may apply the IIR to entities not located in the same jurisdiction</w:t>
            </w:r>
          </w:p>
        </w:tc>
        <w:tc>
          <w:tcPr>
            <w:tcW w:w="1746" w:type="dxa"/>
            <w:tcBorders>
              <w:top w:val="nil"/>
              <w:left w:val="nil"/>
              <w:bottom w:val="single" w:sz="4" w:space="0" w:color="auto"/>
              <w:right w:val="single" w:sz="4" w:space="0" w:color="auto"/>
            </w:tcBorders>
            <w:shd w:val="clear" w:color="auto" w:fill="auto"/>
            <w:noWrap/>
            <w:vAlign w:val="center"/>
            <w:hideMark/>
          </w:tcPr>
          <w:p w14:paraId="4F42FCC3" w14:textId="77777777" w:rsidR="00283604" w:rsidRPr="00CD218D" w:rsidRDefault="00283604">
            <w:pPr>
              <w:pStyle w:val="Tabletext"/>
            </w:pPr>
            <w:r w:rsidRPr="00CD218D">
              <w:rPr>
                <w:color w:val="000000"/>
              </w:rPr>
              <w:t>2.1.6</w:t>
            </w:r>
          </w:p>
        </w:tc>
      </w:tr>
      <w:tr w:rsidR="00283604" w:rsidRPr="00CD218D" w14:paraId="4A02F23D" w14:textId="77777777">
        <w:trPr>
          <w:trHeight w:val="600"/>
        </w:trPr>
        <w:tc>
          <w:tcPr>
            <w:tcW w:w="2212" w:type="dxa"/>
            <w:tcBorders>
              <w:top w:val="nil"/>
              <w:left w:val="single" w:sz="4" w:space="0" w:color="auto"/>
              <w:bottom w:val="single" w:sz="4" w:space="0" w:color="auto"/>
              <w:right w:val="single" w:sz="4" w:space="0" w:color="auto"/>
            </w:tcBorders>
            <w:shd w:val="clear" w:color="auto" w:fill="auto"/>
            <w:vAlign w:val="center"/>
            <w:hideMark/>
          </w:tcPr>
          <w:p w14:paraId="6CED1D4D" w14:textId="77777777" w:rsidR="00283604" w:rsidRPr="00CD218D" w:rsidRDefault="00283604">
            <w:pPr>
              <w:pStyle w:val="Tabletext"/>
            </w:pPr>
            <w:r w:rsidRPr="00CD218D">
              <w:rPr>
                <w:color w:val="000000"/>
              </w:rPr>
              <w:t>2-5(2) and 2-10</w:t>
            </w:r>
          </w:p>
        </w:tc>
        <w:tc>
          <w:tcPr>
            <w:tcW w:w="3743" w:type="dxa"/>
            <w:tcBorders>
              <w:top w:val="nil"/>
              <w:left w:val="nil"/>
              <w:bottom w:val="single" w:sz="4" w:space="0" w:color="auto"/>
              <w:right w:val="single" w:sz="4" w:space="0" w:color="auto"/>
            </w:tcBorders>
            <w:shd w:val="clear" w:color="auto" w:fill="auto"/>
            <w:vAlign w:val="center"/>
            <w:hideMark/>
          </w:tcPr>
          <w:p w14:paraId="5F8A0802" w14:textId="2C60C23A" w:rsidR="00283604" w:rsidRPr="00CD218D" w:rsidRDefault="00283604">
            <w:pPr>
              <w:pStyle w:val="Tabletext"/>
            </w:pPr>
            <w:r w:rsidRPr="00CD218D">
              <w:rPr>
                <w:color w:val="000000"/>
              </w:rPr>
              <w:t>A Parent Entity’s Allocable Share of the Top-up Tax of a LTC equals the Top-up Tax of the LTCE multiplied by the Parent Entity’s Inclusion Ratio for the LTCE for the Fiscal Year</w:t>
            </w:r>
          </w:p>
        </w:tc>
        <w:tc>
          <w:tcPr>
            <w:tcW w:w="1746" w:type="dxa"/>
            <w:tcBorders>
              <w:top w:val="nil"/>
              <w:left w:val="nil"/>
              <w:bottom w:val="single" w:sz="4" w:space="0" w:color="auto"/>
              <w:right w:val="single" w:sz="4" w:space="0" w:color="auto"/>
            </w:tcBorders>
            <w:shd w:val="clear" w:color="auto" w:fill="auto"/>
            <w:noWrap/>
            <w:vAlign w:val="center"/>
            <w:hideMark/>
          </w:tcPr>
          <w:p w14:paraId="4D622A70" w14:textId="77777777" w:rsidR="00283604" w:rsidRPr="00CD218D" w:rsidRDefault="00283604">
            <w:pPr>
              <w:pStyle w:val="Tabletext"/>
            </w:pPr>
            <w:r w:rsidRPr="00CD218D">
              <w:rPr>
                <w:color w:val="000000"/>
              </w:rPr>
              <w:t>2.2.1</w:t>
            </w:r>
          </w:p>
        </w:tc>
      </w:tr>
      <w:tr w:rsidR="00283604" w:rsidRPr="00CD218D" w14:paraId="6FFD2670" w14:textId="77777777">
        <w:trPr>
          <w:trHeight w:val="300"/>
        </w:trPr>
        <w:tc>
          <w:tcPr>
            <w:tcW w:w="2212" w:type="dxa"/>
            <w:tcBorders>
              <w:top w:val="nil"/>
              <w:left w:val="single" w:sz="4" w:space="0" w:color="auto"/>
              <w:bottom w:val="single" w:sz="4" w:space="0" w:color="auto"/>
              <w:right w:val="single" w:sz="4" w:space="0" w:color="auto"/>
            </w:tcBorders>
            <w:shd w:val="clear" w:color="auto" w:fill="auto"/>
            <w:vAlign w:val="center"/>
            <w:hideMark/>
          </w:tcPr>
          <w:p w14:paraId="6E13E90C" w14:textId="77777777" w:rsidR="00283604" w:rsidRPr="00CD218D" w:rsidRDefault="00283604">
            <w:pPr>
              <w:pStyle w:val="Tabletext"/>
            </w:pPr>
            <w:r w:rsidRPr="00CD218D">
              <w:rPr>
                <w:color w:val="000000"/>
              </w:rPr>
              <w:t>2-5(5)(a)</w:t>
            </w:r>
          </w:p>
        </w:tc>
        <w:tc>
          <w:tcPr>
            <w:tcW w:w="3743" w:type="dxa"/>
            <w:tcBorders>
              <w:top w:val="nil"/>
              <w:left w:val="nil"/>
              <w:bottom w:val="single" w:sz="4" w:space="0" w:color="auto"/>
              <w:right w:val="single" w:sz="4" w:space="0" w:color="auto"/>
            </w:tcBorders>
            <w:shd w:val="clear" w:color="auto" w:fill="auto"/>
            <w:vAlign w:val="center"/>
            <w:hideMark/>
          </w:tcPr>
          <w:p w14:paraId="0CE057DD" w14:textId="77777777" w:rsidR="00283604" w:rsidRPr="00CD218D" w:rsidRDefault="00283604">
            <w:pPr>
              <w:pStyle w:val="Tabletext"/>
            </w:pPr>
            <w:r w:rsidRPr="00CD218D">
              <w:rPr>
                <w:color w:val="000000"/>
              </w:rPr>
              <w:t>The IPE under 2.1.2 only applies an IIR if the UPE has not applied an IIR or another IPE has applied the IIR</w:t>
            </w:r>
          </w:p>
        </w:tc>
        <w:tc>
          <w:tcPr>
            <w:tcW w:w="1746" w:type="dxa"/>
            <w:tcBorders>
              <w:top w:val="nil"/>
              <w:left w:val="nil"/>
              <w:bottom w:val="single" w:sz="4" w:space="0" w:color="auto"/>
              <w:right w:val="single" w:sz="4" w:space="0" w:color="auto"/>
            </w:tcBorders>
            <w:shd w:val="clear" w:color="auto" w:fill="auto"/>
            <w:noWrap/>
            <w:vAlign w:val="center"/>
            <w:hideMark/>
          </w:tcPr>
          <w:p w14:paraId="15977F59" w14:textId="77777777" w:rsidR="00283604" w:rsidRPr="00CD218D" w:rsidRDefault="00283604">
            <w:pPr>
              <w:pStyle w:val="Tabletext"/>
            </w:pPr>
            <w:r w:rsidRPr="00CD218D">
              <w:rPr>
                <w:color w:val="000000"/>
              </w:rPr>
              <w:t>2.1.3</w:t>
            </w:r>
          </w:p>
        </w:tc>
      </w:tr>
      <w:tr w:rsidR="00283604" w:rsidRPr="00CD218D" w14:paraId="0F4C1439" w14:textId="77777777">
        <w:trPr>
          <w:trHeight w:val="300"/>
        </w:trPr>
        <w:tc>
          <w:tcPr>
            <w:tcW w:w="2212" w:type="dxa"/>
            <w:tcBorders>
              <w:top w:val="nil"/>
              <w:left w:val="single" w:sz="4" w:space="0" w:color="auto"/>
              <w:bottom w:val="single" w:sz="4" w:space="0" w:color="auto"/>
              <w:right w:val="single" w:sz="4" w:space="0" w:color="auto"/>
            </w:tcBorders>
            <w:shd w:val="clear" w:color="auto" w:fill="auto"/>
            <w:vAlign w:val="center"/>
            <w:hideMark/>
          </w:tcPr>
          <w:p w14:paraId="5DB87DDD" w14:textId="77777777" w:rsidR="00283604" w:rsidRPr="00CD218D" w:rsidRDefault="00283604">
            <w:pPr>
              <w:pStyle w:val="Tabletext"/>
            </w:pPr>
            <w:r w:rsidRPr="00CD218D">
              <w:rPr>
                <w:color w:val="000000"/>
              </w:rPr>
              <w:t>2-5(5)(b)</w:t>
            </w:r>
          </w:p>
        </w:tc>
        <w:tc>
          <w:tcPr>
            <w:tcW w:w="3743" w:type="dxa"/>
            <w:tcBorders>
              <w:top w:val="nil"/>
              <w:left w:val="nil"/>
              <w:bottom w:val="single" w:sz="4" w:space="0" w:color="auto"/>
              <w:right w:val="single" w:sz="4" w:space="0" w:color="auto"/>
            </w:tcBorders>
            <w:shd w:val="clear" w:color="auto" w:fill="auto"/>
            <w:vAlign w:val="center"/>
            <w:hideMark/>
          </w:tcPr>
          <w:p w14:paraId="09C165C6" w14:textId="77777777" w:rsidR="00283604" w:rsidRPr="00CD218D" w:rsidRDefault="00283604">
            <w:pPr>
              <w:pStyle w:val="Tabletext"/>
            </w:pPr>
            <w:r w:rsidRPr="00CD218D">
              <w:rPr>
                <w:color w:val="000000"/>
              </w:rPr>
              <w:t>Only wholly owned POPE's (owned by another POPE) will not apply an IIR (2.1.4 does not apply to the lowest owned POPE that is wholly owned another POPE)</w:t>
            </w:r>
          </w:p>
        </w:tc>
        <w:tc>
          <w:tcPr>
            <w:tcW w:w="1746" w:type="dxa"/>
            <w:tcBorders>
              <w:top w:val="nil"/>
              <w:left w:val="nil"/>
              <w:bottom w:val="single" w:sz="4" w:space="0" w:color="auto"/>
              <w:right w:val="single" w:sz="4" w:space="0" w:color="auto"/>
            </w:tcBorders>
            <w:shd w:val="clear" w:color="auto" w:fill="auto"/>
            <w:noWrap/>
            <w:vAlign w:val="center"/>
            <w:hideMark/>
          </w:tcPr>
          <w:p w14:paraId="5B6A1247" w14:textId="77777777" w:rsidR="00283604" w:rsidRPr="00CD218D" w:rsidRDefault="00283604">
            <w:pPr>
              <w:pStyle w:val="Tabletext"/>
            </w:pPr>
            <w:r w:rsidRPr="00CD218D">
              <w:rPr>
                <w:color w:val="000000"/>
              </w:rPr>
              <w:t>2.1.5</w:t>
            </w:r>
          </w:p>
        </w:tc>
      </w:tr>
      <w:tr w:rsidR="00283604" w:rsidRPr="00CD218D" w14:paraId="0348EDD2" w14:textId="77777777">
        <w:trPr>
          <w:trHeight w:val="300"/>
        </w:trPr>
        <w:tc>
          <w:tcPr>
            <w:tcW w:w="2212" w:type="dxa"/>
            <w:tcBorders>
              <w:top w:val="nil"/>
              <w:left w:val="single" w:sz="4" w:space="0" w:color="auto"/>
              <w:bottom w:val="single" w:sz="4" w:space="0" w:color="auto"/>
              <w:right w:val="single" w:sz="4" w:space="0" w:color="auto"/>
            </w:tcBorders>
            <w:shd w:val="clear" w:color="auto" w:fill="auto"/>
            <w:vAlign w:val="center"/>
          </w:tcPr>
          <w:p w14:paraId="74B08DCB" w14:textId="77777777" w:rsidR="00283604" w:rsidRPr="00CD218D" w:rsidRDefault="00283604">
            <w:pPr>
              <w:pStyle w:val="Tabletext"/>
              <w:rPr>
                <w:color w:val="000000"/>
              </w:rPr>
            </w:pPr>
            <w:r w:rsidRPr="00CD218D">
              <w:rPr>
                <w:b/>
                <w:bCs/>
                <w:color w:val="000000"/>
              </w:rPr>
              <w:t>Part 2-2</w:t>
            </w:r>
          </w:p>
        </w:tc>
        <w:tc>
          <w:tcPr>
            <w:tcW w:w="3743" w:type="dxa"/>
            <w:tcBorders>
              <w:top w:val="nil"/>
              <w:left w:val="nil"/>
              <w:bottom w:val="single" w:sz="4" w:space="0" w:color="auto"/>
              <w:right w:val="single" w:sz="4" w:space="0" w:color="auto"/>
            </w:tcBorders>
            <w:shd w:val="clear" w:color="auto" w:fill="auto"/>
            <w:vAlign w:val="center"/>
          </w:tcPr>
          <w:p w14:paraId="343CA2B4" w14:textId="51BA6B24" w:rsidR="00283604" w:rsidRPr="00CD218D" w:rsidRDefault="00283604">
            <w:pPr>
              <w:pStyle w:val="Tabletext"/>
              <w:rPr>
                <w:color w:val="000000"/>
              </w:rPr>
            </w:pPr>
            <w:r w:rsidRPr="00CD218D">
              <w:rPr>
                <w:b/>
                <w:bCs/>
                <w:color w:val="000000"/>
              </w:rPr>
              <w:t xml:space="preserve">Allocation of </w:t>
            </w:r>
            <w:r w:rsidR="00E44E87">
              <w:rPr>
                <w:b/>
                <w:bCs/>
                <w:color w:val="000000"/>
              </w:rPr>
              <w:t>Top-up Tax</w:t>
            </w:r>
            <w:r w:rsidRPr="00CD218D">
              <w:rPr>
                <w:b/>
                <w:bCs/>
                <w:color w:val="000000"/>
              </w:rPr>
              <w:t xml:space="preserve"> under the IIR</w:t>
            </w:r>
          </w:p>
        </w:tc>
        <w:tc>
          <w:tcPr>
            <w:tcW w:w="1746" w:type="dxa"/>
            <w:tcBorders>
              <w:top w:val="nil"/>
              <w:left w:val="nil"/>
              <w:bottom w:val="single" w:sz="4" w:space="0" w:color="auto"/>
              <w:right w:val="single" w:sz="4" w:space="0" w:color="auto"/>
            </w:tcBorders>
            <w:shd w:val="clear" w:color="auto" w:fill="auto"/>
            <w:noWrap/>
            <w:vAlign w:val="center"/>
          </w:tcPr>
          <w:p w14:paraId="153A93E8" w14:textId="77777777" w:rsidR="00283604" w:rsidRPr="00CD218D" w:rsidRDefault="00283604">
            <w:pPr>
              <w:pStyle w:val="Tabletext"/>
              <w:rPr>
                <w:color w:val="000000"/>
              </w:rPr>
            </w:pPr>
            <w:r w:rsidRPr="00CD218D">
              <w:rPr>
                <w:b/>
                <w:bCs/>
                <w:color w:val="000000"/>
              </w:rPr>
              <w:t>2.2</w:t>
            </w:r>
          </w:p>
        </w:tc>
      </w:tr>
      <w:tr w:rsidR="00283604" w:rsidRPr="00CD218D" w14:paraId="416DCA8C" w14:textId="77777777">
        <w:trPr>
          <w:trHeight w:val="900"/>
        </w:trPr>
        <w:tc>
          <w:tcPr>
            <w:tcW w:w="2212" w:type="dxa"/>
            <w:tcBorders>
              <w:top w:val="nil"/>
              <w:left w:val="single" w:sz="4" w:space="0" w:color="auto"/>
              <w:bottom w:val="single" w:sz="4" w:space="0" w:color="auto"/>
              <w:right w:val="single" w:sz="4" w:space="0" w:color="auto"/>
            </w:tcBorders>
            <w:shd w:val="clear" w:color="auto" w:fill="auto"/>
            <w:vAlign w:val="center"/>
            <w:hideMark/>
          </w:tcPr>
          <w:p w14:paraId="1FD85028" w14:textId="77777777" w:rsidR="00283604" w:rsidRPr="00CD218D" w:rsidRDefault="00283604">
            <w:pPr>
              <w:pStyle w:val="Tabletext"/>
            </w:pPr>
            <w:r w:rsidRPr="00CD218D">
              <w:rPr>
                <w:color w:val="000000"/>
              </w:rPr>
              <w:lastRenderedPageBreak/>
              <w:t>2-15(1)</w:t>
            </w:r>
          </w:p>
        </w:tc>
        <w:tc>
          <w:tcPr>
            <w:tcW w:w="3743" w:type="dxa"/>
            <w:tcBorders>
              <w:top w:val="nil"/>
              <w:left w:val="nil"/>
              <w:bottom w:val="single" w:sz="4" w:space="0" w:color="auto"/>
              <w:right w:val="single" w:sz="4" w:space="0" w:color="auto"/>
            </w:tcBorders>
            <w:shd w:val="clear" w:color="auto" w:fill="auto"/>
            <w:vAlign w:val="center"/>
            <w:hideMark/>
          </w:tcPr>
          <w:p w14:paraId="4887D138" w14:textId="54559CF1" w:rsidR="00283604" w:rsidRPr="00CD218D" w:rsidRDefault="00283604">
            <w:pPr>
              <w:pStyle w:val="Tabletext"/>
            </w:pPr>
            <w:r w:rsidRPr="00CD218D">
              <w:rPr>
                <w:color w:val="000000"/>
              </w:rPr>
              <w:t xml:space="preserve">Formula of </w:t>
            </w:r>
            <w:r w:rsidR="007F271F" w:rsidRPr="00CD218D">
              <w:rPr>
                <w:color w:val="000000"/>
              </w:rPr>
              <w:t>Parent Entity's</w:t>
            </w:r>
            <w:r w:rsidRPr="00CD218D">
              <w:rPr>
                <w:color w:val="000000"/>
              </w:rPr>
              <w:t xml:space="preserve"> Inclusion ratio</w:t>
            </w:r>
          </w:p>
        </w:tc>
        <w:tc>
          <w:tcPr>
            <w:tcW w:w="1746" w:type="dxa"/>
            <w:tcBorders>
              <w:top w:val="nil"/>
              <w:left w:val="nil"/>
              <w:bottom w:val="single" w:sz="4" w:space="0" w:color="auto"/>
              <w:right w:val="single" w:sz="4" w:space="0" w:color="auto"/>
            </w:tcBorders>
            <w:shd w:val="clear" w:color="auto" w:fill="auto"/>
            <w:noWrap/>
            <w:vAlign w:val="center"/>
            <w:hideMark/>
          </w:tcPr>
          <w:p w14:paraId="1D723527" w14:textId="77777777" w:rsidR="00283604" w:rsidRPr="00CD218D" w:rsidRDefault="00283604">
            <w:pPr>
              <w:pStyle w:val="Tabletext"/>
            </w:pPr>
            <w:r w:rsidRPr="00CD218D">
              <w:rPr>
                <w:color w:val="000000"/>
              </w:rPr>
              <w:t>2.2.2</w:t>
            </w:r>
          </w:p>
        </w:tc>
      </w:tr>
      <w:tr w:rsidR="00283604" w:rsidRPr="00CD218D" w14:paraId="5DD73612" w14:textId="77777777">
        <w:trPr>
          <w:trHeight w:val="300"/>
        </w:trPr>
        <w:tc>
          <w:tcPr>
            <w:tcW w:w="2212" w:type="dxa"/>
            <w:tcBorders>
              <w:top w:val="nil"/>
              <w:left w:val="single" w:sz="4" w:space="0" w:color="auto"/>
              <w:bottom w:val="single" w:sz="4" w:space="0" w:color="auto"/>
              <w:right w:val="single" w:sz="4" w:space="0" w:color="auto"/>
            </w:tcBorders>
            <w:shd w:val="clear" w:color="auto" w:fill="auto"/>
            <w:vAlign w:val="center"/>
            <w:hideMark/>
          </w:tcPr>
          <w:p w14:paraId="2C002B3C" w14:textId="77777777" w:rsidR="00283604" w:rsidRPr="00CD218D" w:rsidRDefault="00283604">
            <w:pPr>
              <w:pStyle w:val="Tabletext"/>
            </w:pPr>
            <w:r w:rsidRPr="00CD218D">
              <w:rPr>
                <w:color w:val="000000"/>
              </w:rPr>
              <w:t>2-15(2)</w:t>
            </w:r>
          </w:p>
        </w:tc>
        <w:tc>
          <w:tcPr>
            <w:tcW w:w="3743" w:type="dxa"/>
            <w:tcBorders>
              <w:top w:val="nil"/>
              <w:left w:val="nil"/>
              <w:bottom w:val="single" w:sz="4" w:space="0" w:color="auto"/>
              <w:right w:val="single" w:sz="4" w:space="0" w:color="auto"/>
            </w:tcBorders>
            <w:shd w:val="clear" w:color="auto" w:fill="auto"/>
            <w:vAlign w:val="center"/>
            <w:hideMark/>
          </w:tcPr>
          <w:p w14:paraId="1D87767D" w14:textId="77777777" w:rsidR="00283604" w:rsidRPr="00CD218D" w:rsidRDefault="00283604">
            <w:pPr>
              <w:pStyle w:val="Tabletext"/>
            </w:pPr>
            <w:r w:rsidRPr="00CD218D">
              <w:rPr>
                <w:color w:val="000000"/>
              </w:rPr>
              <w:t>Hypothetical income attributable to ownership interests in LTCE held by other owners</w:t>
            </w:r>
          </w:p>
        </w:tc>
        <w:tc>
          <w:tcPr>
            <w:tcW w:w="1746" w:type="dxa"/>
            <w:tcBorders>
              <w:top w:val="nil"/>
              <w:left w:val="nil"/>
              <w:bottom w:val="single" w:sz="4" w:space="0" w:color="auto"/>
              <w:right w:val="single" w:sz="4" w:space="0" w:color="auto"/>
            </w:tcBorders>
            <w:shd w:val="clear" w:color="auto" w:fill="auto"/>
            <w:noWrap/>
            <w:vAlign w:val="center"/>
            <w:hideMark/>
          </w:tcPr>
          <w:p w14:paraId="70D95D25" w14:textId="77777777" w:rsidR="00283604" w:rsidRPr="00CD218D" w:rsidRDefault="00283604">
            <w:pPr>
              <w:pStyle w:val="Tabletext"/>
            </w:pPr>
            <w:r w:rsidRPr="00CD218D">
              <w:rPr>
                <w:color w:val="000000"/>
              </w:rPr>
              <w:t>2.2.3</w:t>
            </w:r>
          </w:p>
        </w:tc>
      </w:tr>
      <w:tr w:rsidR="00283604" w:rsidRPr="00CD218D" w14:paraId="3243DE0F" w14:textId="77777777">
        <w:trPr>
          <w:trHeight w:val="600"/>
        </w:trPr>
        <w:tc>
          <w:tcPr>
            <w:tcW w:w="2212" w:type="dxa"/>
            <w:tcBorders>
              <w:top w:val="nil"/>
              <w:left w:val="single" w:sz="4" w:space="0" w:color="auto"/>
              <w:bottom w:val="single" w:sz="4" w:space="0" w:color="auto"/>
              <w:right w:val="single" w:sz="4" w:space="0" w:color="auto"/>
            </w:tcBorders>
            <w:shd w:val="clear" w:color="auto" w:fill="auto"/>
            <w:vAlign w:val="center"/>
            <w:hideMark/>
          </w:tcPr>
          <w:p w14:paraId="24424475" w14:textId="77777777" w:rsidR="00283604" w:rsidRPr="00CD218D" w:rsidRDefault="00283604">
            <w:pPr>
              <w:pStyle w:val="Tabletext"/>
            </w:pPr>
            <w:r w:rsidRPr="00CD218D">
              <w:rPr>
                <w:color w:val="000000"/>
              </w:rPr>
              <w:t>2-15(3)</w:t>
            </w:r>
          </w:p>
        </w:tc>
        <w:tc>
          <w:tcPr>
            <w:tcW w:w="3743" w:type="dxa"/>
            <w:tcBorders>
              <w:top w:val="nil"/>
              <w:left w:val="nil"/>
              <w:bottom w:val="single" w:sz="4" w:space="0" w:color="auto"/>
              <w:right w:val="single" w:sz="4" w:space="0" w:color="auto"/>
            </w:tcBorders>
            <w:shd w:val="clear" w:color="auto" w:fill="auto"/>
            <w:vAlign w:val="center"/>
            <w:hideMark/>
          </w:tcPr>
          <w:p w14:paraId="1D48EFE8" w14:textId="77777777" w:rsidR="00283604" w:rsidRPr="00CD218D" w:rsidRDefault="00283604">
            <w:pPr>
              <w:pStyle w:val="Tabletext"/>
            </w:pPr>
            <w:r w:rsidRPr="00CD218D">
              <w:rPr>
                <w:color w:val="000000"/>
              </w:rPr>
              <w:t>If a Flow-through Entity:  exclude any income allocated, pursuant to Article 3.5.3, to an owner that is not a Group Entity.</w:t>
            </w:r>
          </w:p>
        </w:tc>
        <w:tc>
          <w:tcPr>
            <w:tcW w:w="1746" w:type="dxa"/>
            <w:tcBorders>
              <w:top w:val="nil"/>
              <w:left w:val="nil"/>
              <w:bottom w:val="single" w:sz="4" w:space="0" w:color="auto"/>
              <w:right w:val="single" w:sz="4" w:space="0" w:color="auto"/>
            </w:tcBorders>
            <w:shd w:val="clear" w:color="auto" w:fill="auto"/>
            <w:noWrap/>
            <w:vAlign w:val="center"/>
            <w:hideMark/>
          </w:tcPr>
          <w:p w14:paraId="122861FD" w14:textId="77777777" w:rsidR="00283604" w:rsidRPr="00CD218D" w:rsidRDefault="00283604">
            <w:pPr>
              <w:pStyle w:val="Tabletext"/>
            </w:pPr>
            <w:r w:rsidRPr="00CD218D">
              <w:rPr>
                <w:color w:val="000000"/>
              </w:rPr>
              <w:t>2.2.4</w:t>
            </w:r>
          </w:p>
        </w:tc>
      </w:tr>
      <w:tr w:rsidR="00283604" w:rsidRPr="00CD218D" w14:paraId="01466759" w14:textId="77777777">
        <w:trPr>
          <w:trHeight w:val="600"/>
        </w:trPr>
        <w:tc>
          <w:tcPr>
            <w:tcW w:w="2212" w:type="dxa"/>
            <w:tcBorders>
              <w:top w:val="nil"/>
              <w:left w:val="single" w:sz="4" w:space="0" w:color="auto"/>
              <w:bottom w:val="single" w:sz="4" w:space="0" w:color="auto"/>
              <w:right w:val="single" w:sz="4" w:space="0" w:color="auto"/>
            </w:tcBorders>
            <w:shd w:val="clear" w:color="auto" w:fill="auto"/>
            <w:vAlign w:val="center"/>
          </w:tcPr>
          <w:p w14:paraId="70AAB34C" w14:textId="77777777" w:rsidR="00283604" w:rsidRPr="00CD218D" w:rsidRDefault="00283604">
            <w:pPr>
              <w:pStyle w:val="Tabletext"/>
              <w:rPr>
                <w:b/>
                <w:bCs/>
                <w:color w:val="000000"/>
              </w:rPr>
            </w:pPr>
            <w:r w:rsidRPr="00CD218D">
              <w:rPr>
                <w:b/>
                <w:bCs/>
                <w:color w:val="000000"/>
              </w:rPr>
              <w:t>Part 2-3</w:t>
            </w:r>
          </w:p>
        </w:tc>
        <w:tc>
          <w:tcPr>
            <w:tcW w:w="3743" w:type="dxa"/>
            <w:tcBorders>
              <w:top w:val="nil"/>
              <w:left w:val="nil"/>
              <w:bottom w:val="single" w:sz="4" w:space="0" w:color="auto"/>
              <w:right w:val="single" w:sz="4" w:space="0" w:color="auto"/>
            </w:tcBorders>
            <w:shd w:val="clear" w:color="auto" w:fill="auto"/>
            <w:vAlign w:val="center"/>
          </w:tcPr>
          <w:p w14:paraId="5FAD603F" w14:textId="3E83B50F" w:rsidR="00283604" w:rsidRPr="00CD218D" w:rsidRDefault="00283604">
            <w:pPr>
              <w:pStyle w:val="Tabletext"/>
              <w:rPr>
                <w:b/>
                <w:bCs/>
                <w:color w:val="000000"/>
              </w:rPr>
            </w:pPr>
            <w:r w:rsidRPr="00CD218D">
              <w:rPr>
                <w:b/>
                <w:bCs/>
                <w:color w:val="000000"/>
              </w:rPr>
              <w:t xml:space="preserve">IIR </w:t>
            </w:r>
            <w:r w:rsidR="00CD69C7">
              <w:rPr>
                <w:b/>
                <w:bCs/>
                <w:color w:val="000000"/>
              </w:rPr>
              <w:t>o</w:t>
            </w:r>
            <w:r w:rsidRPr="00CD218D">
              <w:rPr>
                <w:b/>
                <w:bCs/>
                <w:color w:val="000000"/>
              </w:rPr>
              <w:t xml:space="preserve">ffset </w:t>
            </w:r>
            <w:r w:rsidR="00CD69C7">
              <w:rPr>
                <w:b/>
                <w:bCs/>
                <w:color w:val="000000"/>
              </w:rPr>
              <w:t>m</w:t>
            </w:r>
            <w:r w:rsidRPr="00CD218D">
              <w:rPr>
                <w:b/>
                <w:bCs/>
                <w:color w:val="000000"/>
              </w:rPr>
              <w:t xml:space="preserve">echanism </w:t>
            </w:r>
          </w:p>
        </w:tc>
        <w:tc>
          <w:tcPr>
            <w:tcW w:w="1746" w:type="dxa"/>
            <w:tcBorders>
              <w:top w:val="nil"/>
              <w:left w:val="nil"/>
              <w:bottom w:val="single" w:sz="4" w:space="0" w:color="auto"/>
              <w:right w:val="single" w:sz="4" w:space="0" w:color="auto"/>
            </w:tcBorders>
            <w:shd w:val="clear" w:color="auto" w:fill="auto"/>
            <w:noWrap/>
            <w:vAlign w:val="center"/>
          </w:tcPr>
          <w:p w14:paraId="1952319F" w14:textId="77777777" w:rsidR="00283604" w:rsidRPr="00CD218D" w:rsidRDefault="00283604">
            <w:pPr>
              <w:pStyle w:val="Tabletext"/>
              <w:rPr>
                <w:b/>
                <w:bCs/>
                <w:color w:val="000000"/>
              </w:rPr>
            </w:pPr>
            <w:r w:rsidRPr="00CD218D">
              <w:rPr>
                <w:b/>
                <w:bCs/>
                <w:color w:val="000000"/>
              </w:rPr>
              <w:t>2.3</w:t>
            </w:r>
          </w:p>
        </w:tc>
      </w:tr>
      <w:tr w:rsidR="00283604" w:rsidRPr="00CD218D" w14:paraId="70B334BB" w14:textId="77777777">
        <w:trPr>
          <w:trHeight w:val="600"/>
        </w:trPr>
        <w:tc>
          <w:tcPr>
            <w:tcW w:w="2212" w:type="dxa"/>
            <w:tcBorders>
              <w:top w:val="nil"/>
              <w:left w:val="single" w:sz="4" w:space="0" w:color="auto"/>
              <w:bottom w:val="single" w:sz="4" w:space="0" w:color="auto"/>
              <w:right w:val="single" w:sz="4" w:space="0" w:color="auto"/>
            </w:tcBorders>
            <w:shd w:val="clear" w:color="auto" w:fill="auto"/>
            <w:vAlign w:val="bottom"/>
            <w:hideMark/>
          </w:tcPr>
          <w:p w14:paraId="04F778DC" w14:textId="77777777" w:rsidR="00283604" w:rsidRPr="00CD218D" w:rsidRDefault="00283604">
            <w:pPr>
              <w:pStyle w:val="Tabletext"/>
            </w:pPr>
            <w:r w:rsidRPr="00CD218D">
              <w:rPr>
                <w:color w:val="000000"/>
                <w:sz w:val="22"/>
                <w:szCs w:val="22"/>
              </w:rPr>
              <w:t>2-20(1)</w:t>
            </w:r>
          </w:p>
        </w:tc>
        <w:tc>
          <w:tcPr>
            <w:tcW w:w="3743" w:type="dxa"/>
            <w:tcBorders>
              <w:top w:val="nil"/>
              <w:left w:val="nil"/>
              <w:bottom w:val="single" w:sz="4" w:space="0" w:color="auto"/>
              <w:right w:val="single" w:sz="4" w:space="0" w:color="auto"/>
            </w:tcBorders>
            <w:shd w:val="clear" w:color="auto" w:fill="auto"/>
            <w:vAlign w:val="center"/>
            <w:hideMark/>
          </w:tcPr>
          <w:p w14:paraId="24E433E4" w14:textId="77777777" w:rsidR="00283604" w:rsidRPr="00CD218D" w:rsidRDefault="00283604">
            <w:pPr>
              <w:pStyle w:val="Tabletext"/>
            </w:pPr>
            <w:r w:rsidRPr="00CD218D">
              <w:rPr>
                <w:color w:val="000000"/>
              </w:rPr>
              <w:t>A Parent Entity that owns an Ownership Interest in a LTCE indirectly through an Intermediate Parent Entity or a POPE that is not eligible for an exclusion from the IIR under Article 2.1.3 or 2.1.5 shall reduce its allocable share of a Top-up Tax of the LTCE in accordance with Article 2.3.2.</w:t>
            </w:r>
          </w:p>
        </w:tc>
        <w:tc>
          <w:tcPr>
            <w:tcW w:w="1746" w:type="dxa"/>
            <w:tcBorders>
              <w:top w:val="nil"/>
              <w:left w:val="nil"/>
              <w:bottom w:val="single" w:sz="4" w:space="0" w:color="auto"/>
              <w:right w:val="single" w:sz="4" w:space="0" w:color="auto"/>
            </w:tcBorders>
            <w:shd w:val="clear" w:color="auto" w:fill="auto"/>
            <w:noWrap/>
            <w:vAlign w:val="bottom"/>
            <w:hideMark/>
          </w:tcPr>
          <w:p w14:paraId="61A777FE" w14:textId="77777777" w:rsidR="00283604" w:rsidRPr="00CD218D" w:rsidRDefault="00283604">
            <w:pPr>
              <w:pStyle w:val="Tabletext"/>
            </w:pPr>
            <w:r w:rsidRPr="00CD218D">
              <w:rPr>
                <w:color w:val="000000"/>
                <w:sz w:val="22"/>
                <w:szCs w:val="22"/>
              </w:rPr>
              <w:t>2.3.1</w:t>
            </w:r>
          </w:p>
        </w:tc>
      </w:tr>
      <w:tr w:rsidR="00283604" w:rsidRPr="00CD218D" w14:paraId="44FD86B5" w14:textId="77777777">
        <w:trPr>
          <w:trHeight w:val="1500"/>
        </w:trPr>
        <w:tc>
          <w:tcPr>
            <w:tcW w:w="2212" w:type="dxa"/>
            <w:tcBorders>
              <w:top w:val="nil"/>
              <w:left w:val="single" w:sz="4" w:space="0" w:color="auto"/>
              <w:bottom w:val="single" w:sz="4" w:space="0" w:color="auto"/>
              <w:right w:val="single" w:sz="4" w:space="0" w:color="auto"/>
            </w:tcBorders>
            <w:shd w:val="clear" w:color="auto" w:fill="auto"/>
            <w:vAlign w:val="center"/>
            <w:hideMark/>
          </w:tcPr>
          <w:p w14:paraId="25FAF035" w14:textId="77777777" w:rsidR="00283604" w:rsidRPr="00CD218D" w:rsidRDefault="00283604">
            <w:pPr>
              <w:pStyle w:val="Tabletext"/>
            </w:pPr>
            <w:r w:rsidRPr="00CD218D">
              <w:rPr>
                <w:color w:val="000000"/>
              </w:rPr>
              <w:t>2-20(2)</w:t>
            </w:r>
          </w:p>
        </w:tc>
        <w:tc>
          <w:tcPr>
            <w:tcW w:w="3743" w:type="dxa"/>
            <w:tcBorders>
              <w:top w:val="nil"/>
              <w:left w:val="nil"/>
              <w:bottom w:val="single" w:sz="4" w:space="0" w:color="auto"/>
              <w:right w:val="single" w:sz="4" w:space="0" w:color="auto"/>
            </w:tcBorders>
            <w:shd w:val="clear" w:color="auto" w:fill="auto"/>
            <w:vAlign w:val="center"/>
            <w:hideMark/>
          </w:tcPr>
          <w:p w14:paraId="26DDE7EA" w14:textId="77777777" w:rsidR="00283604" w:rsidRPr="00CD218D" w:rsidRDefault="00283604">
            <w:pPr>
              <w:pStyle w:val="Tabletext"/>
            </w:pPr>
            <w:r w:rsidRPr="00CD218D">
              <w:rPr>
                <w:color w:val="000000"/>
              </w:rPr>
              <w:t>The reduction is equal to the portion of the Parent Entity’s Allocable Share of the Top-up Tax that is brought into charge by the Intermediate Parent Entity or the POPE under a Qualified IIR.</w:t>
            </w:r>
          </w:p>
        </w:tc>
        <w:tc>
          <w:tcPr>
            <w:tcW w:w="1746" w:type="dxa"/>
            <w:tcBorders>
              <w:top w:val="nil"/>
              <w:left w:val="nil"/>
              <w:bottom w:val="single" w:sz="4" w:space="0" w:color="auto"/>
              <w:right w:val="single" w:sz="4" w:space="0" w:color="auto"/>
            </w:tcBorders>
            <w:shd w:val="clear" w:color="auto" w:fill="auto"/>
            <w:noWrap/>
            <w:vAlign w:val="center"/>
            <w:hideMark/>
          </w:tcPr>
          <w:p w14:paraId="2A16BA80" w14:textId="77777777" w:rsidR="00283604" w:rsidRPr="00CD218D" w:rsidRDefault="00283604">
            <w:pPr>
              <w:pStyle w:val="Tabletext"/>
            </w:pPr>
            <w:r w:rsidRPr="00CD218D">
              <w:rPr>
                <w:color w:val="000000"/>
              </w:rPr>
              <w:t>2.3.2</w:t>
            </w:r>
          </w:p>
        </w:tc>
      </w:tr>
      <w:tr w:rsidR="00283604" w:rsidRPr="00CD218D" w14:paraId="523BE60C" w14:textId="77777777">
        <w:trPr>
          <w:trHeight w:val="693"/>
        </w:trPr>
        <w:tc>
          <w:tcPr>
            <w:tcW w:w="2212" w:type="dxa"/>
            <w:tcBorders>
              <w:top w:val="nil"/>
              <w:left w:val="single" w:sz="4" w:space="0" w:color="auto"/>
              <w:bottom w:val="single" w:sz="4" w:space="0" w:color="auto"/>
              <w:right w:val="single" w:sz="4" w:space="0" w:color="auto"/>
            </w:tcBorders>
            <w:shd w:val="clear" w:color="auto" w:fill="auto"/>
            <w:vAlign w:val="center"/>
          </w:tcPr>
          <w:p w14:paraId="4D25AF29" w14:textId="77777777" w:rsidR="00283604" w:rsidRPr="00CD218D" w:rsidRDefault="00283604">
            <w:pPr>
              <w:pStyle w:val="Tabletext"/>
              <w:rPr>
                <w:b/>
                <w:bCs/>
                <w:color w:val="000000"/>
              </w:rPr>
            </w:pPr>
            <w:r w:rsidRPr="00CD218D">
              <w:rPr>
                <w:b/>
                <w:bCs/>
                <w:color w:val="000000"/>
              </w:rPr>
              <w:t>Part 2-4</w:t>
            </w:r>
          </w:p>
        </w:tc>
        <w:tc>
          <w:tcPr>
            <w:tcW w:w="3743" w:type="dxa"/>
            <w:tcBorders>
              <w:top w:val="nil"/>
              <w:left w:val="nil"/>
              <w:bottom w:val="single" w:sz="4" w:space="0" w:color="auto"/>
              <w:right w:val="single" w:sz="4" w:space="0" w:color="auto"/>
            </w:tcBorders>
            <w:shd w:val="clear" w:color="auto" w:fill="auto"/>
            <w:vAlign w:val="center"/>
          </w:tcPr>
          <w:p w14:paraId="39BD96D4" w14:textId="27DF023F" w:rsidR="00283604" w:rsidRPr="00CD218D" w:rsidRDefault="00283604">
            <w:pPr>
              <w:pStyle w:val="Tabletext"/>
              <w:rPr>
                <w:b/>
                <w:bCs/>
                <w:color w:val="000000"/>
              </w:rPr>
            </w:pPr>
            <w:r w:rsidRPr="00CD218D">
              <w:rPr>
                <w:b/>
                <w:bCs/>
                <w:color w:val="000000"/>
              </w:rPr>
              <w:t xml:space="preserve">Application of Domestic </w:t>
            </w:r>
            <w:r w:rsidR="00E44E87">
              <w:rPr>
                <w:b/>
                <w:bCs/>
                <w:color w:val="000000"/>
              </w:rPr>
              <w:t>Top-up Tax</w:t>
            </w:r>
          </w:p>
        </w:tc>
        <w:tc>
          <w:tcPr>
            <w:tcW w:w="1746" w:type="dxa"/>
            <w:tcBorders>
              <w:top w:val="nil"/>
              <w:left w:val="nil"/>
              <w:bottom w:val="single" w:sz="4" w:space="0" w:color="auto"/>
              <w:right w:val="single" w:sz="4" w:space="0" w:color="auto"/>
            </w:tcBorders>
            <w:shd w:val="clear" w:color="auto" w:fill="auto"/>
            <w:noWrap/>
            <w:vAlign w:val="center"/>
          </w:tcPr>
          <w:p w14:paraId="3950222D" w14:textId="77777777" w:rsidR="00283604" w:rsidRPr="00CD218D" w:rsidRDefault="00283604">
            <w:pPr>
              <w:pStyle w:val="Tabletext"/>
              <w:rPr>
                <w:color w:val="000000"/>
              </w:rPr>
            </w:pPr>
            <w:r w:rsidRPr="00CD218D">
              <w:rPr>
                <w:color w:val="000000"/>
              </w:rPr>
              <w:t>Chapter 5 of February 2023 AG</w:t>
            </w:r>
          </w:p>
        </w:tc>
      </w:tr>
      <w:tr w:rsidR="00283604" w:rsidRPr="00CD218D" w14:paraId="0DEE0E1D" w14:textId="77777777">
        <w:trPr>
          <w:trHeight w:val="665"/>
        </w:trPr>
        <w:tc>
          <w:tcPr>
            <w:tcW w:w="2212" w:type="dxa"/>
            <w:tcBorders>
              <w:top w:val="nil"/>
              <w:left w:val="single" w:sz="4" w:space="0" w:color="auto"/>
              <w:bottom w:val="single" w:sz="4" w:space="0" w:color="auto"/>
              <w:right w:val="single" w:sz="4" w:space="0" w:color="auto"/>
            </w:tcBorders>
            <w:shd w:val="clear" w:color="auto" w:fill="auto"/>
            <w:vAlign w:val="bottom"/>
          </w:tcPr>
          <w:p w14:paraId="5EF5420F" w14:textId="7F0DCA33" w:rsidR="00283604" w:rsidRPr="00CD218D" w:rsidRDefault="00283604">
            <w:pPr>
              <w:pStyle w:val="Tabletext"/>
            </w:pPr>
            <w:r w:rsidRPr="00CD218D">
              <w:t>N</w:t>
            </w:r>
            <w:r w:rsidR="00C5603E" w:rsidRPr="00CD218D">
              <w:t>o</w:t>
            </w:r>
            <w:r w:rsidR="00E406FE" w:rsidRPr="00CD218D">
              <w:t xml:space="preserve"> equivalent </w:t>
            </w:r>
          </w:p>
        </w:tc>
        <w:tc>
          <w:tcPr>
            <w:tcW w:w="3743" w:type="dxa"/>
            <w:tcBorders>
              <w:top w:val="nil"/>
              <w:left w:val="nil"/>
              <w:bottom w:val="single" w:sz="4" w:space="0" w:color="auto"/>
              <w:right w:val="single" w:sz="4" w:space="0" w:color="auto"/>
            </w:tcBorders>
            <w:shd w:val="clear" w:color="auto" w:fill="auto"/>
            <w:vAlign w:val="bottom"/>
          </w:tcPr>
          <w:p w14:paraId="01F42247" w14:textId="39FAD3A5" w:rsidR="00283604" w:rsidRPr="00CD218D" w:rsidRDefault="00283604">
            <w:pPr>
              <w:pStyle w:val="Tabletext"/>
            </w:pPr>
            <w:r w:rsidRPr="00CD218D">
              <w:t>DMT –</w:t>
            </w:r>
            <w:r w:rsidR="00C91C85" w:rsidRPr="00CD218D">
              <w:t>j</w:t>
            </w:r>
            <w:r w:rsidRPr="00CD218D">
              <w:t xml:space="preserve">urisdiction may </w:t>
            </w:r>
            <w:r w:rsidR="000B1DAE" w:rsidRPr="00CD218D">
              <w:t xml:space="preserve">optionally </w:t>
            </w:r>
            <w:r w:rsidRPr="00CD218D">
              <w:t xml:space="preserve">limit their DMTT so that an MNE Group is only subject to the DMTT if wholly owned or 100% held. </w:t>
            </w:r>
          </w:p>
        </w:tc>
        <w:tc>
          <w:tcPr>
            <w:tcW w:w="1746" w:type="dxa"/>
            <w:tcBorders>
              <w:top w:val="nil"/>
              <w:left w:val="nil"/>
              <w:bottom w:val="single" w:sz="4" w:space="0" w:color="auto"/>
              <w:right w:val="single" w:sz="4" w:space="0" w:color="auto"/>
            </w:tcBorders>
            <w:shd w:val="clear" w:color="auto" w:fill="auto"/>
            <w:noWrap/>
            <w:vAlign w:val="bottom"/>
          </w:tcPr>
          <w:p w14:paraId="0DD3B5B1" w14:textId="77777777" w:rsidR="00283604" w:rsidRPr="00CD218D" w:rsidRDefault="00283604">
            <w:pPr>
              <w:pStyle w:val="Tabletext"/>
            </w:pPr>
            <w:r w:rsidRPr="00CD218D">
              <w:t>118.10 Chapter 5 of February 2023 AG and Chapter 4 of July 2023 AG</w:t>
            </w:r>
          </w:p>
        </w:tc>
      </w:tr>
      <w:tr w:rsidR="00283604" w:rsidRPr="00CD218D" w14:paraId="6CC43386" w14:textId="77777777">
        <w:trPr>
          <w:trHeight w:val="665"/>
        </w:trPr>
        <w:tc>
          <w:tcPr>
            <w:tcW w:w="2212" w:type="dxa"/>
            <w:tcBorders>
              <w:top w:val="nil"/>
              <w:left w:val="single" w:sz="4" w:space="0" w:color="auto"/>
              <w:bottom w:val="single" w:sz="4" w:space="0" w:color="auto"/>
              <w:right w:val="single" w:sz="4" w:space="0" w:color="auto"/>
            </w:tcBorders>
            <w:shd w:val="clear" w:color="auto" w:fill="auto"/>
            <w:vAlign w:val="bottom"/>
          </w:tcPr>
          <w:p w14:paraId="00A02B9B" w14:textId="3114AF16" w:rsidR="00283604" w:rsidRPr="00CD218D" w:rsidRDefault="00E406FE">
            <w:pPr>
              <w:pStyle w:val="Tabletext"/>
            </w:pPr>
            <w:r w:rsidRPr="00CD218D">
              <w:t>No equivalent</w:t>
            </w:r>
          </w:p>
        </w:tc>
        <w:tc>
          <w:tcPr>
            <w:tcW w:w="3743" w:type="dxa"/>
            <w:tcBorders>
              <w:top w:val="nil"/>
              <w:left w:val="nil"/>
              <w:bottom w:val="single" w:sz="4" w:space="0" w:color="auto"/>
              <w:right w:val="single" w:sz="4" w:space="0" w:color="auto"/>
            </w:tcBorders>
            <w:shd w:val="clear" w:color="auto" w:fill="auto"/>
            <w:vAlign w:val="bottom"/>
          </w:tcPr>
          <w:p w14:paraId="1BB58E36" w14:textId="137DC939" w:rsidR="00283604" w:rsidRPr="00CD218D" w:rsidRDefault="00283604">
            <w:pPr>
              <w:pStyle w:val="Tabletext"/>
            </w:pPr>
            <w:r w:rsidRPr="00CD218D">
              <w:t xml:space="preserve">DMT – </w:t>
            </w:r>
            <w:r w:rsidR="00C91C85" w:rsidRPr="00CD218D">
              <w:t>j</w:t>
            </w:r>
            <w:r w:rsidR="000B1DAE" w:rsidRPr="00CD218D">
              <w:t xml:space="preserve">urisdictions may optionally treat </w:t>
            </w:r>
            <w:r w:rsidRPr="00CD218D">
              <w:t>Investment Entities as Excluded Entities</w:t>
            </w:r>
          </w:p>
        </w:tc>
        <w:tc>
          <w:tcPr>
            <w:tcW w:w="1746" w:type="dxa"/>
            <w:tcBorders>
              <w:top w:val="nil"/>
              <w:left w:val="nil"/>
              <w:bottom w:val="single" w:sz="4" w:space="0" w:color="auto"/>
              <w:right w:val="single" w:sz="4" w:space="0" w:color="auto"/>
            </w:tcBorders>
            <w:shd w:val="clear" w:color="auto" w:fill="auto"/>
            <w:noWrap/>
            <w:vAlign w:val="bottom"/>
          </w:tcPr>
          <w:p w14:paraId="1F1D6A3D" w14:textId="77777777" w:rsidR="00283604" w:rsidRPr="00CD218D" w:rsidRDefault="00283604">
            <w:pPr>
              <w:pStyle w:val="Tabletext"/>
            </w:pPr>
            <w:r w:rsidRPr="00CD218D">
              <w:t>118.40.4</w:t>
            </w:r>
          </w:p>
          <w:p w14:paraId="4681631D" w14:textId="77777777" w:rsidR="00283604" w:rsidRPr="00CD218D" w:rsidRDefault="00283604">
            <w:pPr>
              <w:pStyle w:val="Tabletext"/>
            </w:pPr>
          </w:p>
        </w:tc>
      </w:tr>
      <w:tr w:rsidR="00283604" w:rsidRPr="00CD218D" w14:paraId="72099862" w14:textId="77777777">
        <w:trPr>
          <w:trHeight w:val="665"/>
        </w:trPr>
        <w:tc>
          <w:tcPr>
            <w:tcW w:w="2212" w:type="dxa"/>
            <w:tcBorders>
              <w:top w:val="nil"/>
              <w:left w:val="single" w:sz="4" w:space="0" w:color="auto"/>
              <w:bottom w:val="single" w:sz="4" w:space="0" w:color="auto"/>
              <w:right w:val="single" w:sz="4" w:space="0" w:color="auto"/>
            </w:tcBorders>
            <w:shd w:val="clear" w:color="auto" w:fill="auto"/>
            <w:vAlign w:val="bottom"/>
          </w:tcPr>
          <w:p w14:paraId="3DF99810" w14:textId="58A9822D" w:rsidR="00283604" w:rsidRPr="00CD218D" w:rsidRDefault="00E406FE">
            <w:pPr>
              <w:pStyle w:val="Tabletext"/>
            </w:pPr>
            <w:r w:rsidRPr="00CD218D">
              <w:t>No equivalent</w:t>
            </w:r>
            <w:r w:rsidR="00C91C85" w:rsidRPr="00CD218D">
              <w:t xml:space="preserve"> </w:t>
            </w:r>
          </w:p>
        </w:tc>
        <w:tc>
          <w:tcPr>
            <w:tcW w:w="3743" w:type="dxa"/>
            <w:tcBorders>
              <w:top w:val="nil"/>
              <w:left w:val="nil"/>
              <w:bottom w:val="single" w:sz="4" w:space="0" w:color="auto"/>
              <w:right w:val="single" w:sz="4" w:space="0" w:color="auto"/>
            </w:tcBorders>
            <w:shd w:val="clear" w:color="auto" w:fill="auto"/>
            <w:vAlign w:val="bottom"/>
          </w:tcPr>
          <w:p w14:paraId="2B4B655F" w14:textId="0EA557C0" w:rsidR="00283604" w:rsidRPr="00CD218D" w:rsidRDefault="00283604">
            <w:pPr>
              <w:pStyle w:val="Tabletext"/>
            </w:pPr>
            <w:r w:rsidRPr="00CD218D">
              <w:t xml:space="preserve">DMT – </w:t>
            </w:r>
            <w:r w:rsidR="000B1DAE" w:rsidRPr="00CD218D">
              <w:t>jurisdictions</w:t>
            </w:r>
            <w:r w:rsidR="00C91C85" w:rsidRPr="00CD218D">
              <w:t xml:space="preserve"> may optionally exclude </w:t>
            </w:r>
            <w:r w:rsidRPr="00CD218D">
              <w:t xml:space="preserve">MNE Groups in the initial phase of international expansion from DMTT. </w:t>
            </w:r>
          </w:p>
        </w:tc>
        <w:tc>
          <w:tcPr>
            <w:tcW w:w="1746" w:type="dxa"/>
            <w:tcBorders>
              <w:top w:val="nil"/>
              <w:left w:val="nil"/>
              <w:bottom w:val="single" w:sz="4" w:space="0" w:color="auto"/>
              <w:right w:val="single" w:sz="4" w:space="0" w:color="auto"/>
            </w:tcBorders>
            <w:shd w:val="clear" w:color="auto" w:fill="auto"/>
            <w:noWrap/>
            <w:vAlign w:val="bottom"/>
          </w:tcPr>
          <w:p w14:paraId="067CB2E6" w14:textId="77777777" w:rsidR="00283604" w:rsidRPr="00CD218D" w:rsidRDefault="00283604">
            <w:pPr>
              <w:pStyle w:val="Tabletext"/>
            </w:pPr>
            <w:r w:rsidRPr="00CD218D">
              <w:t>118.51</w:t>
            </w:r>
          </w:p>
          <w:p w14:paraId="78E7DCAC" w14:textId="77777777" w:rsidR="00283604" w:rsidRPr="00CD218D" w:rsidRDefault="00283604">
            <w:pPr>
              <w:pStyle w:val="Tabletext"/>
            </w:pPr>
          </w:p>
        </w:tc>
      </w:tr>
      <w:tr w:rsidR="00283604" w:rsidRPr="00CD218D" w14:paraId="608C9FE0" w14:textId="77777777">
        <w:trPr>
          <w:trHeight w:val="665"/>
        </w:trPr>
        <w:tc>
          <w:tcPr>
            <w:tcW w:w="2212" w:type="dxa"/>
            <w:tcBorders>
              <w:top w:val="nil"/>
              <w:left w:val="single" w:sz="4" w:space="0" w:color="auto"/>
              <w:bottom w:val="single" w:sz="4" w:space="0" w:color="auto"/>
              <w:right w:val="single" w:sz="4" w:space="0" w:color="auto"/>
            </w:tcBorders>
            <w:shd w:val="clear" w:color="auto" w:fill="auto"/>
            <w:vAlign w:val="bottom"/>
          </w:tcPr>
          <w:p w14:paraId="7527E900" w14:textId="4221CA75" w:rsidR="00283604" w:rsidRPr="00CD218D" w:rsidRDefault="00E406FE">
            <w:pPr>
              <w:pStyle w:val="Tabletext"/>
            </w:pPr>
            <w:r w:rsidRPr="00CD218D">
              <w:t>No equivalent</w:t>
            </w:r>
            <w:r w:rsidR="00C91C85" w:rsidRPr="00CD218D">
              <w:t xml:space="preserve"> </w:t>
            </w:r>
          </w:p>
          <w:p w14:paraId="17229984" w14:textId="77777777" w:rsidR="00283604" w:rsidRPr="00CD218D" w:rsidRDefault="00283604">
            <w:pPr>
              <w:pStyle w:val="Tabletext"/>
            </w:pPr>
          </w:p>
        </w:tc>
        <w:tc>
          <w:tcPr>
            <w:tcW w:w="3743" w:type="dxa"/>
            <w:tcBorders>
              <w:top w:val="nil"/>
              <w:left w:val="nil"/>
              <w:bottom w:val="single" w:sz="4" w:space="0" w:color="auto"/>
              <w:right w:val="single" w:sz="4" w:space="0" w:color="auto"/>
            </w:tcBorders>
            <w:shd w:val="clear" w:color="auto" w:fill="auto"/>
            <w:vAlign w:val="bottom"/>
          </w:tcPr>
          <w:p w14:paraId="256821D0" w14:textId="6C652F77" w:rsidR="00283604" w:rsidRPr="00CD218D" w:rsidRDefault="00283604">
            <w:pPr>
              <w:pStyle w:val="Tabletext"/>
            </w:pPr>
            <w:r w:rsidRPr="00CD218D">
              <w:t xml:space="preserve">DMT </w:t>
            </w:r>
            <w:r w:rsidR="00C91C85" w:rsidRPr="00CD218D">
              <w:t xml:space="preserve">– jurisdictions </w:t>
            </w:r>
            <w:r w:rsidRPr="00CD218D">
              <w:t xml:space="preserve">may </w:t>
            </w:r>
            <w:r w:rsidR="00C91C85" w:rsidRPr="00CD218D">
              <w:t xml:space="preserve">optionally </w:t>
            </w:r>
            <w:r w:rsidRPr="00CD218D">
              <w:t>apply to purely domestic groups</w:t>
            </w:r>
          </w:p>
        </w:tc>
        <w:tc>
          <w:tcPr>
            <w:tcW w:w="1746" w:type="dxa"/>
            <w:tcBorders>
              <w:top w:val="nil"/>
              <w:left w:val="nil"/>
              <w:bottom w:val="single" w:sz="4" w:space="0" w:color="auto"/>
              <w:right w:val="single" w:sz="4" w:space="0" w:color="auto"/>
            </w:tcBorders>
            <w:shd w:val="clear" w:color="auto" w:fill="auto"/>
            <w:noWrap/>
            <w:vAlign w:val="bottom"/>
          </w:tcPr>
          <w:p w14:paraId="26E5FFA2" w14:textId="77777777" w:rsidR="00283604" w:rsidRPr="00CD218D" w:rsidRDefault="00283604">
            <w:pPr>
              <w:pStyle w:val="Tabletext"/>
            </w:pPr>
            <w:r w:rsidRPr="00CD218D">
              <w:t>118.1</w:t>
            </w:r>
          </w:p>
        </w:tc>
      </w:tr>
      <w:tr w:rsidR="00283604" w:rsidRPr="00CD218D" w14:paraId="1C4A26D3" w14:textId="77777777">
        <w:trPr>
          <w:trHeight w:val="665"/>
        </w:trPr>
        <w:tc>
          <w:tcPr>
            <w:tcW w:w="2212" w:type="dxa"/>
            <w:tcBorders>
              <w:top w:val="nil"/>
              <w:left w:val="single" w:sz="4" w:space="0" w:color="auto"/>
              <w:bottom w:val="single" w:sz="4" w:space="0" w:color="auto"/>
              <w:right w:val="single" w:sz="4" w:space="0" w:color="auto"/>
            </w:tcBorders>
            <w:shd w:val="clear" w:color="auto" w:fill="auto"/>
            <w:vAlign w:val="bottom"/>
          </w:tcPr>
          <w:p w14:paraId="0DDE2CCB" w14:textId="08C2D5A8" w:rsidR="00283604" w:rsidRPr="00CD218D" w:rsidRDefault="00E406FE">
            <w:pPr>
              <w:pStyle w:val="Tabletext"/>
            </w:pPr>
            <w:r w:rsidRPr="00CD218D">
              <w:lastRenderedPageBreak/>
              <w:t>No equivalent</w:t>
            </w:r>
          </w:p>
        </w:tc>
        <w:tc>
          <w:tcPr>
            <w:tcW w:w="3743" w:type="dxa"/>
            <w:tcBorders>
              <w:top w:val="nil"/>
              <w:left w:val="nil"/>
              <w:bottom w:val="single" w:sz="4" w:space="0" w:color="auto"/>
              <w:right w:val="single" w:sz="4" w:space="0" w:color="auto"/>
            </w:tcBorders>
            <w:shd w:val="clear" w:color="auto" w:fill="auto"/>
            <w:vAlign w:val="bottom"/>
          </w:tcPr>
          <w:p w14:paraId="1F69281D" w14:textId="6E1EAF34" w:rsidR="00283604" w:rsidRPr="00CD218D" w:rsidRDefault="00283604">
            <w:pPr>
              <w:pStyle w:val="Tabletext"/>
            </w:pPr>
            <w:r w:rsidRPr="00CD218D">
              <w:t xml:space="preserve">DMT </w:t>
            </w:r>
            <w:r w:rsidR="00C91C85" w:rsidRPr="00CD218D">
              <w:t xml:space="preserve">– jurisdictions </w:t>
            </w:r>
            <w:r w:rsidRPr="00CD218D">
              <w:t xml:space="preserve">may </w:t>
            </w:r>
            <w:r w:rsidR="00C91C85" w:rsidRPr="00CD218D">
              <w:t xml:space="preserve">optionally lower the revenue threshold </w:t>
            </w:r>
          </w:p>
        </w:tc>
        <w:tc>
          <w:tcPr>
            <w:tcW w:w="1746" w:type="dxa"/>
            <w:tcBorders>
              <w:top w:val="nil"/>
              <w:left w:val="nil"/>
              <w:bottom w:val="single" w:sz="4" w:space="0" w:color="auto"/>
              <w:right w:val="single" w:sz="4" w:space="0" w:color="auto"/>
            </w:tcBorders>
            <w:shd w:val="clear" w:color="auto" w:fill="auto"/>
            <w:noWrap/>
            <w:vAlign w:val="bottom"/>
          </w:tcPr>
          <w:p w14:paraId="20349523" w14:textId="77777777" w:rsidR="00283604" w:rsidRPr="00CD218D" w:rsidRDefault="00283604">
            <w:pPr>
              <w:pStyle w:val="Tabletext"/>
            </w:pPr>
            <w:r w:rsidRPr="00CD218D">
              <w:t>118.1</w:t>
            </w:r>
          </w:p>
        </w:tc>
      </w:tr>
      <w:tr w:rsidR="00283604" w:rsidRPr="00CD218D" w14:paraId="08FE2EDC" w14:textId="77777777">
        <w:trPr>
          <w:trHeight w:val="665"/>
        </w:trPr>
        <w:tc>
          <w:tcPr>
            <w:tcW w:w="2212" w:type="dxa"/>
            <w:tcBorders>
              <w:top w:val="nil"/>
              <w:left w:val="single" w:sz="4" w:space="0" w:color="auto"/>
              <w:bottom w:val="single" w:sz="4" w:space="0" w:color="auto"/>
              <w:right w:val="single" w:sz="4" w:space="0" w:color="auto"/>
            </w:tcBorders>
            <w:shd w:val="clear" w:color="auto" w:fill="auto"/>
          </w:tcPr>
          <w:p w14:paraId="63C02E96" w14:textId="77777777" w:rsidR="00283604" w:rsidRPr="00CD218D" w:rsidRDefault="00283604">
            <w:pPr>
              <w:pStyle w:val="Tabletext"/>
            </w:pPr>
            <w:r w:rsidRPr="00CD218D">
              <w:t>2-25(1)(b) and (2)</w:t>
            </w:r>
          </w:p>
          <w:p w14:paraId="5EC82AB3" w14:textId="77777777" w:rsidR="00283604" w:rsidRPr="00CD218D" w:rsidRDefault="00283604">
            <w:pPr>
              <w:pStyle w:val="Tabletext"/>
            </w:pPr>
          </w:p>
        </w:tc>
        <w:tc>
          <w:tcPr>
            <w:tcW w:w="3743" w:type="dxa"/>
            <w:tcBorders>
              <w:top w:val="nil"/>
              <w:left w:val="nil"/>
              <w:bottom w:val="single" w:sz="4" w:space="0" w:color="auto"/>
              <w:right w:val="single" w:sz="4" w:space="0" w:color="auto"/>
            </w:tcBorders>
            <w:shd w:val="clear" w:color="auto" w:fill="auto"/>
          </w:tcPr>
          <w:p w14:paraId="401AF8AF" w14:textId="41F48FE8" w:rsidR="00283604" w:rsidRPr="00CD218D" w:rsidRDefault="00283604">
            <w:pPr>
              <w:pStyle w:val="Tabletext"/>
            </w:pPr>
            <w:r w:rsidRPr="00CD218D">
              <w:t>DMT may apply to Stateless Flow</w:t>
            </w:r>
            <w:r w:rsidR="00C24DBA" w:rsidRPr="00CD218D">
              <w:noBreakHyphen/>
              <w:t>t</w:t>
            </w:r>
            <w:r w:rsidRPr="00CD218D">
              <w:t xml:space="preserve">hrough Entities created in the DMT jurisdiction </w:t>
            </w:r>
          </w:p>
        </w:tc>
        <w:tc>
          <w:tcPr>
            <w:tcW w:w="1746" w:type="dxa"/>
            <w:tcBorders>
              <w:top w:val="nil"/>
              <w:left w:val="nil"/>
              <w:bottom w:val="single" w:sz="4" w:space="0" w:color="auto"/>
              <w:right w:val="single" w:sz="4" w:space="0" w:color="auto"/>
            </w:tcBorders>
            <w:shd w:val="clear" w:color="auto" w:fill="auto"/>
            <w:noWrap/>
          </w:tcPr>
          <w:p w14:paraId="65C31B60" w14:textId="77777777" w:rsidR="00283604" w:rsidRPr="00CD218D" w:rsidRDefault="00283604">
            <w:pPr>
              <w:pStyle w:val="Tabletext"/>
            </w:pPr>
            <w:r w:rsidRPr="00CD218D">
              <w:t>118.8.1</w:t>
            </w:r>
          </w:p>
        </w:tc>
      </w:tr>
      <w:tr w:rsidR="00283604" w:rsidRPr="00CD218D" w14:paraId="51E1C48B" w14:textId="77777777">
        <w:trPr>
          <w:trHeight w:val="665"/>
        </w:trPr>
        <w:tc>
          <w:tcPr>
            <w:tcW w:w="2212" w:type="dxa"/>
            <w:tcBorders>
              <w:top w:val="nil"/>
              <w:left w:val="single" w:sz="4" w:space="0" w:color="auto"/>
              <w:bottom w:val="single" w:sz="4" w:space="0" w:color="auto"/>
              <w:right w:val="single" w:sz="4" w:space="0" w:color="auto"/>
            </w:tcBorders>
            <w:shd w:val="clear" w:color="auto" w:fill="auto"/>
          </w:tcPr>
          <w:p w14:paraId="1A586080" w14:textId="77777777" w:rsidR="00283604" w:rsidRPr="00CD218D" w:rsidRDefault="00283604">
            <w:pPr>
              <w:pStyle w:val="Tabletext"/>
            </w:pPr>
            <w:r w:rsidRPr="00CD218D">
              <w:t>2-25(1)(b) and (2)</w:t>
            </w:r>
          </w:p>
          <w:p w14:paraId="4B7AD947" w14:textId="77777777" w:rsidR="00283604" w:rsidRPr="00CD218D" w:rsidRDefault="00283604">
            <w:pPr>
              <w:pStyle w:val="Tabletext"/>
            </w:pPr>
          </w:p>
        </w:tc>
        <w:tc>
          <w:tcPr>
            <w:tcW w:w="3743" w:type="dxa"/>
            <w:tcBorders>
              <w:top w:val="nil"/>
              <w:left w:val="nil"/>
              <w:bottom w:val="single" w:sz="4" w:space="0" w:color="auto"/>
              <w:right w:val="single" w:sz="4" w:space="0" w:color="auto"/>
            </w:tcBorders>
            <w:shd w:val="clear" w:color="auto" w:fill="auto"/>
          </w:tcPr>
          <w:p w14:paraId="42EE5D46" w14:textId="77777777" w:rsidR="00283604" w:rsidRPr="00CD218D" w:rsidRDefault="00283604">
            <w:pPr>
              <w:pStyle w:val="Tabletext"/>
            </w:pPr>
            <w:r w:rsidRPr="00CD218D">
              <w:t xml:space="preserve">DMT may apply to Stateless Permanent Establishments with a place of business or deemed place of business in the DMT jurisdiction </w:t>
            </w:r>
          </w:p>
        </w:tc>
        <w:tc>
          <w:tcPr>
            <w:tcW w:w="1746" w:type="dxa"/>
            <w:tcBorders>
              <w:top w:val="nil"/>
              <w:left w:val="nil"/>
              <w:bottom w:val="single" w:sz="4" w:space="0" w:color="auto"/>
              <w:right w:val="single" w:sz="4" w:space="0" w:color="auto"/>
            </w:tcBorders>
            <w:shd w:val="clear" w:color="auto" w:fill="auto"/>
            <w:noWrap/>
          </w:tcPr>
          <w:p w14:paraId="4D7D1029" w14:textId="77777777" w:rsidR="00283604" w:rsidRPr="00CD218D" w:rsidRDefault="00283604">
            <w:pPr>
              <w:pStyle w:val="Tabletext"/>
            </w:pPr>
            <w:r w:rsidRPr="00CD218D">
              <w:t>118.8.1</w:t>
            </w:r>
          </w:p>
        </w:tc>
      </w:tr>
      <w:tr w:rsidR="00283604" w:rsidRPr="00CD218D" w14:paraId="48AEDDC6" w14:textId="77777777">
        <w:trPr>
          <w:trHeight w:val="665"/>
        </w:trPr>
        <w:tc>
          <w:tcPr>
            <w:tcW w:w="2212" w:type="dxa"/>
            <w:tcBorders>
              <w:top w:val="nil"/>
              <w:left w:val="single" w:sz="4" w:space="0" w:color="auto"/>
              <w:bottom w:val="single" w:sz="4" w:space="0" w:color="auto"/>
              <w:right w:val="single" w:sz="4" w:space="0" w:color="auto"/>
            </w:tcBorders>
            <w:shd w:val="clear" w:color="auto" w:fill="auto"/>
          </w:tcPr>
          <w:p w14:paraId="5D3DE58E" w14:textId="46400322" w:rsidR="00283604" w:rsidRPr="00CD218D" w:rsidRDefault="00283604">
            <w:pPr>
              <w:pStyle w:val="Tabletext"/>
            </w:pPr>
            <w:r w:rsidRPr="00CD218D">
              <w:t>2-25, 2-</w:t>
            </w:r>
            <w:r w:rsidR="0005301F" w:rsidRPr="00CD218D">
              <w:t>30</w:t>
            </w:r>
            <w:r w:rsidRPr="00CD218D">
              <w:t>, 2-</w:t>
            </w:r>
            <w:r w:rsidR="0005301F" w:rsidRPr="00CD218D">
              <w:t xml:space="preserve">35 </w:t>
            </w:r>
          </w:p>
        </w:tc>
        <w:tc>
          <w:tcPr>
            <w:tcW w:w="3743" w:type="dxa"/>
            <w:tcBorders>
              <w:top w:val="nil"/>
              <w:left w:val="nil"/>
              <w:bottom w:val="single" w:sz="4" w:space="0" w:color="auto"/>
              <w:right w:val="single" w:sz="4" w:space="0" w:color="auto"/>
            </w:tcBorders>
            <w:shd w:val="clear" w:color="auto" w:fill="auto"/>
          </w:tcPr>
          <w:p w14:paraId="2A9C695B" w14:textId="77777777" w:rsidR="00283604" w:rsidRPr="00CD218D" w:rsidRDefault="00283604">
            <w:pPr>
              <w:pStyle w:val="Tabletext"/>
            </w:pPr>
            <w:r w:rsidRPr="00CD218D">
              <w:t xml:space="preserve">Charging provision for DMT </w:t>
            </w:r>
          </w:p>
        </w:tc>
        <w:tc>
          <w:tcPr>
            <w:tcW w:w="1746" w:type="dxa"/>
            <w:tcBorders>
              <w:top w:val="nil"/>
              <w:left w:val="nil"/>
              <w:bottom w:val="single" w:sz="4" w:space="0" w:color="auto"/>
              <w:right w:val="single" w:sz="4" w:space="0" w:color="auto"/>
            </w:tcBorders>
            <w:shd w:val="clear" w:color="auto" w:fill="auto"/>
            <w:noWrap/>
          </w:tcPr>
          <w:p w14:paraId="4D8289B2" w14:textId="77777777" w:rsidR="00283604" w:rsidRPr="00CD218D" w:rsidRDefault="00283604">
            <w:pPr>
              <w:pStyle w:val="Tabletext"/>
            </w:pPr>
            <w:r w:rsidRPr="00CD218D">
              <w:t>118.12</w:t>
            </w:r>
          </w:p>
          <w:p w14:paraId="23E95000" w14:textId="77777777" w:rsidR="00283604" w:rsidRPr="00CD218D" w:rsidRDefault="00283604">
            <w:pPr>
              <w:pStyle w:val="Tabletext"/>
            </w:pPr>
          </w:p>
        </w:tc>
      </w:tr>
      <w:tr w:rsidR="00283604" w:rsidRPr="00CD218D" w14:paraId="7A6F45D0" w14:textId="77777777">
        <w:trPr>
          <w:trHeight w:val="665"/>
        </w:trPr>
        <w:tc>
          <w:tcPr>
            <w:tcW w:w="2212" w:type="dxa"/>
            <w:tcBorders>
              <w:top w:val="nil"/>
              <w:left w:val="single" w:sz="4" w:space="0" w:color="auto"/>
              <w:bottom w:val="single" w:sz="4" w:space="0" w:color="auto"/>
              <w:right w:val="single" w:sz="4" w:space="0" w:color="auto"/>
            </w:tcBorders>
            <w:shd w:val="clear" w:color="auto" w:fill="auto"/>
          </w:tcPr>
          <w:p w14:paraId="777EE399" w14:textId="5E12571C" w:rsidR="00283604" w:rsidRPr="00CD218D" w:rsidRDefault="00283604">
            <w:pPr>
              <w:pStyle w:val="Tabletext"/>
            </w:pPr>
            <w:r w:rsidRPr="00CD218D">
              <w:t>2-</w:t>
            </w:r>
            <w:r w:rsidR="0005301F" w:rsidRPr="00CD218D">
              <w:t>35</w:t>
            </w:r>
            <w:r w:rsidRPr="00CD218D">
              <w:t>(3)</w:t>
            </w:r>
          </w:p>
        </w:tc>
        <w:tc>
          <w:tcPr>
            <w:tcW w:w="3743" w:type="dxa"/>
            <w:tcBorders>
              <w:top w:val="nil"/>
              <w:left w:val="nil"/>
              <w:bottom w:val="single" w:sz="4" w:space="0" w:color="auto"/>
              <w:right w:val="single" w:sz="4" w:space="0" w:color="auto"/>
            </w:tcBorders>
            <w:shd w:val="clear" w:color="auto" w:fill="auto"/>
          </w:tcPr>
          <w:p w14:paraId="59EE4949" w14:textId="77777777" w:rsidR="00283604" w:rsidRPr="00CD218D" w:rsidRDefault="00283604">
            <w:pPr>
              <w:pStyle w:val="Tabletext"/>
            </w:pPr>
            <w:r w:rsidRPr="00CD218D">
              <w:t>A DMT should exclude certain covered tax expenses with some exceptions</w:t>
            </w:r>
          </w:p>
        </w:tc>
        <w:tc>
          <w:tcPr>
            <w:tcW w:w="1746" w:type="dxa"/>
            <w:tcBorders>
              <w:top w:val="nil"/>
              <w:left w:val="nil"/>
              <w:bottom w:val="single" w:sz="4" w:space="0" w:color="auto"/>
              <w:right w:val="single" w:sz="4" w:space="0" w:color="auto"/>
            </w:tcBorders>
            <w:shd w:val="clear" w:color="auto" w:fill="auto"/>
            <w:noWrap/>
          </w:tcPr>
          <w:p w14:paraId="257E5428" w14:textId="77777777" w:rsidR="00283604" w:rsidRPr="00CD218D" w:rsidRDefault="00283604">
            <w:pPr>
              <w:pStyle w:val="Tabletext"/>
            </w:pPr>
            <w:r w:rsidRPr="00CD218D">
              <w:t>118.30</w:t>
            </w:r>
          </w:p>
        </w:tc>
      </w:tr>
      <w:tr w:rsidR="00283604" w:rsidRPr="00CD218D" w14:paraId="1C590646" w14:textId="77777777">
        <w:trPr>
          <w:trHeight w:val="665"/>
        </w:trPr>
        <w:tc>
          <w:tcPr>
            <w:tcW w:w="2212" w:type="dxa"/>
            <w:tcBorders>
              <w:top w:val="nil"/>
              <w:left w:val="single" w:sz="4" w:space="0" w:color="auto"/>
              <w:bottom w:val="single" w:sz="4" w:space="0" w:color="auto"/>
              <w:right w:val="single" w:sz="4" w:space="0" w:color="auto"/>
            </w:tcBorders>
            <w:shd w:val="clear" w:color="auto" w:fill="auto"/>
            <w:vAlign w:val="bottom"/>
          </w:tcPr>
          <w:p w14:paraId="19D6411D" w14:textId="04CB7EC0" w:rsidR="00283604" w:rsidRPr="00CD218D" w:rsidRDefault="00E406FE" w:rsidP="00C91C85">
            <w:pPr>
              <w:pStyle w:val="Tabletext"/>
              <w:ind w:left="0"/>
            </w:pPr>
            <w:r w:rsidRPr="00CD218D">
              <w:t>No equivalent</w:t>
            </w:r>
          </w:p>
        </w:tc>
        <w:tc>
          <w:tcPr>
            <w:tcW w:w="3743" w:type="dxa"/>
            <w:tcBorders>
              <w:top w:val="nil"/>
              <w:left w:val="nil"/>
              <w:bottom w:val="single" w:sz="4" w:space="0" w:color="auto"/>
              <w:right w:val="single" w:sz="4" w:space="0" w:color="auto"/>
            </w:tcBorders>
            <w:shd w:val="clear" w:color="auto" w:fill="auto"/>
            <w:vAlign w:val="bottom"/>
          </w:tcPr>
          <w:p w14:paraId="4B8CB573" w14:textId="10B4AF86" w:rsidR="00283604" w:rsidRPr="00CD218D" w:rsidRDefault="00C24DBA">
            <w:pPr>
              <w:pStyle w:val="Tabletext"/>
            </w:pPr>
            <w:r w:rsidRPr="00CD218D">
              <w:t>DMT – jurisdictions may o</w:t>
            </w:r>
            <w:r w:rsidR="00283604" w:rsidRPr="00CD218D">
              <w:t>ptional</w:t>
            </w:r>
            <w:r w:rsidRPr="00CD218D">
              <w:t>ly implement the</w:t>
            </w:r>
            <w:r w:rsidR="00283604" w:rsidRPr="00CD218D">
              <w:t xml:space="preserve"> Local Financial Accounting Standard and local currency rule </w:t>
            </w:r>
          </w:p>
        </w:tc>
        <w:tc>
          <w:tcPr>
            <w:tcW w:w="1746" w:type="dxa"/>
            <w:tcBorders>
              <w:top w:val="nil"/>
              <w:left w:val="nil"/>
              <w:bottom w:val="single" w:sz="4" w:space="0" w:color="auto"/>
              <w:right w:val="single" w:sz="4" w:space="0" w:color="auto"/>
            </w:tcBorders>
            <w:shd w:val="clear" w:color="auto" w:fill="auto"/>
            <w:noWrap/>
            <w:vAlign w:val="bottom"/>
          </w:tcPr>
          <w:p w14:paraId="7019D44A" w14:textId="77777777" w:rsidR="00283604" w:rsidRPr="00CD218D" w:rsidRDefault="00283604">
            <w:pPr>
              <w:spacing w:before="60" w:after="60"/>
              <w:ind w:left="34"/>
              <w:rPr>
                <w:rFonts w:eastAsia="Times New Roman" w:cs="Times New Roman"/>
                <w:sz w:val="20"/>
                <w:szCs w:val="20"/>
                <w:lang w:eastAsia="en-AU"/>
              </w:rPr>
            </w:pPr>
            <w:r w:rsidRPr="00CD218D">
              <w:rPr>
                <w:rFonts w:eastAsia="Times New Roman" w:cs="Times New Roman"/>
                <w:sz w:val="20"/>
                <w:szCs w:val="20"/>
                <w:lang w:eastAsia="en-AU"/>
              </w:rPr>
              <w:t>118.54</w:t>
            </w:r>
          </w:p>
          <w:p w14:paraId="29F22115" w14:textId="77777777" w:rsidR="00283604" w:rsidRPr="00CD218D" w:rsidRDefault="00283604">
            <w:pPr>
              <w:pStyle w:val="Tabletext"/>
            </w:pPr>
            <w:r w:rsidRPr="00CD218D">
              <w:t>118.14-118.15</w:t>
            </w:r>
          </w:p>
          <w:p w14:paraId="48EBE265" w14:textId="77777777" w:rsidR="00283604" w:rsidRPr="00CD218D" w:rsidRDefault="00283604">
            <w:pPr>
              <w:pStyle w:val="Tabletext"/>
              <w:ind w:left="0"/>
            </w:pPr>
          </w:p>
        </w:tc>
      </w:tr>
      <w:tr w:rsidR="00283604" w:rsidRPr="00CD218D" w14:paraId="53C9DCA8" w14:textId="77777777">
        <w:trPr>
          <w:trHeight w:val="300"/>
        </w:trPr>
        <w:tc>
          <w:tcPr>
            <w:tcW w:w="2212" w:type="dxa"/>
            <w:tcBorders>
              <w:top w:val="nil"/>
              <w:left w:val="single" w:sz="4" w:space="0" w:color="auto"/>
              <w:bottom w:val="single" w:sz="4" w:space="0" w:color="auto"/>
              <w:right w:val="single" w:sz="4" w:space="0" w:color="auto"/>
            </w:tcBorders>
            <w:shd w:val="clear" w:color="auto" w:fill="auto"/>
            <w:vAlign w:val="bottom"/>
            <w:hideMark/>
          </w:tcPr>
          <w:p w14:paraId="1E526D25" w14:textId="612DFF29" w:rsidR="00283604" w:rsidRPr="00CD218D" w:rsidRDefault="00283604">
            <w:pPr>
              <w:pStyle w:val="Tabletext"/>
            </w:pPr>
            <w:r w:rsidRPr="00CD218D">
              <w:t> 2-</w:t>
            </w:r>
            <w:r w:rsidR="001B71D6" w:rsidRPr="00CD218D">
              <w:t xml:space="preserve">45 </w:t>
            </w:r>
            <w:r w:rsidRPr="00CD218D">
              <w:t>and 2-</w:t>
            </w:r>
            <w:r w:rsidR="001B71D6" w:rsidRPr="00CD218D">
              <w:t>50</w:t>
            </w:r>
          </w:p>
        </w:tc>
        <w:tc>
          <w:tcPr>
            <w:tcW w:w="3743" w:type="dxa"/>
            <w:tcBorders>
              <w:top w:val="nil"/>
              <w:left w:val="nil"/>
              <w:bottom w:val="single" w:sz="4" w:space="0" w:color="auto"/>
              <w:right w:val="single" w:sz="4" w:space="0" w:color="auto"/>
            </w:tcBorders>
            <w:shd w:val="clear" w:color="auto" w:fill="auto"/>
            <w:vAlign w:val="bottom"/>
            <w:hideMark/>
          </w:tcPr>
          <w:p w14:paraId="5B31E361" w14:textId="77777777" w:rsidR="00283604" w:rsidRPr="00CD218D" w:rsidRDefault="00283604">
            <w:pPr>
              <w:pStyle w:val="Tabletext"/>
            </w:pPr>
            <w:r w:rsidRPr="00CD218D">
              <w:t>Constituent Entities of an MNE Group are required to make an equivalent adjustment equal to the UTPR Top-up Tax Amount</w:t>
            </w:r>
          </w:p>
        </w:tc>
        <w:tc>
          <w:tcPr>
            <w:tcW w:w="1746" w:type="dxa"/>
            <w:tcBorders>
              <w:top w:val="nil"/>
              <w:left w:val="nil"/>
              <w:bottom w:val="single" w:sz="4" w:space="0" w:color="auto"/>
              <w:right w:val="single" w:sz="4" w:space="0" w:color="auto"/>
            </w:tcBorders>
            <w:shd w:val="clear" w:color="auto" w:fill="auto"/>
            <w:noWrap/>
            <w:vAlign w:val="bottom"/>
            <w:hideMark/>
          </w:tcPr>
          <w:p w14:paraId="23ECF042" w14:textId="77777777" w:rsidR="00283604" w:rsidRPr="00CD218D" w:rsidRDefault="00283604">
            <w:pPr>
              <w:pStyle w:val="Tabletext"/>
            </w:pPr>
            <w:r w:rsidRPr="00CD218D">
              <w:t>2.4.1</w:t>
            </w:r>
          </w:p>
        </w:tc>
      </w:tr>
      <w:tr w:rsidR="00283604" w:rsidRPr="00CD218D" w14:paraId="139DFCD5" w14:textId="77777777">
        <w:trPr>
          <w:trHeight w:val="300"/>
        </w:trPr>
        <w:tc>
          <w:tcPr>
            <w:tcW w:w="2212" w:type="dxa"/>
            <w:tcBorders>
              <w:top w:val="nil"/>
              <w:left w:val="single" w:sz="4" w:space="0" w:color="auto"/>
              <w:bottom w:val="single" w:sz="4" w:space="0" w:color="auto"/>
              <w:right w:val="single" w:sz="4" w:space="0" w:color="auto"/>
            </w:tcBorders>
            <w:shd w:val="clear" w:color="auto" w:fill="auto"/>
            <w:vAlign w:val="bottom"/>
            <w:hideMark/>
          </w:tcPr>
          <w:p w14:paraId="0222FA38" w14:textId="71BAC1A5" w:rsidR="00283604" w:rsidRPr="00CD218D" w:rsidRDefault="00C91C85">
            <w:pPr>
              <w:pStyle w:val="Tabletext"/>
            </w:pPr>
            <w:r w:rsidRPr="00CD218D">
              <w:t xml:space="preserve">Not applicable </w:t>
            </w:r>
          </w:p>
        </w:tc>
        <w:tc>
          <w:tcPr>
            <w:tcW w:w="3743" w:type="dxa"/>
            <w:tcBorders>
              <w:top w:val="nil"/>
              <w:left w:val="nil"/>
              <w:bottom w:val="single" w:sz="4" w:space="0" w:color="auto"/>
              <w:right w:val="single" w:sz="4" w:space="0" w:color="auto"/>
            </w:tcBorders>
            <w:shd w:val="clear" w:color="auto" w:fill="auto"/>
            <w:vAlign w:val="bottom"/>
            <w:hideMark/>
          </w:tcPr>
          <w:p w14:paraId="12E5DA03" w14:textId="77777777" w:rsidR="00283604" w:rsidRPr="00CD218D" w:rsidRDefault="00283604">
            <w:pPr>
              <w:pStyle w:val="Tabletext"/>
            </w:pPr>
            <w:r w:rsidRPr="00CD218D">
              <w:t>Additional cash tax expense in relation to denial of deduction</w:t>
            </w:r>
          </w:p>
        </w:tc>
        <w:tc>
          <w:tcPr>
            <w:tcW w:w="1746" w:type="dxa"/>
            <w:tcBorders>
              <w:top w:val="nil"/>
              <w:left w:val="nil"/>
              <w:bottom w:val="single" w:sz="4" w:space="0" w:color="auto"/>
              <w:right w:val="single" w:sz="4" w:space="0" w:color="auto"/>
            </w:tcBorders>
            <w:shd w:val="clear" w:color="auto" w:fill="auto"/>
            <w:noWrap/>
            <w:vAlign w:val="bottom"/>
            <w:hideMark/>
          </w:tcPr>
          <w:p w14:paraId="16E96A41" w14:textId="77777777" w:rsidR="00283604" w:rsidRPr="00CD218D" w:rsidRDefault="00283604">
            <w:pPr>
              <w:pStyle w:val="Tabletext"/>
            </w:pPr>
            <w:r w:rsidRPr="00CD218D">
              <w:t>2.4.2</w:t>
            </w:r>
          </w:p>
        </w:tc>
      </w:tr>
      <w:tr w:rsidR="00283604" w:rsidRPr="00CD218D" w14:paraId="25236372" w14:textId="77777777">
        <w:trPr>
          <w:trHeight w:val="300"/>
        </w:trPr>
        <w:tc>
          <w:tcPr>
            <w:tcW w:w="2212" w:type="dxa"/>
            <w:tcBorders>
              <w:top w:val="nil"/>
              <w:left w:val="single" w:sz="4" w:space="0" w:color="auto"/>
              <w:bottom w:val="single" w:sz="4" w:space="0" w:color="auto"/>
              <w:right w:val="single" w:sz="4" w:space="0" w:color="auto"/>
            </w:tcBorders>
            <w:shd w:val="clear" w:color="auto" w:fill="auto"/>
            <w:vAlign w:val="bottom"/>
            <w:hideMark/>
          </w:tcPr>
          <w:p w14:paraId="2EF93A37" w14:textId="7FEDEAA5" w:rsidR="00283604" w:rsidRPr="00CD218D" w:rsidRDefault="00283604">
            <w:pPr>
              <w:pStyle w:val="Tabletext"/>
            </w:pPr>
            <w:r w:rsidRPr="00CD218D">
              <w:t> 2-</w:t>
            </w:r>
            <w:r w:rsidR="001B71D6" w:rsidRPr="00CD218D">
              <w:t>45</w:t>
            </w:r>
            <w:r w:rsidRPr="00CD218D">
              <w:t>(6)</w:t>
            </w:r>
          </w:p>
        </w:tc>
        <w:tc>
          <w:tcPr>
            <w:tcW w:w="3743" w:type="dxa"/>
            <w:tcBorders>
              <w:top w:val="nil"/>
              <w:left w:val="nil"/>
              <w:bottom w:val="single" w:sz="4" w:space="0" w:color="auto"/>
              <w:right w:val="single" w:sz="4" w:space="0" w:color="auto"/>
            </w:tcBorders>
            <w:shd w:val="clear" w:color="auto" w:fill="auto"/>
            <w:vAlign w:val="bottom"/>
            <w:hideMark/>
          </w:tcPr>
          <w:p w14:paraId="2A3B2AB8" w14:textId="77777777" w:rsidR="00283604" w:rsidRPr="00CD218D" w:rsidRDefault="00283604">
            <w:pPr>
              <w:pStyle w:val="Tabletext"/>
            </w:pPr>
            <w:r w:rsidRPr="00CD218D">
              <w:t>The Constituent Entity does not have an UTPR Top up Tax Amount for the Fiscal Year if it is an Investment Entity or Insurance Investment Entity</w:t>
            </w:r>
          </w:p>
        </w:tc>
        <w:tc>
          <w:tcPr>
            <w:tcW w:w="1746" w:type="dxa"/>
            <w:tcBorders>
              <w:top w:val="nil"/>
              <w:left w:val="nil"/>
              <w:bottom w:val="single" w:sz="4" w:space="0" w:color="auto"/>
              <w:right w:val="single" w:sz="4" w:space="0" w:color="auto"/>
            </w:tcBorders>
            <w:shd w:val="clear" w:color="auto" w:fill="auto"/>
            <w:noWrap/>
            <w:vAlign w:val="bottom"/>
            <w:hideMark/>
          </w:tcPr>
          <w:p w14:paraId="3AE2AD69" w14:textId="77777777" w:rsidR="00283604" w:rsidRPr="00CD218D" w:rsidRDefault="00283604">
            <w:pPr>
              <w:pStyle w:val="Tabletext"/>
            </w:pPr>
            <w:r w:rsidRPr="00CD218D">
              <w:t>2.4.3</w:t>
            </w:r>
          </w:p>
        </w:tc>
      </w:tr>
      <w:tr w:rsidR="00283604" w:rsidRPr="00CD218D" w14:paraId="34A7BF9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9AADF22" w14:textId="77777777" w:rsidR="00283604" w:rsidRPr="00CD218D" w:rsidRDefault="00283604">
            <w:pPr>
              <w:pStyle w:val="Tabletext"/>
              <w:rPr>
                <w:b/>
              </w:rPr>
            </w:pPr>
            <w:r w:rsidRPr="00CD218D">
              <w:t> </w:t>
            </w:r>
            <w:r w:rsidRPr="00CD218D">
              <w:rPr>
                <w:b/>
                <w:bCs/>
              </w:rPr>
              <w:t>Part 2-5</w:t>
            </w:r>
          </w:p>
        </w:tc>
        <w:tc>
          <w:tcPr>
            <w:tcW w:w="3743" w:type="dxa"/>
            <w:tcBorders>
              <w:top w:val="nil"/>
              <w:left w:val="nil"/>
              <w:bottom w:val="single" w:sz="4" w:space="0" w:color="auto"/>
              <w:right w:val="single" w:sz="4" w:space="0" w:color="auto"/>
            </w:tcBorders>
            <w:shd w:val="clear" w:color="auto" w:fill="auto"/>
            <w:vAlign w:val="bottom"/>
            <w:hideMark/>
          </w:tcPr>
          <w:p w14:paraId="0B3F0993" w14:textId="77777777" w:rsidR="00283604" w:rsidRPr="00CD218D" w:rsidRDefault="00283604">
            <w:pPr>
              <w:pStyle w:val="Tabletext"/>
              <w:rPr>
                <w:b/>
                <w:bCs/>
              </w:rPr>
            </w:pPr>
            <w:r w:rsidRPr="00CD218D">
              <w:rPr>
                <w:b/>
                <w:bCs/>
              </w:rPr>
              <w:t>UTPR Top-up Tax Amount</w:t>
            </w:r>
          </w:p>
        </w:tc>
        <w:tc>
          <w:tcPr>
            <w:tcW w:w="1746" w:type="dxa"/>
            <w:tcBorders>
              <w:top w:val="nil"/>
              <w:left w:val="nil"/>
              <w:bottom w:val="single" w:sz="4" w:space="0" w:color="auto"/>
              <w:right w:val="single" w:sz="4" w:space="0" w:color="auto"/>
            </w:tcBorders>
            <w:shd w:val="clear" w:color="auto" w:fill="auto"/>
            <w:noWrap/>
            <w:vAlign w:val="bottom"/>
            <w:hideMark/>
          </w:tcPr>
          <w:p w14:paraId="0C5F074D" w14:textId="77777777" w:rsidR="00283604" w:rsidRPr="00CD218D" w:rsidRDefault="00283604">
            <w:pPr>
              <w:pStyle w:val="Tabletext"/>
              <w:rPr>
                <w:b/>
                <w:bCs/>
              </w:rPr>
            </w:pPr>
            <w:r w:rsidRPr="00CD218D">
              <w:rPr>
                <w:b/>
                <w:bCs/>
              </w:rPr>
              <w:t>2.5</w:t>
            </w:r>
          </w:p>
        </w:tc>
      </w:tr>
      <w:tr w:rsidR="00283604" w:rsidRPr="00CD218D" w14:paraId="20B1F40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26E84B6" w14:textId="77777777" w:rsidR="00283604" w:rsidRPr="00CD218D" w:rsidRDefault="00283604">
            <w:pPr>
              <w:pStyle w:val="Tabletext"/>
            </w:pPr>
            <w:r w:rsidRPr="00CD218D">
              <w:t> 2-55(1)</w:t>
            </w:r>
          </w:p>
        </w:tc>
        <w:tc>
          <w:tcPr>
            <w:tcW w:w="3743" w:type="dxa"/>
            <w:tcBorders>
              <w:top w:val="nil"/>
              <w:left w:val="nil"/>
              <w:bottom w:val="single" w:sz="4" w:space="0" w:color="auto"/>
              <w:right w:val="single" w:sz="4" w:space="0" w:color="auto"/>
            </w:tcBorders>
            <w:shd w:val="clear" w:color="auto" w:fill="auto"/>
            <w:vAlign w:val="bottom"/>
            <w:hideMark/>
          </w:tcPr>
          <w:p w14:paraId="04E60713" w14:textId="77777777" w:rsidR="00283604" w:rsidRPr="00CD218D" w:rsidRDefault="00283604">
            <w:pPr>
              <w:pStyle w:val="Tabletext"/>
            </w:pPr>
            <w:r w:rsidRPr="00CD218D">
              <w:t>The Total UTPR Top-up Tax Amount for a Fiscal Year is the sum of the Top-up Tax for each LTCE, as calculated in Article 5.2, subject to adjustments</w:t>
            </w:r>
          </w:p>
        </w:tc>
        <w:tc>
          <w:tcPr>
            <w:tcW w:w="1746" w:type="dxa"/>
            <w:tcBorders>
              <w:top w:val="nil"/>
              <w:left w:val="nil"/>
              <w:bottom w:val="single" w:sz="4" w:space="0" w:color="auto"/>
              <w:right w:val="single" w:sz="4" w:space="0" w:color="auto"/>
            </w:tcBorders>
            <w:shd w:val="clear" w:color="auto" w:fill="auto"/>
            <w:noWrap/>
            <w:vAlign w:val="bottom"/>
            <w:hideMark/>
          </w:tcPr>
          <w:p w14:paraId="07AA05EC" w14:textId="77777777" w:rsidR="00283604" w:rsidRPr="00CD218D" w:rsidRDefault="00283604">
            <w:pPr>
              <w:pStyle w:val="Tabletext"/>
            </w:pPr>
            <w:r w:rsidRPr="00CD218D">
              <w:t>2.5.1</w:t>
            </w:r>
          </w:p>
        </w:tc>
      </w:tr>
      <w:tr w:rsidR="00283604" w:rsidRPr="00CD218D" w14:paraId="7ED9F09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5EC2482" w14:textId="77777777" w:rsidR="00283604" w:rsidRPr="00CD218D" w:rsidRDefault="00283604">
            <w:pPr>
              <w:pStyle w:val="Tabletext"/>
            </w:pPr>
            <w:r w:rsidRPr="00CD218D">
              <w:t> 2-55(2)</w:t>
            </w:r>
          </w:p>
        </w:tc>
        <w:tc>
          <w:tcPr>
            <w:tcW w:w="3743" w:type="dxa"/>
            <w:tcBorders>
              <w:top w:val="nil"/>
              <w:left w:val="nil"/>
              <w:bottom w:val="single" w:sz="4" w:space="0" w:color="auto"/>
              <w:right w:val="single" w:sz="4" w:space="0" w:color="auto"/>
            </w:tcBorders>
            <w:shd w:val="clear" w:color="auto" w:fill="auto"/>
            <w:vAlign w:val="bottom"/>
            <w:hideMark/>
          </w:tcPr>
          <w:p w14:paraId="2F417940" w14:textId="77777777" w:rsidR="00283604" w:rsidRPr="00CD218D" w:rsidRDefault="00283604">
            <w:pPr>
              <w:pStyle w:val="Tabletext"/>
            </w:pPr>
            <w:r w:rsidRPr="00CD218D">
              <w:t>The Top-up Tax for a LTCE in Article 2.5 of the Rules is reduced to zero if the UPE’s Ownership Interest is held by one or more Parent Entities applying a Qualified IIR in their jurisdiction for the Fiscal Year</w:t>
            </w:r>
          </w:p>
        </w:tc>
        <w:tc>
          <w:tcPr>
            <w:tcW w:w="1746" w:type="dxa"/>
            <w:tcBorders>
              <w:top w:val="nil"/>
              <w:left w:val="nil"/>
              <w:bottom w:val="single" w:sz="4" w:space="0" w:color="auto"/>
              <w:right w:val="single" w:sz="4" w:space="0" w:color="auto"/>
            </w:tcBorders>
            <w:shd w:val="clear" w:color="auto" w:fill="auto"/>
            <w:noWrap/>
            <w:vAlign w:val="bottom"/>
            <w:hideMark/>
          </w:tcPr>
          <w:p w14:paraId="7DD566E9" w14:textId="77777777" w:rsidR="00283604" w:rsidRPr="00CD218D" w:rsidRDefault="00283604">
            <w:pPr>
              <w:pStyle w:val="Tabletext"/>
            </w:pPr>
            <w:r w:rsidRPr="00CD218D">
              <w:t>2.5.2</w:t>
            </w:r>
          </w:p>
        </w:tc>
      </w:tr>
      <w:tr w:rsidR="00283604" w:rsidRPr="00CD218D" w14:paraId="5B7DF65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9F03CCF" w14:textId="77777777" w:rsidR="00283604" w:rsidRPr="00CD218D" w:rsidRDefault="00283604">
            <w:pPr>
              <w:pStyle w:val="Tabletext"/>
            </w:pPr>
            <w:r w:rsidRPr="00CD218D">
              <w:t> 2-55(4)</w:t>
            </w:r>
          </w:p>
        </w:tc>
        <w:tc>
          <w:tcPr>
            <w:tcW w:w="3743" w:type="dxa"/>
            <w:tcBorders>
              <w:top w:val="nil"/>
              <w:left w:val="nil"/>
              <w:bottom w:val="single" w:sz="4" w:space="0" w:color="auto"/>
              <w:right w:val="single" w:sz="4" w:space="0" w:color="auto"/>
            </w:tcBorders>
            <w:shd w:val="clear" w:color="auto" w:fill="auto"/>
            <w:vAlign w:val="bottom"/>
            <w:hideMark/>
          </w:tcPr>
          <w:p w14:paraId="60598439" w14:textId="77777777" w:rsidR="00283604" w:rsidRPr="00CD218D" w:rsidRDefault="00283604">
            <w:pPr>
              <w:pStyle w:val="Tabletext"/>
            </w:pPr>
            <w:r w:rsidRPr="00CD218D">
              <w:t>Top-up Tax is reduced by a Parent Entity’s Allocable Share of the Top-up Tax brought into charge under a Qualified IIR</w:t>
            </w:r>
          </w:p>
        </w:tc>
        <w:tc>
          <w:tcPr>
            <w:tcW w:w="1746" w:type="dxa"/>
            <w:tcBorders>
              <w:top w:val="nil"/>
              <w:left w:val="nil"/>
              <w:bottom w:val="single" w:sz="4" w:space="0" w:color="auto"/>
              <w:right w:val="single" w:sz="4" w:space="0" w:color="auto"/>
            </w:tcBorders>
            <w:shd w:val="clear" w:color="auto" w:fill="auto"/>
            <w:noWrap/>
            <w:vAlign w:val="bottom"/>
            <w:hideMark/>
          </w:tcPr>
          <w:p w14:paraId="6532734B" w14:textId="77777777" w:rsidR="00283604" w:rsidRPr="00CD218D" w:rsidRDefault="00283604">
            <w:pPr>
              <w:pStyle w:val="Tabletext"/>
            </w:pPr>
            <w:r w:rsidRPr="00CD218D">
              <w:t>2.5.3</w:t>
            </w:r>
          </w:p>
        </w:tc>
      </w:tr>
      <w:tr w:rsidR="00283604" w:rsidRPr="00CD218D" w14:paraId="37C20C3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A6119C4" w14:textId="77777777" w:rsidR="00283604" w:rsidRPr="00CD218D" w:rsidRDefault="00283604">
            <w:pPr>
              <w:pStyle w:val="Tabletext"/>
              <w:rPr>
                <w:b/>
              </w:rPr>
            </w:pPr>
            <w:r w:rsidRPr="00CD218D">
              <w:t> </w:t>
            </w:r>
            <w:r w:rsidRPr="00CD218D">
              <w:rPr>
                <w:b/>
                <w:bCs/>
              </w:rPr>
              <w:t>Part 2-6</w:t>
            </w:r>
          </w:p>
        </w:tc>
        <w:tc>
          <w:tcPr>
            <w:tcW w:w="3743" w:type="dxa"/>
            <w:tcBorders>
              <w:top w:val="nil"/>
              <w:left w:val="nil"/>
              <w:bottom w:val="single" w:sz="4" w:space="0" w:color="auto"/>
              <w:right w:val="single" w:sz="4" w:space="0" w:color="auto"/>
            </w:tcBorders>
            <w:shd w:val="clear" w:color="auto" w:fill="auto"/>
            <w:vAlign w:val="bottom"/>
            <w:hideMark/>
          </w:tcPr>
          <w:p w14:paraId="4A262EB9" w14:textId="661F27A4" w:rsidR="00283604" w:rsidRPr="00CD218D" w:rsidRDefault="00283604">
            <w:pPr>
              <w:pStyle w:val="Tabletext"/>
              <w:rPr>
                <w:b/>
                <w:bCs/>
              </w:rPr>
            </w:pPr>
            <w:r w:rsidRPr="00CD218D">
              <w:rPr>
                <w:b/>
                <w:bCs/>
              </w:rPr>
              <w:t xml:space="preserve">Allocation of </w:t>
            </w:r>
            <w:r w:rsidR="00E44E87">
              <w:rPr>
                <w:b/>
                <w:bCs/>
              </w:rPr>
              <w:t>Top-up Tax</w:t>
            </w:r>
            <w:r w:rsidRPr="00CD218D">
              <w:rPr>
                <w:b/>
                <w:bCs/>
              </w:rPr>
              <w:t xml:space="preserve"> for the UTPR</w:t>
            </w:r>
          </w:p>
        </w:tc>
        <w:tc>
          <w:tcPr>
            <w:tcW w:w="1746" w:type="dxa"/>
            <w:tcBorders>
              <w:top w:val="nil"/>
              <w:left w:val="nil"/>
              <w:bottom w:val="single" w:sz="4" w:space="0" w:color="auto"/>
              <w:right w:val="single" w:sz="4" w:space="0" w:color="auto"/>
            </w:tcBorders>
            <w:shd w:val="clear" w:color="auto" w:fill="auto"/>
            <w:noWrap/>
            <w:vAlign w:val="bottom"/>
            <w:hideMark/>
          </w:tcPr>
          <w:p w14:paraId="35DB43BA" w14:textId="77777777" w:rsidR="00283604" w:rsidRPr="00CD218D" w:rsidRDefault="00283604">
            <w:pPr>
              <w:pStyle w:val="Tabletext"/>
              <w:rPr>
                <w:b/>
                <w:bCs/>
              </w:rPr>
            </w:pPr>
            <w:r w:rsidRPr="00CD218D">
              <w:rPr>
                <w:b/>
                <w:bCs/>
              </w:rPr>
              <w:t>2.6</w:t>
            </w:r>
          </w:p>
        </w:tc>
      </w:tr>
      <w:tr w:rsidR="00283604" w:rsidRPr="00CD218D" w14:paraId="60CED6C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A5B650F" w14:textId="256DDC43" w:rsidR="00283604" w:rsidRPr="00CD218D" w:rsidRDefault="00283604">
            <w:pPr>
              <w:pStyle w:val="Tabletext"/>
            </w:pPr>
            <w:r w:rsidRPr="00CD218D">
              <w:lastRenderedPageBreak/>
              <w:t>2-</w:t>
            </w:r>
            <w:r w:rsidR="002D0096" w:rsidRPr="00CD218D">
              <w:t>60</w:t>
            </w:r>
            <w:r w:rsidRPr="00CD218D">
              <w:t>, 2-</w:t>
            </w:r>
            <w:r w:rsidR="002D0096" w:rsidRPr="00CD218D">
              <w:t>65</w:t>
            </w:r>
            <w:r w:rsidRPr="00CD218D">
              <w:t>(1)-(2), 2-</w:t>
            </w:r>
            <w:r w:rsidR="000F7C90" w:rsidRPr="00CD218D">
              <w:t>70</w:t>
            </w:r>
            <w:r w:rsidRPr="00CD218D">
              <w:t>, 2-</w:t>
            </w:r>
            <w:r w:rsidR="000F7C90" w:rsidRPr="00CD218D">
              <w:t>75</w:t>
            </w:r>
            <w:r w:rsidRPr="00CD218D">
              <w:t>, 2-</w:t>
            </w:r>
            <w:r w:rsidR="000F7C90" w:rsidRPr="00CD218D">
              <w:t>85 </w:t>
            </w:r>
            <w:r w:rsidRPr="00CD218D">
              <w:t>2-</w:t>
            </w:r>
            <w:r w:rsidR="000F7C90" w:rsidRPr="00CD218D">
              <w:t xml:space="preserve">60 </w:t>
            </w:r>
            <w:r w:rsidRPr="00CD218D">
              <w:t>and 2-</w:t>
            </w:r>
            <w:r w:rsidR="000F7C90" w:rsidRPr="00CD218D">
              <w:t>65</w:t>
            </w:r>
          </w:p>
        </w:tc>
        <w:tc>
          <w:tcPr>
            <w:tcW w:w="3743" w:type="dxa"/>
            <w:tcBorders>
              <w:top w:val="nil"/>
              <w:left w:val="nil"/>
              <w:bottom w:val="single" w:sz="4" w:space="0" w:color="auto"/>
              <w:right w:val="single" w:sz="4" w:space="0" w:color="auto"/>
            </w:tcBorders>
            <w:shd w:val="clear" w:color="auto" w:fill="auto"/>
            <w:vAlign w:val="bottom"/>
            <w:hideMark/>
          </w:tcPr>
          <w:p w14:paraId="0F40CA71" w14:textId="211735E2" w:rsidR="00283604" w:rsidRPr="00CD218D" w:rsidRDefault="00283604">
            <w:pPr>
              <w:pStyle w:val="Tabletext"/>
            </w:pPr>
            <w:r w:rsidRPr="00CD218D">
              <w:t>Allocation of the Total UTPR Top up tax Amount to Australia by Australia’s UTPR Percentage</w:t>
            </w:r>
          </w:p>
        </w:tc>
        <w:tc>
          <w:tcPr>
            <w:tcW w:w="1746" w:type="dxa"/>
            <w:tcBorders>
              <w:top w:val="nil"/>
              <w:left w:val="nil"/>
              <w:bottom w:val="single" w:sz="4" w:space="0" w:color="auto"/>
              <w:right w:val="single" w:sz="4" w:space="0" w:color="auto"/>
            </w:tcBorders>
            <w:shd w:val="clear" w:color="auto" w:fill="auto"/>
            <w:noWrap/>
            <w:vAlign w:val="bottom"/>
            <w:hideMark/>
          </w:tcPr>
          <w:p w14:paraId="43A30A4C" w14:textId="77777777" w:rsidR="00283604" w:rsidRPr="00CD218D" w:rsidRDefault="00283604">
            <w:pPr>
              <w:pStyle w:val="Tabletext"/>
            </w:pPr>
            <w:r w:rsidRPr="00CD218D">
              <w:t>2.6.1</w:t>
            </w:r>
          </w:p>
        </w:tc>
      </w:tr>
      <w:tr w:rsidR="00283604" w:rsidRPr="00CD218D" w14:paraId="542149A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A119F73" w14:textId="4521D884" w:rsidR="00283604" w:rsidRPr="00CD218D" w:rsidRDefault="00283604">
            <w:pPr>
              <w:pStyle w:val="Tabletext"/>
              <w:ind w:left="0"/>
            </w:pPr>
            <w:r w:rsidRPr="00CD218D">
              <w:t> 2-</w:t>
            </w:r>
            <w:r w:rsidR="002D0096" w:rsidRPr="00CD218D">
              <w:t>65</w:t>
            </w:r>
            <w:r w:rsidRPr="00CD218D">
              <w:t>(2) and (3)</w:t>
            </w:r>
          </w:p>
        </w:tc>
        <w:tc>
          <w:tcPr>
            <w:tcW w:w="3743" w:type="dxa"/>
            <w:tcBorders>
              <w:top w:val="nil"/>
              <w:left w:val="nil"/>
              <w:bottom w:val="single" w:sz="4" w:space="0" w:color="auto"/>
              <w:right w:val="single" w:sz="4" w:space="0" w:color="auto"/>
            </w:tcBorders>
            <w:shd w:val="clear" w:color="auto" w:fill="auto"/>
            <w:vAlign w:val="bottom"/>
            <w:hideMark/>
          </w:tcPr>
          <w:p w14:paraId="111EE9DA" w14:textId="209EFABA" w:rsidR="00283604" w:rsidRPr="00CD218D" w:rsidRDefault="00283604">
            <w:pPr>
              <w:pStyle w:val="Tabletext"/>
            </w:pPr>
            <w:r w:rsidRPr="00CD218D">
              <w:t>Where the UTPR Percentage is deemed to zero</w:t>
            </w:r>
          </w:p>
        </w:tc>
        <w:tc>
          <w:tcPr>
            <w:tcW w:w="1746" w:type="dxa"/>
            <w:tcBorders>
              <w:top w:val="nil"/>
              <w:left w:val="nil"/>
              <w:bottom w:val="single" w:sz="4" w:space="0" w:color="auto"/>
              <w:right w:val="single" w:sz="4" w:space="0" w:color="auto"/>
            </w:tcBorders>
            <w:shd w:val="clear" w:color="auto" w:fill="auto"/>
            <w:noWrap/>
            <w:vAlign w:val="bottom"/>
            <w:hideMark/>
          </w:tcPr>
          <w:p w14:paraId="69FE1966" w14:textId="77777777" w:rsidR="00283604" w:rsidRPr="00CD218D" w:rsidRDefault="00283604">
            <w:pPr>
              <w:pStyle w:val="Tabletext"/>
            </w:pPr>
            <w:r w:rsidRPr="00CD218D">
              <w:t>2.6.3</w:t>
            </w:r>
          </w:p>
        </w:tc>
      </w:tr>
      <w:tr w:rsidR="00283604" w:rsidRPr="00CD218D" w14:paraId="36F7761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C135F37" w14:textId="29726E79" w:rsidR="00283604" w:rsidRPr="00CD218D" w:rsidRDefault="00283604">
            <w:pPr>
              <w:pStyle w:val="Tabletext"/>
            </w:pPr>
            <w:r w:rsidRPr="00CD218D">
              <w:t>2-</w:t>
            </w:r>
            <w:r w:rsidR="002D0096" w:rsidRPr="00CD218D">
              <w:t>65</w:t>
            </w:r>
            <w:r w:rsidRPr="00CD218D">
              <w:t>(4)</w:t>
            </w:r>
          </w:p>
        </w:tc>
        <w:tc>
          <w:tcPr>
            <w:tcW w:w="3743" w:type="dxa"/>
            <w:tcBorders>
              <w:top w:val="nil"/>
              <w:left w:val="nil"/>
              <w:bottom w:val="single" w:sz="4" w:space="0" w:color="auto"/>
              <w:right w:val="single" w:sz="4" w:space="0" w:color="auto"/>
            </w:tcBorders>
            <w:shd w:val="clear" w:color="auto" w:fill="auto"/>
            <w:vAlign w:val="bottom"/>
            <w:hideMark/>
          </w:tcPr>
          <w:p w14:paraId="2E3888C3" w14:textId="511E45F6" w:rsidR="00283604" w:rsidRPr="00CD218D" w:rsidRDefault="00283604">
            <w:pPr>
              <w:pStyle w:val="Tabletext"/>
            </w:pPr>
            <w:r w:rsidRPr="00CD218D">
              <w:t>When Art 2.6.3 does not apply</w:t>
            </w:r>
          </w:p>
        </w:tc>
        <w:tc>
          <w:tcPr>
            <w:tcW w:w="1746" w:type="dxa"/>
            <w:tcBorders>
              <w:top w:val="nil"/>
              <w:left w:val="nil"/>
              <w:bottom w:val="single" w:sz="4" w:space="0" w:color="auto"/>
              <w:right w:val="single" w:sz="4" w:space="0" w:color="auto"/>
            </w:tcBorders>
            <w:shd w:val="clear" w:color="auto" w:fill="auto"/>
            <w:noWrap/>
            <w:vAlign w:val="bottom"/>
            <w:hideMark/>
          </w:tcPr>
          <w:p w14:paraId="49E37B21" w14:textId="77777777" w:rsidR="00283604" w:rsidRPr="00CD218D" w:rsidRDefault="00283604">
            <w:pPr>
              <w:pStyle w:val="Tabletext"/>
            </w:pPr>
            <w:r w:rsidRPr="00CD218D">
              <w:t>2.6.4</w:t>
            </w:r>
          </w:p>
        </w:tc>
      </w:tr>
      <w:tr w:rsidR="00283604" w:rsidRPr="00CD218D" w14:paraId="15B5E18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E7AD0D6" w14:textId="602F85F9" w:rsidR="00283604" w:rsidRPr="00CD218D" w:rsidRDefault="00283604">
            <w:pPr>
              <w:pStyle w:val="Tabletext"/>
            </w:pPr>
            <w:r w:rsidRPr="00CD218D">
              <w:t>2-</w:t>
            </w:r>
            <w:r w:rsidR="002D0096" w:rsidRPr="00CD218D">
              <w:t xml:space="preserve">85 </w:t>
            </w:r>
          </w:p>
        </w:tc>
        <w:tc>
          <w:tcPr>
            <w:tcW w:w="3743" w:type="dxa"/>
            <w:tcBorders>
              <w:top w:val="nil"/>
              <w:left w:val="nil"/>
              <w:bottom w:val="single" w:sz="4" w:space="0" w:color="auto"/>
              <w:right w:val="single" w:sz="4" w:space="0" w:color="auto"/>
            </w:tcBorders>
            <w:shd w:val="clear" w:color="auto" w:fill="auto"/>
            <w:vAlign w:val="bottom"/>
          </w:tcPr>
          <w:p w14:paraId="58AA7237" w14:textId="1041AAC8" w:rsidR="00283604" w:rsidRPr="00CD218D" w:rsidRDefault="00283604">
            <w:pPr>
              <w:pStyle w:val="Tabletext"/>
            </w:pPr>
            <w:r w:rsidRPr="00CD218D">
              <w:t>Allocation disregarding Investment Entities</w:t>
            </w:r>
          </w:p>
        </w:tc>
        <w:tc>
          <w:tcPr>
            <w:tcW w:w="1746" w:type="dxa"/>
            <w:tcBorders>
              <w:top w:val="nil"/>
              <w:left w:val="nil"/>
              <w:bottom w:val="single" w:sz="4" w:space="0" w:color="auto"/>
              <w:right w:val="single" w:sz="4" w:space="0" w:color="auto"/>
            </w:tcBorders>
            <w:shd w:val="clear" w:color="auto" w:fill="auto"/>
            <w:noWrap/>
            <w:vAlign w:val="bottom"/>
          </w:tcPr>
          <w:p w14:paraId="1DEC84F8" w14:textId="77777777" w:rsidR="00283604" w:rsidRPr="00CD218D" w:rsidRDefault="00283604">
            <w:pPr>
              <w:pStyle w:val="Tabletext"/>
            </w:pPr>
            <w:r w:rsidRPr="00CD218D">
              <w:t>2.6.2(a)</w:t>
            </w:r>
          </w:p>
        </w:tc>
      </w:tr>
      <w:tr w:rsidR="00283604" w:rsidRPr="00CD218D" w14:paraId="302F163B"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7D99E429" w14:textId="4CF9621A" w:rsidR="00283604" w:rsidRPr="00CD218D" w:rsidRDefault="00283604">
            <w:pPr>
              <w:pStyle w:val="Tabletext"/>
            </w:pPr>
            <w:r w:rsidRPr="00CD218D">
              <w:t>2-</w:t>
            </w:r>
            <w:r w:rsidR="002D0096" w:rsidRPr="00CD218D">
              <w:t xml:space="preserve">90 </w:t>
            </w:r>
            <w:r w:rsidRPr="00CD218D">
              <w:t>and 2-</w:t>
            </w:r>
            <w:r w:rsidR="002D0096" w:rsidRPr="00CD218D">
              <w:t>95</w:t>
            </w:r>
          </w:p>
        </w:tc>
        <w:tc>
          <w:tcPr>
            <w:tcW w:w="3743" w:type="dxa"/>
            <w:tcBorders>
              <w:top w:val="nil"/>
              <w:left w:val="nil"/>
              <w:bottom w:val="single" w:sz="4" w:space="0" w:color="auto"/>
              <w:right w:val="single" w:sz="4" w:space="0" w:color="auto"/>
            </w:tcBorders>
            <w:shd w:val="clear" w:color="auto" w:fill="auto"/>
            <w:vAlign w:val="bottom"/>
          </w:tcPr>
          <w:p w14:paraId="13D2FD39" w14:textId="3CF9EFAF" w:rsidR="00283604" w:rsidRPr="00CD218D" w:rsidRDefault="00283604">
            <w:pPr>
              <w:pStyle w:val="Tabletext"/>
            </w:pPr>
            <w:r w:rsidRPr="00CD218D">
              <w:t>Employees and assets held by a Flow</w:t>
            </w:r>
            <w:r w:rsidR="00CD218D">
              <w:noBreakHyphen/>
            </w:r>
            <w:r w:rsidRPr="00CD218D">
              <w:t>through Entity</w:t>
            </w:r>
          </w:p>
        </w:tc>
        <w:tc>
          <w:tcPr>
            <w:tcW w:w="1746" w:type="dxa"/>
            <w:tcBorders>
              <w:top w:val="nil"/>
              <w:left w:val="nil"/>
              <w:bottom w:val="single" w:sz="4" w:space="0" w:color="auto"/>
              <w:right w:val="single" w:sz="4" w:space="0" w:color="auto"/>
            </w:tcBorders>
            <w:shd w:val="clear" w:color="auto" w:fill="auto"/>
            <w:noWrap/>
            <w:vAlign w:val="bottom"/>
          </w:tcPr>
          <w:p w14:paraId="20491ECB" w14:textId="77777777" w:rsidR="00283604" w:rsidRPr="00CD218D" w:rsidRDefault="00283604">
            <w:pPr>
              <w:pStyle w:val="Tabletext"/>
            </w:pPr>
            <w:r w:rsidRPr="00CD218D">
              <w:t>2.6.2(b)</w:t>
            </w:r>
          </w:p>
        </w:tc>
      </w:tr>
      <w:tr w:rsidR="00283604" w:rsidRPr="00CD218D" w14:paraId="2C91A0CF" w14:textId="77777777">
        <w:trPr>
          <w:trHeight w:val="300"/>
        </w:trPr>
        <w:tc>
          <w:tcPr>
            <w:tcW w:w="7701" w:type="dxa"/>
            <w:gridSpan w:val="3"/>
            <w:tcBorders>
              <w:top w:val="nil"/>
              <w:left w:val="single" w:sz="4" w:space="0" w:color="auto"/>
              <w:bottom w:val="single" w:sz="4" w:space="0" w:color="auto"/>
              <w:right w:val="single" w:sz="4" w:space="0" w:color="auto"/>
            </w:tcBorders>
            <w:shd w:val="clear" w:color="auto" w:fill="auto"/>
            <w:noWrap/>
            <w:vAlign w:val="bottom"/>
          </w:tcPr>
          <w:p w14:paraId="1974B006" w14:textId="77777777" w:rsidR="00283604" w:rsidRPr="00CD218D" w:rsidRDefault="00283604" w:rsidP="00283604">
            <w:pPr>
              <w:pStyle w:val="Tableheaderrowtext"/>
              <w:numPr>
                <w:ilvl w:val="3"/>
                <w:numId w:val="2"/>
              </w:numPr>
            </w:pPr>
            <w:r w:rsidRPr="00CD218D">
              <w:t xml:space="preserve">Chapter 3 - </w:t>
            </w:r>
            <w:r w:rsidRPr="00CD218D">
              <w:rPr>
                <w:rStyle w:val="CharChapText"/>
              </w:rPr>
              <w:t>Computation of GloBE Income or Loss</w:t>
            </w:r>
          </w:p>
        </w:tc>
      </w:tr>
      <w:tr w:rsidR="00283604" w:rsidRPr="00CD218D" w14:paraId="5AAC3DD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9D2FBBD" w14:textId="77777777" w:rsidR="00283604" w:rsidRPr="00CD218D" w:rsidRDefault="00283604">
            <w:pPr>
              <w:pStyle w:val="Tabletext"/>
              <w:rPr>
                <w:b/>
                <w:bCs/>
              </w:rPr>
            </w:pPr>
            <w:r w:rsidRPr="00CD218D">
              <w:rPr>
                <w:b/>
                <w:bCs/>
              </w:rPr>
              <w:t>Part 3-1</w:t>
            </w:r>
          </w:p>
        </w:tc>
        <w:tc>
          <w:tcPr>
            <w:tcW w:w="3743" w:type="dxa"/>
            <w:tcBorders>
              <w:top w:val="nil"/>
              <w:left w:val="nil"/>
              <w:bottom w:val="single" w:sz="4" w:space="0" w:color="auto"/>
              <w:right w:val="single" w:sz="4" w:space="0" w:color="auto"/>
            </w:tcBorders>
            <w:shd w:val="clear" w:color="auto" w:fill="auto"/>
            <w:vAlign w:val="bottom"/>
            <w:hideMark/>
          </w:tcPr>
          <w:p w14:paraId="5E1079FE" w14:textId="77777777" w:rsidR="00283604" w:rsidRPr="00CD218D" w:rsidRDefault="00283604">
            <w:pPr>
              <w:pStyle w:val="Tabletext"/>
              <w:rPr>
                <w:b/>
                <w:bCs/>
              </w:rPr>
            </w:pPr>
            <w:r w:rsidRPr="00CD218D">
              <w:rPr>
                <w:b/>
                <w:bCs/>
              </w:rPr>
              <w:t xml:space="preserve">Financial Accounts </w:t>
            </w:r>
          </w:p>
        </w:tc>
        <w:tc>
          <w:tcPr>
            <w:tcW w:w="1746" w:type="dxa"/>
            <w:tcBorders>
              <w:top w:val="nil"/>
              <w:left w:val="nil"/>
              <w:bottom w:val="single" w:sz="4" w:space="0" w:color="auto"/>
              <w:right w:val="single" w:sz="4" w:space="0" w:color="auto"/>
            </w:tcBorders>
            <w:shd w:val="clear" w:color="auto" w:fill="auto"/>
            <w:noWrap/>
            <w:vAlign w:val="bottom"/>
            <w:hideMark/>
          </w:tcPr>
          <w:p w14:paraId="3924FA89" w14:textId="77777777" w:rsidR="00283604" w:rsidRPr="00CD218D" w:rsidRDefault="00283604">
            <w:pPr>
              <w:pStyle w:val="Tabletext"/>
              <w:rPr>
                <w:b/>
                <w:bCs/>
              </w:rPr>
            </w:pPr>
            <w:r w:rsidRPr="00CD218D">
              <w:rPr>
                <w:b/>
                <w:bCs/>
              </w:rPr>
              <w:t>3.1</w:t>
            </w:r>
          </w:p>
        </w:tc>
      </w:tr>
      <w:tr w:rsidR="00283604" w:rsidRPr="00CD218D" w14:paraId="5D41769C" w14:textId="77777777">
        <w:trPr>
          <w:trHeight w:val="9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CCE87A1" w14:textId="77777777" w:rsidR="00283604" w:rsidRPr="00CD218D" w:rsidRDefault="00283604">
            <w:pPr>
              <w:pStyle w:val="Tabletext"/>
            </w:pPr>
            <w:r w:rsidRPr="00CD218D">
              <w:t>3-5</w:t>
            </w:r>
          </w:p>
        </w:tc>
        <w:tc>
          <w:tcPr>
            <w:tcW w:w="3743" w:type="dxa"/>
            <w:tcBorders>
              <w:top w:val="nil"/>
              <w:left w:val="nil"/>
              <w:bottom w:val="single" w:sz="4" w:space="0" w:color="auto"/>
              <w:right w:val="single" w:sz="4" w:space="0" w:color="auto"/>
            </w:tcBorders>
            <w:shd w:val="clear" w:color="auto" w:fill="auto"/>
            <w:vAlign w:val="bottom"/>
            <w:hideMark/>
          </w:tcPr>
          <w:p w14:paraId="3A35E961" w14:textId="0E3EAFA4" w:rsidR="00283604" w:rsidRPr="00CD218D" w:rsidRDefault="00283604">
            <w:pPr>
              <w:pStyle w:val="Tabletext"/>
            </w:pPr>
            <w:r w:rsidRPr="00CD218D">
              <w:t xml:space="preserve">Definition of GloBE Income or Loss for each Constituent Entity: </w:t>
            </w:r>
            <w:r w:rsidR="00125D0E" w:rsidRPr="00CD218D">
              <w:t>FANIL</w:t>
            </w:r>
            <w:r w:rsidRPr="00CD218D">
              <w:t xml:space="preserve"> of the Constituent Entity adjusted for the items described in Article 3.2 to Article 3.5</w:t>
            </w:r>
          </w:p>
        </w:tc>
        <w:tc>
          <w:tcPr>
            <w:tcW w:w="1746" w:type="dxa"/>
            <w:tcBorders>
              <w:top w:val="nil"/>
              <w:left w:val="nil"/>
              <w:bottom w:val="single" w:sz="4" w:space="0" w:color="auto"/>
              <w:right w:val="single" w:sz="4" w:space="0" w:color="auto"/>
            </w:tcBorders>
            <w:shd w:val="clear" w:color="auto" w:fill="auto"/>
            <w:noWrap/>
            <w:vAlign w:val="bottom"/>
            <w:hideMark/>
          </w:tcPr>
          <w:p w14:paraId="4147096D" w14:textId="77777777" w:rsidR="00283604" w:rsidRPr="00CD218D" w:rsidRDefault="00283604">
            <w:pPr>
              <w:pStyle w:val="Tabletext"/>
            </w:pPr>
            <w:r w:rsidRPr="00CD218D">
              <w:t>3.1.1</w:t>
            </w:r>
          </w:p>
        </w:tc>
      </w:tr>
      <w:tr w:rsidR="00283604" w:rsidRPr="00CD218D" w14:paraId="1ED5D3EA" w14:textId="77777777">
        <w:trPr>
          <w:trHeight w:val="900"/>
        </w:trPr>
        <w:tc>
          <w:tcPr>
            <w:tcW w:w="2212" w:type="dxa"/>
            <w:tcBorders>
              <w:top w:val="nil"/>
              <w:left w:val="single" w:sz="4" w:space="0" w:color="auto"/>
              <w:bottom w:val="single" w:sz="4" w:space="0" w:color="auto"/>
              <w:right w:val="single" w:sz="4" w:space="0" w:color="auto"/>
            </w:tcBorders>
            <w:shd w:val="clear" w:color="auto" w:fill="auto"/>
            <w:vAlign w:val="bottom"/>
            <w:hideMark/>
          </w:tcPr>
          <w:p w14:paraId="33701A9C" w14:textId="77777777" w:rsidR="00283604" w:rsidRPr="00CD218D" w:rsidRDefault="00283604">
            <w:pPr>
              <w:pStyle w:val="Tabletext"/>
            </w:pPr>
            <w:r w:rsidRPr="00CD218D">
              <w:t>3-10(1), (2), (4) and (5) and 3-15(1) and (2)</w:t>
            </w:r>
          </w:p>
        </w:tc>
        <w:tc>
          <w:tcPr>
            <w:tcW w:w="3743" w:type="dxa"/>
            <w:tcBorders>
              <w:top w:val="nil"/>
              <w:left w:val="nil"/>
              <w:bottom w:val="single" w:sz="4" w:space="0" w:color="auto"/>
              <w:right w:val="single" w:sz="4" w:space="0" w:color="auto"/>
            </w:tcBorders>
            <w:shd w:val="clear" w:color="auto" w:fill="auto"/>
            <w:vAlign w:val="bottom"/>
            <w:hideMark/>
          </w:tcPr>
          <w:p w14:paraId="6EB9A7A3" w14:textId="56C1251B" w:rsidR="00283604" w:rsidRPr="00CD218D" w:rsidRDefault="00283604">
            <w:pPr>
              <w:pStyle w:val="Tabletext"/>
            </w:pPr>
            <w:r w:rsidRPr="00CD218D">
              <w:t xml:space="preserve">Definition of </w:t>
            </w:r>
            <w:r w:rsidR="00125D0E" w:rsidRPr="00CD218D">
              <w:t>FANIL</w:t>
            </w:r>
            <w:r w:rsidRPr="00CD218D">
              <w:t xml:space="preserve"> is the net income or loss determined for a Constituent Entity (before any consolidation adjustments eliminating intra-group transactions) in preparing CFS of the UPE</w:t>
            </w:r>
          </w:p>
        </w:tc>
        <w:tc>
          <w:tcPr>
            <w:tcW w:w="1746" w:type="dxa"/>
            <w:tcBorders>
              <w:top w:val="nil"/>
              <w:left w:val="nil"/>
              <w:bottom w:val="single" w:sz="4" w:space="0" w:color="auto"/>
              <w:right w:val="single" w:sz="4" w:space="0" w:color="auto"/>
            </w:tcBorders>
            <w:shd w:val="clear" w:color="auto" w:fill="auto"/>
            <w:noWrap/>
            <w:vAlign w:val="bottom"/>
            <w:hideMark/>
          </w:tcPr>
          <w:p w14:paraId="636117AB" w14:textId="77777777" w:rsidR="00283604" w:rsidRPr="00CD218D" w:rsidRDefault="00283604">
            <w:pPr>
              <w:pStyle w:val="Tabletext"/>
            </w:pPr>
            <w:r w:rsidRPr="00CD218D">
              <w:t>3.1.2</w:t>
            </w:r>
          </w:p>
        </w:tc>
      </w:tr>
      <w:tr w:rsidR="00283604" w:rsidRPr="00CD218D" w14:paraId="228A5E5F" w14:textId="77777777">
        <w:trPr>
          <w:trHeight w:val="6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C2F74DA" w14:textId="77777777" w:rsidR="00283604" w:rsidRPr="00CD218D" w:rsidRDefault="00283604">
            <w:pPr>
              <w:pStyle w:val="Tabletext"/>
            </w:pPr>
            <w:r w:rsidRPr="00CD218D">
              <w:t>3-10(6) and (7)</w:t>
            </w:r>
          </w:p>
        </w:tc>
        <w:tc>
          <w:tcPr>
            <w:tcW w:w="3743" w:type="dxa"/>
            <w:tcBorders>
              <w:top w:val="nil"/>
              <w:left w:val="nil"/>
              <w:bottom w:val="single" w:sz="4" w:space="0" w:color="auto"/>
              <w:right w:val="single" w:sz="4" w:space="0" w:color="auto"/>
            </w:tcBorders>
            <w:shd w:val="clear" w:color="auto" w:fill="auto"/>
            <w:vAlign w:val="bottom"/>
            <w:hideMark/>
          </w:tcPr>
          <w:p w14:paraId="13A2958E" w14:textId="26C2BC50" w:rsidR="00283604" w:rsidRPr="00CD218D" w:rsidRDefault="00283604">
            <w:pPr>
              <w:pStyle w:val="Tabletext"/>
            </w:pPr>
            <w:r w:rsidRPr="00CD218D">
              <w:t>Alternate option to determine FANIL using different accounting standard to UPE - conditions apply</w:t>
            </w:r>
          </w:p>
        </w:tc>
        <w:tc>
          <w:tcPr>
            <w:tcW w:w="1746" w:type="dxa"/>
            <w:tcBorders>
              <w:top w:val="nil"/>
              <w:left w:val="nil"/>
              <w:bottom w:val="single" w:sz="4" w:space="0" w:color="auto"/>
              <w:right w:val="single" w:sz="4" w:space="0" w:color="auto"/>
            </w:tcBorders>
            <w:shd w:val="clear" w:color="auto" w:fill="auto"/>
            <w:noWrap/>
            <w:vAlign w:val="bottom"/>
            <w:hideMark/>
          </w:tcPr>
          <w:p w14:paraId="5F503191" w14:textId="77777777" w:rsidR="00283604" w:rsidRPr="00CD218D" w:rsidRDefault="00283604">
            <w:pPr>
              <w:pStyle w:val="Tabletext"/>
            </w:pPr>
            <w:r w:rsidRPr="00CD218D">
              <w:t>3.1.3</w:t>
            </w:r>
          </w:p>
        </w:tc>
      </w:tr>
      <w:tr w:rsidR="00283604" w:rsidRPr="00CD218D" w14:paraId="3CA6B1F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1531C0F" w14:textId="77777777" w:rsidR="00283604" w:rsidRPr="00CD218D" w:rsidRDefault="00283604">
            <w:pPr>
              <w:pStyle w:val="Tabletext"/>
              <w:rPr>
                <w:b/>
                <w:bCs/>
              </w:rPr>
            </w:pPr>
            <w:r w:rsidRPr="00CD218D">
              <w:rPr>
                <w:b/>
                <w:bCs/>
              </w:rPr>
              <w:t>Part 3-2</w:t>
            </w:r>
          </w:p>
        </w:tc>
        <w:tc>
          <w:tcPr>
            <w:tcW w:w="3743" w:type="dxa"/>
            <w:tcBorders>
              <w:top w:val="nil"/>
              <w:left w:val="nil"/>
              <w:bottom w:val="single" w:sz="4" w:space="0" w:color="auto"/>
              <w:right w:val="single" w:sz="4" w:space="0" w:color="auto"/>
            </w:tcBorders>
            <w:shd w:val="clear" w:color="auto" w:fill="auto"/>
            <w:vAlign w:val="bottom"/>
            <w:hideMark/>
          </w:tcPr>
          <w:p w14:paraId="5C68321B" w14:textId="77777777" w:rsidR="00283604" w:rsidRPr="00CD218D" w:rsidRDefault="00283604">
            <w:pPr>
              <w:pStyle w:val="Tabletext"/>
              <w:rPr>
                <w:b/>
                <w:bCs/>
              </w:rPr>
            </w:pPr>
            <w:r w:rsidRPr="00CD218D">
              <w:rPr>
                <w:b/>
                <w:bCs/>
              </w:rPr>
              <w:t>Adjustments to determine GloBE Income or Loss</w:t>
            </w:r>
          </w:p>
        </w:tc>
        <w:tc>
          <w:tcPr>
            <w:tcW w:w="1746" w:type="dxa"/>
            <w:tcBorders>
              <w:top w:val="nil"/>
              <w:left w:val="nil"/>
              <w:bottom w:val="single" w:sz="4" w:space="0" w:color="auto"/>
              <w:right w:val="single" w:sz="4" w:space="0" w:color="auto"/>
            </w:tcBorders>
            <w:shd w:val="clear" w:color="auto" w:fill="auto"/>
            <w:noWrap/>
            <w:vAlign w:val="bottom"/>
            <w:hideMark/>
          </w:tcPr>
          <w:p w14:paraId="24571AAA" w14:textId="77777777" w:rsidR="00283604" w:rsidRPr="00CD218D" w:rsidRDefault="00283604">
            <w:pPr>
              <w:pStyle w:val="Tabletext"/>
              <w:rPr>
                <w:b/>
                <w:bCs/>
              </w:rPr>
            </w:pPr>
            <w:r w:rsidRPr="00CD218D">
              <w:rPr>
                <w:b/>
                <w:bCs/>
              </w:rPr>
              <w:t>3.2</w:t>
            </w:r>
          </w:p>
        </w:tc>
      </w:tr>
      <w:tr w:rsidR="00283604" w:rsidRPr="00CD218D" w14:paraId="4CFFC4E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2063223" w14:textId="2B430A77" w:rsidR="00283604" w:rsidRPr="00CD218D" w:rsidRDefault="00283604">
            <w:pPr>
              <w:pStyle w:val="Tabletext"/>
            </w:pPr>
            <w:r w:rsidRPr="00CD218D">
              <w:t>3-</w:t>
            </w:r>
            <w:r w:rsidR="000F7C90" w:rsidRPr="00CD218D">
              <w:t>15</w:t>
            </w:r>
          </w:p>
        </w:tc>
        <w:tc>
          <w:tcPr>
            <w:tcW w:w="3743" w:type="dxa"/>
            <w:tcBorders>
              <w:top w:val="nil"/>
              <w:left w:val="nil"/>
              <w:bottom w:val="single" w:sz="4" w:space="0" w:color="auto"/>
              <w:right w:val="single" w:sz="4" w:space="0" w:color="auto"/>
            </w:tcBorders>
            <w:shd w:val="clear" w:color="auto" w:fill="auto"/>
            <w:vAlign w:val="bottom"/>
            <w:hideMark/>
          </w:tcPr>
          <w:p w14:paraId="22BE47A7" w14:textId="7A81EF7A" w:rsidR="00283604" w:rsidRPr="00CD218D" w:rsidRDefault="00283604">
            <w:pPr>
              <w:pStyle w:val="Tabletext"/>
            </w:pPr>
            <w:r w:rsidRPr="00CD218D">
              <w:t>Net Taxes Expense</w:t>
            </w:r>
          </w:p>
        </w:tc>
        <w:tc>
          <w:tcPr>
            <w:tcW w:w="1746" w:type="dxa"/>
            <w:tcBorders>
              <w:top w:val="nil"/>
              <w:left w:val="nil"/>
              <w:bottom w:val="single" w:sz="4" w:space="0" w:color="auto"/>
              <w:right w:val="single" w:sz="4" w:space="0" w:color="auto"/>
            </w:tcBorders>
            <w:shd w:val="clear" w:color="auto" w:fill="auto"/>
            <w:noWrap/>
            <w:vAlign w:val="bottom"/>
            <w:hideMark/>
          </w:tcPr>
          <w:p w14:paraId="78CF8A76" w14:textId="77777777" w:rsidR="00283604" w:rsidRPr="00CD218D" w:rsidRDefault="00283604">
            <w:pPr>
              <w:pStyle w:val="Tabletext"/>
            </w:pPr>
            <w:r w:rsidRPr="00CD218D">
              <w:t>3.2.1(a)</w:t>
            </w:r>
          </w:p>
        </w:tc>
      </w:tr>
      <w:tr w:rsidR="00283604" w:rsidRPr="00CD218D" w14:paraId="171042D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B32C63D" w14:textId="09F1C02D" w:rsidR="00283604" w:rsidRPr="00CD218D" w:rsidRDefault="00283604">
            <w:pPr>
              <w:pStyle w:val="Tabletext"/>
            </w:pPr>
            <w:r w:rsidRPr="00CD218D">
              <w:t>3-</w:t>
            </w:r>
            <w:r w:rsidR="000F7C90" w:rsidRPr="00CD218D">
              <w:t xml:space="preserve">20 </w:t>
            </w:r>
            <w:r w:rsidRPr="00CD218D">
              <w:t>and 3-</w:t>
            </w:r>
            <w:r w:rsidR="000F7C90" w:rsidRPr="00CD218D">
              <w:t>25</w:t>
            </w:r>
          </w:p>
        </w:tc>
        <w:tc>
          <w:tcPr>
            <w:tcW w:w="3743" w:type="dxa"/>
            <w:tcBorders>
              <w:top w:val="nil"/>
              <w:left w:val="nil"/>
              <w:bottom w:val="single" w:sz="4" w:space="0" w:color="auto"/>
              <w:right w:val="single" w:sz="4" w:space="0" w:color="auto"/>
            </w:tcBorders>
            <w:shd w:val="clear" w:color="auto" w:fill="auto"/>
            <w:noWrap/>
            <w:vAlign w:val="bottom"/>
            <w:hideMark/>
          </w:tcPr>
          <w:p w14:paraId="35EBDB97" w14:textId="77777777" w:rsidR="00283604" w:rsidRPr="00CD218D" w:rsidRDefault="00283604">
            <w:pPr>
              <w:pStyle w:val="Tabletext"/>
            </w:pPr>
            <w:r w:rsidRPr="00CD218D">
              <w:t>Excluded dividends – Asymmetric treatment of dividends and distributions</w:t>
            </w:r>
          </w:p>
        </w:tc>
        <w:tc>
          <w:tcPr>
            <w:tcW w:w="1746" w:type="dxa"/>
            <w:tcBorders>
              <w:top w:val="nil"/>
              <w:left w:val="nil"/>
              <w:bottom w:val="single" w:sz="4" w:space="0" w:color="auto"/>
              <w:right w:val="single" w:sz="4" w:space="0" w:color="auto"/>
            </w:tcBorders>
            <w:shd w:val="clear" w:color="auto" w:fill="auto"/>
            <w:noWrap/>
            <w:vAlign w:val="bottom"/>
            <w:hideMark/>
          </w:tcPr>
          <w:p w14:paraId="345409FF" w14:textId="77777777" w:rsidR="00283604" w:rsidRPr="00CD218D" w:rsidRDefault="00283604">
            <w:pPr>
              <w:pStyle w:val="Tabletext"/>
            </w:pPr>
            <w:r w:rsidRPr="00CD218D">
              <w:t>2.3 of the February AG</w:t>
            </w:r>
          </w:p>
        </w:tc>
      </w:tr>
      <w:tr w:rsidR="00283604" w:rsidRPr="00CD218D" w14:paraId="70DCB26B"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5E03B31" w14:textId="2C344491" w:rsidR="00283604" w:rsidRPr="00CD218D" w:rsidRDefault="00283604">
            <w:pPr>
              <w:pStyle w:val="Tabletext"/>
            </w:pPr>
            <w:r w:rsidRPr="00CD218D">
              <w:t>3-</w:t>
            </w:r>
            <w:r w:rsidR="00C35F40" w:rsidRPr="00CD218D">
              <w:t xml:space="preserve">20 </w:t>
            </w:r>
            <w:r w:rsidRPr="00CD218D">
              <w:t>and 3-</w:t>
            </w:r>
            <w:r w:rsidR="00C35F40" w:rsidRPr="00CD218D">
              <w:t>25</w:t>
            </w:r>
          </w:p>
        </w:tc>
        <w:tc>
          <w:tcPr>
            <w:tcW w:w="3743" w:type="dxa"/>
            <w:tcBorders>
              <w:top w:val="nil"/>
              <w:left w:val="nil"/>
              <w:bottom w:val="single" w:sz="4" w:space="0" w:color="auto"/>
              <w:right w:val="single" w:sz="4" w:space="0" w:color="auto"/>
            </w:tcBorders>
            <w:shd w:val="clear" w:color="auto" w:fill="auto"/>
            <w:vAlign w:val="bottom"/>
            <w:hideMark/>
          </w:tcPr>
          <w:p w14:paraId="664BBCE3" w14:textId="7E119219" w:rsidR="00283604" w:rsidRPr="00CD218D" w:rsidRDefault="00283604">
            <w:pPr>
              <w:pStyle w:val="Tabletext"/>
            </w:pPr>
            <w:r w:rsidRPr="00CD218D">
              <w:t>Excluded Dividends</w:t>
            </w:r>
          </w:p>
        </w:tc>
        <w:tc>
          <w:tcPr>
            <w:tcW w:w="1746" w:type="dxa"/>
            <w:tcBorders>
              <w:top w:val="nil"/>
              <w:left w:val="nil"/>
              <w:bottom w:val="single" w:sz="4" w:space="0" w:color="auto"/>
              <w:right w:val="single" w:sz="4" w:space="0" w:color="auto"/>
            </w:tcBorders>
            <w:shd w:val="clear" w:color="auto" w:fill="auto"/>
            <w:noWrap/>
            <w:vAlign w:val="bottom"/>
            <w:hideMark/>
          </w:tcPr>
          <w:p w14:paraId="029A3480" w14:textId="77777777" w:rsidR="00283604" w:rsidRPr="00CD218D" w:rsidRDefault="00283604">
            <w:pPr>
              <w:pStyle w:val="Tabletext"/>
            </w:pPr>
            <w:r w:rsidRPr="00CD218D">
              <w:t>3.2.1(b)</w:t>
            </w:r>
          </w:p>
        </w:tc>
      </w:tr>
      <w:tr w:rsidR="00283604" w:rsidRPr="00CD218D" w14:paraId="40EEEEE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DB59B3F" w14:textId="48900CB9" w:rsidR="00283604" w:rsidRPr="00CD218D" w:rsidRDefault="00283604">
            <w:pPr>
              <w:pStyle w:val="Tabletext"/>
            </w:pPr>
            <w:r w:rsidRPr="00CD218D">
              <w:t>3-</w:t>
            </w:r>
            <w:r w:rsidR="00C35F40" w:rsidRPr="00CD218D">
              <w:t>20</w:t>
            </w:r>
            <w:r w:rsidRPr="00CD218D">
              <w:t>(1)(b) and (2)</w:t>
            </w:r>
          </w:p>
        </w:tc>
        <w:tc>
          <w:tcPr>
            <w:tcW w:w="3743" w:type="dxa"/>
            <w:tcBorders>
              <w:top w:val="nil"/>
              <w:left w:val="nil"/>
              <w:bottom w:val="single" w:sz="4" w:space="0" w:color="auto"/>
              <w:right w:val="single" w:sz="4" w:space="0" w:color="auto"/>
            </w:tcBorders>
            <w:shd w:val="clear" w:color="auto" w:fill="auto"/>
            <w:vAlign w:val="bottom"/>
            <w:hideMark/>
          </w:tcPr>
          <w:p w14:paraId="1B11B1B5" w14:textId="77777777" w:rsidR="00283604" w:rsidRPr="00CD218D" w:rsidRDefault="00283604">
            <w:pPr>
              <w:pStyle w:val="Tabletext"/>
            </w:pPr>
            <w:r w:rsidRPr="00CD218D">
              <w:t>Simplification for Short-term Portfolio Shareholdings</w:t>
            </w:r>
          </w:p>
        </w:tc>
        <w:tc>
          <w:tcPr>
            <w:tcW w:w="1746" w:type="dxa"/>
            <w:tcBorders>
              <w:top w:val="nil"/>
              <w:left w:val="nil"/>
              <w:bottom w:val="single" w:sz="4" w:space="0" w:color="auto"/>
              <w:right w:val="single" w:sz="4" w:space="0" w:color="auto"/>
            </w:tcBorders>
            <w:shd w:val="clear" w:color="auto" w:fill="auto"/>
            <w:noWrap/>
            <w:vAlign w:val="bottom"/>
            <w:hideMark/>
          </w:tcPr>
          <w:p w14:paraId="10DB1CDC" w14:textId="77777777" w:rsidR="00283604" w:rsidRPr="00CD218D" w:rsidRDefault="00283604">
            <w:pPr>
              <w:pStyle w:val="Tabletext"/>
            </w:pPr>
            <w:r w:rsidRPr="00CD218D">
              <w:t>3.5 of the February AG</w:t>
            </w:r>
          </w:p>
        </w:tc>
      </w:tr>
      <w:tr w:rsidR="00283604" w:rsidRPr="00CD218D" w14:paraId="0D045CD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50CD1F" w14:textId="5EFC078C" w:rsidR="00283604" w:rsidRPr="00CD218D" w:rsidRDefault="00283604">
            <w:pPr>
              <w:pStyle w:val="Tabletext"/>
            </w:pPr>
            <w:r w:rsidRPr="00CD218D">
              <w:t>3-</w:t>
            </w:r>
            <w:r w:rsidR="0020387E" w:rsidRPr="00CD218D">
              <w:t xml:space="preserve">30 </w:t>
            </w:r>
            <w:r w:rsidRPr="00CD218D">
              <w:t>and 3-</w:t>
            </w:r>
            <w:r w:rsidR="0020387E" w:rsidRPr="00CD218D">
              <w:t>35</w:t>
            </w:r>
          </w:p>
        </w:tc>
        <w:tc>
          <w:tcPr>
            <w:tcW w:w="3743" w:type="dxa"/>
            <w:tcBorders>
              <w:top w:val="nil"/>
              <w:left w:val="nil"/>
              <w:bottom w:val="single" w:sz="4" w:space="0" w:color="auto"/>
              <w:right w:val="single" w:sz="4" w:space="0" w:color="auto"/>
            </w:tcBorders>
            <w:shd w:val="clear" w:color="auto" w:fill="auto"/>
            <w:vAlign w:val="bottom"/>
            <w:hideMark/>
          </w:tcPr>
          <w:p w14:paraId="1BD9DBA1" w14:textId="7E3B773E" w:rsidR="00283604" w:rsidRPr="00CD218D" w:rsidRDefault="00283604">
            <w:pPr>
              <w:pStyle w:val="Tabletext"/>
            </w:pPr>
            <w:r w:rsidRPr="00CD218D">
              <w:t>Excluded Equity Gain or Loss</w:t>
            </w:r>
          </w:p>
        </w:tc>
        <w:tc>
          <w:tcPr>
            <w:tcW w:w="1746" w:type="dxa"/>
            <w:tcBorders>
              <w:top w:val="nil"/>
              <w:left w:val="nil"/>
              <w:bottom w:val="single" w:sz="4" w:space="0" w:color="auto"/>
              <w:right w:val="single" w:sz="4" w:space="0" w:color="auto"/>
            </w:tcBorders>
            <w:shd w:val="clear" w:color="auto" w:fill="auto"/>
            <w:noWrap/>
            <w:vAlign w:val="bottom"/>
            <w:hideMark/>
          </w:tcPr>
          <w:p w14:paraId="0FCB8044" w14:textId="77777777" w:rsidR="00283604" w:rsidRPr="00CD218D" w:rsidRDefault="00283604">
            <w:pPr>
              <w:pStyle w:val="Tabletext"/>
            </w:pPr>
            <w:r w:rsidRPr="00CD218D">
              <w:t>3.2.1(c)</w:t>
            </w:r>
          </w:p>
        </w:tc>
      </w:tr>
      <w:tr w:rsidR="00283604" w:rsidRPr="00CD218D" w14:paraId="686907F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B6A570E" w14:textId="44188601" w:rsidR="00283604" w:rsidRPr="00CD218D" w:rsidRDefault="00283604">
            <w:pPr>
              <w:pStyle w:val="Tabletext"/>
            </w:pPr>
            <w:r w:rsidRPr="00CD218D">
              <w:t>3-</w:t>
            </w:r>
            <w:r w:rsidR="0020387E" w:rsidRPr="00CD218D">
              <w:t xml:space="preserve">30 </w:t>
            </w:r>
            <w:r w:rsidRPr="00CD218D">
              <w:t>and 3-</w:t>
            </w:r>
            <w:r w:rsidR="0020387E" w:rsidRPr="00CD218D">
              <w:t>35</w:t>
            </w:r>
          </w:p>
        </w:tc>
        <w:tc>
          <w:tcPr>
            <w:tcW w:w="3743" w:type="dxa"/>
            <w:tcBorders>
              <w:top w:val="nil"/>
              <w:left w:val="nil"/>
              <w:bottom w:val="single" w:sz="4" w:space="0" w:color="auto"/>
              <w:right w:val="single" w:sz="4" w:space="0" w:color="auto"/>
            </w:tcBorders>
            <w:shd w:val="clear" w:color="auto" w:fill="auto"/>
            <w:noWrap/>
            <w:vAlign w:val="bottom"/>
            <w:hideMark/>
          </w:tcPr>
          <w:p w14:paraId="399AA1B5" w14:textId="77777777" w:rsidR="00283604" w:rsidRPr="00CD218D" w:rsidRDefault="00283604">
            <w:pPr>
              <w:pStyle w:val="Tabletext"/>
            </w:pPr>
            <w:r w:rsidRPr="00CD218D">
              <w:t>Excluded equity gains or loss</w:t>
            </w:r>
          </w:p>
        </w:tc>
        <w:tc>
          <w:tcPr>
            <w:tcW w:w="1746" w:type="dxa"/>
            <w:tcBorders>
              <w:top w:val="nil"/>
              <w:left w:val="nil"/>
              <w:bottom w:val="single" w:sz="4" w:space="0" w:color="auto"/>
              <w:right w:val="single" w:sz="4" w:space="0" w:color="auto"/>
            </w:tcBorders>
            <w:shd w:val="clear" w:color="auto" w:fill="auto"/>
            <w:noWrap/>
            <w:vAlign w:val="bottom"/>
            <w:hideMark/>
          </w:tcPr>
          <w:p w14:paraId="7C3A6CB3" w14:textId="77777777" w:rsidR="00283604" w:rsidRPr="00CD218D" w:rsidRDefault="00283604">
            <w:pPr>
              <w:pStyle w:val="Tabletext"/>
            </w:pPr>
            <w:r w:rsidRPr="00CD218D">
              <w:t>2.2 of the February AG</w:t>
            </w:r>
          </w:p>
        </w:tc>
      </w:tr>
      <w:tr w:rsidR="00283604" w:rsidRPr="00CD218D" w14:paraId="33C1807B" w14:textId="77777777">
        <w:trPr>
          <w:trHeight w:val="6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06348CD" w14:textId="7F379BCA" w:rsidR="00283604" w:rsidRPr="00CD218D" w:rsidRDefault="00C809B4">
            <w:pPr>
              <w:pStyle w:val="Tabletext"/>
            </w:pPr>
            <w:r>
              <w:lastRenderedPageBreak/>
              <w:t>No equivalent</w:t>
            </w:r>
          </w:p>
        </w:tc>
        <w:tc>
          <w:tcPr>
            <w:tcW w:w="3743" w:type="dxa"/>
            <w:tcBorders>
              <w:top w:val="nil"/>
              <w:left w:val="nil"/>
              <w:bottom w:val="single" w:sz="4" w:space="0" w:color="auto"/>
              <w:right w:val="single" w:sz="4" w:space="0" w:color="auto"/>
            </w:tcBorders>
            <w:shd w:val="clear" w:color="auto" w:fill="auto"/>
            <w:vAlign w:val="bottom"/>
            <w:hideMark/>
          </w:tcPr>
          <w:p w14:paraId="1BECB18C" w14:textId="77777777" w:rsidR="00283604" w:rsidRPr="00CD218D" w:rsidRDefault="00283604">
            <w:pPr>
              <w:pStyle w:val="Tabletext"/>
            </w:pPr>
            <w:r w:rsidRPr="00CD218D">
              <w:t xml:space="preserve">Excluded Equity Gain or Loss inclusion election and Qualified Flow Through tax benefits </w:t>
            </w:r>
          </w:p>
        </w:tc>
        <w:tc>
          <w:tcPr>
            <w:tcW w:w="1746" w:type="dxa"/>
            <w:tcBorders>
              <w:top w:val="nil"/>
              <w:left w:val="nil"/>
              <w:bottom w:val="single" w:sz="4" w:space="0" w:color="auto"/>
              <w:right w:val="single" w:sz="4" w:space="0" w:color="auto"/>
            </w:tcBorders>
            <w:shd w:val="clear" w:color="auto" w:fill="auto"/>
            <w:noWrap/>
            <w:vAlign w:val="bottom"/>
            <w:hideMark/>
          </w:tcPr>
          <w:p w14:paraId="62640FDD" w14:textId="77777777" w:rsidR="00283604" w:rsidRPr="00CD218D" w:rsidRDefault="00283604">
            <w:pPr>
              <w:pStyle w:val="Tabletext"/>
            </w:pPr>
            <w:r w:rsidRPr="00CD218D">
              <w:t>2.9 of the February AG</w:t>
            </w:r>
          </w:p>
        </w:tc>
      </w:tr>
      <w:tr w:rsidR="00283604" w:rsidRPr="00CD218D" w14:paraId="086667FE" w14:textId="77777777">
        <w:trPr>
          <w:trHeight w:val="6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16AB771" w14:textId="01D607BA" w:rsidR="00283604" w:rsidRPr="00CD218D" w:rsidRDefault="00283604">
            <w:pPr>
              <w:pStyle w:val="Tabletext"/>
            </w:pPr>
            <w:r w:rsidRPr="00CD218D">
              <w:t>3-</w:t>
            </w:r>
            <w:r w:rsidR="0020387E" w:rsidRPr="00CD218D">
              <w:t>40</w:t>
            </w:r>
          </w:p>
        </w:tc>
        <w:tc>
          <w:tcPr>
            <w:tcW w:w="3743" w:type="dxa"/>
            <w:tcBorders>
              <w:top w:val="nil"/>
              <w:left w:val="nil"/>
              <w:bottom w:val="single" w:sz="4" w:space="0" w:color="auto"/>
              <w:right w:val="single" w:sz="4" w:space="0" w:color="auto"/>
            </w:tcBorders>
            <w:shd w:val="clear" w:color="auto" w:fill="auto"/>
            <w:vAlign w:val="bottom"/>
          </w:tcPr>
          <w:p w14:paraId="160C2BD7" w14:textId="77777777" w:rsidR="00283604" w:rsidRPr="00CD218D" w:rsidRDefault="00283604">
            <w:pPr>
              <w:pStyle w:val="Tabletext"/>
            </w:pPr>
            <w:r w:rsidRPr="00CD218D">
              <w:t>Liabilities related to Excluded Dividends and Excluded Equity Gain or Loss from securities held on behalf of policyholders</w:t>
            </w:r>
          </w:p>
        </w:tc>
        <w:tc>
          <w:tcPr>
            <w:tcW w:w="1746" w:type="dxa"/>
            <w:tcBorders>
              <w:top w:val="nil"/>
              <w:left w:val="nil"/>
              <w:bottom w:val="single" w:sz="4" w:space="0" w:color="auto"/>
              <w:right w:val="single" w:sz="4" w:space="0" w:color="auto"/>
            </w:tcBorders>
            <w:shd w:val="clear" w:color="auto" w:fill="auto"/>
            <w:noWrap/>
            <w:vAlign w:val="bottom"/>
          </w:tcPr>
          <w:p w14:paraId="6BFA9D03" w14:textId="77777777" w:rsidR="00283604" w:rsidRPr="00CD218D" w:rsidRDefault="00283604">
            <w:pPr>
              <w:pStyle w:val="Tabletext"/>
            </w:pPr>
            <w:r w:rsidRPr="00CD218D">
              <w:t>3.4 of the February AG</w:t>
            </w:r>
          </w:p>
        </w:tc>
      </w:tr>
      <w:tr w:rsidR="00283604" w:rsidRPr="00CD218D" w14:paraId="6A9DF7E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BB01DF7" w14:textId="459EF19F" w:rsidR="00283604" w:rsidRPr="00CD218D" w:rsidRDefault="00283604">
            <w:pPr>
              <w:pStyle w:val="Tabletext"/>
            </w:pPr>
            <w:r w:rsidRPr="00CD218D">
              <w:t>3-</w:t>
            </w:r>
            <w:r w:rsidR="0020387E" w:rsidRPr="00CD218D">
              <w:t xml:space="preserve">45 </w:t>
            </w:r>
            <w:r w:rsidRPr="00CD218D">
              <w:t>and 3-</w:t>
            </w:r>
            <w:r w:rsidR="0020387E" w:rsidRPr="00CD218D">
              <w:t>50</w:t>
            </w:r>
          </w:p>
        </w:tc>
        <w:tc>
          <w:tcPr>
            <w:tcW w:w="3743" w:type="dxa"/>
            <w:tcBorders>
              <w:top w:val="nil"/>
              <w:left w:val="nil"/>
              <w:bottom w:val="single" w:sz="4" w:space="0" w:color="auto"/>
              <w:right w:val="single" w:sz="4" w:space="0" w:color="auto"/>
            </w:tcBorders>
            <w:shd w:val="clear" w:color="auto" w:fill="auto"/>
            <w:vAlign w:val="bottom"/>
            <w:hideMark/>
          </w:tcPr>
          <w:p w14:paraId="0E7A6A65" w14:textId="51D9E99E" w:rsidR="00283604" w:rsidRPr="00CD218D" w:rsidRDefault="00283604">
            <w:pPr>
              <w:pStyle w:val="Tabletext"/>
            </w:pPr>
            <w:r w:rsidRPr="00CD218D">
              <w:t>Included Revaluation Method Gain or Loss</w:t>
            </w:r>
          </w:p>
        </w:tc>
        <w:tc>
          <w:tcPr>
            <w:tcW w:w="1746" w:type="dxa"/>
            <w:tcBorders>
              <w:top w:val="nil"/>
              <w:left w:val="nil"/>
              <w:bottom w:val="single" w:sz="4" w:space="0" w:color="auto"/>
              <w:right w:val="single" w:sz="4" w:space="0" w:color="auto"/>
            </w:tcBorders>
            <w:shd w:val="clear" w:color="auto" w:fill="auto"/>
            <w:noWrap/>
            <w:vAlign w:val="bottom"/>
            <w:hideMark/>
          </w:tcPr>
          <w:p w14:paraId="09505A1E" w14:textId="77777777" w:rsidR="00283604" w:rsidRPr="00CD218D" w:rsidRDefault="00283604">
            <w:pPr>
              <w:pStyle w:val="Tabletext"/>
            </w:pPr>
            <w:r w:rsidRPr="00CD218D">
              <w:t>3.2.1(d)</w:t>
            </w:r>
          </w:p>
        </w:tc>
      </w:tr>
      <w:tr w:rsidR="00283604" w:rsidRPr="00CD218D" w14:paraId="10246DC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EC11875" w14:textId="67B1F4A7" w:rsidR="00283604" w:rsidRPr="00CD218D" w:rsidRDefault="00283604">
            <w:pPr>
              <w:pStyle w:val="Tabletext"/>
            </w:pPr>
            <w:r w:rsidRPr="00CD218D">
              <w:t>3-</w:t>
            </w:r>
            <w:r w:rsidR="00001E11" w:rsidRPr="00CD218D">
              <w:t xml:space="preserve">55 </w:t>
            </w:r>
            <w:r w:rsidRPr="00CD218D">
              <w:t>and 3-</w:t>
            </w:r>
            <w:r w:rsidR="00001E11" w:rsidRPr="00CD218D">
              <w:t>60</w:t>
            </w:r>
          </w:p>
        </w:tc>
        <w:tc>
          <w:tcPr>
            <w:tcW w:w="3743" w:type="dxa"/>
            <w:tcBorders>
              <w:top w:val="nil"/>
              <w:left w:val="nil"/>
              <w:bottom w:val="single" w:sz="4" w:space="0" w:color="auto"/>
              <w:right w:val="single" w:sz="4" w:space="0" w:color="auto"/>
            </w:tcBorders>
            <w:shd w:val="clear" w:color="auto" w:fill="auto"/>
            <w:vAlign w:val="bottom"/>
            <w:hideMark/>
          </w:tcPr>
          <w:p w14:paraId="00D43DF0" w14:textId="48B014C4" w:rsidR="00283604" w:rsidRPr="00CD218D" w:rsidRDefault="00283604">
            <w:pPr>
              <w:pStyle w:val="Tabletext"/>
            </w:pPr>
            <w:r w:rsidRPr="00CD218D">
              <w:t>Asymmetric Foreign Currency Gains or Losses</w:t>
            </w:r>
          </w:p>
        </w:tc>
        <w:tc>
          <w:tcPr>
            <w:tcW w:w="1746" w:type="dxa"/>
            <w:tcBorders>
              <w:top w:val="nil"/>
              <w:left w:val="nil"/>
              <w:bottom w:val="single" w:sz="4" w:space="0" w:color="auto"/>
              <w:right w:val="single" w:sz="4" w:space="0" w:color="auto"/>
            </w:tcBorders>
            <w:shd w:val="clear" w:color="auto" w:fill="auto"/>
            <w:noWrap/>
            <w:vAlign w:val="bottom"/>
            <w:hideMark/>
          </w:tcPr>
          <w:p w14:paraId="6958D65C" w14:textId="77777777" w:rsidR="00283604" w:rsidRPr="00CD218D" w:rsidRDefault="00283604">
            <w:pPr>
              <w:pStyle w:val="Tabletext"/>
            </w:pPr>
            <w:r w:rsidRPr="00CD218D">
              <w:t>3.2.1(f)</w:t>
            </w:r>
          </w:p>
        </w:tc>
      </w:tr>
      <w:tr w:rsidR="00283604" w:rsidRPr="00CD218D" w14:paraId="4E92190B"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0942EE0" w14:textId="3BFEF48E" w:rsidR="00283604" w:rsidRPr="00CD218D" w:rsidRDefault="00283604">
            <w:pPr>
              <w:pStyle w:val="Tabletext"/>
            </w:pPr>
            <w:r w:rsidRPr="00CD218D">
              <w:t>3-</w:t>
            </w:r>
            <w:r w:rsidR="00001E11" w:rsidRPr="00CD218D">
              <w:t>65</w:t>
            </w:r>
          </w:p>
        </w:tc>
        <w:tc>
          <w:tcPr>
            <w:tcW w:w="3743" w:type="dxa"/>
            <w:tcBorders>
              <w:top w:val="nil"/>
              <w:left w:val="nil"/>
              <w:bottom w:val="single" w:sz="4" w:space="0" w:color="auto"/>
              <w:right w:val="single" w:sz="4" w:space="0" w:color="auto"/>
            </w:tcBorders>
            <w:shd w:val="clear" w:color="auto" w:fill="auto"/>
            <w:vAlign w:val="bottom"/>
            <w:hideMark/>
          </w:tcPr>
          <w:p w14:paraId="2FD7416F" w14:textId="10C617E3" w:rsidR="00283604" w:rsidRPr="00CD218D" w:rsidRDefault="00283604">
            <w:pPr>
              <w:pStyle w:val="Tabletext"/>
            </w:pPr>
            <w:r w:rsidRPr="00CD218D">
              <w:t>Policy Disallowed Expenses</w:t>
            </w:r>
          </w:p>
        </w:tc>
        <w:tc>
          <w:tcPr>
            <w:tcW w:w="1746" w:type="dxa"/>
            <w:tcBorders>
              <w:top w:val="nil"/>
              <w:left w:val="nil"/>
              <w:bottom w:val="single" w:sz="4" w:space="0" w:color="auto"/>
              <w:right w:val="single" w:sz="4" w:space="0" w:color="auto"/>
            </w:tcBorders>
            <w:shd w:val="clear" w:color="auto" w:fill="auto"/>
            <w:noWrap/>
            <w:vAlign w:val="bottom"/>
            <w:hideMark/>
          </w:tcPr>
          <w:p w14:paraId="6FF6150A" w14:textId="77777777" w:rsidR="00283604" w:rsidRPr="00CD218D" w:rsidRDefault="00283604">
            <w:pPr>
              <w:pStyle w:val="Tabletext"/>
            </w:pPr>
            <w:r w:rsidRPr="00CD218D">
              <w:t>3.2.1(g)</w:t>
            </w:r>
          </w:p>
        </w:tc>
      </w:tr>
      <w:tr w:rsidR="00283604" w:rsidRPr="00CD218D" w14:paraId="788C093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5D790F0" w14:textId="6EA48B42" w:rsidR="00283604" w:rsidRPr="00CD218D" w:rsidRDefault="00283604">
            <w:pPr>
              <w:pStyle w:val="Tabletext"/>
            </w:pPr>
            <w:r w:rsidRPr="00CD218D">
              <w:t>3-</w:t>
            </w:r>
            <w:r w:rsidR="00001E11" w:rsidRPr="00CD218D">
              <w:t>70</w:t>
            </w:r>
          </w:p>
        </w:tc>
        <w:tc>
          <w:tcPr>
            <w:tcW w:w="3743" w:type="dxa"/>
            <w:tcBorders>
              <w:top w:val="nil"/>
              <w:left w:val="nil"/>
              <w:bottom w:val="single" w:sz="4" w:space="0" w:color="auto"/>
              <w:right w:val="single" w:sz="4" w:space="0" w:color="auto"/>
            </w:tcBorders>
            <w:shd w:val="clear" w:color="auto" w:fill="auto"/>
            <w:vAlign w:val="bottom"/>
            <w:hideMark/>
          </w:tcPr>
          <w:p w14:paraId="49E02E24" w14:textId="26151272" w:rsidR="00283604" w:rsidRPr="00CD218D" w:rsidRDefault="00283604">
            <w:pPr>
              <w:pStyle w:val="Tabletext"/>
            </w:pPr>
            <w:r w:rsidRPr="00CD218D">
              <w:t>Prior Period Errors and Changes in Accounting Principles</w:t>
            </w:r>
          </w:p>
        </w:tc>
        <w:tc>
          <w:tcPr>
            <w:tcW w:w="1746" w:type="dxa"/>
            <w:tcBorders>
              <w:top w:val="nil"/>
              <w:left w:val="nil"/>
              <w:bottom w:val="single" w:sz="4" w:space="0" w:color="auto"/>
              <w:right w:val="single" w:sz="4" w:space="0" w:color="auto"/>
            </w:tcBorders>
            <w:shd w:val="clear" w:color="auto" w:fill="auto"/>
            <w:noWrap/>
            <w:vAlign w:val="bottom"/>
            <w:hideMark/>
          </w:tcPr>
          <w:p w14:paraId="3856E495" w14:textId="77777777" w:rsidR="00283604" w:rsidRPr="00CD218D" w:rsidRDefault="00283604">
            <w:pPr>
              <w:pStyle w:val="Tabletext"/>
            </w:pPr>
            <w:r w:rsidRPr="00CD218D">
              <w:t>3.2.1(h)</w:t>
            </w:r>
          </w:p>
        </w:tc>
      </w:tr>
      <w:tr w:rsidR="00283604" w:rsidRPr="00CD218D" w14:paraId="4BA4B70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F4B2C39" w14:textId="1E5F0FBB" w:rsidR="00283604" w:rsidRPr="00CD218D" w:rsidRDefault="00283604">
            <w:pPr>
              <w:pStyle w:val="Tabletext"/>
            </w:pPr>
            <w:r w:rsidRPr="00CD218D">
              <w:t>3-</w:t>
            </w:r>
            <w:r w:rsidR="00001E11" w:rsidRPr="00CD218D">
              <w:t>75</w:t>
            </w:r>
          </w:p>
        </w:tc>
        <w:tc>
          <w:tcPr>
            <w:tcW w:w="3743" w:type="dxa"/>
            <w:tcBorders>
              <w:top w:val="nil"/>
              <w:left w:val="nil"/>
              <w:bottom w:val="single" w:sz="4" w:space="0" w:color="auto"/>
              <w:right w:val="single" w:sz="4" w:space="0" w:color="auto"/>
            </w:tcBorders>
            <w:shd w:val="clear" w:color="auto" w:fill="auto"/>
            <w:vAlign w:val="bottom"/>
            <w:hideMark/>
          </w:tcPr>
          <w:p w14:paraId="71EC500F" w14:textId="7AAE21FD" w:rsidR="00283604" w:rsidRPr="00CD218D" w:rsidRDefault="00283604">
            <w:pPr>
              <w:pStyle w:val="Tabletext"/>
            </w:pPr>
            <w:r w:rsidRPr="00CD218D">
              <w:t>Accrued Pension Expense</w:t>
            </w:r>
          </w:p>
        </w:tc>
        <w:tc>
          <w:tcPr>
            <w:tcW w:w="1746" w:type="dxa"/>
            <w:tcBorders>
              <w:top w:val="nil"/>
              <w:left w:val="nil"/>
              <w:bottom w:val="single" w:sz="4" w:space="0" w:color="auto"/>
              <w:right w:val="single" w:sz="4" w:space="0" w:color="auto"/>
            </w:tcBorders>
            <w:shd w:val="clear" w:color="auto" w:fill="auto"/>
            <w:noWrap/>
            <w:vAlign w:val="bottom"/>
            <w:hideMark/>
          </w:tcPr>
          <w:p w14:paraId="11C848FC" w14:textId="77777777" w:rsidR="00283604" w:rsidRPr="00CD218D" w:rsidRDefault="00283604">
            <w:pPr>
              <w:pStyle w:val="Tabletext"/>
            </w:pPr>
            <w:r w:rsidRPr="00CD218D">
              <w:t>3.2.1(i)</w:t>
            </w:r>
          </w:p>
        </w:tc>
      </w:tr>
      <w:tr w:rsidR="00283604" w:rsidRPr="00CD218D" w14:paraId="6573379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090D5179" w14:textId="248F9CF9" w:rsidR="00283604" w:rsidRPr="00CD218D" w:rsidRDefault="00283604">
            <w:pPr>
              <w:spacing w:before="0" w:after="0"/>
              <w:rPr>
                <w:rFonts w:cs="Times New Roman"/>
                <w:sz w:val="24"/>
                <w:szCs w:val="24"/>
                <w:lang w:eastAsia="en-AU"/>
              </w:rPr>
            </w:pPr>
            <w:r w:rsidRPr="00CD218D">
              <w:rPr>
                <w:rFonts w:eastAsia="Times New Roman" w:cs="Times New Roman"/>
                <w:sz w:val="20"/>
                <w:szCs w:val="20"/>
                <w:lang w:eastAsia="en-AU"/>
              </w:rPr>
              <w:t>3-</w:t>
            </w:r>
            <w:r w:rsidR="00001E11" w:rsidRPr="00CD218D">
              <w:rPr>
                <w:rFonts w:eastAsia="Times New Roman" w:cs="Times New Roman"/>
                <w:sz w:val="20"/>
                <w:szCs w:val="20"/>
                <w:lang w:eastAsia="en-AU"/>
              </w:rPr>
              <w:t xml:space="preserve">80 </w:t>
            </w:r>
            <w:r w:rsidRPr="00CD218D">
              <w:rPr>
                <w:rFonts w:eastAsia="Times New Roman" w:cs="Times New Roman"/>
                <w:sz w:val="20"/>
                <w:szCs w:val="20"/>
                <w:lang w:eastAsia="en-AU"/>
              </w:rPr>
              <w:t>and 3-</w:t>
            </w:r>
            <w:r w:rsidR="00001E11" w:rsidRPr="00CD218D">
              <w:rPr>
                <w:rFonts w:eastAsia="Times New Roman" w:cs="Times New Roman"/>
                <w:sz w:val="20"/>
                <w:szCs w:val="20"/>
                <w:lang w:eastAsia="en-AU"/>
              </w:rPr>
              <w:t>85</w:t>
            </w:r>
            <w:r w:rsidR="00001E11" w:rsidRPr="00CD218D">
              <w:rPr>
                <w:rFonts w:cs="Times New Roman"/>
                <w:sz w:val="24"/>
                <w:szCs w:val="24"/>
                <w:lang w:eastAsia="en-AU"/>
              </w:rPr>
              <w:t xml:space="preserve"> </w:t>
            </w:r>
          </w:p>
          <w:p w14:paraId="5EFB3398" w14:textId="77777777" w:rsidR="00283604" w:rsidRPr="00CD218D" w:rsidRDefault="00283604">
            <w:pPr>
              <w:pStyle w:val="Tabletext"/>
            </w:pPr>
          </w:p>
        </w:tc>
        <w:tc>
          <w:tcPr>
            <w:tcW w:w="3743" w:type="dxa"/>
            <w:tcBorders>
              <w:top w:val="nil"/>
              <w:left w:val="nil"/>
              <w:bottom w:val="single" w:sz="4" w:space="0" w:color="auto"/>
              <w:right w:val="single" w:sz="4" w:space="0" w:color="auto"/>
            </w:tcBorders>
            <w:shd w:val="clear" w:color="auto" w:fill="auto"/>
            <w:vAlign w:val="bottom"/>
          </w:tcPr>
          <w:p w14:paraId="65F7479A" w14:textId="77777777" w:rsidR="00283604" w:rsidRPr="00CD218D" w:rsidRDefault="00283604">
            <w:pPr>
              <w:pStyle w:val="Tabletext"/>
            </w:pPr>
            <w:r w:rsidRPr="00CD218D">
              <w:t>Treatment of debt releases</w:t>
            </w:r>
          </w:p>
        </w:tc>
        <w:tc>
          <w:tcPr>
            <w:tcW w:w="1746" w:type="dxa"/>
            <w:tcBorders>
              <w:top w:val="nil"/>
              <w:left w:val="nil"/>
              <w:bottom w:val="single" w:sz="4" w:space="0" w:color="auto"/>
              <w:right w:val="single" w:sz="4" w:space="0" w:color="auto"/>
            </w:tcBorders>
            <w:shd w:val="clear" w:color="auto" w:fill="auto"/>
            <w:noWrap/>
            <w:vAlign w:val="bottom"/>
          </w:tcPr>
          <w:p w14:paraId="5A82C2AC" w14:textId="77777777" w:rsidR="00283604" w:rsidRPr="00CD218D" w:rsidRDefault="00283604">
            <w:pPr>
              <w:pStyle w:val="Tabletext"/>
            </w:pPr>
            <w:r w:rsidRPr="00CD218D">
              <w:t>2.4 of the February AG</w:t>
            </w:r>
          </w:p>
        </w:tc>
      </w:tr>
      <w:tr w:rsidR="00283604" w:rsidRPr="00CD218D" w14:paraId="1E6D22B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029A143" w14:textId="5E1F6A69" w:rsidR="00283604" w:rsidRPr="00CD218D" w:rsidRDefault="00283604">
            <w:pPr>
              <w:pStyle w:val="Tabletext"/>
            </w:pPr>
            <w:r w:rsidRPr="00CD218D">
              <w:t>3-</w:t>
            </w:r>
            <w:r w:rsidR="00001E11" w:rsidRPr="00CD218D">
              <w:t>80</w:t>
            </w:r>
          </w:p>
        </w:tc>
        <w:tc>
          <w:tcPr>
            <w:tcW w:w="3743" w:type="dxa"/>
            <w:tcBorders>
              <w:top w:val="nil"/>
              <w:left w:val="nil"/>
              <w:bottom w:val="single" w:sz="4" w:space="0" w:color="auto"/>
              <w:right w:val="single" w:sz="4" w:space="0" w:color="auto"/>
            </w:tcBorders>
            <w:shd w:val="clear" w:color="auto" w:fill="auto"/>
            <w:vAlign w:val="bottom"/>
            <w:hideMark/>
          </w:tcPr>
          <w:p w14:paraId="281C3A4B" w14:textId="77777777" w:rsidR="00283604" w:rsidRPr="00CD218D" w:rsidRDefault="00283604">
            <w:pPr>
              <w:pStyle w:val="Tabletext"/>
            </w:pPr>
            <w:r w:rsidRPr="00CD218D">
              <w:t>Stock based compensation - Five-Year Election</w:t>
            </w:r>
          </w:p>
        </w:tc>
        <w:tc>
          <w:tcPr>
            <w:tcW w:w="1746" w:type="dxa"/>
            <w:tcBorders>
              <w:top w:val="nil"/>
              <w:left w:val="nil"/>
              <w:bottom w:val="single" w:sz="4" w:space="0" w:color="auto"/>
              <w:right w:val="single" w:sz="4" w:space="0" w:color="auto"/>
            </w:tcBorders>
            <w:shd w:val="clear" w:color="auto" w:fill="auto"/>
            <w:noWrap/>
            <w:vAlign w:val="bottom"/>
            <w:hideMark/>
          </w:tcPr>
          <w:p w14:paraId="5DF51680" w14:textId="77777777" w:rsidR="00283604" w:rsidRPr="00CD218D" w:rsidRDefault="00283604">
            <w:pPr>
              <w:pStyle w:val="Tabletext"/>
            </w:pPr>
            <w:r w:rsidRPr="00CD218D">
              <w:t>3.2.2</w:t>
            </w:r>
          </w:p>
        </w:tc>
      </w:tr>
      <w:tr w:rsidR="00283604" w:rsidRPr="00CD218D" w14:paraId="4362559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BDA7843" w14:textId="02A529A0" w:rsidR="00283604" w:rsidRPr="00CD218D" w:rsidRDefault="00283604">
            <w:pPr>
              <w:pStyle w:val="Tabletext"/>
            </w:pPr>
            <w:r w:rsidRPr="00CD218D">
              <w:t>3-</w:t>
            </w:r>
            <w:r w:rsidR="00001E11" w:rsidRPr="00CD218D">
              <w:t>9</w:t>
            </w:r>
            <w:r w:rsidR="00E457C3">
              <w:t>5, 3</w:t>
            </w:r>
            <w:r w:rsidR="00E457C3">
              <w:noBreakHyphen/>
              <w:t>100 and</w:t>
            </w:r>
            <w:r w:rsidRPr="00CD218D">
              <w:t xml:space="preserve"> 3-</w:t>
            </w:r>
            <w:r w:rsidR="00001E11" w:rsidRPr="00CD218D">
              <w:t xml:space="preserve">105 </w:t>
            </w:r>
          </w:p>
        </w:tc>
        <w:tc>
          <w:tcPr>
            <w:tcW w:w="3743" w:type="dxa"/>
            <w:tcBorders>
              <w:top w:val="nil"/>
              <w:left w:val="nil"/>
              <w:bottom w:val="single" w:sz="4" w:space="0" w:color="auto"/>
              <w:right w:val="single" w:sz="4" w:space="0" w:color="auto"/>
            </w:tcBorders>
            <w:shd w:val="clear" w:color="auto" w:fill="auto"/>
            <w:vAlign w:val="bottom"/>
            <w:hideMark/>
          </w:tcPr>
          <w:p w14:paraId="674486BE" w14:textId="77777777" w:rsidR="00283604" w:rsidRPr="00CD218D" w:rsidRDefault="00283604">
            <w:pPr>
              <w:pStyle w:val="Tabletext"/>
            </w:pPr>
            <w:r w:rsidRPr="00CD218D">
              <w:t>Arm’s length principle</w:t>
            </w:r>
          </w:p>
        </w:tc>
        <w:tc>
          <w:tcPr>
            <w:tcW w:w="1746" w:type="dxa"/>
            <w:tcBorders>
              <w:top w:val="nil"/>
              <w:left w:val="nil"/>
              <w:bottom w:val="single" w:sz="4" w:space="0" w:color="auto"/>
              <w:right w:val="single" w:sz="4" w:space="0" w:color="auto"/>
            </w:tcBorders>
            <w:shd w:val="clear" w:color="auto" w:fill="auto"/>
            <w:noWrap/>
            <w:vAlign w:val="bottom"/>
            <w:hideMark/>
          </w:tcPr>
          <w:p w14:paraId="4AF21026" w14:textId="77777777" w:rsidR="00283604" w:rsidRPr="00CD218D" w:rsidRDefault="00283604">
            <w:pPr>
              <w:pStyle w:val="Tabletext"/>
            </w:pPr>
            <w:r w:rsidRPr="00CD218D">
              <w:t>3.2.3</w:t>
            </w:r>
          </w:p>
        </w:tc>
      </w:tr>
      <w:tr w:rsidR="00283604" w:rsidRPr="00CD218D" w14:paraId="5CBC5E84"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E79C517" w14:textId="3106D082" w:rsidR="00283604" w:rsidRPr="00CD218D" w:rsidRDefault="00283604">
            <w:pPr>
              <w:pStyle w:val="Tabletext"/>
            </w:pPr>
            <w:r w:rsidRPr="00CD218D">
              <w:t>3-</w:t>
            </w:r>
            <w:r w:rsidR="00662869" w:rsidRPr="00CD218D">
              <w:t>110</w:t>
            </w:r>
            <w:r w:rsidRPr="00CD218D">
              <w:t>, 3-</w:t>
            </w:r>
            <w:r w:rsidR="00662869" w:rsidRPr="00CD218D">
              <w:t>115</w:t>
            </w:r>
            <w:r w:rsidRPr="00CD218D">
              <w:t>, 3-</w:t>
            </w:r>
            <w:r w:rsidR="00662869" w:rsidRPr="00CD218D">
              <w:t>125</w:t>
            </w:r>
          </w:p>
        </w:tc>
        <w:tc>
          <w:tcPr>
            <w:tcW w:w="3743" w:type="dxa"/>
            <w:tcBorders>
              <w:top w:val="nil"/>
              <w:left w:val="nil"/>
              <w:bottom w:val="single" w:sz="4" w:space="0" w:color="auto"/>
              <w:right w:val="single" w:sz="4" w:space="0" w:color="auto"/>
            </w:tcBorders>
            <w:shd w:val="clear" w:color="auto" w:fill="auto"/>
            <w:vAlign w:val="bottom"/>
            <w:hideMark/>
          </w:tcPr>
          <w:p w14:paraId="108AD149" w14:textId="77777777" w:rsidR="00283604" w:rsidRPr="00CD218D" w:rsidRDefault="00283604">
            <w:pPr>
              <w:pStyle w:val="Tabletext"/>
            </w:pPr>
            <w:r w:rsidRPr="00CD218D">
              <w:t>Qualified refundable tax credits</w:t>
            </w:r>
          </w:p>
        </w:tc>
        <w:tc>
          <w:tcPr>
            <w:tcW w:w="1746" w:type="dxa"/>
            <w:tcBorders>
              <w:top w:val="nil"/>
              <w:left w:val="nil"/>
              <w:bottom w:val="single" w:sz="4" w:space="0" w:color="auto"/>
              <w:right w:val="single" w:sz="4" w:space="0" w:color="auto"/>
            </w:tcBorders>
            <w:shd w:val="clear" w:color="auto" w:fill="auto"/>
            <w:noWrap/>
            <w:vAlign w:val="bottom"/>
            <w:hideMark/>
          </w:tcPr>
          <w:p w14:paraId="388B8D66" w14:textId="77777777" w:rsidR="00283604" w:rsidRPr="00CD218D" w:rsidRDefault="00283604">
            <w:pPr>
              <w:pStyle w:val="Tabletext"/>
            </w:pPr>
            <w:r w:rsidRPr="00CD218D">
              <w:t>3.2.4</w:t>
            </w:r>
          </w:p>
        </w:tc>
      </w:tr>
      <w:tr w:rsidR="00283604" w:rsidRPr="00CD218D" w14:paraId="0BDA59B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182CD56" w14:textId="4292CF4E" w:rsidR="00283604" w:rsidRPr="00CD218D" w:rsidDel="007233C7" w:rsidRDefault="00C809B4">
            <w:pPr>
              <w:pStyle w:val="Tabletext"/>
            </w:pPr>
            <w:r w:rsidRPr="00C809B4">
              <w:t>3-120, 3-130, and 3</w:t>
            </w:r>
            <w:r>
              <w:noBreakHyphen/>
            </w:r>
            <w:r w:rsidRPr="00C809B4">
              <w:t>135</w:t>
            </w:r>
          </w:p>
        </w:tc>
        <w:tc>
          <w:tcPr>
            <w:tcW w:w="3743" w:type="dxa"/>
            <w:tcBorders>
              <w:top w:val="nil"/>
              <w:left w:val="nil"/>
              <w:bottom w:val="single" w:sz="4" w:space="0" w:color="auto"/>
              <w:right w:val="single" w:sz="4" w:space="0" w:color="auto"/>
            </w:tcBorders>
            <w:shd w:val="clear" w:color="auto" w:fill="auto"/>
            <w:vAlign w:val="bottom"/>
          </w:tcPr>
          <w:p w14:paraId="520C3ED9" w14:textId="77777777" w:rsidR="00283604" w:rsidRPr="00CD218D" w:rsidRDefault="00283604">
            <w:pPr>
              <w:pStyle w:val="Tabletext"/>
              <w:ind w:left="0"/>
            </w:pPr>
            <w:r w:rsidRPr="00CD218D">
              <w:t>Marketable Transferable Tax Credits</w:t>
            </w:r>
          </w:p>
        </w:tc>
        <w:tc>
          <w:tcPr>
            <w:tcW w:w="1746" w:type="dxa"/>
            <w:tcBorders>
              <w:top w:val="nil"/>
              <w:left w:val="nil"/>
              <w:bottom w:val="single" w:sz="4" w:space="0" w:color="auto"/>
              <w:right w:val="single" w:sz="4" w:space="0" w:color="auto"/>
            </w:tcBorders>
            <w:shd w:val="clear" w:color="auto" w:fill="auto"/>
            <w:noWrap/>
            <w:vAlign w:val="bottom"/>
          </w:tcPr>
          <w:p w14:paraId="6E31E991" w14:textId="61AA45E3" w:rsidR="00283604" w:rsidRPr="00C809B4" w:rsidRDefault="00283604" w:rsidP="00C809B4">
            <w:pPr>
              <w:spacing w:before="0" w:after="0"/>
              <w:rPr>
                <w:rFonts w:cs="Times New Roman"/>
                <w:sz w:val="24"/>
                <w:szCs w:val="24"/>
                <w:lang w:eastAsia="en-AU"/>
              </w:rPr>
            </w:pPr>
            <w:r w:rsidRPr="00CD218D">
              <w:rPr>
                <w:rFonts w:eastAsia="Times New Roman" w:cs="Times New Roman"/>
                <w:sz w:val="20"/>
                <w:szCs w:val="20"/>
                <w:lang w:eastAsia="en-AU"/>
              </w:rPr>
              <w:t>Paras 34 to 39 of Chapter 2 July 2023 AG</w:t>
            </w:r>
            <w:r w:rsidRPr="00CD218D">
              <w:rPr>
                <w:rFonts w:cs="Times New Roman"/>
                <w:sz w:val="24"/>
                <w:szCs w:val="24"/>
                <w:lang w:eastAsia="en-AU"/>
              </w:rPr>
              <w:t xml:space="preserve"> </w:t>
            </w:r>
          </w:p>
        </w:tc>
      </w:tr>
      <w:tr w:rsidR="00283604" w:rsidRPr="00CD218D" w14:paraId="1297706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2B15717" w14:textId="756CB404" w:rsidR="00283604" w:rsidRPr="00CD218D" w:rsidDel="007233C7" w:rsidRDefault="00C809B4">
            <w:pPr>
              <w:pStyle w:val="Tabletext"/>
            </w:pPr>
            <w:r w:rsidRPr="00C809B4">
              <w:t>-140, and 3-145</w:t>
            </w:r>
          </w:p>
        </w:tc>
        <w:tc>
          <w:tcPr>
            <w:tcW w:w="3743" w:type="dxa"/>
            <w:tcBorders>
              <w:top w:val="nil"/>
              <w:left w:val="nil"/>
              <w:bottom w:val="single" w:sz="4" w:space="0" w:color="auto"/>
              <w:right w:val="single" w:sz="4" w:space="0" w:color="auto"/>
            </w:tcBorders>
            <w:shd w:val="clear" w:color="auto" w:fill="auto"/>
            <w:vAlign w:val="bottom"/>
          </w:tcPr>
          <w:p w14:paraId="7866E65E" w14:textId="77777777" w:rsidR="00283604" w:rsidRPr="00CD218D" w:rsidRDefault="00283604">
            <w:pPr>
              <w:pStyle w:val="Tabletext"/>
              <w:ind w:left="0"/>
            </w:pPr>
            <w:r w:rsidRPr="00CD218D">
              <w:t>Non-Marketable Transferable Tax Credits</w:t>
            </w:r>
          </w:p>
        </w:tc>
        <w:tc>
          <w:tcPr>
            <w:tcW w:w="1746" w:type="dxa"/>
            <w:tcBorders>
              <w:top w:val="nil"/>
              <w:left w:val="nil"/>
              <w:bottom w:val="single" w:sz="4" w:space="0" w:color="auto"/>
              <w:right w:val="single" w:sz="4" w:space="0" w:color="auto"/>
            </w:tcBorders>
            <w:shd w:val="clear" w:color="auto" w:fill="auto"/>
            <w:noWrap/>
            <w:vAlign w:val="bottom"/>
          </w:tcPr>
          <w:p w14:paraId="1EA09C43" w14:textId="77777777" w:rsidR="00283604" w:rsidRPr="00CD218D" w:rsidRDefault="00283604">
            <w:pPr>
              <w:pStyle w:val="Tabletext"/>
              <w:ind w:left="0"/>
            </w:pPr>
            <w:r w:rsidRPr="00CD218D">
              <w:t>Paras 40 to 44 of Chapter 2 July 2023 AG</w:t>
            </w:r>
          </w:p>
        </w:tc>
      </w:tr>
      <w:tr w:rsidR="00283604" w:rsidRPr="00CD218D" w14:paraId="2573674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6C03D37" w14:textId="79E5EA64" w:rsidR="00283604" w:rsidRPr="00CD218D" w:rsidDel="007233C7" w:rsidRDefault="00C809B4" w:rsidP="00C809B4">
            <w:pPr>
              <w:pStyle w:val="Tabletext"/>
              <w:ind w:left="0"/>
            </w:pPr>
            <w:r>
              <w:t>No equivalent</w:t>
            </w:r>
          </w:p>
        </w:tc>
        <w:tc>
          <w:tcPr>
            <w:tcW w:w="3743" w:type="dxa"/>
            <w:tcBorders>
              <w:top w:val="nil"/>
              <w:left w:val="nil"/>
              <w:bottom w:val="single" w:sz="4" w:space="0" w:color="auto"/>
              <w:right w:val="single" w:sz="4" w:space="0" w:color="auto"/>
            </w:tcBorders>
            <w:shd w:val="clear" w:color="auto" w:fill="auto"/>
            <w:vAlign w:val="bottom"/>
          </w:tcPr>
          <w:p w14:paraId="234C2687" w14:textId="7B3CE298" w:rsidR="00283604" w:rsidRPr="00C809B4" w:rsidRDefault="00283604" w:rsidP="00C809B4">
            <w:pPr>
              <w:spacing w:before="0" w:after="0"/>
              <w:rPr>
                <w:rFonts w:cs="Times New Roman"/>
                <w:sz w:val="24"/>
                <w:szCs w:val="24"/>
                <w:lang w:eastAsia="en-AU"/>
              </w:rPr>
            </w:pPr>
            <w:r w:rsidRPr="00CD218D">
              <w:rPr>
                <w:rFonts w:eastAsia="Times New Roman" w:cs="Times New Roman"/>
                <w:sz w:val="20"/>
                <w:szCs w:val="20"/>
                <w:lang w:eastAsia="en-AU"/>
              </w:rPr>
              <w:t>Qualified Flow-Through Tax Benefits timing rule</w:t>
            </w:r>
            <w:r w:rsidRPr="00CD218D">
              <w:rPr>
                <w:rFonts w:cs="Times New Roman"/>
                <w:sz w:val="24"/>
                <w:szCs w:val="24"/>
                <w:lang w:eastAsia="en-AU"/>
              </w:rPr>
              <w:t xml:space="preserve"> </w:t>
            </w:r>
          </w:p>
        </w:tc>
        <w:tc>
          <w:tcPr>
            <w:tcW w:w="1746" w:type="dxa"/>
            <w:tcBorders>
              <w:top w:val="nil"/>
              <w:left w:val="nil"/>
              <w:bottom w:val="single" w:sz="4" w:space="0" w:color="auto"/>
              <w:right w:val="single" w:sz="4" w:space="0" w:color="auto"/>
            </w:tcBorders>
            <w:shd w:val="clear" w:color="auto" w:fill="auto"/>
            <w:noWrap/>
            <w:vAlign w:val="bottom"/>
          </w:tcPr>
          <w:p w14:paraId="3B6ED1CD" w14:textId="77777777" w:rsidR="00283604" w:rsidRPr="00CD218D" w:rsidRDefault="00283604">
            <w:pPr>
              <w:pStyle w:val="Tabletext"/>
              <w:ind w:left="0"/>
            </w:pPr>
            <w:r w:rsidRPr="00CD218D">
              <w:t>Paras 45 to 52 of Chapter 2 July 2023 AG</w:t>
            </w:r>
          </w:p>
        </w:tc>
      </w:tr>
      <w:tr w:rsidR="00283604" w:rsidRPr="00CD218D" w14:paraId="6E2A618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74D3B3F" w14:textId="55BF2033" w:rsidR="00283604" w:rsidRPr="00CD218D" w:rsidRDefault="00283604">
            <w:pPr>
              <w:pStyle w:val="Tabletext"/>
            </w:pPr>
            <w:r w:rsidRPr="00CD218D">
              <w:t>3-</w:t>
            </w:r>
            <w:r w:rsidR="00662869" w:rsidRPr="00CD218D">
              <w:t>150</w:t>
            </w:r>
          </w:p>
        </w:tc>
        <w:tc>
          <w:tcPr>
            <w:tcW w:w="3743" w:type="dxa"/>
            <w:tcBorders>
              <w:top w:val="nil"/>
              <w:left w:val="nil"/>
              <w:bottom w:val="single" w:sz="4" w:space="0" w:color="auto"/>
              <w:right w:val="single" w:sz="4" w:space="0" w:color="auto"/>
            </w:tcBorders>
            <w:shd w:val="clear" w:color="auto" w:fill="auto"/>
            <w:vAlign w:val="bottom"/>
            <w:hideMark/>
          </w:tcPr>
          <w:p w14:paraId="48E6CBC9" w14:textId="77777777" w:rsidR="00283604" w:rsidRPr="00CD218D" w:rsidRDefault="00283604">
            <w:pPr>
              <w:pStyle w:val="Tabletext"/>
            </w:pPr>
            <w:r w:rsidRPr="00CD218D">
              <w:t>Realisation principle of gains and losses - Five-Year Election</w:t>
            </w:r>
          </w:p>
        </w:tc>
        <w:tc>
          <w:tcPr>
            <w:tcW w:w="1746" w:type="dxa"/>
            <w:tcBorders>
              <w:top w:val="nil"/>
              <w:left w:val="nil"/>
              <w:bottom w:val="single" w:sz="4" w:space="0" w:color="auto"/>
              <w:right w:val="single" w:sz="4" w:space="0" w:color="auto"/>
            </w:tcBorders>
            <w:shd w:val="clear" w:color="auto" w:fill="auto"/>
            <w:noWrap/>
            <w:vAlign w:val="bottom"/>
            <w:hideMark/>
          </w:tcPr>
          <w:p w14:paraId="5924A713" w14:textId="77777777" w:rsidR="00283604" w:rsidRPr="00CD218D" w:rsidRDefault="00283604">
            <w:pPr>
              <w:pStyle w:val="Tabletext"/>
            </w:pPr>
            <w:r w:rsidRPr="00CD218D">
              <w:t>3.2.5</w:t>
            </w:r>
          </w:p>
        </w:tc>
      </w:tr>
      <w:tr w:rsidR="00283604" w:rsidRPr="00CD218D" w14:paraId="43B67A6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AEDAD19" w14:textId="337E45CE" w:rsidR="00283604" w:rsidRPr="00CD218D" w:rsidRDefault="00283604">
            <w:pPr>
              <w:pStyle w:val="Tabletext"/>
            </w:pPr>
            <w:r w:rsidRPr="00CD218D">
              <w:t>3-</w:t>
            </w:r>
            <w:r w:rsidR="00F74032" w:rsidRPr="00CD218D">
              <w:t xml:space="preserve">155 </w:t>
            </w:r>
            <w:r w:rsidRPr="00CD218D">
              <w:t>to 3-</w:t>
            </w:r>
            <w:r w:rsidR="00F74032" w:rsidRPr="00CD218D">
              <w:t>175</w:t>
            </w:r>
          </w:p>
        </w:tc>
        <w:tc>
          <w:tcPr>
            <w:tcW w:w="3743" w:type="dxa"/>
            <w:tcBorders>
              <w:top w:val="nil"/>
              <w:left w:val="nil"/>
              <w:bottom w:val="single" w:sz="4" w:space="0" w:color="auto"/>
              <w:right w:val="single" w:sz="4" w:space="0" w:color="auto"/>
            </w:tcBorders>
            <w:shd w:val="clear" w:color="auto" w:fill="auto"/>
            <w:vAlign w:val="bottom"/>
            <w:hideMark/>
          </w:tcPr>
          <w:p w14:paraId="3B16858E" w14:textId="51A8FE6C" w:rsidR="00283604" w:rsidRPr="00CD218D" w:rsidRDefault="00283604">
            <w:pPr>
              <w:pStyle w:val="Tabletext"/>
            </w:pPr>
            <w:r w:rsidRPr="00CD218D">
              <w:t xml:space="preserve">Spread aggregate asset gain over 5 years - </w:t>
            </w:r>
            <w:r w:rsidR="002330EF">
              <w:t>Annual Election</w:t>
            </w:r>
          </w:p>
        </w:tc>
        <w:tc>
          <w:tcPr>
            <w:tcW w:w="1746" w:type="dxa"/>
            <w:tcBorders>
              <w:top w:val="nil"/>
              <w:left w:val="nil"/>
              <w:bottom w:val="single" w:sz="4" w:space="0" w:color="auto"/>
              <w:right w:val="single" w:sz="4" w:space="0" w:color="auto"/>
            </w:tcBorders>
            <w:shd w:val="clear" w:color="auto" w:fill="auto"/>
            <w:noWrap/>
            <w:vAlign w:val="bottom"/>
            <w:hideMark/>
          </w:tcPr>
          <w:p w14:paraId="6A0E5A98" w14:textId="77777777" w:rsidR="00283604" w:rsidRPr="00CD218D" w:rsidRDefault="00283604">
            <w:pPr>
              <w:pStyle w:val="Tabletext"/>
            </w:pPr>
            <w:r w:rsidRPr="00CD218D">
              <w:t>3.2.6</w:t>
            </w:r>
          </w:p>
        </w:tc>
      </w:tr>
      <w:tr w:rsidR="00283604" w:rsidRPr="00CD218D" w14:paraId="2CD2D3AB"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A82543A" w14:textId="00CBB375" w:rsidR="00283604" w:rsidRPr="00CD218D" w:rsidRDefault="00283604">
            <w:pPr>
              <w:pStyle w:val="Tabletext"/>
            </w:pPr>
            <w:r w:rsidRPr="00CD218D">
              <w:t>3-</w:t>
            </w:r>
            <w:r w:rsidR="00F74032" w:rsidRPr="00CD218D">
              <w:t xml:space="preserve">180 </w:t>
            </w:r>
            <w:r w:rsidRPr="00CD218D">
              <w:t>to 3-</w:t>
            </w:r>
            <w:r w:rsidR="00F74032" w:rsidRPr="00CD218D">
              <w:t>195</w:t>
            </w:r>
          </w:p>
        </w:tc>
        <w:tc>
          <w:tcPr>
            <w:tcW w:w="3743" w:type="dxa"/>
            <w:tcBorders>
              <w:top w:val="nil"/>
              <w:left w:val="nil"/>
              <w:bottom w:val="single" w:sz="4" w:space="0" w:color="auto"/>
              <w:right w:val="single" w:sz="4" w:space="0" w:color="auto"/>
            </w:tcBorders>
            <w:shd w:val="clear" w:color="auto" w:fill="auto"/>
            <w:vAlign w:val="bottom"/>
            <w:hideMark/>
          </w:tcPr>
          <w:p w14:paraId="04E5FF41" w14:textId="77777777" w:rsidR="00283604" w:rsidRPr="00CD218D" w:rsidRDefault="00283604">
            <w:pPr>
              <w:pStyle w:val="Tabletext"/>
            </w:pPr>
            <w:r w:rsidRPr="00CD218D">
              <w:t xml:space="preserve">Exclude expenses relating to intragroup financing </w:t>
            </w:r>
          </w:p>
        </w:tc>
        <w:tc>
          <w:tcPr>
            <w:tcW w:w="1746" w:type="dxa"/>
            <w:tcBorders>
              <w:top w:val="nil"/>
              <w:left w:val="nil"/>
              <w:bottom w:val="single" w:sz="4" w:space="0" w:color="auto"/>
              <w:right w:val="single" w:sz="4" w:space="0" w:color="auto"/>
            </w:tcBorders>
            <w:shd w:val="clear" w:color="auto" w:fill="auto"/>
            <w:noWrap/>
            <w:vAlign w:val="bottom"/>
            <w:hideMark/>
          </w:tcPr>
          <w:p w14:paraId="067E0D59" w14:textId="77777777" w:rsidR="00283604" w:rsidRPr="00CD218D" w:rsidRDefault="00283604">
            <w:pPr>
              <w:pStyle w:val="Tabletext"/>
            </w:pPr>
            <w:r w:rsidRPr="00CD218D">
              <w:t>3.2.7</w:t>
            </w:r>
          </w:p>
        </w:tc>
      </w:tr>
      <w:tr w:rsidR="00283604" w:rsidRPr="00CD218D" w14:paraId="0183ECC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F0F13C6" w14:textId="11BE6CFA" w:rsidR="00283604" w:rsidRPr="00CD218D" w:rsidRDefault="00283604">
            <w:pPr>
              <w:pStyle w:val="Tabletext"/>
            </w:pPr>
            <w:r w:rsidRPr="00CD218D">
              <w:t>3-</w:t>
            </w:r>
            <w:r w:rsidR="00F74032" w:rsidRPr="00CD218D">
              <w:t>200</w:t>
            </w:r>
          </w:p>
        </w:tc>
        <w:tc>
          <w:tcPr>
            <w:tcW w:w="3743" w:type="dxa"/>
            <w:tcBorders>
              <w:top w:val="nil"/>
              <w:left w:val="nil"/>
              <w:bottom w:val="single" w:sz="4" w:space="0" w:color="auto"/>
              <w:right w:val="single" w:sz="4" w:space="0" w:color="auto"/>
            </w:tcBorders>
            <w:shd w:val="clear" w:color="auto" w:fill="auto"/>
            <w:vAlign w:val="bottom"/>
            <w:hideMark/>
          </w:tcPr>
          <w:p w14:paraId="707665CC" w14:textId="77777777" w:rsidR="00283604" w:rsidRPr="00CD218D" w:rsidRDefault="00283604">
            <w:pPr>
              <w:pStyle w:val="Tabletext"/>
            </w:pPr>
            <w:r w:rsidRPr="00CD218D">
              <w:t xml:space="preserve">Consolidated accounting treatment - Five-Year Election  </w:t>
            </w:r>
          </w:p>
        </w:tc>
        <w:tc>
          <w:tcPr>
            <w:tcW w:w="1746" w:type="dxa"/>
            <w:tcBorders>
              <w:top w:val="nil"/>
              <w:left w:val="nil"/>
              <w:bottom w:val="single" w:sz="4" w:space="0" w:color="auto"/>
              <w:right w:val="single" w:sz="4" w:space="0" w:color="auto"/>
            </w:tcBorders>
            <w:shd w:val="clear" w:color="auto" w:fill="auto"/>
            <w:noWrap/>
            <w:vAlign w:val="bottom"/>
            <w:hideMark/>
          </w:tcPr>
          <w:p w14:paraId="092C3F45" w14:textId="77777777" w:rsidR="00283604" w:rsidRPr="00CD218D" w:rsidRDefault="00283604">
            <w:pPr>
              <w:pStyle w:val="Tabletext"/>
            </w:pPr>
            <w:r w:rsidRPr="00CD218D">
              <w:t>3.2.8</w:t>
            </w:r>
          </w:p>
        </w:tc>
      </w:tr>
      <w:tr w:rsidR="00283604" w:rsidRPr="00CD218D" w14:paraId="2FEB8CB4"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D200076" w14:textId="16D7270C" w:rsidR="00283604" w:rsidRPr="00CD218D" w:rsidRDefault="00283604">
            <w:pPr>
              <w:pStyle w:val="Tabletext"/>
            </w:pPr>
            <w:r w:rsidRPr="00CD218D">
              <w:t>3-</w:t>
            </w:r>
            <w:r w:rsidR="00F74032" w:rsidRPr="00CD218D">
              <w:t>205</w:t>
            </w:r>
          </w:p>
        </w:tc>
        <w:tc>
          <w:tcPr>
            <w:tcW w:w="3743" w:type="dxa"/>
            <w:tcBorders>
              <w:top w:val="nil"/>
              <w:left w:val="nil"/>
              <w:bottom w:val="single" w:sz="4" w:space="0" w:color="auto"/>
              <w:right w:val="single" w:sz="4" w:space="0" w:color="auto"/>
            </w:tcBorders>
            <w:shd w:val="clear" w:color="auto" w:fill="auto"/>
            <w:vAlign w:val="bottom"/>
            <w:hideMark/>
          </w:tcPr>
          <w:p w14:paraId="0FBE8B1C" w14:textId="77777777" w:rsidR="00283604" w:rsidRPr="00CD218D" w:rsidRDefault="00283604">
            <w:pPr>
              <w:pStyle w:val="Tabletext"/>
            </w:pPr>
            <w:r w:rsidRPr="00CD218D">
              <w:t>Exclude certain insurance expenses charged onto policyholders</w:t>
            </w:r>
          </w:p>
        </w:tc>
        <w:tc>
          <w:tcPr>
            <w:tcW w:w="1746" w:type="dxa"/>
            <w:tcBorders>
              <w:top w:val="nil"/>
              <w:left w:val="nil"/>
              <w:bottom w:val="single" w:sz="4" w:space="0" w:color="auto"/>
              <w:right w:val="single" w:sz="4" w:space="0" w:color="auto"/>
            </w:tcBorders>
            <w:shd w:val="clear" w:color="auto" w:fill="auto"/>
            <w:noWrap/>
            <w:vAlign w:val="bottom"/>
            <w:hideMark/>
          </w:tcPr>
          <w:p w14:paraId="1BEB60C1" w14:textId="77777777" w:rsidR="00283604" w:rsidRPr="00CD218D" w:rsidRDefault="00283604">
            <w:pPr>
              <w:pStyle w:val="Tabletext"/>
            </w:pPr>
            <w:r w:rsidRPr="00CD218D">
              <w:t>3.2.9</w:t>
            </w:r>
          </w:p>
        </w:tc>
      </w:tr>
      <w:tr w:rsidR="00283604" w:rsidRPr="00CD218D" w14:paraId="6E40738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A819EE4" w14:textId="1AF4BB73" w:rsidR="00283604" w:rsidRPr="00CD218D" w:rsidRDefault="00283604">
            <w:pPr>
              <w:pStyle w:val="Tabletext"/>
            </w:pPr>
            <w:r w:rsidRPr="00CD218D">
              <w:lastRenderedPageBreak/>
              <w:t>3-</w:t>
            </w:r>
            <w:r w:rsidR="00F74032" w:rsidRPr="00CD218D">
              <w:t>210</w:t>
            </w:r>
          </w:p>
        </w:tc>
        <w:tc>
          <w:tcPr>
            <w:tcW w:w="3743" w:type="dxa"/>
            <w:tcBorders>
              <w:top w:val="nil"/>
              <w:left w:val="nil"/>
              <w:bottom w:val="single" w:sz="4" w:space="0" w:color="auto"/>
              <w:right w:val="single" w:sz="4" w:space="0" w:color="auto"/>
            </w:tcBorders>
            <w:shd w:val="clear" w:color="auto" w:fill="auto"/>
            <w:vAlign w:val="bottom"/>
            <w:hideMark/>
          </w:tcPr>
          <w:p w14:paraId="59B9984C" w14:textId="77777777" w:rsidR="00283604" w:rsidRPr="00CD218D" w:rsidRDefault="00283604">
            <w:pPr>
              <w:pStyle w:val="Tabletext"/>
            </w:pPr>
            <w:r w:rsidRPr="00CD218D">
              <w:t>Additional tier one capital</w:t>
            </w:r>
          </w:p>
        </w:tc>
        <w:tc>
          <w:tcPr>
            <w:tcW w:w="1746" w:type="dxa"/>
            <w:tcBorders>
              <w:top w:val="nil"/>
              <w:left w:val="nil"/>
              <w:bottom w:val="single" w:sz="4" w:space="0" w:color="auto"/>
              <w:right w:val="single" w:sz="4" w:space="0" w:color="auto"/>
            </w:tcBorders>
            <w:shd w:val="clear" w:color="auto" w:fill="auto"/>
            <w:noWrap/>
            <w:vAlign w:val="bottom"/>
            <w:hideMark/>
          </w:tcPr>
          <w:p w14:paraId="40148509" w14:textId="77777777" w:rsidR="00283604" w:rsidRPr="00CD218D" w:rsidRDefault="00283604">
            <w:pPr>
              <w:pStyle w:val="Tabletext"/>
            </w:pPr>
            <w:r w:rsidRPr="00CD218D">
              <w:t>3.2.10</w:t>
            </w:r>
          </w:p>
        </w:tc>
      </w:tr>
      <w:tr w:rsidR="00283604" w:rsidRPr="00CD218D" w14:paraId="7F13EAE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99DB46D" w14:textId="03F56086" w:rsidR="00283604" w:rsidRPr="00CD218D" w:rsidRDefault="00283604">
            <w:pPr>
              <w:pStyle w:val="Tabletext"/>
            </w:pPr>
            <w:r w:rsidRPr="00CD218D">
              <w:t>3-</w:t>
            </w:r>
            <w:r w:rsidR="00F74032" w:rsidRPr="00CD218D">
              <w:t>210</w:t>
            </w:r>
          </w:p>
        </w:tc>
        <w:tc>
          <w:tcPr>
            <w:tcW w:w="3743" w:type="dxa"/>
            <w:tcBorders>
              <w:top w:val="nil"/>
              <w:left w:val="nil"/>
              <w:bottom w:val="single" w:sz="4" w:space="0" w:color="auto"/>
              <w:right w:val="single" w:sz="4" w:space="0" w:color="auto"/>
            </w:tcBorders>
            <w:shd w:val="clear" w:color="auto" w:fill="auto"/>
            <w:vAlign w:val="bottom"/>
            <w:hideMark/>
          </w:tcPr>
          <w:p w14:paraId="721F8918" w14:textId="77777777" w:rsidR="00283604" w:rsidRPr="00CD218D" w:rsidRDefault="00283604">
            <w:pPr>
              <w:pStyle w:val="Tabletext"/>
            </w:pPr>
            <w:r w:rsidRPr="00CD218D">
              <w:t>Restricted tier one capital</w:t>
            </w:r>
          </w:p>
        </w:tc>
        <w:tc>
          <w:tcPr>
            <w:tcW w:w="1746" w:type="dxa"/>
            <w:tcBorders>
              <w:top w:val="nil"/>
              <w:left w:val="nil"/>
              <w:bottom w:val="single" w:sz="4" w:space="0" w:color="auto"/>
              <w:right w:val="single" w:sz="4" w:space="0" w:color="auto"/>
            </w:tcBorders>
            <w:shd w:val="clear" w:color="auto" w:fill="auto"/>
            <w:noWrap/>
            <w:vAlign w:val="bottom"/>
            <w:hideMark/>
          </w:tcPr>
          <w:p w14:paraId="3EDB5335" w14:textId="77777777" w:rsidR="00283604" w:rsidRPr="00CD218D" w:rsidRDefault="00283604">
            <w:pPr>
              <w:pStyle w:val="Tabletext"/>
            </w:pPr>
            <w:r w:rsidRPr="00CD218D">
              <w:t>3.3 of the February AG</w:t>
            </w:r>
          </w:p>
        </w:tc>
      </w:tr>
      <w:tr w:rsidR="00283604" w:rsidRPr="00CD218D" w14:paraId="5540ACA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A2760CE" w14:textId="3240274D" w:rsidR="00283604" w:rsidRPr="00CD218D" w:rsidRDefault="00283604">
            <w:pPr>
              <w:pStyle w:val="Tabletext"/>
            </w:pPr>
            <w:r w:rsidRPr="00CD218D">
              <w:t>3-</w:t>
            </w:r>
            <w:r w:rsidR="00F74032" w:rsidRPr="00CD218D">
              <w:t>215</w:t>
            </w:r>
          </w:p>
        </w:tc>
        <w:tc>
          <w:tcPr>
            <w:tcW w:w="3743" w:type="dxa"/>
            <w:tcBorders>
              <w:top w:val="nil"/>
              <w:left w:val="nil"/>
              <w:bottom w:val="single" w:sz="4" w:space="0" w:color="auto"/>
              <w:right w:val="single" w:sz="4" w:space="0" w:color="auto"/>
            </w:tcBorders>
            <w:shd w:val="clear" w:color="auto" w:fill="auto"/>
            <w:vAlign w:val="bottom"/>
            <w:hideMark/>
          </w:tcPr>
          <w:p w14:paraId="13B9A45E" w14:textId="3E5A5642" w:rsidR="00283604" w:rsidRPr="00CD218D" w:rsidRDefault="00283604">
            <w:pPr>
              <w:pStyle w:val="Tabletext"/>
            </w:pPr>
            <w:r w:rsidRPr="00CD218D">
              <w:t xml:space="preserve">Adjustments under </w:t>
            </w:r>
            <w:r w:rsidR="00BB67DE">
              <w:t>C</w:t>
            </w:r>
            <w:r w:rsidRPr="00CD218D">
              <w:t>hapter</w:t>
            </w:r>
            <w:r w:rsidR="00BB67DE">
              <w:t>s</w:t>
            </w:r>
            <w:r w:rsidRPr="00CD218D">
              <w:t xml:space="preserve"> 6 and 7</w:t>
            </w:r>
          </w:p>
        </w:tc>
        <w:tc>
          <w:tcPr>
            <w:tcW w:w="1746" w:type="dxa"/>
            <w:tcBorders>
              <w:top w:val="nil"/>
              <w:left w:val="nil"/>
              <w:bottom w:val="single" w:sz="4" w:space="0" w:color="auto"/>
              <w:right w:val="single" w:sz="4" w:space="0" w:color="auto"/>
            </w:tcBorders>
            <w:shd w:val="clear" w:color="auto" w:fill="auto"/>
            <w:noWrap/>
            <w:vAlign w:val="bottom"/>
            <w:hideMark/>
          </w:tcPr>
          <w:p w14:paraId="53E36258" w14:textId="77777777" w:rsidR="00283604" w:rsidRPr="00CD218D" w:rsidRDefault="00283604">
            <w:pPr>
              <w:pStyle w:val="Tabletext"/>
            </w:pPr>
            <w:r w:rsidRPr="00CD218D">
              <w:t>3.2.11</w:t>
            </w:r>
          </w:p>
        </w:tc>
      </w:tr>
      <w:tr w:rsidR="00283604" w:rsidRPr="00CD218D" w14:paraId="1385993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D2C3E9D" w14:textId="77777777" w:rsidR="00283604" w:rsidRPr="00CD218D" w:rsidRDefault="00283604">
            <w:pPr>
              <w:pStyle w:val="Tabletext"/>
            </w:pPr>
            <w:r w:rsidRPr="00CD218D">
              <w:t xml:space="preserve">Part 3-2 </w:t>
            </w:r>
          </w:p>
        </w:tc>
        <w:tc>
          <w:tcPr>
            <w:tcW w:w="3743" w:type="dxa"/>
            <w:tcBorders>
              <w:top w:val="nil"/>
              <w:left w:val="nil"/>
              <w:bottom w:val="single" w:sz="4" w:space="0" w:color="auto"/>
              <w:right w:val="single" w:sz="4" w:space="0" w:color="auto"/>
            </w:tcBorders>
            <w:shd w:val="clear" w:color="auto" w:fill="auto"/>
            <w:noWrap/>
            <w:vAlign w:val="bottom"/>
            <w:hideMark/>
          </w:tcPr>
          <w:p w14:paraId="156ACC81" w14:textId="77777777" w:rsidR="00283604" w:rsidRPr="00CD218D" w:rsidRDefault="00283604">
            <w:pPr>
              <w:pStyle w:val="Tabletext"/>
            </w:pPr>
            <w:r w:rsidRPr="00CD218D">
              <w:t>Accrued pension expense</w:t>
            </w:r>
          </w:p>
        </w:tc>
        <w:tc>
          <w:tcPr>
            <w:tcW w:w="1746" w:type="dxa"/>
            <w:tcBorders>
              <w:top w:val="nil"/>
              <w:left w:val="nil"/>
              <w:bottom w:val="single" w:sz="4" w:space="0" w:color="auto"/>
              <w:right w:val="single" w:sz="4" w:space="0" w:color="auto"/>
            </w:tcBorders>
            <w:shd w:val="clear" w:color="auto" w:fill="auto"/>
            <w:noWrap/>
            <w:vAlign w:val="bottom"/>
            <w:hideMark/>
          </w:tcPr>
          <w:p w14:paraId="3D341E92" w14:textId="77777777" w:rsidR="00283604" w:rsidRPr="00CD218D" w:rsidRDefault="00283604">
            <w:pPr>
              <w:pStyle w:val="Tabletext"/>
            </w:pPr>
            <w:r w:rsidRPr="00CD218D">
              <w:t>2.5 of the February AG</w:t>
            </w:r>
          </w:p>
        </w:tc>
      </w:tr>
      <w:tr w:rsidR="00283604" w:rsidRPr="00CD218D" w14:paraId="54B15DC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754769B" w14:textId="77777777" w:rsidR="00283604" w:rsidRPr="00CD218D" w:rsidRDefault="00283604">
            <w:pPr>
              <w:pStyle w:val="Tabletext"/>
              <w:rPr>
                <w:b/>
                <w:bCs/>
              </w:rPr>
            </w:pPr>
            <w:r w:rsidRPr="00CD218D">
              <w:rPr>
                <w:b/>
                <w:bCs/>
              </w:rPr>
              <w:t>Part 3-3</w:t>
            </w:r>
          </w:p>
        </w:tc>
        <w:tc>
          <w:tcPr>
            <w:tcW w:w="3743" w:type="dxa"/>
            <w:tcBorders>
              <w:top w:val="nil"/>
              <w:left w:val="nil"/>
              <w:bottom w:val="single" w:sz="4" w:space="0" w:color="auto"/>
              <w:right w:val="single" w:sz="4" w:space="0" w:color="auto"/>
            </w:tcBorders>
            <w:shd w:val="clear" w:color="auto" w:fill="auto"/>
            <w:vAlign w:val="bottom"/>
            <w:hideMark/>
          </w:tcPr>
          <w:p w14:paraId="4E56C9B0" w14:textId="77777777" w:rsidR="00283604" w:rsidRPr="00CD218D" w:rsidRDefault="00283604">
            <w:pPr>
              <w:pStyle w:val="Tabletext"/>
              <w:rPr>
                <w:b/>
                <w:bCs/>
              </w:rPr>
            </w:pPr>
            <w:r w:rsidRPr="00CD218D">
              <w:rPr>
                <w:b/>
                <w:bCs/>
              </w:rPr>
              <w:t>International Shipping Income exclusion</w:t>
            </w:r>
          </w:p>
        </w:tc>
        <w:tc>
          <w:tcPr>
            <w:tcW w:w="1746" w:type="dxa"/>
            <w:tcBorders>
              <w:top w:val="nil"/>
              <w:left w:val="nil"/>
              <w:bottom w:val="single" w:sz="4" w:space="0" w:color="auto"/>
              <w:right w:val="single" w:sz="4" w:space="0" w:color="auto"/>
            </w:tcBorders>
            <w:shd w:val="clear" w:color="auto" w:fill="auto"/>
            <w:noWrap/>
            <w:vAlign w:val="bottom"/>
            <w:hideMark/>
          </w:tcPr>
          <w:p w14:paraId="7284334F" w14:textId="77777777" w:rsidR="00283604" w:rsidRPr="00CD218D" w:rsidRDefault="00283604">
            <w:pPr>
              <w:pStyle w:val="Tabletext"/>
              <w:rPr>
                <w:b/>
                <w:bCs/>
              </w:rPr>
            </w:pPr>
            <w:r w:rsidRPr="00CD218D">
              <w:rPr>
                <w:b/>
                <w:bCs/>
              </w:rPr>
              <w:t>3.3</w:t>
            </w:r>
          </w:p>
        </w:tc>
      </w:tr>
      <w:tr w:rsidR="00283604" w:rsidRPr="00CD218D" w14:paraId="70548AD3" w14:textId="77777777">
        <w:trPr>
          <w:trHeight w:val="6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36678ED" w14:textId="44CD2944" w:rsidR="00283604" w:rsidRPr="00CD218D" w:rsidRDefault="00283604">
            <w:pPr>
              <w:pStyle w:val="Tabletext"/>
            </w:pPr>
            <w:r w:rsidRPr="00CD218D">
              <w:t>3-</w:t>
            </w:r>
            <w:r w:rsidR="00F74032" w:rsidRPr="00CD218D">
              <w:t>220</w:t>
            </w:r>
          </w:p>
        </w:tc>
        <w:tc>
          <w:tcPr>
            <w:tcW w:w="3743" w:type="dxa"/>
            <w:tcBorders>
              <w:top w:val="nil"/>
              <w:left w:val="nil"/>
              <w:bottom w:val="single" w:sz="4" w:space="0" w:color="auto"/>
              <w:right w:val="single" w:sz="4" w:space="0" w:color="auto"/>
            </w:tcBorders>
            <w:shd w:val="clear" w:color="auto" w:fill="auto"/>
            <w:vAlign w:val="bottom"/>
            <w:hideMark/>
          </w:tcPr>
          <w:p w14:paraId="7D39DE55" w14:textId="4356BEAB" w:rsidR="00283604" w:rsidRPr="00CD218D" w:rsidRDefault="00283604">
            <w:pPr>
              <w:pStyle w:val="Tabletext"/>
            </w:pPr>
            <w:r w:rsidRPr="00CD218D">
              <w:t xml:space="preserve">Exclude </w:t>
            </w:r>
            <w:r w:rsidR="007F271F" w:rsidRPr="00CD218D">
              <w:t xml:space="preserve">International Shipping Income </w:t>
            </w:r>
            <w:r w:rsidRPr="00CD218D">
              <w:t>and qualified ancillary</w:t>
            </w:r>
            <w:r w:rsidR="007F271F" w:rsidRPr="00CD218D">
              <w:t xml:space="preserve"> International Shipping Income</w:t>
            </w:r>
          </w:p>
        </w:tc>
        <w:tc>
          <w:tcPr>
            <w:tcW w:w="1746" w:type="dxa"/>
            <w:tcBorders>
              <w:top w:val="nil"/>
              <w:left w:val="nil"/>
              <w:bottom w:val="single" w:sz="4" w:space="0" w:color="auto"/>
              <w:right w:val="single" w:sz="4" w:space="0" w:color="auto"/>
            </w:tcBorders>
            <w:shd w:val="clear" w:color="auto" w:fill="auto"/>
            <w:noWrap/>
            <w:vAlign w:val="bottom"/>
            <w:hideMark/>
          </w:tcPr>
          <w:p w14:paraId="30135299" w14:textId="77777777" w:rsidR="00283604" w:rsidRPr="00CD218D" w:rsidRDefault="00283604">
            <w:pPr>
              <w:pStyle w:val="Tabletext"/>
            </w:pPr>
            <w:r w:rsidRPr="00CD218D">
              <w:t>3.3.1</w:t>
            </w:r>
          </w:p>
        </w:tc>
      </w:tr>
      <w:tr w:rsidR="00283604" w:rsidRPr="00CD218D" w14:paraId="74A7270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65EB949" w14:textId="1238E52B" w:rsidR="00283604" w:rsidRPr="00CD218D" w:rsidRDefault="00283604">
            <w:pPr>
              <w:pStyle w:val="Tabletext"/>
            </w:pPr>
            <w:r w:rsidRPr="00CD218D">
              <w:t>3-</w:t>
            </w:r>
            <w:r w:rsidR="00F74032" w:rsidRPr="00CD218D">
              <w:t>225</w:t>
            </w:r>
            <w:r w:rsidRPr="00CD218D">
              <w:t>(2)</w:t>
            </w:r>
          </w:p>
        </w:tc>
        <w:tc>
          <w:tcPr>
            <w:tcW w:w="3743" w:type="dxa"/>
            <w:tcBorders>
              <w:top w:val="nil"/>
              <w:left w:val="nil"/>
              <w:bottom w:val="single" w:sz="4" w:space="0" w:color="auto"/>
              <w:right w:val="single" w:sz="4" w:space="0" w:color="auto"/>
            </w:tcBorders>
            <w:shd w:val="clear" w:color="auto" w:fill="auto"/>
            <w:vAlign w:val="bottom"/>
            <w:hideMark/>
          </w:tcPr>
          <w:p w14:paraId="2AF71072" w14:textId="231BF9F7" w:rsidR="00283604" w:rsidRPr="00CD218D" w:rsidRDefault="00283604">
            <w:pPr>
              <w:pStyle w:val="Tabletext"/>
            </w:pPr>
            <w:r w:rsidRPr="00CD218D">
              <w:t xml:space="preserve">Definition of </w:t>
            </w:r>
            <w:r w:rsidR="007F271F" w:rsidRPr="00CD218D">
              <w:t>International Shipping Income</w:t>
            </w:r>
          </w:p>
        </w:tc>
        <w:tc>
          <w:tcPr>
            <w:tcW w:w="1746" w:type="dxa"/>
            <w:tcBorders>
              <w:top w:val="nil"/>
              <w:left w:val="nil"/>
              <w:bottom w:val="single" w:sz="4" w:space="0" w:color="auto"/>
              <w:right w:val="single" w:sz="4" w:space="0" w:color="auto"/>
            </w:tcBorders>
            <w:shd w:val="clear" w:color="auto" w:fill="auto"/>
            <w:noWrap/>
            <w:vAlign w:val="bottom"/>
            <w:hideMark/>
          </w:tcPr>
          <w:p w14:paraId="633EA0AE" w14:textId="77777777" w:rsidR="00283604" w:rsidRPr="00CD218D" w:rsidRDefault="00283604">
            <w:pPr>
              <w:pStyle w:val="Tabletext"/>
            </w:pPr>
            <w:r w:rsidRPr="00CD218D">
              <w:t>3.3.2</w:t>
            </w:r>
          </w:p>
        </w:tc>
      </w:tr>
      <w:tr w:rsidR="00283604" w:rsidRPr="00CD218D" w14:paraId="5D60883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B91F085" w14:textId="5EF5DB9B" w:rsidR="00283604" w:rsidRPr="00CD218D" w:rsidRDefault="00283604">
            <w:pPr>
              <w:pStyle w:val="Tabletext"/>
            </w:pPr>
            <w:r w:rsidRPr="00CD218D">
              <w:t>3-</w:t>
            </w:r>
            <w:r w:rsidR="00F74032" w:rsidRPr="00CD218D">
              <w:t>225</w:t>
            </w:r>
            <w:r w:rsidRPr="00CD218D">
              <w:t>(3) and 3-</w:t>
            </w:r>
            <w:r w:rsidR="00F74032" w:rsidRPr="00CD218D">
              <w:t>230</w:t>
            </w:r>
            <w:r w:rsidRPr="00CD218D">
              <w:t>(4)</w:t>
            </w:r>
          </w:p>
        </w:tc>
        <w:tc>
          <w:tcPr>
            <w:tcW w:w="3743" w:type="dxa"/>
            <w:tcBorders>
              <w:top w:val="nil"/>
              <w:left w:val="nil"/>
              <w:bottom w:val="single" w:sz="4" w:space="0" w:color="auto"/>
              <w:right w:val="single" w:sz="4" w:space="0" w:color="auto"/>
            </w:tcBorders>
            <w:shd w:val="clear" w:color="auto" w:fill="auto"/>
            <w:vAlign w:val="bottom"/>
          </w:tcPr>
          <w:p w14:paraId="38C4ED37" w14:textId="77777777" w:rsidR="00283604" w:rsidRPr="00CD218D" w:rsidRDefault="00283604">
            <w:pPr>
              <w:pStyle w:val="Tabletext"/>
            </w:pPr>
            <w:r w:rsidRPr="00CD218D">
              <w:t>Costs associated with ancillary international or international shipping are deducted from the revenue</w:t>
            </w:r>
          </w:p>
        </w:tc>
        <w:tc>
          <w:tcPr>
            <w:tcW w:w="1746" w:type="dxa"/>
            <w:tcBorders>
              <w:top w:val="nil"/>
              <w:left w:val="nil"/>
              <w:bottom w:val="single" w:sz="4" w:space="0" w:color="auto"/>
              <w:right w:val="single" w:sz="4" w:space="0" w:color="auto"/>
            </w:tcBorders>
            <w:shd w:val="clear" w:color="auto" w:fill="auto"/>
            <w:noWrap/>
            <w:vAlign w:val="bottom"/>
          </w:tcPr>
          <w:p w14:paraId="75CD3B15" w14:textId="77777777" w:rsidR="00283604" w:rsidRPr="00CD218D" w:rsidRDefault="00283604">
            <w:pPr>
              <w:pStyle w:val="Tabletext"/>
            </w:pPr>
            <w:r w:rsidRPr="00CD218D">
              <w:t>3.3.5</w:t>
            </w:r>
          </w:p>
        </w:tc>
      </w:tr>
      <w:tr w:rsidR="00283604" w:rsidRPr="00CD218D" w14:paraId="5EEE7DCD" w14:textId="77777777">
        <w:trPr>
          <w:trHeight w:val="6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B5796DA" w14:textId="1F9747E4" w:rsidR="00283604" w:rsidRPr="00CD218D" w:rsidRDefault="00283604">
            <w:pPr>
              <w:pStyle w:val="Tabletext"/>
            </w:pPr>
            <w:r w:rsidRPr="00CD218D">
              <w:t>3-</w:t>
            </w:r>
            <w:r w:rsidR="00F74032" w:rsidRPr="00CD218D">
              <w:t>230</w:t>
            </w:r>
            <w:r w:rsidRPr="00CD218D">
              <w:t>(1)</w:t>
            </w:r>
          </w:p>
        </w:tc>
        <w:tc>
          <w:tcPr>
            <w:tcW w:w="3743" w:type="dxa"/>
            <w:tcBorders>
              <w:top w:val="nil"/>
              <w:left w:val="nil"/>
              <w:bottom w:val="single" w:sz="4" w:space="0" w:color="auto"/>
              <w:right w:val="single" w:sz="4" w:space="0" w:color="auto"/>
            </w:tcBorders>
            <w:shd w:val="clear" w:color="auto" w:fill="auto"/>
            <w:vAlign w:val="bottom"/>
            <w:hideMark/>
          </w:tcPr>
          <w:p w14:paraId="4A430B5A" w14:textId="66DD8A82" w:rsidR="00283604" w:rsidRPr="00CD218D" w:rsidRDefault="00283604">
            <w:pPr>
              <w:pStyle w:val="Tabletext"/>
            </w:pPr>
            <w:r w:rsidRPr="00CD218D">
              <w:t xml:space="preserve">Cap on qualified ancillary international shipping income: max. is 50% of International </w:t>
            </w:r>
            <w:r w:rsidR="007F271F" w:rsidRPr="00CD218D">
              <w:t>Shipping Income</w:t>
            </w:r>
          </w:p>
        </w:tc>
        <w:tc>
          <w:tcPr>
            <w:tcW w:w="1746" w:type="dxa"/>
            <w:tcBorders>
              <w:top w:val="nil"/>
              <w:left w:val="nil"/>
              <w:bottom w:val="single" w:sz="4" w:space="0" w:color="auto"/>
              <w:right w:val="single" w:sz="4" w:space="0" w:color="auto"/>
            </w:tcBorders>
            <w:shd w:val="clear" w:color="auto" w:fill="auto"/>
            <w:noWrap/>
            <w:vAlign w:val="bottom"/>
            <w:hideMark/>
          </w:tcPr>
          <w:p w14:paraId="09175397" w14:textId="77777777" w:rsidR="00283604" w:rsidRPr="00CD218D" w:rsidRDefault="00283604">
            <w:pPr>
              <w:pStyle w:val="Tabletext"/>
            </w:pPr>
            <w:r w:rsidRPr="00CD218D">
              <w:t>3.3.4</w:t>
            </w:r>
          </w:p>
        </w:tc>
      </w:tr>
      <w:tr w:rsidR="00283604" w:rsidRPr="00CD218D" w14:paraId="7C87B502" w14:textId="77777777">
        <w:trPr>
          <w:trHeight w:val="6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7E5D1948" w14:textId="5CFC0847" w:rsidR="00283604" w:rsidRPr="00CD218D" w:rsidRDefault="00283604">
            <w:pPr>
              <w:pStyle w:val="Tabletext"/>
            </w:pPr>
            <w:r w:rsidRPr="00CD218D">
              <w:t>3-</w:t>
            </w:r>
            <w:r w:rsidR="00F74032" w:rsidRPr="00CD218D">
              <w:t>230</w:t>
            </w:r>
            <w:r w:rsidRPr="00CD218D">
              <w:t>(3)</w:t>
            </w:r>
          </w:p>
        </w:tc>
        <w:tc>
          <w:tcPr>
            <w:tcW w:w="3743" w:type="dxa"/>
            <w:tcBorders>
              <w:top w:val="nil"/>
              <w:left w:val="nil"/>
              <w:bottom w:val="single" w:sz="4" w:space="0" w:color="auto"/>
              <w:right w:val="single" w:sz="4" w:space="0" w:color="auto"/>
            </w:tcBorders>
            <w:shd w:val="clear" w:color="auto" w:fill="auto"/>
            <w:vAlign w:val="bottom"/>
          </w:tcPr>
          <w:p w14:paraId="549FCA01" w14:textId="6D696BFC" w:rsidR="00283604" w:rsidRPr="00CD218D" w:rsidRDefault="00283604">
            <w:pPr>
              <w:pStyle w:val="Tabletext"/>
            </w:pPr>
            <w:r w:rsidRPr="00CD218D">
              <w:t xml:space="preserve">Definition of qualified ancillary </w:t>
            </w:r>
            <w:r w:rsidR="007F271F" w:rsidRPr="00CD218D">
              <w:t>International Shipping Income</w:t>
            </w:r>
            <w:r w:rsidRPr="00CD218D">
              <w:t xml:space="preserve"> </w:t>
            </w:r>
          </w:p>
        </w:tc>
        <w:tc>
          <w:tcPr>
            <w:tcW w:w="1746" w:type="dxa"/>
            <w:tcBorders>
              <w:top w:val="nil"/>
              <w:left w:val="nil"/>
              <w:bottom w:val="single" w:sz="4" w:space="0" w:color="auto"/>
              <w:right w:val="single" w:sz="4" w:space="0" w:color="auto"/>
            </w:tcBorders>
            <w:shd w:val="clear" w:color="auto" w:fill="auto"/>
            <w:noWrap/>
            <w:vAlign w:val="bottom"/>
          </w:tcPr>
          <w:p w14:paraId="1115631B" w14:textId="77777777" w:rsidR="00283604" w:rsidRPr="00CD218D" w:rsidRDefault="00283604">
            <w:pPr>
              <w:pStyle w:val="Tabletext"/>
            </w:pPr>
            <w:r w:rsidRPr="00CD218D">
              <w:t>3.3.3</w:t>
            </w:r>
          </w:p>
        </w:tc>
      </w:tr>
      <w:tr w:rsidR="00283604" w:rsidRPr="00CD218D" w14:paraId="28B27BC9" w14:textId="77777777">
        <w:trPr>
          <w:trHeight w:val="6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D380263" w14:textId="67AB1E4D" w:rsidR="00283604" w:rsidRPr="00CD218D" w:rsidRDefault="00283604">
            <w:pPr>
              <w:pStyle w:val="Tabletext"/>
            </w:pPr>
            <w:r w:rsidRPr="00CD218D">
              <w:t>3-</w:t>
            </w:r>
            <w:r w:rsidR="00F74032" w:rsidRPr="00CD218D">
              <w:t>235</w:t>
            </w:r>
          </w:p>
        </w:tc>
        <w:tc>
          <w:tcPr>
            <w:tcW w:w="3743" w:type="dxa"/>
            <w:tcBorders>
              <w:top w:val="nil"/>
              <w:left w:val="nil"/>
              <w:bottom w:val="single" w:sz="4" w:space="0" w:color="auto"/>
              <w:right w:val="single" w:sz="4" w:space="0" w:color="auto"/>
            </w:tcBorders>
            <w:shd w:val="clear" w:color="auto" w:fill="auto"/>
            <w:vAlign w:val="bottom"/>
            <w:hideMark/>
          </w:tcPr>
          <w:p w14:paraId="68C0891F" w14:textId="224A8C81" w:rsidR="00283604" w:rsidRPr="00CD218D" w:rsidRDefault="00283604">
            <w:pPr>
              <w:pStyle w:val="Tabletext"/>
            </w:pPr>
            <w:r w:rsidRPr="00CD218D">
              <w:t xml:space="preserve">Condition to exclude international shipping income: prove that strategic management of ships is in the same jurisdiction as the </w:t>
            </w:r>
            <w:r w:rsidR="007F271F" w:rsidRPr="00CD218D">
              <w:t>Constituent Entity</w:t>
            </w:r>
          </w:p>
        </w:tc>
        <w:tc>
          <w:tcPr>
            <w:tcW w:w="1746" w:type="dxa"/>
            <w:tcBorders>
              <w:top w:val="nil"/>
              <w:left w:val="nil"/>
              <w:bottom w:val="single" w:sz="4" w:space="0" w:color="auto"/>
              <w:right w:val="single" w:sz="4" w:space="0" w:color="auto"/>
            </w:tcBorders>
            <w:shd w:val="clear" w:color="auto" w:fill="auto"/>
            <w:noWrap/>
            <w:vAlign w:val="bottom"/>
            <w:hideMark/>
          </w:tcPr>
          <w:p w14:paraId="3D595F86" w14:textId="77777777" w:rsidR="00283604" w:rsidRPr="00CD218D" w:rsidRDefault="00283604">
            <w:pPr>
              <w:pStyle w:val="Tabletext"/>
            </w:pPr>
            <w:r w:rsidRPr="00CD218D">
              <w:t>3.3.6</w:t>
            </w:r>
          </w:p>
        </w:tc>
      </w:tr>
      <w:tr w:rsidR="00283604" w:rsidRPr="00CD218D" w14:paraId="1CE2C0D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2439B45" w14:textId="77777777" w:rsidR="00283604" w:rsidRPr="00CD218D" w:rsidRDefault="00283604">
            <w:pPr>
              <w:pStyle w:val="Tabletext"/>
              <w:rPr>
                <w:b/>
                <w:bCs/>
              </w:rPr>
            </w:pPr>
            <w:r w:rsidRPr="00CD218D">
              <w:rPr>
                <w:b/>
                <w:bCs/>
              </w:rPr>
              <w:t>Part 3-4</w:t>
            </w:r>
          </w:p>
        </w:tc>
        <w:tc>
          <w:tcPr>
            <w:tcW w:w="3743" w:type="dxa"/>
            <w:tcBorders>
              <w:top w:val="nil"/>
              <w:left w:val="nil"/>
              <w:bottom w:val="single" w:sz="4" w:space="0" w:color="auto"/>
              <w:right w:val="single" w:sz="4" w:space="0" w:color="auto"/>
            </w:tcBorders>
            <w:shd w:val="clear" w:color="auto" w:fill="auto"/>
            <w:noWrap/>
            <w:vAlign w:val="bottom"/>
            <w:hideMark/>
          </w:tcPr>
          <w:p w14:paraId="56A88A52" w14:textId="77777777" w:rsidR="00283604" w:rsidRPr="00CD218D" w:rsidRDefault="00283604">
            <w:pPr>
              <w:pStyle w:val="Tabletext"/>
              <w:rPr>
                <w:b/>
                <w:bCs/>
              </w:rPr>
            </w:pPr>
            <w:r w:rsidRPr="00CD218D">
              <w:rPr>
                <w:b/>
                <w:bCs/>
              </w:rPr>
              <w:t>Allocation of Income or Loss between a Main Entity and a Permanent Establishment</w:t>
            </w:r>
          </w:p>
        </w:tc>
        <w:tc>
          <w:tcPr>
            <w:tcW w:w="1746" w:type="dxa"/>
            <w:tcBorders>
              <w:top w:val="nil"/>
              <w:left w:val="nil"/>
              <w:bottom w:val="single" w:sz="4" w:space="0" w:color="auto"/>
              <w:right w:val="single" w:sz="4" w:space="0" w:color="auto"/>
            </w:tcBorders>
            <w:shd w:val="clear" w:color="auto" w:fill="auto"/>
            <w:noWrap/>
            <w:vAlign w:val="bottom"/>
            <w:hideMark/>
          </w:tcPr>
          <w:p w14:paraId="1ACF46FB" w14:textId="77777777" w:rsidR="00283604" w:rsidRPr="00CD218D" w:rsidRDefault="00283604">
            <w:pPr>
              <w:pStyle w:val="Tabletext"/>
              <w:rPr>
                <w:b/>
                <w:bCs/>
              </w:rPr>
            </w:pPr>
            <w:r w:rsidRPr="00CD218D">
              <w:rPr>
                <w:b/>
                <w:bCs/>
              </w:rPr>
              <w:t>3.4</w:t>
            </w:r>
          </w:p>
        </w:tc>
      </w:tr>
      <w:tr w:rsidR="00283604" w:rsidRPr="00CD218D" w14:paraId="32005B7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20C8751" w14:textId="15F23E1F" w:rsidR="00283604" w:rsidRPr="00CD218D" w:rsidRDefault="00283604">
            <w:pPr>
              <w:pStyle w:val="Tabletext"/>
            </w:pPr>
            <w:r w:rsidRPr="00CD218D">
              <w:t>3-</w:t>
            </w:r>
            <w:r w:rsidR="00F74032" w:rsidRPr="00CD218D">
              <w:t>240</w:t>
            </w:r>
            <w:r w:rsidRPr="00CD218D">
              <w:t>(1)</w:t>
            </w:r>
          </w:p>
        </w:tc>
        <w:tc>
          <w:tcPr>
            <w:tcW w:w="3743" w:type="dxa"/>
            <w:tcBorders>
              <w:top w:val="nil"/>
              <w:left w:val="nil"/>
              <w:bottom w:val="single" w:sz="4" w:space="0" w:color="auto"/>
              <w:right w:val="single" w:sz="4" w:space="0" w:color="auto"/>
            </w:tcBorders>
            <w:shd w:val="clear" w:color="auto" w:fill="auto"/>
            <w:vAlign w:val="bottom"/>
            <w:hideMark/>
          </w:tcPr>
          <w:p w14:paraId="75B00364" w14:textId="5DBA40D9" w:rsidR="00283604" w:rsidRPr="00CD218D" w:rsidRDefault="00283604">
            <w:pPr>
              <w:pStyle w:val="Tabletext"/>
            </w:pPr>
            <w:r w:rsidRPr="00CD218D">
              <w:t xml:space="preserve">FANIL of a </w:t>
            </w:r>
            <w:r w:rsidR="00BB67DE" w:rsidRPr="00BB67DE">
              <w:t xml:space="preserve">Permanent Establishment </w:t>
            </w:r>
            <w:r w:rsidRPr="00CD218D">
              <w:t>(definition (a), (b) and (c))</w:t>
            </w:r>
          </w:p>
        </w:tc>
        <w:tc>
          <w:tcPr>
            <w:tcW w:w="1746" w:type="dxa"/>
            <w:tcBorders>
              <w:top w:val="nil"/>
              <w:left w:val="nil"/>
              <w:bottom w:val="single" w:sz="4" w:space="0" w:color="auto"/>
              <w:right w:val="single" w:sz="4" w:space="0" w:color="auto"/>
            </w:tcBorders>
            <w:shd w:val="clear" w:color="auto" w:fill="auto"/>
            <w:noWrap/>
            <w:vAlign w:val="bottom"/>
            <w:hideMark/>
          </w:tcPr>
          <w:p w14:paraId="7C7F12C7" w14:textId="77777777" w:rsidR="00283604" w:rsidRPr="00CD218D" w:rsidRDefault="00283604">
            <w:pPr>
              <w:pStyle w:val="Tabletext"/>
            </w:pPr>
            <w:r w:rsidRPr="00CD218D">
              <w:t>3.4.1</w:t>
            </w:r>
          </w:p>
        </w:tc>
      </w:tr>
      <w:tr w:rsidR="00283604" w:rsidRPr="00CD218D" w14:paraId="75B7746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2C107B1" w14:textId="12CDA54B" w:rsidR="00283604" w:rsidRPr="00CD218D" w:rsidRDefault="00283604">
            <w:pPr>
              <w:pStyle w:val="Tabletext"/>
            </w:pPr>
            <w:r w:rsidRPr="00CD218D">
              <w:t>3-</w:t>
            </w:r>
            <w:r w:rsidR="00F74032" w:rsidRPr="00CD218D">
              <w:t>240</w:t>
            </w:r>
            <w:r w:rsidRPr="00CD218D">
              <w:t>(2)</w:t>
            </w:r>
          </w:p>
        </w:tc>
        <w:tc>
          <w:tcPr>
            <w:tcW w:w="3743" w:type="dxa"/>
            <w:tcBorders>
              <w:top w:val="nil"/>
              <w:left w:val="nil"/>
              <w:bottom w:val="single" w:sz="4" w:space="0" w:color="auto"/>
              <w:right w:val="single" w:sz="4" w:space="0" w:color="auto"/>
            </w:tcBorders>
            <w:shd w:val="clear" w:color="auto" w:fill="auto"/>
            <w:vAlign w:val="bottom"/>
            <w:hideMark/>
          </w:tcPr>
          <w:p w14:paraId="525104FD" w14:textId="4AD75048" w:rsidR="00283604" w:rsidRPr="00CD218D" w:rsidRDefault="00283604">
            <w:pPr>
              <w:pStyle w:val="Tabletext"/>
            </w:pPr>
            <w:r w:rsidRPr="00CD218D">
              <w:t xml:space="preserve">FANIL of a </w:t>
            </w:r>
            <w:r w:rsidR="00BB67DE" w:rsidRPr="00BB67DE">
              <w:t xml:space="preserve">Permanent Establishment </w:t>
            </w:r>
            <w:r w:rsidRPr="00CD218D">
              <w:t>(definition (d))</w:t>
            </w:r>
          </w:p>
        </w:tc>
        <w:tc>
          <w:tcPr>
            <w:tcW w:w="1746" w:type="dxa"/>
            <w:tcBorders>
              <w:top w:val="nil"/>
              <w:left w:val="nil"/>
              <w:bottom w:val="single" w:sz="4" w:space="0" w:color="auto"/>
              <w:right w:val="single" w:sz="4" w:space="0" w:color="auto"/>
            </w:tcBorders>
            <w:shd w:val="clear" w:color="auto" w:fill="auto"/>
            <w:noWrap/>
            <w:vAlign w:val="bottom"/>
            <w:hideMark/>
          </w:tcPr>
          <w:p w14:paraId="09394923" w14:textId="77777777" w:rsidR="00283604" w:rsidRPr="00CD218D" w:rsidRDefault="00283604">
            <w:pPr>
              <w:pStyle w:val="Tabletext"/>
            </w:pPr>
            <w:r w:rsidRPr="00CD218D">
              <w:t>3.4.3</w:t>
            </w:r>
          </w:p>
        </w:tc>
      </w:tr>
      <w:tr w:rsidR="00283604" w:rsidRPr="00CD218D" w14:paraId="1BB89DF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9FA0943" w14:textId="5EB50099" w:rsidR="00283604" w:rsidRPr="00CD218D" w:rsidRDefault="00283604">
            <w:pPr>
              <w:pStyle w:val="Tabletext"/>
            </w:pPr>
            <w:r w:rsidRPr="00CD218D">
              <w:t>3-</w:t>
            </w:r>
            <w:r w:rsidR="00F74032" w:rsidRPr="00CD218D">
              <w:t>245</w:t>
            </w:r>
          </w:p>
        </w:tc>
        <w:tc>
          <w:tcPr>
            <w:tcW w:w="3743" w:type="dxa"/>
            <w:tcBorders>
              <w:top w:val="nil"/>
              <w:left w:val="nil"/>
              <w:bottom w:val="single" w:sz="4" w:space="0" w:color="auto"/>
              <w:right w:val="single" w:sz="4" w:space="0" w:color="auto"/>
            </w:tcBorders>
            <w:shd w:val="clear" w:color="auto" w:fill="auto"/>
            <w:vAlign w:val="bottom"/>
          </w:tcPr>
          <w:p w14:paraId="28420178" w14:textId="795FCBC5" w:rsidR="00283604" w:rsidRPr="00CD218D" w:rsidRDefault="00283604">
            <w:pPr>
              <w:pStyle w:val="Tabletext"/>
            </w:pPr>
            <w:r w:rsidRPr="00CD218D">
              <w:t xml:space="preserve">Adjustments to the FANIL of a </w:t>
            </w:r>
            <w:r w:rsidR="007F271F" w:rsidRPr="00CD218D">
              <w:t xml:space="preserve">Permanent Entity </w:t>
            </w:r>
          </w:p>
        </w:tc>
        <w:tc>
          <w:tcPr>
            <w:tcW w:w="1746" w:type="dxa"/>
            <w:tcBorders>
              <w:top w:val="nil"/>
              <w:left w:val="nil"/>
              <w:bottom w:val="single" w:sz="4" w:space="0" w:color="auto"/>
              <w:right w:val="single" w:sz="4" w:space="0" w:color="auto"/>
            </w:tcBorders>
            <w:shd w:val="clear" w:color="auto" w:fill="auto"/>
            <w:noWrap/>
            <w:vAlign w:val="bottom"/>
          </w:tcPr>
          <w:p w14:paraId="073F1FEE" w14:textId="77777777" w:rsidR="00283604" w:rsidRPr="00CD218D" w:rsidRDefault="00283604">
            <w:pPr>
              <w:pStyle w:val="Tabletext"/>
            </w:pPr>
            <w:r w:rsidRPr="00CD218D">
              <w:t>3.4.2</w:t>
            </w:r>
          </w:p>
        </w:tc>
      </w:tr>
      <w:tr w:rsidR="00283604" w:rsidRPr="00CD218D" w14:paraId="17AE9BE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48FEE09" w14:textId="5519453F" w:rsidR="00283604" w:rsidRPr="00CD218D" w:rsidRDefault="00283604">
            <w:pPr>
              <w:pStyle w:val="Tabletext"/>
            </w:pPr>
            <w:r w:rsidRPr="00CD218D">
              <w:t>3-</w:t>
            </w:r>
            <w:r w:rsidR="00F74032" w:rsidRPr="00CD218D">
              <w:t>250</w:t>
            </w:r>
            <w:r w:rsidRPr="00CD218D">
              <w:t>(1)</w:t>
            </w:r>
          </w:p>
        </w:tc>
        <w:tc>
          <w:tcPr>
            <w:tcW w:w="3743" w:type="dxa"/>
            <w:tcBorders>
              <w:top w:val="nil"/>
              <w:left w:val="nil"/>
              <w:bottom w:val="single" w:sz="4" w:space="0" w:color="auto"/>
              <w:right w:val="single" w:sz="4" w:space="0" w:color="auto"/>
            </w:tcBorders>
            <w:shd w:val="clear" w:color="auto" w:fill="auto"/>
            <w:vAlign w:val="bottom"/>
            <w:hideMark/>
          </w:tcPr>
          <w:p w14:paraId="70AB8DAF" w14:textId="22D132AA" w:rsidR="00283604" w:rsidRPr="00CD218D" w:rsidRDefault="00283604">
            <w:pPr>
              <w:pStyle w:val="Tabletext"/>
            </w:pPr>
            <w:r w:rsidRPr="00CD218D">
              <w:t xml:space="preserve">Main entity does not account for the FANIL of a </w:t>
            </w:r>
            <w:r w:rsidR="007F271F" w:rsidRPr="00CD218D">
              <w:t>Permanent Entity</w:t>
            </w:r>
          </w:p>
        </w:tc>
        <w:tc>
          <w:tcPr>
            <w:tcW w:w="1746" w:type="dxa"/>
            <w:tcBorders>
              <w:top w:val="nil"/>
              <w:left w:val="nil"/>
              <w:bottom w:val="single" w:sz="4" w:space="0" w:color="auto"/>
              <w:right w:val="single" w:sz="4" w:space="0" w:color="auto"/>
            </w:tcBorders>
            <w:shd w:val="clear" w:color="auto" w:fill="auto"/>
            <w:noWrap/>
            <w:vAlign w:val="bottom"/>
            <w:hideMark/>
          </w:tcPr>
          <w:p w14:paraId="0067582E" w14:textId="77777777" w:rsidR="00283604" w:rsidRPr="00CD218D" w:rsidRDefault="00283604">
            <w:pPr>
              <w:pStyle w:val="Tabletext"/>
            </w:pPr>
            <w:r w:rsidRPr="00CD218D">
              <w:t>3.4.4</w:t>
            </w:r>
          </w:p>
        </w:tc>
      </w:tr>
      <w:tr w:rsidR="00283604" w:rsidRPr="00CD218D" w14:paraId="731D1BF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09EBEF0" w14:textId="0E5870B3" w:rsidR="00283604" w:rsidRPr="00CD218D" w:rsidRDefault="00283604">
            <w:pPr>
              <w:pStyle w:val="Tabletext"/>
            </w:pPr>
            <w:r w:rsidRPr="00CD218D">
              <w:t>3-</w:t>
            </w:r>
            <w:r w:rsidR="00F74032" w:rsidRPr="00CD218D">
              <w:t>250</w:t>
            </w:r>
            <w:r w:rsidRPr="00CD218D">
              <w:t>(2)</w:t>
            </w:r>
          </w:p>
        </w:tc>
        <w:tc>
          <w:tcPr>
            <w:tcW w:w="3743" w:type="dxa"/>
            <w:tcBorders>
              <w:top w:val="nil"/>
              <w:left w:val="nil"/>
              <w:bottom w:val="single" w:sz="4" w:space="0" w:color="auto"/>
              <w:right w:val="single" w:sz="4" w:space="0" w:color="auto"/>
            </w:tcBorders>
            <w:shd w:val="clear" w:color="auto" w:fill="auto"/>
            <w:vAlign w:val="bottom"/>
            <w:hideMark/>
          </w:tcPr>
          <w:p w14:paraId="050FC7E0" w14:textId="7610D220" w:rsidR="00283604" w:rsidRPr="00CD218D" w:rsidRDefault="00283604">
            <w:pPr>
              <w:pStyle w:val="Tabletext"/>
            </w:pPr>
            <w:r w:rsidRPr="00CD218D">
              <w:t xml:space="preserve">GloBE loss of a </w:t>
            </w:r>
            <w:r w:rsidR="007F271F" w:rsidRPr="00CD218D">
              <w:t xml:space="preserve">Permanent Entity </w:t>
            </w:r>
            <w:r w:rsidRPr="00CD218D">
              <w:t xml:space="preserve">is an expense of the Main entity </w:t>
            </w:r>
          </w:p>
        </w:tc>
        <w:tc>
          <w:tcPr>
            <w:tcW w:w="1746" w:type="dxa"/>
            <w:tcBorders>
              <w:top w:val="nil"/>
              <w:left w:val="nil"/>
              <w:bottom w:val="single" w:sz="4" w:space="0" w:color="auto"/>
              <w:right w:val="single" w:sz="4" w:space="0" w:color="auto"/>
            </w:tcBorders>
            <w:shd w:val="clear" w:color="auto" w:fill="auto"/>
            <w:noWrap/>
            <w:vAlign w:val="bottom"/>
            <w:hideMark/>
          </w:tcPr>
          <w:p w14:paraId="49739B64" w14:textId="77777777" w:rsidR="00283604" w:rsidRPr="00CD218D" w:rsidRDefault="00283604">
            <w:pPr>
              <w:pStyle w:val="Tabletext"/>
            </w:pPr>
            <w:r w:rsidRPr="00CD218D">
              <w:t>3.4.5</w:t>
            </w:r>
          </w:p>
        </w:tc>
      </w:tr>
      <w:tr w:rsidR="00283604" w:rsidRPr="00CD218D" w14:paraId="56F2E34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EC62433" w14:textId="77777777" w:rsidR="00283604" w:rsidRPr="00CD218D" w:rsidRDefault="00283604">
            <w:pPr>
              <w:pStyle w:val="Tabletext"/>
              <w:rPr>
                <w:b/>
                <w:bCs/>
              </w:rPr>
            </w:pPr>
            <w:r w:rsidRPr="00CD218D">
              <w:rPr>
                <w:b/>
                <w:bCs/>
              </w:rPr>
              <w:lastRenderedPageBreak/>
              <w:t>Part 3-5</w:t>
            </w:r>
          </w:p>
        </w:tc>
        <w:tc>
          <w:tcPr>
            <w:tcW w:w="3743" w:type="dxa"/>
            <w:tcBorders>
              <w:top w:val="nil"/>
              <w:left w:val="nil"/>
              <w:bottom w:val="single" w:sz="4" w:space="0" w:color="auto"/>
              <w:right w:val="single" w:sz="4" w:space="0" w:color="auto"/>
            </w:tcBorders>
            <w:shd w:val="clear" w:color="auto" w:fill="auto"/>
            <w:vAlign w:val="bottom"/>
            <w:hideMark/>
          </w:tcPr>
          <w:p w14:paraId="52679A28" w14:textId="77777777" w:rsidR="00283604" w:rsidRPr="00CD218D" w:rsidRDefault="00283604">
            <w:pPr>
              <w:pStyle w:val="Tabletext"/>
              <w:rPr>
                <w:b/>
                <w:bCs/>
              </w:rPr>
            </w:pPr>
            <w:r w:rsidRPr="00CD218D">
              <w:rPr>
                <w:b/>
                <w:bCs/>
              </w:rPr>
              <w:t>Allocation of Income or Loss from a Flow-through Entity</w:t>
            </w:r>
          </w:p>
        </w:tc>
        <w:tc>
          <w:tcPr>
            <w:tcW w:w="1746" w:type="dxa"/>
            <w:tcBorders>
              <w:top w:val="nil"/>
              <w:left w:val="nil"/>
              <w:bottom w:val="single" w:sz="4" w:space="0" w:color="auto"/>
              <w:right w:val="single" w:sz="4" w:space="0" w:color="auto"/>
            </w:tcBorders>
            <w:shd w:val="clear" w:color="auto" w:fill="auto"/>
            <w:noWrap/>
            <w:vAlign w:val="bottom"/>
            <w:hideMark/>
          </w:tcPr>
          <w:p w14:paraId="6B91E45E" w14:textId="77777777" w:rsidR="00283604" w:rsidRPr="00CD218D" w:rsidRDefault="00283604">
            <w:pPr>
              <w:pStyle w:val="Tabletext"/>
              <w:rPr>
                <w:b/>
                <w:bCs/>
              </w:rPr>
            </w:pPr>
            <w:r w:rsidRPr="00CD218D">
              <w:rPr>
                <w:b/>
                <w:bCs/>
              </w:rPr>
              <w:t>3.5</w:t>
            </w:r>
          </w:p>
        </w:tc>
      </w:tr>
      <w:tr w:rsidR="00283604" w:rsidRPr="00CD218D" w14:paraId="556D13B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F071C99" w14:textId="7CD45ABD" w:rsidR="00283604" w:rsidRPr="00CD218D" w:rsidRDefault="00283604">
            <w:pPr>
              <w:pStyle w:val="Tabletext"/>
            </w:pPr>
            <w:r w:rsidRPr="00CD218D">
              <w:t>3-</w:t>
            </w:r>
            <w:r w:rsidR="00D77AD6" w:rsidRPr="00CD218D">
              <w:t>255</w:t>
            </w:r>
            <w:r w:rsidRPr="00CD218D">
              <w:t>(1)(a)</w:t>
            </w:r>
          </w:p>
        </w:tc>
        <w:tc>
          <w:tcPr>
            <w:tcW w:w="3743" w:type="dxa"/>
            <w:tcBorders>
              <w:top w:val="nil"/>
              <w:left w:val="nil"/>
              <w:bottom w:val="single" w:sz="4" w:space="0" w:color="auto"/>
              <w:right w:val="single" w:sz="4" w:space="0" w:color="auto"/>
            </w:tcBorders>
            <w:shd w:val="clear" w:color="auto" w:fill="auto"/>
            <w:vAlign w:val="bottom"/>
          </w:tcPr>
          <w:p w14:paraId="0EE0FDB1" w14:textId="77777777" w:rsidR="00283604" w:rsidRPr="00CD218D" w:rsidRDefault="00283604">
            <w:pPr>
              <w:pStyle w:val="Tabletext"/>
            </w:pPr>
            <w:r w:rsidRPr="00CD218D">
              <w:t xml:space="preserve">Reduce the FANIL of a flow through by amounts allocated to non-group entities </w:t>
            </w:r>
          </w:p>
        </w:tc>
        <w:tc>
          <w:tcPr>
            <w:tcW w:w="1746" w:type="dxa"/>
            <w:tcBorders>
              <w:top w:val="nil"/>
              <w:left w:val="nil"/>
              <w:bottom w:val="single" w:sz="4" w:space="0" w:color="auto"/>
              <w:right w:val="single" w:sz="4" w:space="0" w:color="auto"/>
            </w:tcBorders>
            <w:shd w:val="clear" w:color="auto" w:fill="auto"/>
            <w:noWrap/>
            <w:vAlign w:val="bottom"/>
          </w:tcPr>
          <w:p w14:paraId="68711630" w14:textId="77777777" w:rsidR="00283604" w:rsidRPr="00CD218D" w:rsidRDefault="00283604">
            <w:pPr>
              <w:pStyle w:val="Tabletext"/>
            </w:pPr>
            <w:r w:rsidRPr="00CD218D">
              <w:t>3.5.3</w:t>
            </w:r>
          </w:p>
        </w:tc>
      </w:tr>
      <w:tr w:rsidR="00283604" w:rsidRPr="00CD218D" w14:paraId="4AC962F4"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499487D" w14:textId="0170FBA7" w:rsidR="00283604" w:rsidRPr="00CD218D" w:rsidRDefault="00283604">
            <w:pPr>
              <w:pStyle w:val="Tabletext"/>
            </w:pPr>
            <w:r w:rsidRPr="00CD218D">
              <w:t>3-</w:t>
            </w:r>
            <w:r w:rsidR="00D77AD6" w:rsidRPr="00CD218D">
              <w:t>255</w:t>
            </w:r>
            <w:r w:rsidRPr="00CD218D">
              <w:t>(1)(b)</w:t>
            </w:r>
          </w:p>
        </w:tc>
        <w:tc>
          <w:tcPr>
            <w:tcW w:w="3743" w:type="dxa"/>
            <w:tcBorders>
              <w:top w:val="nil"/>
              <w:left w:val="nil"/>
              <w:bottom w:val="single" w:sz="4" w:space="0" w:color="auto"/>
              <w:right w:val="single" w:sz="4" w:space="0" w:color="auto"/>
            </w:tcBorders>
            <w:shd w:val="clear" w:color="auto" w:fill="auto"/>
            <w:vAlign w:val="bottom"/>
            <w:hideMark/>
          </w:tcPr>
          <w:p w14:paraId="177EBF6D" w14:textId="11C6DFE7" w:rsidR="00283604" w:rsidRPr="00CD218D" w:rsidRDefault="00283604">
            <w:pPr>
              <w:pStyle w:val="Tabletext"/>
            </w:pPr>
            <w:r w:rsidRPr="00CD218D">
              <w:t xml:space="preserve">Allocation rules for a </w:t>
            </w:r>
            <w:r w:rsidR="00BB67DE">
              <w:t>F</w:t>
            </w:r>
            <w:r w:rsidRPr="00CD218D">
              <w:t>low</w:t>
            </w:r>
            <w:r w:rsidR="00BB67DE">
              <w:noBreakHyphen/>
            </w:r>
            <w:r w:rsidRPr="00CD218D">
              <w:t xml:space="preserve">through </w:t>
            </w:r>
            <w:r w:rsidR="00BB67DE">
              <w:t>E</w:t>
            </w:r>
            <w:r w:rsidRPr="00CD218D">
              <w:t xml:space="preserve">ntity </w:t>
            </w:r>
          </w:p>
        </w:tc>
        <w:tc>
          <w:tcPr>
            <w:tcW w:w="1746" w:type="dxa"/>
            <w:tcBorders>
              <w:top w:val="nil"/>
              <w:left w:val="nil"/>
              <w:bottom w:val="single" w:sz="4" w:space="0" w:color="auto"/>
              <w:right w:val="single" w:sz="4" w:space="0" w:color="auto"/>
            </w:tcBorders>
            <w:shd w:val="clear" w:color="auto" w:fill="auto"/>
            <w:noWrap/>
            <w:vAlign w:val="bottom"/>
            <w:hideMark/>
          </w:tcPr>
          <w:p w14:paraId="74826E2B" w14:textId="77777777" w:rsidR="00283604" w:rsidRPr="00CD218D" w:rsidRDefault="00283604">
            <w:pPr>
              <w:pStyle w:val="Tabletext"/>
            </w:pPr>
            <w:r w:rsidRPr="00CD218D">
              <w:t>3.5.1</w:t>
            </w:r>
          </w:p>
        </w:tc>
      </w:tr>
      <w:tr w:rsidR="00283604" w:rsidRPr="00CD218D" w14:paraId="3B29E86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AE603E2" w14:textId="33C8F472" w:rsidR="00283604" w:rsidRPr="00CD218D" w:rsidRDefault="00283604">
            <w:pPr>
              <w:pStyle w:val="Tabletext"/>
            </w:pPr>
            <w:r w:rsidRPr="00CD218D">
              <w:t>3-</w:t>
            </w:r>
            <w:r w:rsidR="00D77AD6" w:rsidRPr="00CD218D">
              <w:t>255</w:t>
            </w:r>
            <w:r w:rsidRPr="00CD218D">
              <w:t>(2)</w:t>
            </w:r>
          </w:p>
        </w:tc>
        <w:tc>
          <w:tcPr>
            <w:tcW w:w="3743" w:type="dxa"/>
            <w:tcBorders>
              <w:top w:val="nil"/>
              <w:left w:val="nil"/>
              <w:bottom w:val="single" w:sz="4" w:space="0" w:color="auto"/>
              <w:right w:val="single" w:sz="4" w:space="0" w:color="auto"/>
            </w:tcBorders>
            <w:shd w:val="clear" w:color="auto" w:fill="auto"/>
            <w:noWrap/>
            <w:vAlign w:val="bottom"/>
            <w:hideMark/>
          </w:tcPr>
          <w:p w14:paraId="552FB564" w14:textId="77777777" w:rsidR="00283604" w:rsidRPr="00CD218D" w:rsidRDefault="00283604">
            <w:pPr>
              <w:pStyle w:val="Tabletext"/>
            </w:pPr>
            <w:r w:rsidRPr="00CD218D">
              <w:t xml:space="preserve">3.5.3 does not apply to a UPE that is a flow through or a flow through owned by a flow through UPE </w:t>
            </w:r>
          </w:p>
        </w:tc>
        <w:tc>
          <w:tcPr>
            <w:tcW w:w="1746" w:type="dxa"/>
            <w:tcBorders>
              <w:top w:val="nil"/>
              <w:left w:val="nil"/>
              <w:bottom w:val="single" w:sz="4" w:space="0" w:color="auto"/>
              <w:right w:val="single" w:sz="4" w:space="0" w:color="auto"/>
            </w:tcBorders>
            <w:shd w:val="clear" w:color="auto" w:fill="auto"/>
            <w:noWrap/>
            <w:vAlign w:val="bottom"/>
            <w:hideMark/>
          </w:tcPr>
          <w:p w14:paraId="224E9153" w14:textId="77777777" w:rsidR="00283604" w:rsidRPr="00CD218D" w:rsidRDefault="00283604">
            <w:pPr>
              <w:pStyle w:val="Tabletext"/>
            </w:pPr>
            <w:r w:rsidRPr="00CD218D">
              <w:t>3.5.4</w:t>
            </w:r>
          </w:p>
        </w:tc>
      </w:tr>
      <w:tr w:rsidR="00283604" w:rsidRPr="00CD218D" w14:paraId="7233191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1C4B92A" w14:textId="4B58CE8A" w:rsidR="00283604" w:rsidRPr="00CD218D" w:rsidRDefault="00283604">
            <w:pPr>
              <w:pStyle w:val="Tabletext"/>
            </w:pPr>
            <w:r w:rsidRPr="00CD218D">
              <w:t>3-</w:t>
            </w:r>
            <w:r w:rsidR="00D77AD6" w:rsidRPr="00CD218D">
              <w:t>255</w:t>
            </w:r>
            <w:r w:rsidRPr="00CD218D">
              <w:t>(3)</w:t>
            </w:r>
          </w:p>
        </w:tc>
        <w:tc>
          <w:tcPr>
            <w:tcW w:w="3743" w:type="dxa"/>
            <w:tcBorders>
              <w:top w:val="nil"/>
              <w:left w:val="nil"/>
              <w:bottom w:val="single" w:sz="4" w:space="0" w:color="auto"/>
              <w:right w:val="single" w:sz="4" w:space="0" w:color="auto"/>
            </w:tcBorders>
            <w:shd w:val="clear" w:color="auto" w:fill="auto"/>
            <w:vAlign w:val="bottom"/>
            <w:hideMark/>
          </w:tcPr>
          <w:p w14:paraId="030057A1" w14:textId="5E5F5044" w:rsidR="00283604" w:rsidRPr="00CD218D" w:rsidRDefault="00283604">
            <w:pPr>
              <w:pStyle w:val="Tabletext"/>
            </w:pPr>
            <w:r w:rsidRPr="00CD218D">
              <w:t xml:space="preserve">Reduce FANIL of a Flow through by amounts allocated to another </w:t>
            </w:r>
            <w:r w:rsidR="007F271F" w:rsidRPr="00CD218D">
              <w:t xml:space="preserve">Constituent Entity </w:t>
            </w:r>
          </w:p>
        </w:tc>
        <w:tc>
          <w:tcPr>
            <w:tcW w:w="1746" w:type="dxa"/>
            <w:tcBorders>
              <w:top w:val="nil"/>
              <w:left w:val="nil"/>
              <w:bottom w:val="single" w:sz="4" w:space="0" w:color="auto"/>
              <w:right w:val="single" w:sz="4" w:space="0" w:color="auto"/>
            </w:tcBorders>
            <w:shd w:val="clear" w:color="auto" w:fill="auto"/>
            <w:noWrap/>
            <w:vAlign w:val="bottom"/>
            <w:hideMark/>
          </w:tcPr>
          <w:p w14:paraId="3F2E6706" w14:textId="77777777" w:rsidR="00283604" w:rsidRPr="00CD218D" w:rsidRDefault="00283604">
            <w:pPr>
              <w:pStyle w:val="Tabletext"/>
            </w:pPr>
            <w:r w:rsidRPr="00CD218D">
              <w:t>3.5.5</w:t>
            </w:r>
          </w:p>
        </w:tc>
      </w:tr>
      <w:tr w:rsidR="00283604" w:rsidRPr="00CD218D" w14:paraId="6E71619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D574667" w14:textId="160C06A4" w:rsidR="00283604" w:rsidRPr="00CD218D" w:rsidRDefault="00283604">
            <w:pPr>
              <w:pStyle w:val="Tabletext"/>
            </w:pPr>
            <w:r w:rsidRPr="00CD218D">
              <w:t>3-</w:t>
            </w:r>
            <w:r w:rsidR="00D77AD6" w:rsidRPr="00CD218D">
              <w:t>255</w:t>
            </w:r>
            <w:r w:rsidRPr="00CD218D">
              <w:t>(4)</w:t>
            </w:r>
          </w:p>
        </w:tc>
        <w:tc>
          <w:tcPr>
            <w:tcW w:w="3743" w:type="dxa"/>
            <w:tcBorders>
              <w:top w:val="nil"/>
              <w:left w:val="nil"/>
              <w:bottom w:val="single" w:sz="4" w:space="0" w:color="auto"/>
              <w:right w:val="single" w:sz="4" w:space="0" w:color="auto"/>
            </w:tcBorders>
            <w:shd w:val="clear" w:color="auto" w:fill="auto"/>
            <w:vAlign w:val="bottom"/>
          </w:tcPr>
          <w:p w14:paraId="0834A162" w14:textId="6C7031C8" w:rsidR="00283604" w:rsidRPr="00CD218D" w:rsidRDefault="00283604">
            <w:pPr>
              <w:pStyle w:val="Tabletext"/>
            </w:pPr>
            <w:r w:rsidRPr="00CD218D">
              <w:t xml:space="preserve">Apply 3.5.1 to each ownership interest in the </w:t>
            </w:r>
            <w:r w:rsidR="00BB67DE">
              <w:t>F</w:t>
            </w:r>
            <w:r w:rsidRPr="00CD218D">
              <w:t>low</w:t>
            </w:r>
            <w:r w:rsidR="00BB67DE">
              <w:noBreakHyphen/>
            </w:r>
            <w:r w:rsidRPr="00CD218D">
              <w:t xml:space="preserve">through </w:t>
            </w:r>
            <w:r w:rsidR="00BB67DE">
              <w:t>E</w:t>
            </w:r>
            <w:r w:rsidRPr="00CD218D">
              <w:t xml:space="preserve">ntity </w:t>
            </w:r>
          </w:p>
        </w:tc>
        <w:tc>
          <w:tcPr>
            <w:tcW w:w="1746" w:type="dxa"/>
            <w:tcBorders>
              <w:top w:val="nil"/>
              <w:left w:val="nil"/>
              <w:bottom w:val="single" w:sz="4" w:space="0" w:color="auto"/>
              <w:right w:val="single" w:sz="4" w:space="0" w:color="auto"/>
            </w:tcBorders>
            <w:shd w:val="clear" w:color="auto" w:fill="auto"/>
            <w:noWrap/>
            <w:vAlign w:val="bottom"/>
          </w:tcPr>
          <w:p w14:paraId="661FD669" w14:textId="77777777" w:rsidR="00283604" w:rsidRPr="00CD218D" w:rsidRDefault="00283604">
            <w:pPr>
              <w:pStyle w:val="Tabletext"/>
            </w:pPr>
            <w:r w:rsidRPr="00CD218D">
              <w:t>3.5.2</w:t>
            </w:r>
          </w:p>
        </w:tc>
      </w:tr>
      <w:tr w:rsidR="00283604" w:rsidRPr="00CD218D" w14:paraId="32E3D1D6" w14:textId="77777777">
        <w:trPr>
          <w:trHeight w:val="300"/>
        </w:trPr>
        <w:tc>
          <w:tcPr>
            <w:tcW w:w="7701" w:type="dxa"/>
            <w:gridSpan w:val="3"/>
            <w:tcBorders>
              <w:top w:val="nil"/>
              <w:left w:val="single" w:sz="4" w:space="0" w:color="auto"/>
              <w:bottom w:val="single" w:sz="4" w:space="0" w:color="auto"/>
              <w:right w:val="single" w:sz="4" w:space="0" w:color="auto"/>
            </w:tcBorders>
            <w:shd w:val="clear" w:color="auto" w:fill="auto"/>
            <w:noWrap/>
            <w:vAlign w:val="bottom"/>
          </w:tcPr>
          <w:p w14:paraId="0EBAE4AF" w14:textId="77777777" w:rsidR="00283604" w:rsidRPr="00CD218D" w:rsidRDefault="00283604" w:rsidP="00283604">
            <w:pPr>
              <w:pStyle w:val="Tableheaderrowtext"/>
              <w:numPr>
                <w:ilvl w:val="3"/>
                <w:numId w:val="2"/>
              </w:numPr>
            </w:pPr>
            <w:r w:rsidRPr="00CD218D">
              <w:t>Chapter 4 - Computation of Adjusted Covered Taxes</w:t>
            </w:r>
          </w:p>
        </w:tc>
      </w:tr>
      <w:tr w:rsidR="00283604" w:rsidRPr="00CD218D" w14:paraId="7BCD97F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8F5C46C" w14:textId="77777777" w:rsidR="00283604" w:rsidRPr="00CD218D" w:rsidRDefault="00283604">
            <w:pPr>
              <w:pStyle w:val="Tabletext"/>
              <w:rPr>
                <w:b/>
                <w:bCs/>
              </w:rPr>
            </w:pPr>
            <w:r w:rsidRPr="00CD218D">
              <w:rPr>
                <w:b/>
                <w:bCs/>
              </w:rPr>
              <w:t>Part 4-1</w:t>
            </w:r>
          </w:p>
        </w:tc>
        <w:tc>
          <w:tcPr>
            <w:tcW w:w="3743" w:type="dxa"/>
            <w:tcBorders>
              <w:top w:val="nil"/>
              <w:left w:val="nil"/>
              <w:bottom w:val="single" w:sz="4" w:space="0" w:color="auto"/>
              <w:right w:val="single" w:sz="4" w:space="0" w:color="auto"/>
            </w:tcBorders>
            <w:shd w:val="clear" w:color="auto" w:fill="auto"/>
            <w:vAlign w:val="bottom"/>
            <w:hideMark/>
          </w:tcPr>
          <w:p w14:paraId="377D6097" w14:textId="77777777" w:rsidR="00283604" w:rsidRPr="00CD218D" w:rsidRDefault="00283604">
            <w:pPr>
              <w:pStyle w:val="Tabletext"/>
              <w:rPr>
                <w:b/>
                <w:bCs/>
              </w:rPr>
            </w:pPr>
            <w:r w:rsidRPr="00CD218D">
              <w:rPr>
                <w:b/>
                <w:bCs/>
              </w:rPr>
              <w:t xml:space="preserve">Adjusted Covered Taxes </w:t>
            </w:r>
          </w:p>
        </w:tc>
        <w:tc>
          <w:tcPr>
            <w:tcW w:w="1746" w:type="dxa"/>
            <w:tcBorders>
              <w:top w:val="nil"/>
              <w:left w:val="nil"/>
              <w:bottom w:val="single" w:sz="4" w:space="0" w:color="auto"/>
              <w:right w:val="single" w:sz="4" w:space="0" w:color="auto"/>
            </w:tcBorders>
            <w:shd w:val="clear" w:color="auto" w:fill="auto"/>
            <w:noWrap/>
            <w:vAlign w:val="bottom"/>
            <w:hideMark/>
          </w:tcPr>
          <w:p w14:paraId="5FEF5646" w14:textId="77777777" w:rsidR="00283604" w:rsidRPr="00CD218D" w:rsidRDefault="00283604">
            <w:pPr>
              <w:pStyle w:val="Tabletext"/>
              <w:rPr>
                <w:b/>
                <w:bCs/>
              </w:rPr>
            </w:pPr>
            <w:r w:rsidRPr="00CD218D">
              <w:rPr>
                <w:b/>
                <w:bCs/>
              </w:rPr>
              <w:t>4.1</w:t>
            </w:r>
          </w:p>
        </w:tc>
      </w:tr>
      <w:tr w:rsidR="00283604" w:rsidRPr="00CD218D" w14:paraId="78850C1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94BC516" w14:textId="77777777" w:rsidR="00283604" w:rsidRPr="00CD218D" w:rsidRDefault="00283604">
            <w:pPr>
              <w:pStyle w:val="Tabletext"/>
            </w:pPr>
            <w:r w:rsidRPr="00CD218D">
              <w:t>4-5</w:t>
            </w:r>
          </w:p>
        </w:tc>
        <w:tc>
          <w:tcPr>
            <w:tcW w:w="3743" w:type="dxa"/>
            <w:tcBorders>
              <w:top w:val="nil"/>
              <w:left w:val="nil"/>
              <w:bottom w:val="single" w:sz="4" w:space="0" w:color="auto"/>
              <w:right w:val="single" w:sz="4" w:space="0" w:color="auto"/>
            </w:tcBorders>
            <w:shd w:val="clear" w:color="auto" w:fill="auto"/>
            <w:vAlign w:val="bottom"/>
            <w:hideMark/>
          </w:tcPr>
          <w:p w14:paraId="0AD49544" w14:textId="2165AC94" w:rsidR="00283604" w:rsidRPr="00CD218D" w:rsidRDefault="00283604">
            <w:pPr>
              <w:pStyle w:val="Tabletext"/>
            </w:pPr>
            <w:r w:rsidRPr="00CD218D">
              <w:t xml:space="preserve">Meaning of </w:t>
            </w:r>
            <w:r w:rsidR="007F271F" w:rsidRPr="00CD218D">
              <w:t>Adjusted Covered Taxes</w:t>
            </w:r>
          </w:p>
        </w:tc>
        <w:tc>
          <w:tcPr>
            <w:tcW w:w="1746" w:type="dxa"/>
            <w:tcBorders>
              <w:top w:val="nil"/>
              <w:left w:val="nil"/>
              <w:bottom w:val="single" w:sz="4" w:space="0" w:color="auto"/>
              <w:right w:val="single" w:sz="4" w:space="0" w:color="auto"/>
            </w:tcBorders>
            <w:shd w:val="clear" w:color="auto" w:fill="auto"/>
            <w:noWrap/>
            <w:vAlign w:val="bottom"/>
            <w:hideMark/>
          </w:tcPr>
          <w:p w14:paraId="186F14FE" w14:textId="77777777" w:rsidR="00283604" w:rsidRPr="00CD218D" w:rsidRDefault="00283604">
            <w:pPr>
              <w:pStyle w:val="Tabletext"/>
            </w:pPr>
            <w:r w:rsidRPr="00CD218D">
              <w:t>4.1.1</w:t>
            </w:r>
          </w:p>
        </w:tc>
      </w:tr>
      <w:tr w:rsidR="00283604" w:rsidRPr="00CD218D" w14:paraId="637EADD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32DDAEC" w14:textId="77777777" w:rsidR="00283604" w:rsidRPr="00CD218D" w:rsidRDefault="00283604">
            <w:pPr>
              <w:pStyle w:val="Tabletext"/>
            </w:pPr>
            <w:r w:rsidRPr="00CD218D">
              <w:t>4-15</w:t>
            </w:r>
          </w:p>
        </w:tc>
        <w:tc>
          <w:tcPr>
            <w:tcW w:w="3743" w:type="dxa"/>
            <w:tcBorders>
              <w:top w:val="nil"/>
              <w:left w:val="nil"/>
              <w:bottom w:val="single" w:sz="4" w:space="0" w:color="auto"/>
              <w:right w:val="single" w:sz="4" w:space="0" w:color="auto"/>
            </w:tcBorders>
            <w:shd w:val="clear" w:color="auto" w:fill="auto"/>
            <w:vAlign w:val="bottom"/>
            <w:hideMark/>
          </w:tcPr>
          <w:p w14:paraId="31346049" w14:textId="77777777" w:rsidR="00283604" w:rsidRPr="00CD218D" w:rsidRDefault="00283604">
            <w:pPr>
              <w:pStyle w:val="Tabletext"/>
            </w:pPr>
            <w:r w:rsidRPr="00CD218D">
              <w:t>Additions to covered taxes</w:t>
            </w:r>
          </w:p>
        </w:tc>
        <w:tc>
          <w:tcPr>
            <w:tcW w:w="1746" w:type="dxa"/>
            <w:tcBorders>
              <w:top w:val="nil"/>
              <w:left w:val="nil"/>
              <w:bottom w:val="single" w:sz="4" w:space="0" w:color="auto"/>
              <w:right w:val="single" w:sz="4" w:space="0" w:color="auto"/>
            </w:tcBorders>
            <w:shd w:val="clear" w:color="auto" w:fill="auto"/>
            <w:noWrap/>
            <w:vAlign w:val="bottom"/>
            <w:hideMark/>
          </w:tcPr>
          <w:p w14:paraId="415E8E1C" w14:textId="77777777" w:rsidR="00283604" w:rsidRPr="00CD218D" w:rsidRDefault="00283604">
            <w:pPr>
              <w:pStyle w:val="Tabletext"/>
            </w:pPr>
            <w:r w:rsidRPr="00CD218D">
              <w:t>4.1.2</w:t>
            </w:r>
          </w:p>
        </w:tc>
      </w:tr>
      <w:tr w:rsidR="00283604" w:rsidRPr="00CD218D" w14:paraId="6F0AB49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DE04A55" w14:textId="77777777" w:rsidR="00283604" w:rsidRPr="00CD218D" w:rsidRDefault="00283604">
            <w:pPr>
              <w:pStyle w:val="Tabletext"/>
            </w:pPr>
            <w:r w:rsidRPr="00CD218D">
              <w:t>4-20</w:t>
            </w:r>
          </w:p>
        </w:tc>
        <w:tc>
          <w:tcPr>
            <w:tcW w:w="3743" w:type="dxa"/>
            <w:tcBorders>
              <w:top w:val="nil"/>
              <w:left w:val="nil"/>
              <w:bottom w:val="single" w:sz="4" w:space="0" w:color="auto"/>
              <w:right w:val="single" w:sz="4" w:space="0" w:color="auto"/>
            </w:tcBorders>
            <w:shd w:val="clear" w:color="auto" w:fill="auto"/>
            <w:vAlign w:val="bottom"/>
            <w:hideMark/>
          </w:tcPr>
          <w:p w14:paraId="709052F4" w14:textId="77777777" w:rsidR="00283604" w:rsidRPr="00CD218D" w:rsidRDefault="00283604">
            <w:pPr>
              <w:pStyle w:val="Tabletext"/>
            </w:pPr>
            <w:r w:rsidRPr="00CD218D">
              <w:t>Reductions to covered taxes</w:t>
            </w:r>
          </w:p>
        </w:tc>
        <w:tc>
          <w:tcPr>
            <w:tcW w:w="1746" w:type="dxa"/>
            <w:tcBorders>
              <w:top w:val="nil"/>
              <w:left w:val="nil"/>
              <w:bottom w:val="single" w:sz="4" w:space="0" w:color="auto"/>
              <w:right w:val="single" w:sz="4" w:space="0" w:color="auto"/>
            </w:tcBorders>
            <w:shd w:val="clear" w:color="auto" w:fill="auto"/>
            <w:noWrap/>
            <w:vAlign w:val="bottom"/>
            <w:hideMark/>
          </w:tcPr>
          <w:p w14:paraId="6BCB3DB2" w14:textId="77777777" w:rsidR="00283604" w:rsidRPr="00CD218D" w:rsidRDefault="00283604">
            <w:pPr>
              <w:pStyle w:val="Tabletext"/>
            </w:pPr>
            <w:r w:rsidRPr="00CD218D">
              <w:t>4.1.3</w:t>
            </w:r>
          </w:p>
        </w:tc>
      </w:tr>
      <w:tr w:rsidR="00283604" w:rsidRPr="00CD218D" w14:paraId="11966D34"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8BF30D2" w14:textId="77777777" w:rsidR="00283604" w:rsidRPr="00CD218D" w:rsidRDefault="00283604">
            <w:pPr>
              <w:pStyle w:val="Tabletext"/>
            </w:pPr>
            <w:r w:rsidRPr="00CD218D">
              <w:t>4-25</w:t>
            </w:r>
          </w:p>
        </w:tc>
        <w:tc>
          <w:tcPr>
            <w:tcW w:w="3743" w:type="dxa"/>
            <w:tcBorders>
              <w:top w:val="nil"/>
              <w:left w:val="nil"/>
              <w:bottom w:val="single" w:sz="4" w:space="0" w:color="auto"/>
              <w:right w:val="single" w:sz="4" w:space="0" w:color="auto"/>
            </w:tcBorders>
            <w:shd w:val="clear" w:color="auto" w:fill="auto"/>
            <w:vAlign w:val="bottom"/>
            <w:hideMark/>
          </w:tcPr>
          <w:p w14:paraId="29C096AC" w14:textId="77777777" w:rsidR="00283604" w:rsidRPr="00CD218D" w:rsidRDefault="00283604">
            <w:pPr>
              <w:pStyle w:val="Tabletext"/>
            </w:pPr>
            <w:r w:rsidRPr="00CD218D">
              <w:t xml:space="preserve">No double counting of covered taxes </w:t>
            </w:r>
          </w:p>
        </w:tc>
        <w:tc>
          <w:tcPr>
            <w:tcW w:w="1746" w:type="dxa"/>
            <w:tcBorders>
              <w:top w:val="nil"/>
              <w:left w:val="nil"/>
              <w:bottom w:val="single" w:sz="4" w:space="0" w:color="auto"/>
              <w:right w:val="single" w:sz="4" w:space="0" w:color="auto"/>
            </w:tcBorders>
            <w:shd w:val="clear" w:color="auto" w:fill="auto"/>
            <w:noWrap/>
            <w:vAlign w:val="bottom"/>
            <w:hideMark/>
          </w:tcPr>
          <w:p w14:paraId="5C6108AB" w14:textId="77777777" w:rsidR="00283604" w:rsidRPr="00CD218D" w:rsidRDefault="00283604">
            <w:pPr>
              <w:pStyle w:val="Tabletext"/>
            </w:pPr>
            <w:r w:rsidRPr="00CD218D">
              <w:t>4.1.4</w:t>
            </w:r>
          </w:p>
        </w:tc>
      </w:tr>
      <w:tr w:rsidR="00283604" w:rsidRPr="00CD218D" w14:paraId="298273E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2E818A4" w14:textId="77777777" w:rsidR="00283604" w:rsidRPr="00CD218D" w:rsidRDefault="00283604">
            <w:pPr>
              <w:pStyle w:val="Tabletext"/>
            </w:pPr>
            <w:r w:rsidRPr="00CD218D">
              <w:t>4-30</w:t>
            </w:r>
          </w:p>
        </w:tc>
        <w:tc>
          <w:tcPr>
            <w:tcW w:w="3743" w:type="dxa"/>
            <w:tcBorders>
              <w:top w:val="nil"/>
              <w:left w:val="nil"/>
              <w:bottom w:val="single" w:sz="4" w:space="0" w:color="auto"/>
              <w:right w:val="single" w:sz="4" w:space="0" w:color="auto"/>
            </w:tcBorders>
            <w:shd w:val="clear" w:color="auto" w:fill="auto"/>
            <w:vAlign w:val="bottom"/>
            <w:hideMark/>
          </w:tcPr>
          <w:p w14:paraId="2D0620A0" w14:textId="3E4A39F7" w:rsidR="00283604" w:rsidRPr="00CD218D" w:rsidRDefault="00283604">
            <w:pPr>
              <w:pStyle w:val="Tabletext"/>
            </w:pPr>
            <w:r w:rsidRPr="00CD218D">
              <w:t xml:space="preserve">Expected </w:t>
            </w:r>
            <w:r w:rsidR="007F271F" w:rsidRPr="00CD218D">
              <w:t xml:space="preserve">Adjusted Covered Taxes </w:t>
            </w:r>
          </w:p>
        </w:tc>
        <w:tc>
          <w:tcPr>
            <w:tcW w:w="1746" w:type="dxa"/>
            <w:tcBorders>
              <w:top w:val="nil"/>
              <w:left w:val="nil"/>
              <w:bottom w:val="single" w:sz="4" w:space="0" w:color="auto"/>
              <w:right w:val="single" w:sz="4" w:space="0" w:color="auto"/>
            </w:tcBorders>
            <w:shd w:val="clear" w:color="auto" w:fill="auto"/>
            <w:noWrap/>
            <w:vAlign w:val="bottom"/>
            <w:hideMark/>
          </w:tcPr>
          <w:p w14:paraId="5F1E53D1" w14:textId="77777777" w:rsidR="00283604" w:rsidRPr="00CD218D" w:rsidRDefault="00283604">
            <w:pPr>
              <w:pStyle w:val="Tabletext"/>
            </w:pPr>
            <w:r w:rsidRPr="00CD218D">
              <w:t>4.1.5</w:t>
            </w:r>
          </w:p>
        </w:tc>
      </w:tr>
      <w:tr w:rsidR="00283604" w:rsidRPr="00CD218D" w14:paraId="7F3A95C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CA481B7" w14:textId="227A0369" w:rsidR="00283604" w:rsidRPr="00CD218D" w:rsidRDefault="00283604">
            <w:pPr>
              <w:pStyle w:val="Tabletext"/>
            </w:pPr>
            <w:r w:rsidRPr="00CD218D">
              <w:t>4-30 and 4-</w:t>
            </w:r>
            <w:r w:rsidR="00D77AD6" w:rsidRPr="00CD218D">
              <w:t>35</w:t>
            </w:r>
          </w:p>
        </w:tc>
        <w:tc>
          <w:tcPr>
            <w:tcW w:w="3743" w:type="dxa"/>
            <w:tcBorders>
              <w:top w:val="nil"/>
              <w:left w:val="nil"/>
              <w:bottom w:val="single" w:sz="4" w:space="0" w:color="auto"/>
              <w:right w:val="single" w:sz="4" w:space="0" w:color="auto"/>
            </w:tcBorders>
            <w:shd w:val="clear" w:color="auto" w:fill="auto"/>
            <w:noWrap/>
            <w:vAlign w:val="bottom"/>
            <w:hideMark/>
          </w:tcPr>
          <w:p w14:paraId="1E111071" w14:textId="77777777" w:rsidR="00283604" w:rsidRPr="00CD218D" w:rsidRDefault="00283604">
            <w:pPr>
              <w:pStyle w:val="Tabletext"/>
            </w:pPr>
            <w:r w:rsidRPr="00CD218D">
              <w:t>Excess negative tax carry-forward guidance</w:t>
            </w:r>
          </w:p>
        </w:tc>
        <w:tc>
          <w:tcPr>
            <w:tcW w:w="1746" w:type="dxa"/>
            <w:tcBorders>
              <w:top w:val="nil"/>
              <w:left w:val="nil"/>
              <w:bottom w:val="single" w:sz="4" w:space="0" w:color="auto"/>
              <w:right w:val="single" w:sz="4" w:space="0" w:color="auto"/>
            </w:tcBorders>
            <w:shd w:val="clear" w:color="auto" w:fill="auto"/>
            <w:noWrap/>
            <w:vAlign w:val="bottom"/>
            <w:hideMark/>
          </w:tcPr>
          <w:p w14:paraId="0FB0730E" w14:textId="77777777" w:rsidR="00283604" w:rsidRPr="00CD218D" w:rsidRDefault="00283604">
            <w:pPr>
              <w:pStyle w:val="Tabletext"/>
            </w:pPr>
            <w:r w:rsidRPr="00CD218D">
              <w:t>2.7 of the February AG</w:t>
            </w:r>
          </w:p>
        </w:tc>
      </w:tr>
      <w:tr w:rsidR="00283604" w:rsidRPr="00CD218D" w14:paraId="115EF45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592091C" w14:textId="77777777" w:rsidR="00283604" w:rsidRPr="00CD218D" w:rsidRDefault="00283604">
            <w:pPr>
              <w:pStyle w:val="Tabletext"/>
              <w:rPr>
                <w:b/>
                <w:bCs/>
              </w:rPr>
            </w:pPr>
            <w:r w:rsidRPr="00CD218D">
              <w:rPr>
                <w:b/>
                <w:bCs/>
              </w:rPr>
              <w:t>Part 4-2</w:t>
            </w:r>
          </w:p>
        </w:tc>
        <w:tc>
          <w:tcPr>
            <w:tcW w:w="3743" w:type="dxa"/>
            <w:tcBorders>
              <w:top w:val="nil"/>
              <w:left w:val="nil"/>
              <w:bottom w:val="single" w:sz="4" w:space="0" w:color="auto"/>
              <w:right w:val="single" w:sz="4" w:space="0" w:color="auto"/>
            </w:tcBorders>
            <w:shd w:val="clear" w:color="auto" w:fill="auto"/>
            <w:vAlign w:val="bottom"/>
            <w:hideMark/>
          </w:tcPr>
          <w:p w14:paraId="4E7421A8" w14:textId="77777777" w:rsidR="00283604" w:rsidRPr="00CD218D" w:rsidRDefault="00283604">
            <w:pPr>
              <w:pStyle w:val="Tabletext"/>
              <w:rPr>
                <w:b/>
                <w:bCs/>
              </w:rPr>
            </w:pPr>
            <w:r w:rsidRPr="00CD218D">
              <w:rPr>
                <w:b/>
                <w:bCs/>
              </w:rPr>
              <w:t>Definition of Covered Taxes</w:t>
            </w:r>
          </w:p>
        </w:tc>
        <w:tc>
          <w:tcPr>
            <w:tcW w:w="1746" w:type="dxa"/>
            <w:tcBorders>
              <w:top w:val="nil"/>
              <w:left w:val="nil"/>
              <w:bottom w:val="single" w:sz="4" w:space="0" w:color="auto"/>
              <w:right w:val="single" w:sz="4" w:space="0" w:color="auto"/>
            </w:tcBorders>
            <w:shd w:val="clear" w:color="auto" w:fill="auto"/>
            <w:noWrap/>
            <w:vAlign w:val="bottom"/>
            <w:hideMark/>
          </w:tcPr>
          <w:p w14:paraId="583C037F" w14:textId="77777777" w:rsidR="00283604" w:rsidRPr="00CD218D" w:rsidRDefault="00283604">
            <w:pPr>
              <w:pStyle w:val="Tabletext"/>
              <w:rPr>
                <w:b/>
                <w:bCs/>
              </w:rPr>
            </w:pPr>
            <w:r w:rsidRPr="00CD218D">
              <w:rPr>
                <w:b/>
                <w:bCs/>
              </w:rPr>
              <w:t>4.2</w:t>
            </w:r>
          </w:p>
        </w:tc>
      </w:tr>
      <w:tr w:rsidR="00283604" w:rsidRPr="00CD218D" w14:paraId="765616E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2D02884" w14:textId="13CE0688" w:rsidR="00283604" w:rsidRPr="00CD218D" w:rsidRDefault="00283604">
            <w:pPr>
              <w:pStyle w:val="Tabletext"/>
            </w:pPr>
            <w:r w:rsidRPr="00CD218D">
              <w:t>4-</w:t>
            </w:r>
            <w:r w:rsidR="00D77AD6" w:rsidRPr="00CD218D">
              <w:t>40</w:t>
            </w:r>
          </w:p>
        </w:tc>
        <w:tc>
          <w:tcPr>
            <w:tcW w:w="3743" w:type="dxa"/>
            <w:tcBorders>
              <w:top w:val="nil"/>
              <w:left w:val="nil"/>
              <w:bottom w:val="single" w:sz="4" w:space="0" w:color="auto"/>
              <w:right w:val="single" w:sz="4" w:space="0" w:color="auto"/>
            </w:tcBorders>
            <w:shd w:val="clear" w:color="auto" w:fill="auto"/>
            <w:vAlign w:val="bottom"/>
            <w:hideMark/>
          </w:tcPr>
          <w:p w14:paraId="06AEF5F2" w14:textId="77777777" w:rsidR="00283604" w:rsidRPr="00CD218D" w:rsidRDefault="00283604">
            <w:pPr>
              <w:pStyle w:val="Tabletext"/>
            </w:pPr>
            <w:r w:rsidRPr="00CD218D">
              <w:t>Included taxes in the meaning of covered taxes</w:t>
            </w:r>
          </w:p>
        </w:tc>
        <w:tc>
          <w:tcPr>
            <w:tcW w:w="1746" w:type="dxa"/>
            <w:tcBorders>
              <w:top w:val="nil"/>
              <w:left w:val="nil"/>
              <w:bottom w:val="single" w:sz="4" w:space="0" w:color="auto"/>
              <w:right w:val="single" w:sz="4" w:space="0" w:color="auto"/>
            </w:tcBorders>
            <w:shd w:val="clear" w:color="auto" w:fill="auto"/>
            <w:noWrap/>
            <w:vAlign w:val="bottom"/>
            <w:hideMark/>
          </w:tcPr>
          <w:p w14:paraId="011DFBEB" w14:textId="77777777" w:rsidR="00283604" w:rsidRPr="00CD218D" w:rsidRDefault="00283604">
            <w:pPr>
              <w:pStyle w:val="Tabletext"/>
            </w:pPr>
            <w:r w:rsidRPr="00CD218D">
              <w:t>4.2.1</w:t>
            </w:r>
          </w:p>
        </w:tc>
      </w:tr>
      <w:tr w:rsidR="00283604" w:rsidRPr="00CD218D" w14:paraId="61754E1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FB9F490" w14:textId="73356BA6" w:rsidR="00283604" w:rsidRPr="00CD218D" w:rsidRDefault="00283604">
            <w:pPr>
              <w:pStyle w:val="Tabletext"/>
            </w:pPr>
            <w:r w:rsidRPr="00CD218D">
              <w:t>4-</w:t>
            </w:r>
            <w:r w:rsidR="00D77AD6" w:rsidRPr="00CD218D">
              <w:t>40</w:t>
            </w:r>
          </w:p>
        </w:tc>
        <w:tc>
          <w:tcPr>
            <w:tcW w:w="3743" w:type="dxa"/>
            <w:tcBorders>
              <w:top w:val="nil"/>
              <w:left w:val="nil"/>
              <w:bottom w:val="single" w:sz="4" w:space="0" w:color="auto"/>
              <w:right w:val="single" w:sz="4" w:space="0" w:color="auto"/>
            </w:tcBorders>
            <w:shd w:val="clear" w:color="auto" w:fill="auto"/>
            <w:vAlign w:val="bottom"/>
          </w:tcPr>
          <w:p w14:paraId="7BE829D3" w14:textId="77777777" w:rsidR="00283604" w:rsidRPr="00CD218D" w:rsidRDefault="00283604">
            <w:pPr>
              <w:pStyle w:val="Tabletext"/>
            </w:pPr>
            <w:r w:rsidRPr="00CD218D">
              <w:t>Excluded taxes in the meaning of covered taxes</w:t>
            </w:r>
          </w:p>
        </w:tc>
        <w:tc>
          <w:tcPr>
            <w:tcW w:w="1746" w:type="dxa"/>
            <w:tcBorders>
              <w:top w:val="nil"/>
              <w:left w:val="nil"/>
              <w:bottom w:val="single" w:sz="4" w:space="0" w:color="auto"/>
              <w:right w:val="single" w:sz="4" w:space="0" w:color="auto"/>
            </w:tcBorders>
            <w:shd w:val="clear" w:color="auto" w:fill="auto"/>
            <w:noWrap/>
            <w:vAlign w:val="bottom"/>
          </w:tcPr>
          <w:p w14:paraId="14998AFA" w14:textId="77777777" w:rsidR="00283604" w:rsidRPr="00CD218D" w:rsidRDefault="00283604">
            <w:pPr>
              <w:pStyle w:val="Tabletext"/>
            </w:pPr>
            <w:r w:rsidRPr="00CD218D">
              <w:t>4.2.2</w:t>
            </w:r>
          </w:p>
        </w:tc>
      </w:tr>
      <w:tr w:rsidR="00283604" w:rsidRPr="00CD218D" w14:paraId="51613D7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C41CE2D" w14:textId="212C0093" w:rsidR="00283604" w:rsidRPr="00CD218D" w:rsidRDefault="00283604">
            <w:pPr>
              <w:pStyle w:val="Tabletext"/>
            </w:pPr>
            <w:r w:rsidRPr="00CD218D">
              <w:t>4-</w:t>
            </w:r>
            <w:r w:rsidR="00D77AD6" w:rsidRPr="00CD218D">
              <w:t>40</w:t>
            </w:r>
            <w:r w:rsidRPr="00CD218D">
              <w:t>(1)(a)</w:t>
            </w:r>
          </w:p>
        </w:tc>
        <w:tc>
          <w:tcPr>
            <w:tcW w:w="3743" w:type="dxa"/>
            <w:tcBorders>
              <w:top w:val="nil"/>
              <w:left w:val="nil"/>
              <w:bottom w:val="single" w:sz="4" w:space="0" w:color="auto"/>
              <w:right w:val="single" w:sz="4" w:space="0" w:color="auto"/>
            </w:tcBorders>
            <w:shd w:val="clear" w:color="auto" w:fill="auto"/>
            <w:noWrap/>
            <w:vAlign w:val="bottom"/>
            <w:hideMark/>
          </w:tcPr>
          <w:p w14:paraId="338F7DEC" w14:textId="2132DEC6" w:rsidR="00283604" w:rsidRPr="00CD218D" w:rsidRDefault="00283604">
            <w:pPr>
              <w:pStyle w:val="Tabletext"/>
            </w:pPr>
            <w:r w:rsidRPr="00CD218D">
              <w:t xml:space="preserve">Taxes in respect of a </w:t>
            </w:r>
            <w:r w:rsidR="007F271F" w:rsidRPr="00CD218D">
              <w:t xml:space="preserve">Constituent Entity’s </w:t>
            </w:r>
            <w:r w:rsidRPr="00CD218D">
              <w:t xml:space="preserve">owner's interest in another entity </w:t>
            </w:r>
          </w:p>
        </w:tc>
        <w:tc>
          <w:tcPr>
            <w:tcW w:w="1746" w:type="dxa"/>
            <w:tcBorders>
              <w:top w:val="nil"/>
              <w:left w:val="nil"/>
              <w:bottom w:val="single" w:sz="4" w:space="0" w:color="auto"/>
              <w:right w:val="single" w:sz="4" w:space="0" w:color="auto"/>
            </w:tcBorders>
            <w:shd w:val="clear" w:color="auto" w:fill="auto"/>
            <w:noWrap/>
            <w:vAlign w:val="bottom"/>
            <w:hideMark/>
          </w:tcPr>
          <w:p w14:paraId="22DE9E07" w14:textId="77777777" w:rsidR="00283604" w:rsidRPr="00CD218D" w:rsidRDefault="00283604">
            <w:pPr>
              <w:pStyle w:val="Tabletext"/>
            </w:pPr>
            <w:r w:rsidRPr="00CD218D">
              <w:t>4.2.1(a)</w:t>
            </w:r>
          </w:p>
        </w:tc>
      </w:tr>
      <w:tr w:rsidR="00283604" w:rsidRPr="00CD218D" w14:paraId="7CB7AE4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A801703" w14:textId="15C59222" w:rsidR="00283604" w:rsidRPr="00CD218D" w:rsidRDefault="00283604">
            <w:pPr>
              <w:pStyle w:val="Tabletext"/>
            </w:pPr>
            <w:r w:rsidRPr="00CD218D">
              <w:t>4-</w:t>
            </w:r>
            <w:r w:rsidR="00D77AD6" w:rsidRPr="00CD218D">
              <w:t>40</w:t>
            </w:r>
            <w:r w:rsidRPr="00CD218D">
              <w:t>(1)(b)</w:t>
            </w:r>
          </w:p>
        </w:tc>
        <w:tc>
          <w:tcPr>
            <w:tcW w:w="3743" w:type="dxa"/>
            <w:tcBorders>
              <w:top w:val="nil"/>
              <w:left w:val="nil"/>
              <w:bottom w:val="single" w:sz="4" w:space="0" w:color="auto"/>
              <w:right w:val="single" w:sz="4" w:space="0" w:color="auto"/>
            </w:tcBorders>
            <w:shd w:val="clear" w:color="auto" w:fill="auto"/>
            <w:noWrap/>
            <w:vAlign w:val="bottom"/>
            <w:hideMark/>
          </w:tcPr>
          <w:p w14:paraId="3EFF8F94" w14:textId="77777777" w:rsidR="00283604" w:rsidRPr="00CD218D" w:rsidRDefault="00283604">
            <w:pPr>
              <w:pStyle w:val="Tabletext"/>
            </w:pPr>
            <w:r w:rsidRPr="00CD218D">
              <w:t>Taxes on certain distributions and expenses under an Eligible Distribution Tax System</w:t>
            </w:r>
          </w:p>
        </w:tc>
        <w:tc>
          <w:tcPr>
            <w:tcW w:w="1746" w:type="dxa"/>
            <w:tcBorders>
              <w:top w:val="nil"/>
              <w:left w:val="nil"/>
              <w:bottom w:val="single" w:sz="4" w:space="0" w:color="auto"/>
              <w:right w:val="single" w:sz="4" w:space="0" w:color="auto"/>
            </w:tcBorders>
            <w:shd w:val="clear" w:color="auto" w:fill="auto"/>
            <w:noWrap/>
            <w:vAlign w:val="bottom"/>
            <w:hideMark/>
          </w:tcPr>
          <w:p w14:paraId="6D33F129" w14:textId="77777777" w:rsidR="00283604" w:rsidRPr="00CD218D" w:rsidRDefault="00283604">
            <w:pPr>
              <w:pStyle w:val="Tabletext"/>
            </w:pPr>
            <w:r w:rsidRPr="00CD218D">
              <w:t>4.2.1(b)</w:t>
            </w:r>
          </w:p>
        </w:tc>
      </w:tr>
      <w:tr w:rsidR="00283604" w:rsidRPr="00CD218D" w14:paraId="1ED0462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DA5A15A" w14:textId="42D32014" w:rsidR="00283604" w:rsidRPr="00CD218D" w:rsidRDefault="00283604">
            <w:pPr>
              <w:pStyle w:val="Tabletext"/>
            </w:pPr>
            <w:r w:rsidRPr="00CD218D">
              <w:t>4-</w:t>
            </w:r>
            <w:r w:rsidR="00D77AD6" w:rsidRPr="00CD218D">
              <w:t>40</w:t>
            </w:r>
            <w:r w:rsidRPr="00CD218D">
              <w:t>(1)(c)</w:t>
            </w:r>
          </w:p>
        </w:tc>
        <w:tc>
          <w:tcPr>
            <w:tcW w:w="3743" w:type="dxa"/>
            <w:tcBorders>
              <w:top w:val="nil"/>
              <w:left w:val="nil"/>
              <w:bottom w:val="single" w:sz="4" w:space="0" w:color="auto"/>
              <w:right w:val="single" w:sz="4" w:space="0" w:color="auto"/>
            </w:tcBorders>
            <w:shd w:val="clear" w:color="auto" w:fill="auto"/>
            <w:noWrap/>
            <w:vAlign w:val="bottom"/>
            <w:hideMark/>
          </w:tcPr>
          <w:p w14:paraId="462BBF27" w14:textId="77777777" w:rsidR="00283604" w:rsidRPr="00CD218D" w:rsidRDefault="00283604">
            <w:pPr>
              <w:pStyle w:val="Tabletext"/>
            </w:pPr>
            <w:r w:rsidRPr="00CD218D">
              <w:t>Taxes imposed in lieu of a corporate income tax</w:t>
            </w:r>
          </w:p>
        </w:tc>
        <w:tc>
          <w:tcPr>
            <w:tcW w:w="1746" w:type="dxa"/>
            <w:tcBorders>
              <w:top w:val="nil"/>
              <w:left w:val="nil"/>
              <w:bottom w:val="single" w:sz="4" w:space="0" w:color="auto"/>
              <w:right w:val="single" w:sz="4" w:space="0" w:color="auto"/>
            </w:tcBorders>
            <w:shd w:val="clear" w:color="auto" w:fill="auto"/>
            <w:noWrap/>
            <w:vAlign w:val="bottom"/>
            <w:hideMark/>
          </w:tcPr>
          <w:p w14:paraId="1751239F" w14:textId="77777777" w:rsidR="00283604" w:rsidRPr="00CD218D" w:rsidRDefault="00283604">
            <w:pPr>
              <w:pStyle w:val="Tabletext"/>
            </w:pPr>
            <w:r w:rsidRPr="00CD218D">
              <w:t>4.2.1(c)</w:t>
            </w:r>
          </w:p>
        </w:tc>
      </w:tr>
      <w:tr w:rsidR="00283604" w:rsidRPr="00CD218D" w14:paraId="6E1AD69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7212E20" w14:textId="46B0903E" w:rsidR="00283604" w:rsidRPr="00CD218D" w:rsidRDefault="00283604">
            <w:pPr>
              <w:pStyle w:val="Tabletext"/>
            </w:pPr>
            <w:r w:rsidRPr="00CD218D">
              <w:t>4-</w:t>
            </w:r>
            <w:r w:rsidR="00D77AD6" w:rsidRPr="00CD218D">
              <w:t>40</w:t>
            </w:r>
            <w:r w:rsidRPr="00CD218D">
              <w:t>(1)(d)</w:t>
            </w:r>
          </w:p>
        </w:tc>
        <w:tc>
          <w:tcPr>
            <w:tcW w:w="3743" w:type="dxa"/>
            <w:tcBorders>
              <w:top w:val="nil"/>
              <w:left w:val="nil"/>
              <w:bottom w:val="single" w:sz="4" w:space="0" w:color="auto"/>
              <w:right w:val="single" w:sz="4" w:space="0" w:color="auto"/>
            </w:tcBorders>
            <w:shd w:val="clear" w:color="auto" w:fill="auto"/>
            <w:noWrap/>
            <w:vAlign w:val="bottom"/>
            <w:hideMark/>
          </w:tcPr>
          <w:p w14:paraId="0EF34C2F" w14:textId="77777777" w:rsidR="00283604" w:rsidRPr="00CD218D" w:rsidRDefault="00283604">
            <w:pPr>
              <w:pStyle w:val="Tabletext"/>
            </w:pPr>
            <w:r w:rsidRPr="00CD218D">
              <w:t>Taxes levied on retained earnings and corporate equity</w:t>
            </w:r>
          </w:p>
        </w:tc>
        <w:tc>
          <w:tcPr>
            <w:tcW w:w="1746" w:type="dxa"/>
            <w:tcBorders>
              <w:top w:val="nil"/>
              <w:left w:val="nil"/>
              <w:bottom w:val="single" w:sz="4" w:space="0" w:color="auto"/>
              <w:right w:val="single" w:sz="4" w:space="0" w:color="auto"/>
            </w:tcBorders>
            <w:shd w:val="clear" w:color="auto" w:fill="auto"/>
            <w:noWrap/>
            <w:vAlign w:val="bottom"/>
            <w:hideMark/>
          </w:tcPr>
          <w:p w14:paraId="26BE5049" w14:textId="77777777" w:rsidR="00283604" w:rsidRPr="00CD218D" w:rsidRDefault="00283604">
            <w:pPr>
              <w:pStyle w:val="Tabletext"/>
            </w:pPr>
            <w:r w:rsidRPr="00CD218D">
              <w:t>4.2.1(d)</w:t>
            </w:r>
          </w:p>
        </w:tc>
      </w:tr>
      <w:tr w:rsidR="00283604" w:rsidRPr="00CD218D" w14:paraId="2031875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6A81390" w14:textId="49286F1B" w:rsidR="00283604" w:rsidRPr="00CD218D" w:rsidRDefault="00283604">
            <w:pPr>
              <w:pStyle w:val="Tabletext"/>
            </w:pPr>
            <w:r w:rsidRPr="00CD218D">
              <w:lastRenderedPageBreak/>
              <w:t>4-</w:t>
            </w:r>
            <w:r w:rsidR="00D77AD6" w:rsidRPr="00CD218D">
              <w:t>40</w:t>
            </w:r>
            <w:r w:rsidRPr="00CD218D">
              <w:t>(2)(a)</w:t>
            </w:r>
          </w:p>
        </w:tc>
        <w:tc>
          <w:tcPr>
            <w:tcW w:w="3743" w:type="dxa"/>
            <w:tcBorders>
              <w:top w:val="nil"/>
              <w:left w:val="nil"/>
              <w:bottom w:val="single" w:sz="4" w:space="0" w:color="auto"/>
              <w:right w:val="single" w:sz="4" w:space="0" w:color="auto"/>
            </w:tcBorders>
            <w:shd w:val="clear" w:color="auto" w:fill="auto"/>
            <w:vAlign w:val="bottom"/>
            <w:hideMark/>
          </w:tcPr>
          <w:p w14:paraId="49033C93" w14:textId="77777777" w:rsidR="00283604" w:rsidRPr="00CD218D" w:rsidRDefault="00283604">
            <w:pPr>
              <w:pStyle w:val="Tabletext"/>
            </w:pPr>
            <w:r w:rsidRPr="00CD218D">
              <w:t>Top-up Tax under a Qualified IIR</w:t>
            </w:r>
          </w:p>
        </w:tc>
        <w:tc>
          <w:tcPr>
            <w:tcW w:w="1746" w:type="dxa"/>
            <w:tcBorders>
              <w:top w:val="nil"/>
              <w:left w:val="nil"/>
              <w:bottom w:val="single" w:sz="4" w:space="0" w:color="auto"/>
              <w:right w:val="single" w:sz="4" w:space="0" w:color="auto"/>
            </w:tcBorders>
            <w:shd w:val="clear" w:color="auto" w:fill="auto"/>
            <w:noWrap/>
            <w:vAlign w:val="bottom"/>
            <w:hideMark/>
          </w:tcPr>
          <w:p w14:paraId="1C37B543" w14:textId="77777777" w:rsidR="00283604" w:rsidRPr="00CD218D" w:rsidRDefault="00283604">
            <w:pPr>
              <w:pStyle w:val="Tabletext"/>
            </w:pPr>
            <w:r w:rsidRPr="00CD218D">
              <w:t>4.2.2(a)</w:t>
            </w:r>
          </w:p>
        </w:tc>
      </w:tr>
      <w:tr w:rsidR="00283604" w:rsidRPr="00CD218D" w14:paraId="2102D68B"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7229ADB" w14:textId="6ECAACD1" w:rsidR="00283604" w:rsidRPr="00CD218D" w:rsidRDefault="00283604">
            <w:pPr>
              <w:pStyle w:val="Tabletext"/>
            </w:pPr>
            <w:r w:rsidRPr="00CD218D">
              <w:t>4-</w:t>
            </w:r>
            <w:r w:rsidR="00D77AD6" w:rsidRPr="00CD218D">
              <w:t>40</w:t>
            </w:r>
            <w:r w:rsidRPr="00CD218D">
              <w:t>(2)(b)</w:t>
            </w:r>
          </w:p>
        </w:tc>
        <w:tc>
          <w:tcPr>
            <w:tcW w:w="3743" w:type="dxa"/>
            <w:tcBorders>
              <w:top w:val="nil"/>
              <w:left w:val="nil"/>
              <w:bottom w:val="single" w:sz="4" w:space="0" w:color="auto"/>
              <w:right w:val="single" w:sz="4" w:space="0" w:color="auto"/>
            </w:tcBorders>
            <w:shd w:val="clear" w:color="auto" w:fill="auto"/>
            <w:vAlign w:val="bottom"/>
            <w:hideMark/>
          </w:tcPr>
          <w:p w14:paraId="759B9381" w14:textId="77777777" w:rsidR="00283604" w:rsidRPr="00CD218D" w:rsidRDefault="00283604">
            <w:pPr>
              <w:pStyle w:val="Tabletext"/>
            </w:pPr>
            <w:r w:rsidRPr="00CD218D">
              <w:t>Top-up Tax under a QDMTT</w:t>
            </w:r>
          </w:p>
        </w:tc>
        <w:tc>
          <w:tcPr>
            <w:tcW w:w="1746" w:type="dxa"/>
            <w:tcBorders>
              <w:top w:val="nil"/>
              <w:left w:val="nil"/>
              <w:bottom w:val="single" w:sz="4" w:space="0" w:color="auto"/>
              <w:right w:val="single" w:sz="4" w:space="0" w:color="auto"/>
            </w:tcBorders>
            <w:shd w:val="clear" w:color="auto" w:fill="auto"/>
            <w:noWrap/>
            <w:vAlign w:val="bottom"/>
            <w:hideMark/>
          </w:tcPr>
          <w:p w14:paraId="6C76B4CC" w14:textId="77777777" w:rsidR="00283604" w:rsidRPr="00CD218D" w:rsidRDefault="00283604">
            <w:pPr>
              <w:pStyle w:val="Tabletext"/>
            </w:pPr>
            <w:r w:rsidRPr="00CD218D">
              <w:t>4.2.2(b)</w:t>
            </w:r>
          </w:p>
        </w:tc>
      </w:tr>
      <w:tr w:rsidR="00283604" w:rsidRPr="00CD218D" w14:paraId="3FC131C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4ED63A6" w14:textId="52401623" w:rsidR="00283604" w:rsidRPr="00CD218D" w:rsidRDefault="00283604">
            <w:pPr>
              <w:pStyle w:val="Tabletext"/>
            </w:pPr>
            <w:r w:rsidRPr="00CD218D">
              <w:t>4-</w:t>
            </w:r>
            <w:r w:rsidR="00D77AD6" w:rsidRPr="00CD218D">
              <w:t>40</w:t>
            </w:r>
            <w:r w:rsidRPr="00CD218D">
              <w:t>(2)(c)</w:t>
            </w:r>
          </w:p>
        </w:tc>
        <w:tc>
          <w:tcPr>
            <w:tcW w:w="3743" w:type="dxa"/>
            <w:tcBorders>
              <w:top w:val="nil"/>
              <w:left w:val="nil"/>
              <w:bottom w:val="single" w:sz="4" w:space="0" w:color="auto"/>
              <w:right w:val="single" w:sz="4" w:space="0" w:color="auto"/>
            </w:tcBorders>
            <w:shd w:val="clear" w:color="auto" w:fill="auto"/>
            <w:vAlign w:val="bottom"/>
            <w:hideMark/>
          </w:tcPr>
          <w:p w14:paraId="22147FEB" w14:textId="77777777" w:rsidR="00283604" w:rsidRPr="00CD218D" w:rsidRDefault="00283604">
            <w:pPr>
              <w:pStyle w:val="Tabletext"/>
            </w:pPr>
            <w:r w:rsidRPr="00CD218D">
              <w:t>Top-up-tax under a QUTPR</w:t>
            </w:r>
          </w:p>
        </w:tc>
        <w:tc>
          <w:tcPr>
            <w:tcW w:w="1746" w:type="dxa"/>
            <w:tcBorders>
              <w:top w:val="nil"/>
              <w:left w:val="nil"/>
              <w:bottom w:val="single" w:sz="4" w:space="0" w:color="auto"/>
              <w:right w:val="single" w:sz="4" w:space="0" w:color="auto"/>
            </w:tcBorders>
            <w:shd w:val="clear" w:color="auto" w:fill="auto"/>
            <w:noWrap/>
            <w:vAlign w:val="bottom"/>
            <w:hideMark/>
          </w:tcPr>
          <w:p w14:paraId="077C1F16" w14:textId="77777777" w:rsidR="00283604" w:rsidRPr="00CD218D" w:rsidRDefault="00283604">
            <w:pPr>
              <w:pStyle w:val="Tabletext"/>
            </w:pPr>
            <w:r w:rsidRPr="00CD218D">
              <w:t>4.2.2(c)</w:t>
            </w:r>
          </w:p>
        </w:tc>
      </w:tr>
      <w:tr w:rsidR="00283604" w:rsidRPr="00CD218D" w14:paraId="73C3FF3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19EC41A" w14:textId="3A908572" w:rsidR="00283604" w:rsidRPr="00CD218D" w:rsidRDefault="00283604">
            <w:pPr>
              <w:pStyle w:val="Tabletext"/>
            </w:pPr>
            <w:r w:rsidRPr="00CD218D">
              <w:t>4-</w:t>
            </w:r>
            <w:r w:rsidR="00D77AD6" w:rsidRPr="00CD218D">
              <w:t>40</w:t>
            </w:r>
            <w:r w:rsidRPr="00CD218D">
              <w:t>(2)(d)</w:t>
            </w:r>
          </w:p>
        </w:tc>
        <w:tc>
          <w:tcPr>
            <w:tcW w:w="3743" w:type="dxa"/>
            <w:tcBorders>
              <w:top w:val="nil"/>
              <w:left w:val="nil"/>
              <w:bottom w:val="single" w:sz="4" w:space="0" w:color="auto"/>
              <w:right w:val="single" w:sz="4" w:space="0" w:color="auto"/>
            </w:tcBorders>
            <w:shd w:val="clear" w:color="auto" w:fill="auto"/>
            <w:vAlign w:val="bottom"/>
            <w:hideMark/>
          </w:tcPr>
          <w:p w14:paraId="72D61779" w14:textId="26FF94C2" w:rsidR="00283604" w:rsidRPr="00CD218D" w:rsidRDefault="00283604">
            <w:pPr>
              <w:pStyle w:val="Tabletext"/>
            </w:pPr>
            <w:r w:rsidRPr="00CD218D">
              <w:t>A Disqualified Refundable Imputation Tax;</w:t>
            </w:r>
          </w:p>
        </w:tc>
        <w:tc>
          <w:tcPr>
            <w:tcW w:w="1746" w:type="dxa"/>
            <w:tcBorders>
              <w:top w:val="nil"/>
              <w:left w:val="nil"/>
              <w:bottom w:val="single" w:sz="4" w:space="0" w:color="auto"/>
              <w:right w:val="single" w:sz="4" w:space="0" w:color="auto"/>
            </w:tcBorders>
            <w:shd w:val="clear" w:color="auto" w:fill="auto"/>
            <w:noWrap/>
            <w:vAlign w:val="bottom"/>
            <w:hideMark/>
          </w:tcPr>
          <w:p w14:paraId="1A4F6AE1" w14:textId="77777777" w:rsidR="00283604" w:rsidRPr="00CD218D" w:rsidRDefault="00283604">
            <w:pPr>
              <w:pStyle w:val="Tabletext"/>
            </w:pPr>
            <w:r w:rsidRPr="00CD218D">
              <w:t>4.2.2(d)</w:t>
            </w:r>
          </w:p>
        </w:tc>
      </w:tr>
      <w:tr w:rsidR="00283604" w:rsidRPr="00CD218D" w14:paraId="7570D5F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122099D" w14:textId="4DAA4998" w:rsidR="00283604" w:rsidRPr="00CD218D" w:rsidRDefault="00283604">
            <w:pPr>
              <w:pStyle w:val="Tabletext"/>
            </w:pPr>
            <w:r w:rsidRPr="00CD218D">
              <w:t>4-</w:t>
            </w:r>
            <w:r w:rsidR="00D77AD6" w:rsidRPr="00CD218D">
              <w:t>40</w:t>
            </w:r>
            <w:r w:rsidRPr="00CD218D">
              <w:t>(2)(e)</w:t>
            </w:r>
          </w:p>
        </w:tc>
        <w:tc>
          <w:tcPr>
            <w:tcW w:w="3743" w:type="dxa"/>
            <w:tcBorders>
              <w:top w:val="nil"/>
              <w:left w:val="nil"/>
              <w:bottom w:val="single" w:sz="4" w:space="0" w:color="auto"/>
              <w:right w:val="single" w:sz="4" w:space="0" w:color="auto"/>
            </w:tcBorders>
            <w:shd w:val="clear" w:color="auto" w:fill="auto"/>
            <w:vAlign w:val="bottom"/>
            <w:hideMark/>
          </w:tcPr>
          <w:p w14:paraId="51D7ADF7" w14:textId="77777777" w:rsidR="00283604" w:rsidRPr="00CD218D" w:rsidRDefault="00283604">
            <w:pPr>
              <w:pStyle w:val="Tabletext"/>
            </w:pPr>
            <w:r w:rsidRPr="00CD218D">
              <w:t>Taxes paid by an insurance company in respect of returns to policyholders.</w:t>
            </w:r>
          </w:p>
        </w:tc>
        <w:tc>
          <w:tcPr>
            <w:tcW w:w="1746" w:type="dxa"/>
            <w:tcBorders>
              <w:top w:val="nil"/>
              <w:left w:val="nil"/>
              <w:bottom w:val="single" w:sz="4" w:space="0" w:color="auto"/>
              <w:right w:val="single" w:sz="4" w:space="0" w:color="auto"/>
            </w:tcBorders>
            <w:shd w:val="clear" w:color="auto" w:fill="auto"/>
            <w:noWrap/>
            <w:vAlign w:val="bottom"/>
            <w:hideMark/>
          </w:tcPr>
          <w:p w14:paraId="5A39C614" w14:textId="77777777" w:rsidR="00283604" w:rsidRPr="00CD218D" w:rsidRDefault="00283604">
            <w:pPr>
              <w:pStyle w:val="Tabletext"/>
            </w:pPr>
            <w:r w:rsidRPr="00CD218D">
              <w:t>4.2.2(e)</w:t>
            </w:r>
          </w:p>
        </w:tc>
      </w:tr>
      <w:tr w:rsidR="00283604" w:rsidRPr="00CD218D" w14:paraId="7AC94BCC" w14:textId="77777777">
        <w:trPr>
          <w:trHeight w:val="6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4CC4EE1" w14:textId="77777777" w:rsidR="00283604" w:rsidRPr="00CD218D" w:rsidRDefault="00283604">
            <w:pPr>
              <w:pStyle w:val="Tabletext"/>
              <w:rPr>
                <w:b/>
                <w:bCs/>
              </w:rPr>
            </w:pPr>
            <w:r w:rsidRPr="00CD218D">
              <w:rPr>
                <w:b/>
                <w:bCs/>
              </w:rPr>
              <w:t>Part 4-3</w:t>
            </w:r>
          </w:p>
        </w:tc>
        <w:tc>
          <w:tcPr>
            <w:tcW w:w="3743" w:type="dxa"/>
            <w:tcBorders>
              <w:top w:val="nil"/>
              <w:left w:val="nil"/>
              <w:bottom w:val="single" w:sz="4" w:space="0" w:color="auto"/>
              <w:right w:val="single" w:sz="4" w:space="0" w:color="auto"/>
            </w:tcBorders>
            <w:shd w:val="clear" w:color="auto" w:fill="auto"/>
            <w:vAlign w:val="bottom"/>
            <w:hideMark/>
          </w:tcPr>
          <w:p w14:paraId="2CFAB66D" w14:textId="77777777" w:rsidR="00283604" w:rsidRPr="00CD218D" w:rsidRDefault="00283604">
            <w:pPr>
              <w:pStyle w:val="Tabletext"/>
              <w:rPr>
                <w:b/>
                <w:bCs/>
              </w:rPr>
            </w:pPr>
            <w:r w:rsidRPr="00CD218D">
              <w:rPr>
                <w:b/>
                <w:bCs/>
              </w:rPr>
              <w:t>Allocation of Covered Taxes from one Constituent Entity to another Constituent Entity</w:t>
            </w:r>
          </w:p>
        </w:tc>
        <w:tc>
          <w:tcPr>
            <w:tcW w:w="1746" w:type="dxa"/>
            <w:tcBorders>
              <w:top w:val="nil"/>
              <w:left w:val="nil"/>
              <w:bottom w:val="single" w:sz="4" w:space="0" w:color="auto"/>
              <w:right w:val="single" w:sz="4" w:space="0" w:color="auto"/>
            </w:tcBorders>
            <w:shd w:val="clear" w:color="auto" w:fill="auto"/>
            <w:noWrap/>
            <w:vAlign w:val="bottom"/>
            <w:hideMark/>
          </w:tcPr>
          <w:p w14:paraId="29353F47" w14:textId="77777777" w:rsidR="00283604" w:rsidRPr="00CD218D" w:rsidRDefault="00283604">
            <w:pPr>
              <w:pStyle w:val="Tabletext"/>
              <w:rPr>
                <w:b/>
                <w:bCs/>
              </w:rPr>
            </w:pPr>
            <w:r w:rsidRPr="00CD218D">
              <w:rPr>
                <w:b/>
                <w:bCs/>
              </w:rPr>
              <w:t>4.3</w:t>
            </w:r>
          </w:p>
        </w:tc>
      </w:tr>
      <w:tr w:rsidR="00283604" w:rsidRPr="00CD218D" w14:paraId="4733808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76DDC7B" w14:textId="7C8CEF53" w:rsidR="00283604" w:rsidRPr="00CD218D" w:rsidRDefault="00283604">
            <w:pPr>
              <w:pStyle w:val="Tabletext"/>
            </w:pPr>
            <w:r w:rsidRPr="00CD218D">
              <w:t>4-</w:t>
            </w:r>
            <w:r w:rsidR="00754D6A" w:rsidRPr="00CD218D">
              <w:t xml:space="preserve">45 </w:t>
            </w:r>
            <w:r w:rsidRPr="00CD218D">
              <w:t>to 4-</w:t>
            </w:r>
            <w:r w:rsidR="00754D6A" w:rsidRPr="00CD218D">
              <w:t xml:space="preserve">80 </w:t>
            </w:r>
          </w:p>
        </w:tc>
        <w:tc>
          <w:tcPr>
            <w:tcW w:w="3743" w:type="dxa"/>
            <w:tcBorders>
              <w:top w:val="nil"/>
              <w:left w:val="nil"/>
              <w:bottom w:val="single" w:sz="4" w:space="0" w:color="auto"/>
              <w:right w:val="single" w:sz="4" w:space="0" w:color="auto"/>
            </w:tcBorders>
            <w:shd w:val="clear" w:color="auto" w:fill="auto"/>
            <w:vAlign w:val="bottom"/>
            <w:hideMark/>
          </w:tcPr>
          <w:p w14:paraId="6CB00876" w14:textId="77777777" w:rsidR="00283604" w:rsidRPr="00CD218D" w:rsidRDefault="00283604">
            <w:pPr>
              <w:pStyle w:val="Tabletext"/>
            </w:pPr>
            <w:r w:rsidRPr="00CD218D">
              <w:t xml:space="preserve">Scope of application of covered taxes </w:t>
            </w:r>
          </w:p>
        </w:tc>
        <w:tc>
          <w:tcPr>
            <w:tcW w:w="1746" w:type="dxa"/>
            <w:tcBorders>
              <w:top w:val="nil"/>
              <w:left w:val="nil"/>
              <w:bottom w:val="single" w:sz="4" w:space="0" w:color="auto"/>
              <w:right w:val="single" w:sz="4" w:space="0" w:color="auto"/>
            </w:tcBorders>
            <w:shd w:val="clear" w:color="auto" w:fill="auto"/>
            <w:noWrap/>
            <w:vAlign w:val="bottom"/>
            <w:hideMark/>
          </w:tcPr>
          <w:p w14:paraId="38419665" w14:textId="77777777" w:rsidR="00283604" w:rsidRPr="00CD218D" w:rsidRDefault="00283604">
            <w:pPr>
              <w:pStyle w:val="Tabletext"/>
            </w:pPr>
            <w:r w:rsidRPr="00CD218D">
              <w:t>4.3.1</w:t>
            </w:r>
          </w:p>
        </w:tc>
      </w:tr>
      <w:tr w:rsidR="00283604" w:rsidRPr="00CD218D" w14:paraId="5EEB5D3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DD67ABC" w14:textId="2556E3FC" w:rsidR="00283604" w:rsidRPr="00CD218D" w:rsidRDefault="00283604">
            <w:pPr>
              <w:pStyle w:val="Tabletext"/>
            </w:pPr>
            <w:r w:rsidRPr="00CD218D">
              <w:t>4-</w:t>
            </w:r>
            <w:r w:rsidR="00754D6A" w:rsidRPr="00CD218D">
              <w:t>5</w:t>
            </w:r>
          </w:p>
        </w:tc>
        <w:tc>
          <w:tcPr>
            <w:tcW w:w="3743" w:type="dxa"/>
            <w:tcBorders>
              <w:top w:val="nil"/>
              <w:left w:val="nil"/>
              <w:bottom w:val="single" w:sz="4" w:space="0" w:color="auto"/>
              <w:right w:val="single" w:sz="4" w:space="0" w:color="auto"/>
            </w:tcBorders>
            <w:shd w:val="clear" w:color="auto" w:fill="auto"/>
            <w:noWrap/>
            <w:vAlign w:val="bottom"/>
            <w:hideMark/>
          </w:tcPr>
          <w:p w14:paraId="482F40E8" w14:textId="11C00E40" w:rsidR="00283604" w:rsidRPr="00CD218D" w:rsidRDefault="007F271F">
            <w:pPr>
              <w:pStyle w:val="Tabletext"/>
            </w:pPr>
            <w:r w:rsidRPr="00CD218D">
              <w:t>Allocated covered taxes of a Constituent Entity to the Permanent Establishment</w:t>
            </w:r>
          </w:p>
        </w:tc>
        <w:tc>
          <w:tcPr>
            <w:tcW w:w="1746" w:type="dxa"/>
            <w:tcBorders>
              <w:top w:val="nil"/>
              <w:left w:val="nil"/>
              <w:bottom w:val="single" w:sz="4" w:space="0" w:color="auto"/>
              <w:right w:val="single" w:sz="4" w:space="0" w:color="auto"/>
            </w:tcBorders>
            <w:shd w:val="clear" w:color="auto" w:fill="auto"/>
            <w:noWrap/>
            <w:vAlign w:val="bottom"/>
            <w:hideMark/>
          </w:tcPr>
          <w:p w14:paraId="57D9F07A" w14:textId="77777777" w:rsidR="00283604" w:rsidRPr="00CD218D" w:rsidRDefault="00283604">
            <w:pPr>
              <w:pStyle w:val="Tabletext"/>
            </w:pPr>
            <w:r w:rsidRPr="00CD218D">
              <w:t>4.3.2(a)</w:t>
            </w:r>
          </w:p>
        </w:tc>
      </w:tr>
      <w:tr w:rsidR="00283604" w:rsidRPr="00CD218D" w14:paraId="531D63C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6652D6E" w14:textId="2CFA12B8" w:rsidR="00283604" w:rsidRPr="00CD218D" w:rsidRDefault="00283604">
            <w:pPr>
              <w:pStyle w:val="Tabletext"/>
            </w:pPr>
            <w:r w:rsidRPr="00CD218D">
              <w:t>4-</w:t>
            </w:r>
            <w:r w:rsidR="00754D6A" w:rsidRPr="00CD218D">
              <w:t>50</w:t>
            </w:r>
          </w:p>
        </w:tc>
        <w:tc>
          <w:tcPr>
            <w:tcW w:w="3743" w:type="dxa"/>
            <w:tcBorders>
              <w:top w:val="nil"/>
              <w:left w:val="nil"/>
              <w:bottom w:val="single" w:sz="4" w:space="0" w:color="auto"/>
              <w:right w:val="single" w:sz="4" w:space="0" w:color="auto"/>
            </w:tcBorders>
            <w:shd w:val="clear" w:color="auto" w:fill="auto"/>
            <w:noWrap/>
            <w:vAlign w:val="bottom"/>
            <w:hideMark/>
          </w:tcPr>
          <w:p w14:paraId="728C8BE1" w14:textId="77777777" w:rsidR="00283604" w:rsidRPr="00CD218D" w:rsidRDefault="00283604">
            <w:pPr>
              <w:pStyle w:val="Tabletext"/>
            </w:pPr>
            <w:r w:rsidRPr="00CD218D">
              <w:t>Allocate covered taxes of a Tax Transparent Entity to the Constituent Entity-owner</w:t>
            </w:r>
          </w:p>
        </w:tc>
        <w:tc>
          <w:tcPr>
            <w:tcW w:w="1746" w:type="dxa"/>
            <w:tcBorders>
              <w:top w:val="nil"/>
              <w:left w:val="nil"/>
              <w:bottom w:val="single" w:sz="4" w:space="0" w:color="auto"/>
              <w:right w:val="single" w:sz="4" w:space="0" w:color="auto"/>
            </w:tcBorders>
            <w:shd w:val="clear" w:color="auto" w:fill="auto"/>
            <w:noWrap/>
            <w:vAlign w:val="bottom"/>
            <w:hideMark/>
          </w:tcPr>
          <w:p w14:paraId="14DF3C6A" w14:textId="77777777" w:rsidR="00283604" w:rsidRPr="00CD218D" w:rsidRDefault="00283604">
            <w:pPr>
              <w:pStyle w:val="Tabletext"/>
            </w:pPr>
            <w:r w:rsidRPr="00CD218D">
              <w:t>4.3.2(b)</w:t>
            </w:r>
          </w:p>
        </w:tc>
      </w:tr>
      <w:tr w:rsidR="00283604" w:rsidRPr="00CD218D" w14:paraId="4A51E24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89CF1E" w14:textId="43A98B3E" w:rsidR="00283604" w:rsidRPr="00CD218D" w:rsidRDefault="00283604">
            <w:pPr>
              <w:pStyle w:val="Tabletext"/>
            </w:pPr>
            <w:r w:rsidRPr="00CD218D">
              <w:t>4-</w:t>
            </w:r>
            <w:r w:rsidR="00754D6A" w:rsidRPr="00CD218D">
              <w:t xml:space="preserve">55 </w:t>
            </w:r>
          </w:p>
        </w:tc>
        <w:tc>
          <w:tcPr>
            <w:tcW w:w="3743" w:type="dxa"/>
            <w:tcBorders>
              <w:top w:val="nil"/>
              <w:left w:val="nil"/>
              <w:bottom w:val="single" w:sz="4" w:space="0" w:color="auto"/>
              <w:right w:val="single" w:sz="4" w:space="0" w:color="auto"/>
            </w:tcBorders>
            <w:shd w:val="clear" w:color="auto" w:fill="auto"/>
            <w:noWrap/>
            <w:vAlign w:val="bottom"/>
            <w:hideMark/>
          </w:tcPr>
          <w:p w14:paraId="26DB751C" w14:textId="06A544E4" w:rsidR="00283604" w:rsidRPr="00CD218D" w:rsidRDefault="00283604">
            <w:pPr>
              <w:pStyle w:val="Tabletext"/>
            </w:pPr>
            <w:r w:rsidRPr="00CD218D">
              <w:t>Allocate covered taxes of a C</w:t>
            </w:r>
            <w:r w:rsidR="00BB67DE">
              <w:t xml:space="preserve">onstituent </w:t>
            </w:r>
            <w:r w:rsidRPr="00CD218D">
              <w:t>E</w:t>
            </w:r>
            <w:r w:rsidR="00BB67DE">
              <w:t>ntity</w:t>
            </w:r>
            <w:r w:rsidRPr="00CD218D">
              <w:t xml:space="preserve"> where the direct or indirect Constituent Entity-owners are subject to a CFC Tax Regime to the C</w:t>
            </w:r>
            <w:r w:rsidR="00BB67DE">
              <w:t xml:space="preserve">onstituent </w:t>
            </w:r>
            <w:r w:rsidRPr="00CD218D">
              <w:t>E</w:t>
            </w:r>
            <w:r w:rsidR="00BB67DE">
              <w:t>ntity</w:t>
            </w:r>
          </w:p>
        </w:tc>
        <w:tc>
          <w:tcPr>
            <w:tcW w:w="1746" w:type="dxa"/>
            <w:tcBorders>
              <w:top w:val="nil"/>
              <w:left w:val="nil"/>
              <w:bottom w:val="single" w:sz="4" w:space="0" w:color="auto"/>
              <w:right w:val="single" w:sz="4" w:space="0" w:color="auto"/>
            </w:tcBorders>
            <w:shd w:val="clear" w:color="auto" w:fill="auto"/>
            <w:noWrap/>
            <w:vAlign w:val="bottom"/>
            <w:hideMark/>
          </w:tcPr>
          <w:p w14:paraId="4C288A63" w14:textId="1D568E84" w:rsidR="00283604" w:rsidRPr="00CD218D" w:rsidRDefault="00283604">
            <w:pPr>
              <w:pStyle w:val="Tabletext"/>
            </w:pPr>
            <w:r w:rsidRPr="00CD218D">
              <w:t>4.3.2(c)</w:t>
            </w:r>
          </w:p>
        </w:tc>
      </w:tr>
      <w:tr w:rsidR="00283604" w:rsidRPr="00CD218D" w14:paraId="5B838F0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263010E" w14:textId="4186B663" w:rsidR="00283604" w:rsidRPr="00CD218D" w:rsidRDefault="00283604">
            <w:pPr>
              <w:pStyle w:val="Tabletext"/>
            </w:pPr>
            <w:r w:rsidRPr="00CD218D">
              <w:t>4-</w:t>
            </w:r>
            <w:r w:rsidR="00754D6A" w:rsidRPr="00CD218D">
              <w:t>65</w:t>
            </w:r>
          </w:p>
        </w:tc>
        <w:tc>
          <w:tcPr>
            <w:tcW w:w="3743" w:type="dxa"/>
            <w:tcBorders>
              <w:top w:val="nil"/>
              <w:left w:val="nil"/>
              <w:bottom w:val="single" w:sz="4" w:space="0" w:color="auto"/>
              <w:right w:val="single" w:sz="4" w:space="0" w:color="auto"/>
            </w:tcBorders>
            <w:shd w:val="clear" w:color="auto" w:fill="auto"/>
            <w:noWrap/>
            <w:vAlign w:val="bottom"/>
            <w:hideMark/>
          </w:tcPr>
          <w:p w14:paraId="6B2C5D8F" w14:textId="77777777" w:rsidR="00283604" w:rsidRPr="00CD218D" w:rsidRDefault="00283604">
            <w:pPr>
              <w:pStyle w:val="Tabletext"/>
            </w:pPr>
            <w:r w:rsidRPr="00CD218D">
              <w:t>Allocate covered taxes of a Hybrid Entity to the Hybrid Entity</w:t>
            </w:r>
          </w:p>
        </w:tc>
        <w:tc>
          <w:tcPr>
            <w:tcW w:w="1746" w:type="dxa"/>
            <w:tcBorders>
              <w:top w:val="nil"/>
              <w:left w:val="nil"/>
              <w:bottom w:val="single" w:sz="4" w:space="0" w:color="auto"/>
              <w:right w:val="single" w:sz="4" w:space="0" w:color="auto"/>
            </w:tcBorders>
            <w:shd w:val="clear" w:color="auto" w:fill="auto"/>
            <w:noWrap/>
            <w:vAlign w:val="bottom"/>
            <w:hideMark/>
          </w:tcPr>
          <w:p w14:paraId="200E313C" w14:textId="77777777" w:rsidR="00283604" w:rsidRPr="00CD218D" w:rsidRDefault="00283604">
            <w:pPr>
              <w:pStyle w:val="Tabletext"/>
            </w:pPr>
            <w:r w:rsidRPr="00CD218D">
              <w:t>4.3.2(d)</w:t>
            </w:r>
          </w:p>
        </w:tc>
      </w:tr>
      <w:tr w:rsidR="00283604" w:rsidRPr="00CD218D" w14:paraId="06F9028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113F821" w14:textId="66178490" w:rsidR="00283604" w:rsidRPr="00CD218D" w:rsidRDefault="00283604">
            <w:pPr>
              <w:pStyle w:val="Tabletext"/>
            </w:pPr>
            <w:r w:rsidRPr="00CD218D">
              <w:t>4-</w:t>
            </w:r>
            <w:r w:rsidR="00754D6A" w:rsidRPr="00CD218D">
              <w:t>70</w:t>
            </w:r>
          </w:p>
        </w:tc>
        <w:tc>
          <w:tcPr>
            <w:tcW w:w="3743" w:type="dxa"/>
            <w:tcBorders>
              <w:top w:val="nil"/>
              <w:left w:val="nil"/>
              <w:bottom w:val="single" w:sz="4" w:space="0" w:color="auto"/>
              <w:right w:val="single" w:sz="4" w:space="0" w:color="auto"/>
            </w:tcBorders>
            <w:shd w:val="clear" w:color="auto" w:fill="auto"/>
            <w:noWrap/>
            <w:vAlign w:val="bottom"/>
            <w:hideMark/>
          </w:tcPr>
          <w:p w14:paraId="56230758" w14:textId="1B5F685F" w:rsidR="00283604" w:rsidRPr="00CD218D" w:rsidRDefault="00283604">
            <w:pPr>
              <w:pStyle w:val="Tabletext"/>
            </w:pPr>
            <w:r w:rsidRPr="00CD218D">
              <w:t xml:space="preserve">Allocate covered taxes on distributions from the </w:t>
            </w:r>
            <w:r w:rsidR="00BB67DE" w:rsidRPr="00BB67DE">
              <w:t xml:space="preserve">Constituent Entity </w:t>
            </w:r>
            <w:r w:rsidRPr="00CD218D">
              <w:t>to the distributing Constituent Entity</w:t>
            </w:r>
          </w:p>
        </w:tc>
        <w:tc>
          <w:tcPr>
            <w:tcW w:w="1746" w:type="dxa"/>
            <w:tcBorders>
              <w:top w:val="nil"/>
              <w:left w:val="nil"/>
              <w:bottom w:val="single" w:sz="4" w:space="0" w:color="auto"/>
              <w:right w:val="single" w:sz="4" w:space="0" w:color="auto"/>
            </w:tcBorders>
            <w:shd w:val="clear" w:color="auto" w:fill="auto"/>
            <w:noWrap/>
            <w:vAlign w:val="bottom"/>
            <w:hideMark/>
          </w:tcPr>
          <w:p w14:paraId="18DD9064" w14:textId="77777777" w:rsidR="00283604" w:rsidRPr="00CD218D" w:rsidRDefault="00283604">
            <w:pPr>
              <w:pStyle w:val="Tabletext"/>
            </w:pPr>
            <w:r w:rsidRPr="00CD218D">
              <w:t>4.3.2(e)</w:t>
            </w:r>
          </w:p>
        </w:tc>
      </w:tr>
      <w:tr w:rsidR="00283604" w:rsidRPr="00CD218D" w14:paraId="1FE7512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9E1CEDB" w14:textId="46C9FB51" w:rsidR="00283604" w:rsidRPr="00CD218D" w:rsidRDefault="00283604">
            <w:pPr>
              <w:pStyle w:val="Tabletext"/>
            </w:pPr>
            <w:r w:rsidRPr="00CD218D">
              <w:t>4-</w:t>
            </w:r>
            <w:r w:rsidR="00754D6A" w:rsidRPr="00CD218D">
              <w:t>70</w:t>
            </w:r>
          </w:p>
        </w:tc>
        <w:tc>
          <w:tcPr>
            <w:tcW w:w="3743" w:type="dxa"/>
            <w:tcBorders>
              <w:top w:val="nil"/>
              <w:left w:val="nil"/>
              <w:bottom w:val="single" w:sz="4" w:space="0" w:color="auto"/>
              <w:right w:val="single" w:sz="4" w:space="0" w:color="auto"/>
            </w:tcBorders>
            <w:shd w:val="clear" w:color="auto" w:fill="auto"/>
            <w:noWrap/>
            <w:vAlign w:val="bottom"/>
            <w:hideMark/>
          </w:tcPr>
          <w:p w14:paraId="06C95FAF" w14:textId="77777777" w:rsidR="00283604" w:rsidRPr="00CD218D" w:rsidRDefault="00283604">
            <w:pPr>
              <w:pStyle w:val="Tabletext"/>
            </w:pPr>
            <w:r w:rsidRPr="00CD218D">
              <w:t>Covered taxes on deemed distributions</w:t>
            </w:r>
          </w:p>
        </w:tc>
        <w:tc>
          <w:tcPr>
            <w:tcW w:w="1746" w:type="dxa"/>
            <w:tcBorders>
              <w:top w:val="nil"/>
              <w:left w:val="nil"/>
              <w:bottom w:val="single" w:sz="4" w:space="0" w:color="auto"/>
              <w:right w:val="single" w:sz="4" w:space="0" w:color="auto"/>
            </w:tcBorders>
            <w:shd w:val="clear" w:color="auto" w:fill="auto"/>
            <w:noWrap/>
            <w:vAlign w:val="bottom"/>
            <w:hideMark/>
          </w:tcPr>
          <w:p w14:paraId="766871EC" w14:textId="77777777" w:rsidR="00283604" w:rsidRPr="00CD218D" w:rsidRDefault="00283604">
            <w:pPr>
              <w:pStyle w:val="Tabletext"/>
            </w:pPr>
            <w:r w:rsidRPr="00CD218D">
              <w:t>2.6 of the February 2023 AG</w:t>
            </w:r>
          </w:p>
        </w:tc>
      </w:tr>
      <w:tr w:rsidR="00283604" w:rsidRPr="00CD218D" w14:paraId="397415E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821776D" w14:textId="52964F78" w:rsidR="00283604" w:rsidRPr="00CD218D" w:rsidRDefault="00283604">
            <w:pPr>
              <w:pStyle w:val="Tabletext"/>
            </w:pPr>
            <w:r w:rsidRPr="00CD218D">
              <w:t>4-</w:t>
            </w:r>
            <w:r w:rsidR="00754D6A" w:rsidRPr="00CD218D">
              <w:t xml:space="preserve">55 </w:t>
            </w:r>
            <w:r w:rsidRPr="00CD218D">
              <w:t>and 4-</w:t>
            </w:r>
            <w:r w:rsidR="00754D6A" w:rsidRPr="00CD218D">
              <w:t>60</w:t>
            </w:r>
          </w:p>
        </w:tc>
        <w:tc>
          <w:tcPr>
            <w:tcW w:w="3743" w:type="dxa"/>
            <w:tcBorders>
              <w:top w:val="nil"/>
              <w:left w:val="nil"/>
              <w:bottom w:val="single" w:sz="4" w:space="0" w:color="auto"/>
              <w:right w:val="single" w:sz="4" w:space="0" w:color="auto"/>
            </w:tcBorders>
            <w:shd w:val="clear" w:color="auto" w:fill="auto"/>
            <w:noWrap/>
            <w:vAlign w:val="bottom"/>
            <w:hideMark/>
          </w:tcPr>
          <w:p w14:paraId="06EF48CC" w14:textId="77777777" w:rsidR="00283604" w:rsidRPr="00CD218D" w:rsidRDefault="00283604">
            <w:pPr>
              <w:pStyle w:val="Tabletext"/>
            </w:pPr>
            <w:r w:rsidRPr="00CD218D">
              <w:t xml:space="preserve">Allocation of taxes arising under a Blended CFC Tax Regime </w:t>
            </w:r>
          </w:p>
        </w:tc>
        <w:tc>
          <w:tcPr>
            <w:tcW w:w="1746" w:type="dxa"/>
            <w:tcBorders>
              <w:top w:val="nil"/>
              <w:left w:val="nil"/>
              <w:bottom w:val="single" w:sz="4" w:space="0" w:color="auto"/>
              <w:right w:val="single" w:sz="4" w:space="0" w:color="auto"/>
            </w:tcBorders>
            <w:shd w:val="clear" w:color="auto" w:fill="auto"/>
            <w:noWrap/>
            <w:vAlign w:val="bottom"/>
            <w:hideMark/>
          </w:tcPr>
          <w:p w14:paraId="24C8766E" w14:textId="77777777" w:rsidR="00283604" w:rsidRPr="00CD218D" w:rsidRDefault="00283604">
            <w:pPr>
              <w:pStyle w:val="Tabletext"/>
            </w:pPr>
            <w:r w:rsidRPr="00CD218D">
              <w:t>2.10 of the February 2023 AG</w:t>
            </w:r>
          </w:p>
        </w:tc>
      </w:tr>
      <w:tr w:rsidR="00283604" w:rsidRPr="00CD218D" w14:paraId="0C7A67D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57924BF" w14:textId="07EA604E" w:rsidR="00283604" w:rsidRPr="00CD218D" w:rsidRDefault="00283604">
            <w:pPr>
              <w:pStyle w:val="Tabletext"/>
            </w:pPr>
            <w:r w:rsidRPr="00CD218D">
              <w:t>4-</w:t>
            </w:r>
            <w:r w:rsidR="00754D6A" w:rsidRPr="00CD218D">
              <w:t>75</w:t>
            </w:r>
          </w:p>
        </w:tc>
        <w:tc>
          <w:tcPr>
            <w:tcW w:w="3743" w:type="dxa"/>
            <w:tcBorders>
              <w:top w:val="single" w:sz="4" w:space="0" w:color="auto"/>
              <w:left w:val="nil"/>
              <w:bottom w:val="single" w:sz="4" w:space="0" w:color="auto"/>
              <w:right w:val="single" w:sz="4" w:space="0" w:color="auto"/>
            </w:tcBorders>
            <w:shd w:val="clear" w:color="auto" w:fill="auto"/>
            <w:noWrap/>
            <w:vAlign w:val="bottom"/>
            <w:hideMark/>
          </w:tcPr>
          <w:p w14:paraId="03838776" w14:textId="77777777" w:rsidR="00283604" w:rsidRPr="00CD218D" w:rsidRDefault="00283604">
            <w:pPr>
              <w:pStyle w:val="Tabletext"/>
            </w:pPr>
            <w:r w:rsidRPr="00CD218D">
              <w:t xml:space="preserve">Covered taxes in respect of passive income for CFC regimes and Hybrids are not allocated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14:paraId="67F065B3" w14:textId="77777777" w:rsidR="00283604" w:rsidRPr="00CD218D" w:rsidRDefault="00283604">
            <w:pPr>
              <w:pStyle w:val="Tabletext"/>
            </w:pPr>
            <w:r w:rsidRPr="00CD218D">
              <w:t>4.3.3</w:t>
            </w:r>
          </w:p>
        </w:tc>
      </w:tr>
      <w:tr w:rsidR="00283604" w:rsidRPr="00CD218D" w14:paraId="784F270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EEE2E1F" w14:textId="755D093A" w:rsidR="00283604" w:rsidRPr="00CD218D" w:rsidRDefault="00283604">
            <w:pPr>
              <w:pStyle w:val="Tabletext"/>
            </w:pPr>
            <w:r w:rsidRPr="00CD218D">
              <w:t>4-</w:t>
            </w:r>
            <w:r w:rsidR="00754D6A" w:rsidRPr="00CD218D">
              <w:t>80</w:t>
            </w:r>
          </w:p>
        </w:tc>
        <w:tc>
          <w:tcPr>
            <w:tcW w:w="3743" w:type="dxa"/>
            <w:tcBorders>
              <w:top w:val="nil"/>
              <w:left w:val="nil"/>
              <w:bottom w:val="single" w:sz="4" w:space="0" w:color="auto"/>
              <w:right w:val="single" w:sz="4" w:space="0" w:color="auto"/>
            </w:tcBorders>
            <w:shd w:val="clear" w:color="auto" w:fill="auto"/>
            <w:noWrap/>
            <w:vAlign w:val="bottom"/>
            <w:hideMark/>
          </w:tcPr>
          <w:p w14:paraId="226C29A4" w14:textId="77777777" w:rsidR="00283604" w:rsidRPr="00CD218D" w:rsidRDefault="00283604">
            <w:pPr>
              <w:pStyle w:val="Tabletext"/>
            </w:pPr>
            <w:r w:rsidRPr="00CD218D">
              <w:t>Treat covered taxes of the PE as of the Main entity if GloBE income of the PE allocated to the Main entity under 3.4.5</w:t>
            </w:r>
          </w:p>
        </w:tc>
        <w:tc>
          <w:tcPr>
            <w:tcW w:w="1746" w:type="dxa"/>
            <w:tcBorders>
              <w:top w:val="nil"/>
              <w:left w:val="nil"/>
              <w:bottom w:val="single" w:sz="4" w:space="0" w:color="auto"/>
              <w:right w:val="single" w:sz="4" w:space="0" w:color="auto"/>
            </w:tcBorders>
            <w:shd w:val="clear" w:color="auto" w:fill="auto"/>
            <w:noWrap/>
            <w:vAlign w:val="bottom"/>
            <w:hideMark/>
          </w:tcPr>
          <w:p w14:paraId="2A862BE8" w14:textId="77777777" w:rsidR="00283604" w:rsidRPr="00CD218D" w:rsidRDefault="00283604">
            <w:pPr>
              <w:pStyle w:val="Tabletext"/>
            </w:pPr>
            <w:r w:rsidRPr="00CD218D">
              <w:t>4.3.4</w:t>
            </w:r>
          </w:p>
        </w:tc>
      </w:tr>
      <w:tr w:rsidR="00283604" w:rsidRPr="00CD218D" w14:paraId="6985DD5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F27453F" w14:textId="77777777" w:rsidR="00283604" w:rsidRPr="00CD218D" w:rsidRDefault="00283604">
            <w:pPr>
              <w:pStyle w:val="Tabletext"/>
              <w:rPr>
                <w:b/>
                <w:bCs/>
              </w:rPr>
            </w:pPr>
            <w:r w:rsidRPr="00CD218D">
              <w:rPr>
                <w:b/>
                <w:bCs/>
              </w:rPr>
              <w:lastRenderedPageBreak/>
              <w:t>Part 4-4</w:t>
            </w:r>
          </w:p>
        </w:tc>
        <w:tc>
          <w:tcPr>
            <w:tcW w:w="3743" w:type="dxa"/>
            <w:tcBorders>
              <w:top w:val="nil"/>
              <w:left w:val="nil"/>
              <w:bottom w:val="single" w:sz="4" w:space="0" w:color="auto"/>
              <w:right w:val="single" w:sz="4" w:space="0" w:color="auto"/>
            </w:tcBorders>
            <w:shd w:val="clear" w:color="auto" w:fill="auto"/>
            <w:vAlign w:val="bottom"/>
            <w:hideMark/>
          </w:tcPr>
          <w:p w14:paraId="50986DDC" w14:textId="77777777" w:rsidR="00283604" w:rsidRPr="00CD218D" w:rsidRDefault="00283604">
            <w:pPr>
              <w:pStyle w:val="Tabletext"/>
              <w:rPr>
                <w:b/>
                <w:bCs/>
              </w:rPr>
            </w:pPr>
            <w:r w:rsidRPr="00CD218D">
              <w:rPr>
                <w:b/>
                <w:bCs/>
              </w:rPr>
              <w:t>Mechanism to address temporary differences</w:t>
            </w:r>
          </w:p>
        </w:tc>
        <w:tc>
          <w:tcPr>
            <w:tcW w:w="1746" w:type="dxa"/>
            <w:tcBorders>
              <w:top w:val="nil"/>
              <w:left w:val="nil"/>
              <w:bottom w:val="single" w:sz="4" w:space="0" w:color="auto"/>
              <w:right w:val="single" w:sz="4" w:space="0" w:color="auto"/>
            </w:tcBorders>
            <w:shd w:val="clear" w:color="auto" w:fill="auto"/>
            <w:noWrap/>
            <w:vAlign w:val="bottom"/>
            <w:hideMark/>
          </w:tcPr>
          <w:p w14:paraId="02BB6106" w14:textId="77777777" w:rsidR="00283604" w:rsidRPr="00CD218D" w:rsidRDefault="00283604">
            <w:pPr>
              <w:pStyle w:val="Tabletext"/>
              <w:rPr>
                <w:b/>
                <w:bCs/>
              </w:rPr>
            </w:pPr>
            <w:r w:rsidRPr="00CD218D">
              <w:rPr>
                <w:b/>
                <w:bCs/>
              </w:rPr>
              <w:t>4.4</w:t>
            </w:r>
          </w:p>
        </w:tc>
      </w:tr>
      <w:tr w:rsidR="00283604" w:rsidRPr="00CD218D" w14:paraId="1552022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F889132" w14:textId="42F7C91D" w:rsidR="00283604" w:rsidRPr="00CD218D" w:rsidRDefault="00283604">
            <w:pPr>
              <w:pStyle w:val="Tabletext"/>
            </w:pPr>
            <w:r w:rsidRPr="00CD218D">
              <w:t>4-</w:t>
            </w:r>
            <w:r w:rsidR="00754D6A" w:rsidRPr="00CD218D">
              <w:t>85</w:t>
            </w:r>
          </w:p>
        </w:tc>
        <w:tc>
          <w:tcPr>
            <w:tcW w:w="3743" w:type="dxa"/>
            <w:tcBorders>
              <w:top w:val="nil"/>
              <w:left w:val="nil"/>
              <w:bottom w:val="single" w:sz="4" w:space="0" w:color="auto"/>
              <w:right w:val="single" w:sz="4" w:space="0" w:color="auto"/>
            </w:tcBorders>
            <w:shd w:val="clear" w:color="auto" w:fill="auto"/>
            <w:noWrap/>
            <w:vAlign w:val="bottom"/>
          </w:tcPr>
          <w:p w14:paraId="4537060D" w14:textId="77777777" w:rsidR="00283604" w:rsidRPr="00CD218D" w:rsidRDefault="00283604">
            <w:pPr>
              <w:pStyle w:val="Tabletext"/>
            </w:pPr>
            <w:r w:rsidRPr="00CD218D">
              <w:t>Consolidated deferred tax amounts</w:t>
            </w:r>
          </w:p>
        </w:tc>
        <w:tc>
          <w:tcPr>
            <w:tcW w:w="1746" w:type="dxa"/>
            <w:tcBorders>
              <w:top w:val="nil"/>
              <w:left w:val="nil"/>
              <w:bottom w:val="single" w:sz="4" w:space="0" w:color="auto"/>
              <w:right w:val="single" w:sz="4" w:space="0" w:color="auto"/>
            </w:tcBorders>
            <w:shd w:val="clear" w:color="auto" w:fill="auto"/>
            <w:noWrap/>
            <w:vAlign w:val="bottom"/>
          </w:tcPr>
          <w:p w14:paraId="6AF00739" w14:textId="77777777" w:rsidR="00283604" w:rsidRPr="00CD218D" w:rsidRDefault="00283604">
            <w:pPr>
              <w:pStyle w:val="Tabletext"/>
            </w:pPr>
            <w:r w:rsidRPr="00CD218D">
              <w:t>1.3 of the February 2023 AG</w:t>
            </w:r>
          </w:p>
        </w:tc>
      </w:tr>
      <w:tr w:rsidR="00283604" w:rsidRPr="00CD218D" w14:paraId="463727B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6287F8A" w14:textId="2DD1E719" w:rsidR="00283604" w:rsidRPr="00CD218D" w:rsidRDefault="00283604">
            <w:pPr>
              <w:pStyle w:val="Tabletext"/>
            </w:pPr>
            <w:r w:rsidRPr="00CD218D">
              <w:t>4-</w:t>
            </w:r>
            <w:r w:rsidR="00754D6A" w:rsidRPr="00CD218D">
              <w:t>85</w:t>
            </w:r>
            <w:r w:rsidRPr="00CD218D">
              <w:t>(1) and (2)</w:t>
            </w:r>
          </w:p>
        </w:tc>
        <w:tc>
          <w:tcPr>
            <w:tcW w:w="3743" w:type="dxa"/>
            <w:tcBorders>
              <w:top w:val="nil"/>
              <w:left w:val="nil"/>
              <w:bottom w:val="single" w:sz="4" w:space="0" w:color="auto"/>
              <w:right w:val="single" w:sz="4" w:space="0" w:color="auto"/>
            </w:tcBorders>
            <w:shd w:val="clear" w:color="auto" w:fill="auto"/>
            <w:noWrap/>
            <w:vAlign w:val="bottom"/>
            <w:hideMark/>
          </w:tcPr>
          <w:p w14:paraId="5AB1728D" w14:textId="77777777" w:rsidR="00283604" w:rsidRPr="00CD218D" w:rsidRDefault="00283604">
            <w:pPr>
              <w:pStyle w:val="Tabletext"/>
            </w:pPr>
            <w:r w:rsidRPr="00CD218D">
              <w:t>Meaning of total deferred tax adjustment amount subject to exclusions</w:t>
            </w:r>
          </w:p>
        </w:tc>
        <w:tc>
          <w:tcPr>
            <w:tcW w:w="1746" w:type="dxa"/>
            <w:tcBorders>
              <w:top w:val="nil"/>
              <w:left w:val="nil"/>
              <w:bottom w:val="single" w:sz="4" w:space="0" w:color="auto"/>
              <w:right w:val="single" w:sz="4" w:space="0" w:color="auto"/>
            </w:tcBorders>
            <w:shd w:val="clear" w:color="auto" w:fill="auto"/>
            <w:noWrap/>
            <w:vAlign w:val="bottom"/>
            <w:hideMark/>
          </w:tcPr>
          <w:p w14:paraId="64846582" w14:textId="77777777" w:rsidR="00283604" w:rsidRPr="00CD218D" w:rsidRDefault="00283604">
            <w:pPr>
              <w:pStyle w:val="Tabletext"/>
            </w:pPr>
            <w:r w:rsidRPr="00CD218D">
              <w:t>4.4.1</w:t>
            </w:r>
          </w:p>
        </w:tc>
      </w:tr>
      <w:tr w:rsidR="00283604" w:rsidRPr="00CD218D" w14:paraId="196AD64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CFB31C8" w14:textId="5C2070D3" w:rsidR="00283604" w:rsidRPr="00CD218D" w:rsidRDefault="00283604">
            <w:pPr>
              <w:pStyle w:val="Tabletext"/>
            </w:pPr>
            <w:r w:rsidRPr="00CD218D">
              <w:t>4-</w:t>
            </w:r>
            <w:r w:rsidR="00754D6A" w:rsidRPr="00CD218D">
              <w:t>85</w:t>
            </w:r>
            <w:r w:rsidRPr="00CD218D">
              <w:t>(1) and (2)</w:t>
            </w:r>
          </w:p>
        </w:tc>
        <w:tc>
          <w:tcPr>
            <w:tcW w:w="3743" w:type="dxa"/>
            <w:tcBorders>
              <w:top w:val="nil"/>
              <w:left w:val="nil"/>
              <w:bottom w:val="single" w:sz="4" w:space="0" w:color="auto"/>
              <w:right w:val="single" w:sz="4" w:space="0" w:color="auto"/>
            </w:tcBorders>
            <w:shd w:val="clear" w:color="auto" w:fill="auto"/>
            <w:noWrap/>
            <w:vAlign w:val="bottom"/>
            <w:hideMark/>
          </w:tcPr>
          <w:p w14:paraId="5BB19621" w14:textId="77777777" w:rsidR="00283604" w:rsidRPr="00CD218D" w:rsidRDefault="00283604">
            <w:pPr>
              <w:pStyle w:val="Tabletext"/>
            </w:pPr>
            <w:r w:rsidRPr="00CD218D">
              <w:t>Consolidated deferred tax amounts</w:t>
            </w:r>
          </w:p>
        </w:tc>
        <w:tc>
          <w:tcPr>
            <w:tcW w:w="1746" w:type="dxa"/>
            <w:tcBorders>
              <w:top w:val="nil"/>
              <w:left w:val="nil"/>
              <w:bottom w:val="single" w:sz="4" w:space="0" w:color="auto"/>
              <w:right w:val="single" w:sz="4" w:space="0" w:color="auto"/>
            </w:tcBorders>
            <w:shd w:val="clear" w:color="auto" w:fill="auto"/>
            <w:noWrap/>
            <w:vAlign w:val="bottom"/>
            <w:hideMark/>
          </w:tcPr>
          <w:p w14:paraId="46D94CF9" w14:textId="77777777" w:rsidR="00283604" w:rsidRPr="00CD218D" w:rsidRDefault="00283604">
            <w:pPr>
              <w:pStyle w:val="Tabletext"/>
            </w:pPr>
            <w:r w:rsidRPr="00CD218D">
              <w:t>1.3 of the February 2023AG</w:t>
            </w:r>
          </w:p>
        </w:tc>
      </w:tr>
      <w:tr w:rsidR="00283604" w:rsidRPr="00CD218D" w14:paraId="699BF85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2AA67BC" w14:textId="0A6F50ED" w:rsidR="00283604" w:rsidRPr="00CD218D" w:rsidRDefault="00283604">
            <w:pPr>
              <w:pStyle w:val="Tabletext"/>
            </w:pPr>
            <w:r w:rsidRPr="00CD218D">
              <w:t>4-</w:t>
            </w:r>
            <w:r w:rsidR="00754D6A" w:rsidRPr="00CD218D">
              <w:t>85</w:t>
            </w:r>
            <w:r w:rsidRPr="00CD218D">
              <w:t>(1) and (2)</w:t>
            </w:r>
          </w:p>
        </w:tc>
        <w:tc>
          <w:tcPr>
            <w:tcW w:w="3743" w:type="dxa"/>
            <w:tcBorders>
              <w:top w:val="nil"/>
              <w:left w:val="nil"/>
              <w:bottom w:val="single" w:sz="4" w:space="0" w:color="auto"/>
              <w:right w:val="single" w:sz="4" w:space="0" w:color="auto"/>
            </w:tcBorders>
            <w:shd w:val="clear" w:color="auto" w:fill="auto"/>
            <w:noWrap/>
            <w:vAlign w:val="bottom"/>
            <w:hideMark/>
          </w:tcPr>
          <w:p w14:paraId="4E5A7542" w14:textId="77777777" w:rsidR="00283604" w:rsidRPr="00CD218D" w:rsidRDefault="00283604">
            <w:pPr>
              <w:pStyle w:val="Tabletext"/>
            </w:pPr>
            <w:r w:rsidRPr="00CD218D">
              <w:t>Loss making parent entities of CFCs</w:t>
            </w:r>
          </w:p>
        </w:tc>
        <w:tc>
          <w:tcPr>
            <w:tcW w:w="1746" w:type="dxa"/>
            <w:tcBorders>
              <w:top w:val="nil"/>
              <w:left w:val="nil"/>
              <w:bottom w:val="single" w:sz="4" w:space="0" w:color="auto"/>
              <w:right w:val="single" w:sz="4" w:space="0" w:color="auto"/>
            </w:tcBorders>
            <w:shd w:val="clear" w:color="auto" w:fill="auto"/>
            <w:noWrap/>
            <w:vAlign w:val="bottom"/>
            <w:hideMark/>
          </w:tcPr>
          <w:p w14:paraId="7F513645" w14:textId="77777777" w:rsidR="00283604" w:rsidRPr="00CD218D" w:rsidRDefault="00283604">
            <w:pPr>
              <w:pStyle w:val="Tabletext"/>
            </w:pPr>
            <w:r w:rsidRPr="00CD218D">
              <w:t>2.8 of the February 2023AG</w:t>
            </w:r>
          </w:p>
        </w:tc>
      </w:tr>
      <w:tr w:rsidR="00283604" w:rsidRPr="00CD218D" w14:paraId="6B38CD2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F930470" w14:textId="668BD97E" w:rsidR="00283604" w:rsidRPr="00CD218D" w:rsidRDefault="00283604">
            <w:pPr>
              <w:pStyle w:val="Tabletext"/>
            </w:pPr>
            <w:r w:rsidRPr="00CD218D">
              <w:t>4-</w:t>
            </w:r>
            <w:r w:rsidR="00754D6A" w:rsidRPr="00CD218D">
              <w:t>85</w:t>
            </w:r>
            <w:r w:rsidRPr="00CD218D">
              <w:t>(3)</w:t>
            </w:r>
          </w:p>
        </w:tc>
        <w:tc>
          <w:tcPr>
            <w:tcW w:w="3743" w:type="dxa"/>
            <w:tcBorders>
              <w:top w:val="nil"/>
              <w:left w:val="nil"/>
              <w:bottom w:val="single" w:sz="4" w:space="0" w:color="auto"/>
              <w:right w:val="single" w:sz="4" w:space="0" w:color="auto"/>
            </w:tcBorders>
            <w:shd w:val="clear" w:color="auto" w:fill="auto"/>
            <w:noWrap/>
            <w:vAlign w:val="bottom"/>
            <w:hideMark/>
          </w:tcPr>
          <w:p w14:paraId="661E0691" w14:textId="77777777" w:rsidR="00283604" w:rsidRPr="00CD218D" w:rsidRDefault="00283604">
            <w:pPr>
              <w:pStyle w:val="Tabletext"/>
            </w:pPr>
            <w:r w:rsidRPr="00CD218D">
              <w:t xml:space="preserve">Adjustments to total deferred tax adjustment amount </w:t>
            </w:r>
          </w:p>
        </w:tc>
        <w:tc>
          <w:tcPr>
            <w:tcW w:w="1746" w:type="dxa"/>
            <w:tcBorders>
              <w:top w:val="nil"/>
              <w:left w:val="nil"/>
              <w:bottom w:val="single" w:sz="4" w:space="0" w:color="auto"/>
              <w:right w:val="single" w:sz="4" w:space="0" w:color="auto"/>
            </w:tcBorders>
            <w:shd w:val="clear" w:color="auto" w:fill="auto"/>
            <w:noWrap/>
            <w:vAlign w:val="bottom"/>
            <w:hideMark/>
          </w:tcPr>
          <w:p w14:paraId="28EEC643" w14:textId="77777777" w:rsidR="00283604" w:rsidRPr="00CD218D" w:rsidRDefault="00283604">
            <w:pPr>
              <w:pStyle w:val="Tabletext"/>
            </w:pPr>
            <w:r w:rsidRPr="00CD218D">
              <w:t>4.4.2</w:t>
            </w:r>
          </w:p>
        </w:tc>
      </w:tr>
      <w:tr w:rsidR="00283604" w:rsidRPr="00CD218D" w14:paraId="6539544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D23690B" w14:textId="3B7248A2" w:rsidR="00283604" w:rsidRPr="00CD218D" w:rsidRDefault="00283604">
            <w:pPr>
              <w:pStyle w:val="Tabletext"/>
            </w:pPr>
            <w:r w:rsidRPr="00CD218D">
              <w:t>4-</w:t>
            </w:r>
            <w:r w:rsidR="00754D6A" w:rsidRPr="00CD218D">
              <w:t>85</w:t>
            </w:r>
            <w:r w:rsidRPr="00CD218D">
              <w:t>(4) and (5)</w:t>
            </w:r>
          </w:p>
        </w:tc>
        <w:tc>
          <w:tcPr>
            <w:tcW w:w="3743" w:type="dxa"/>
            <w:tcBorders>
              <w:top w:val="nil"/>
              <w:left w:val="nil"/>
              <w:bottom w:val="single" w:sz="4" w:space="0" w:color="auto"/>
              <w:right w:val="single" w:sz="4" w:space="0" w:color="auto"/>
            </w:tcBorders>
            <w:shd w:val="clear" w:color="auto" w:fill="auto"/>
            <w:noWrap/>
            <w:vAlign w:val="bottom"/>
            <w:hideMark/>
          </w:tcPr>
          <w:p w14:paraId="5281D264" w14:textId="77777777" w:rsidR="00283604" w:rsidRPr="00CD218D" w:rsidRDefault="00283604">
            <w:pPr>
              <w:pStyle w:val="Tabletext"/>
            </w:pPr>
            <w:r w:rsidRPr="00CD218D">
              <w:t xml:space="preserve">Recasting the deferred tax asset when recorded at less than 15% </w:t>
            </w:r>
          </w:p>
        </w:tc>
        <w:tc>
          <w:tcPr>
            <w:tcW w:w="1746" w:type="dxa"/>
            <w:tcBorders>
              <w:top w:val="nil"/>
              <w:left w:val="nil"/>
              <w:bottom w:val="single" w:sz="4" w:space="0" w:color="auto"/>
              <w:right w:val="single" w:sz="4" w:space="0" w:color="auto"/>
            </w:tcBorders>
            <w:shd w:val="clear" w:color="auto" w:fill="auto"/>
            <w:noWrap/>
            <w:vAlign w:val="bottom"/>
            <w:hideMark/>
          </w:tcPr>
          <w:p w14:paraId="597128DC" w14:textId="77777777" w:rsidR="00283604" w:rsidRPr="00CD218D" w:rsidRDefault="00283604">
            <w:pPr>
              <w:pStyle w:val="Tabletext"/>
            </w:pPr>
            <w:r w:rsidRPr="00CD218D">
              <w:t>4.4.3</w:t>
            </w:r>
          </w:p>
        </w:tc>
      </w:tr>
      <w:tr w:rsidR="00283604" w:rsidRPr="00CD218D" w14:paraId="5546A20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36388F3" w14:textId="0242DFF4" w:rsidR="00283604" w:rsidRPr="00CD218D" w:rsidRDefault="00283604">
            <w:pPr>
              <w:pStyle w:val="Tabletext"/>
            </w:pPr>
            <w:r w:rsidRPr="00CD218D">
              <w:t>4-</w:t>
            </w:r>
            <w:r w:rsidR="00983448" w:rsidRPr="00CD218D">
              <w:t>100</w:t>
            </w:r>
          </w:p>
        </w:tc>
        <w:tc>
          <w:tcPr>
            <w:tcW w:w="3743" w:type="dxa"/>
            <w:tcBorders>
              <w:top w:val="nil"/>
              <w:left w:val="nil"/>
              <w:bottom w:val="single" w:sz="4" w:space="0" w:color="auto"/>
              <w:right w:val="single" w:sz="4" w:space="0" w:color="auto"/>
            </w:tcBorders>
            <w:shd w:val="clear" w:color="auto" w:fill="auto"/>
            <w:noWrap/>
            <w:vAlign w:val="bottom"/>
            <w:hideMark/>
          </w:tcPr>
          <w:p w14:paraId="7C89CBF5" w14:textId="77777777" w:rsidR="00283604" w:rsidRPr="00CD218D" w:rsidRDefault="00283604">
            <w:pPr>
              <w:pStyle w:val="Tabletext"/>
            </w:pPr>
            <w:r w:rsidRPr="00CD218D">
              <w:t>Rule for a deferred tax liability that is not a recapture exception accrual and not paid within 5 years</w:t>
            </w:r>
          </w:p>
        </w:tc>
        <w:tc>
          <w:tcPr>
            <w:tcW w:w="1746" w:type="dxa"/>
            <w:tcBorders>
              <w:top w:val="nil"/>
              <w:left w:val="nil"/>
              <w:bottom w:val="single" w:sz="4" w:space="0" w:color="auto"/>
              <w:right w:val="single" w:sz="4" w:space="0" w:color="auto"/>
            </w:tcBorders>
            <w:shd w:val="clear" w:color="auto" w:fill="auto"/>
            <w:noWrap/>
            <w:vAlign w:val="bottom"/>
            <w:hideMark/>
          </w:tcPr>
          <w:p w14:paraId="4D62759B" w14:textId="77777777" w:rsidR="00283604" w:rsidRPr="00CD218D" w:rsidRDefault="00283604">
            <w:pPr>
              <w:pStyle w:val="Tabletext"/>
            </w:pPr>
            <w:r w:rsidRPr="00CD218D">
              <w:t>4.4.4</w:t>
            </w:r>
          </w:p>
        </w:tc>
      </w:tr>
      <w:tr w:rsidR="00283604" w:rsidRPr="00CD218D" w14:paraId="60C7103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1C30E3C" w14:textId="6A1E7B6C" w:rsidR="00283604" w:rsidRPr="00CD218D" w:rsidRDefault="00283604">
            <w:pPr>
              <w:pStyle w:val="Tabletext"/>
            </w:pPr>
            <w:r w:rsidRPr="00CD218D">
              <w:t>4-</w:t>
            </w:r>
            <w:r w:rsidR="00983448" w:rsidRPr="00CD218D">
              <w:t>110</w:t>
            </w:r>
          </w:p>
        </w:tc>
        <w:tc>
          <w:tcPr>
            <w:tcW w:w="3743" w:type="dxa"/>
            <w:tcBorders>
              <w:top w:val="nil"/>
              <w:left w:val="nil"/>
              <w:bottom w:val="single" w:sz="4" w:space="0" w:color="auto"/>
              <w:right w:val="single" w:sz="4" w:space="0" w:color="auto"/>
            </w:tcBorders>
            <w:shd w:val="clear" w:color="auto" w:fill="auto"/>
            <w:vAlign w:val="bottom"/>
            <w:hideMark/>
          </w:tcPr>
          <w:p w14:paraId="0305DAE8" w14:textId="77777777" w:rsidR="00283604" w:rsidRPr="00CD218D" w:rsidRDefault="00283604">
            <w:pPr>
              <w:pStyle w:val="Tabletext"/>
            </w:pPr>
            <w:r w:rsidRPr="00CD218D">
              <w:t xml:space="preserve">Meaning of recapture exception accrual </w:t>
            </w:r>
          </w:p>
        </w:tc>
        <w:tc>
          <w:tcPr>
            <w:tcW w:w="1746" w:type="dxa"/>
            <w:tcBorders>
              <w:top w:val="nil"/>
              <w:left w:val="nil"/>
              <w:bottom w:val="single" w:sz="4" w:space="0" w:color="auto"/>
              <w:right w:val="single" w:sz="4" w:space="0" w:color="auto"/>
            </w:tcBorders>
            <w:shd w:val="clear" w:color="auto" w:fill="auto"/>
            <w:noWrap/>
            <w:vAlign w:val="bottom"/>
            <w:hideMark/>
          </w:tcPr>
          <w:p w14:paraId="12ABB839" w14:textId="77777777" w:rsidR="00283604" w:rsidRPr="00CD218D" w:rsidRDefault="00283604">
            <w:pPr>
              <w:pStyle w:val="Tabletext"/>
            </w:pPr>
            <w:r w:rsidRPr="00CD218D">
              <w:t>4.4.5</w:t>
            </w:r>
          </w:p>
        </w:tc>
      </w:tr>
      <w:tr w:rsidR="00283604" w:rsidRPr="00CD218D" w14:paraId="646B34C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FC4FC18" w14:textId="395E1E27" w:rsidR="00283604" w:rsidRPr="00CD218D" w:rsidRDefault="00283604">
            <w:pPr>
              <w:pStyle w:val="Tabletext"/>
            </w:pPr>
            <w:r w:rsidRPr="00CD218D">
              <w:t>4-</w:t>
            </w:r>
            <w:r w:rsidR="00983448" w:rsidRPr="00CD218D">
              <w:t>115</w:t>
            </w:r>
            <w:r w:rsidRPr="00CD218D">
              <w:t>(1)</w:t>
            </w:r>
          </w:p>
        </w:tc>
        <w:tc>
          <w:tcPr>
            <w:tcW w:w="3743" w:type="dxa"/>
            <w:tcBorders>
              <w:top w:val="nil"/>
              <w:left w:val="nil"/>
              <w:bottom w:val="single" w:sz="4" w:space="0" w:color="auto"/>
              <w:right w:val="single" w:sz="4" w:space="0" w:color="auto"/>
            </w:tcBorders>
            <w:shd w:val="clear" w:color="auto" w:fill="auto"/>
            <w:vAlign w:val="bottom"/>
            <w:hideMark/>
          </w:tcPr>
          <w:p w14:paraId="53080BD2" w14:textId="77777777" w:rsidR="00283604" w:rsidRPr="00CD218D" w:rsidRDefault="00283604">
            <w:pPr>
              <w:pStyle w:val="Tabletext"/>
            </w:pPr>
            <w:r w:rsidRPr="00CD218D">
              <w:t>Meaning of disallowed accrual</w:t>
            </w:r>
          </w:p>
        </w:tc>
        <w:tc>
          <w:tcPr>
            <w:tcW w:w="1746" w:type="dxa"/>
            <w:tcBorders>
              <w:top w:val="nil"/>
              <w:left w:val="nil"/>
              <w:bottom w:val="single" w:sz="4" w:space="0" w:color="auto"/>
              <w:right w:val="single" w:sz="4" w:space="0" w:color="auto"/>
            </w:tcBorders>
            <w:shd w:val="clear" w:color="auto" w:fill="auto"/>
            <w:noWrap/>
            <w:vAlign w:val="bottom"/>
            <w:hideMark/>
          </w:tcPr>
          <w:p w14:paraId="76BA4EBA" w14:textId="77777777" w:rsidR="00283604" w:rsidRPr="00CD218D" w:rsidRDefault="00283604">
            <w:pPr>
              <w:pStyle w:val="Tabletext"/>
            </w:pPr>
            <w:r w:rsidRPr="00CD218D">
              <w:t>4.4.6</w:t>
            </w:r>
          </w:p>
        </w:tc>
      </w:tr>
      <w:tr w:rsidR="00283604" w:rsidRPr="00CD218D" w14:paraId="1AB14FB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FD5606E" w14:textId="13FE5DF8" w:rsidR="00283604" w:rsidRPr="00CD218D" w:rsidRDefault="00283604">
            <w:pPr>
              <w:pStyle w:val="Tabletext"/>
            </w:pPr>
            <w:r w:rsidRPr="00CD218D">
              <w:t>4-</w:t>
            </w:r>
            <w:r w:rsidR="00983448" w:rsidRPr="00CD218D">
              <w:t>115</w:t>
            </w:r>
            <w:r w:rsidRPr="00CD218D">
              <w:t>(2)</w:t>
            </w:r>
          </w:p>
        </w:tc>
        <w:tc>
          <w:tcPr>
            <w:tcW w:w="3743" w:type="dxa"/>
            <w:tcBorders>
              <w:top w:val="nil"/>
              <w:left w:val="nil"/>
              <w:bottom w:val="single" w:sz="4" w:space="0" w:color="auto"/>
              <w:right w:val="single" w:sz="4" w:space="0" w:color="auto"/>
            </w:tcBorders>
            <w:shd w:val="clear" w:color="auto" w:fill="auto"/>
            <w:vAlign w:val="bottom"/>
            <w:hideMark/>
          </w:tcPr>
          <w:p w14:paraId="37E15280" w14:textId="77777777" w:rsidR="00283604" w:rsidRPr="00CD218D" w:rsidRDefault="00283604">
            <w:pPr>
              <w:pStyle w:val="Tabletext"/>
            </w:pPr>
            <w:r w:rsidRPr="00CD218D">
              <w:t>Meaning of unclaimed accrual</w:t>
            </w:r>
          </w:p>
        </w:tc>
        <w:tc>
          <w:tcPr>
            <w:tcW w:w="1746" w:type="dxa"/>
            <w:tcBorders>
              <w:top w:val="nil"/>
              <w:left w:val="nil"/>
              <w:bottom w:val="single" w:sz="4" w:space="0" w:color="auto"/>
              <w:right w:val="single" w:sz="4" w:space="0" w:color="auto"/>
            </w:tcBorders>
            <w:shd w:val="clear" w:color="auto" w:fill="auto"/>
            <w:noWrap/>
            <w:vAlign w:val="bottom"/>
            <w:hideMark/>
          </w:tcPr>
          <w:p w14:paraId="5A26B9C3" w14:textId="77777777" w:rsidR="00283604" w:rsidRPr="00CD218D" w:rsidRDefault="00283604">
            <w:pPr>
              <w:pStyle w:val="Tabletext"/>
            </w:pPr>
            <w:r w:rsidRPr="00CD218D">
              <w:t>4.4.7</w:t>
            </w:r>
          </w:p>
        </w:tc>
      </w:tr>
      <w:tr w:rsidR="00283604" w:rsidRPr="00CD218D" w14:paraId="7EF4155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D21103A" w14:textId="77777777" w:rsidR="00283604" w:rsidRPr="00CD218D" w:rsidRDefault="00283604">
            <w:pPr>
              <w:pStyle w:val="Tabletext"/>
              <w:rPr>
                <w:b/>
                <w:bCs/>
              </w:rPr>
            </w:pPr>
            <w:r w:rsidRPr="00CD218D">
              <w:rPr>
                <w:b/>
                <w:bCs/>
              </w:rPr>
              <w:t>Part 4-5</w:t>
            </w:r>
          </w:p>
        </w:tc>
        <w:tc>
          <w:tcPr>
            <w:tcW w:w="3743" w:type="dxa"/>
            <w:tcBorders>
              <w:top w:val="nil"/>
              <w:left w:val="nil"/>
              <w:bottom w:val="single" w:sz="4" w:space="0" w:color="auto"/>
              <w:right w:val="single" w:sz="4" w:space="0" w:color="auto"/>
            </w:tcBorders>
            <w:shd w:val="clear" w:color="auto" w:fill="auto"/>
            <w:vAlign w:val="bottom"/>
            <w:hideMark/>
          </w:tcPr>
          <w:p w14:paraId="28787882" w14:textId="77777777" w:rsidR="00283604" w:rsidRPr="00CD218D" w:rsidRDefault="00283604">
            <w:pPr>
              <w:pStyle w:val="Tabletext"/>
              <w:rPr>
                <w:b/>
                <w:bCs/>
              </w:rPr>
            </w:pPr>
            <w:r w:rsidRPr="00CD218D">
              <w:rPr>
                <w:b/>
                <w:bCs/>
              </w:rPr>
              <w:t>The GloBE Loss Election</w:t>
            </w:r>
          </w:p>
        </w:tc>
        <w:tc>
          <w:tcPr>
            <w:tcW w:w="1746" w:type="dxa"/>
            <w:tcBorders>
              <w:top w:val="nil"/>
              <w:left w:val="nil"/>
              <w:bottom w:val="single" w:sz="4" w:space="0" w:color="auto"/>
              <w:right w:val="single" w:sz="4" w:space="0" w:color="auto"/>
            </w:tcBorders>
            <w:shd w:val="clear" w:color="auto" w:fill="auto"/>
            <w:noWrap/>
            <w:vAlign w:val="bottom"/>
            <w:hideMark/>
          </w:tcPr>
          <w:p w14:paraId="30B3DB62" w14:textId="77777777" w:rsidR="00283604" w:rsidRPr="00CD218D" w:rsidRDefault="00283604">
            <w:pPr>
              <w:pStyle w:val="Tabletext"/>
              <w:rPr>
                <w:b/>
                <w:bCs/>
              </w:rPr>
            </w:pPr>
            <w:r w:rsidRPr="00CD218D">
              <w:rPr>
                <w:b/>
                <w:bCs/>
              </w:rPr>
              <w:t>4.5</w:t>
            </w:r>
          </w:p>
        </w:tc>
      </w:tr>
      <w:tr w:rsidR="00283604" w:rsidRPr="00CD218D" w14:paraId="3898859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74E49E06" w14:textId="53827907" w:rsidR="00283604" w:rsidRPr="00CD218D" w:rsidRDefault="00283604">
            <w:pPr>
              <w:pStyle w:val="Tabletext"/>
            </w:pPr>
            <w:r w:rsidRPr="00CD218D">
              <w:t>4-</w:t>
            </w:r>
            <w:r w:rsidR="00983448" w:rsidRPr="00CD218D">
              <w:t>12</w:t>
            </w:r>
            <w:r w:rsidR="00C21781">
              <w:t>0</w:t>
            </w:r>
          </w:p>
        </w:tc>
        <w:tc>
          <w:tcPr>
            <w:tcW w:w="3743" w:type="dxa"/>
            <w:tcBorders>
              <w:top w:val="nil"/>
              <w:left w:val="nil"/>
              <w:bottom w:val="single" w:sz="4" w:space="0" w:color="auto"/>
              <w:right w:val="single" w:sz="4" w:space="0" w:color="auto"/>
            </w:tcBorders>
            <w:shd w:val="clear" w:color="auto" w:fill="auto"/>
            <w:vAlign w:val="bottom"/>
          </w:tcPr>
          <w:p w14:paraId="018F3529" w14:textId="77777777" w:rsidR="00283604" w:rsidRPr="00CD218D" w:rsidRDefault="00283604">
            <w:pPr>
              <w:pStyle w:val="Tabletext"/>
            </w:pPr>
            <w:r w:rsidRPr="00CD218D">
              <w:t xml:space="preserve">GloBE loss election to be filed with the GIR </w:t>
            </w:r>
          </w:p>
        </w:tc>
        <w:tc>
          <w:tcPr>
            <w:tcW w:w="1746" w:type="dxa"/>
            <w:tcBorders>
              <w:top w:val="nil"/>
              <w:left w:val="nil"/>
              <w:bottom w:val="single" w:sz="4" w:space="0" w:color="auto"/>
              <w:right w:val="single" w:sz="4" w:space="0" w:color="auto"/>
            </w:tcBorders>
            <w:shd w:val="clear" w:color="auto" w:fill="auto"/>
            <w:noWrap/>
            <w:vAlign w:val="bottom"/>
          </w:tcPr>
          <w:p w14:paraId="6DF70570" w14:textId="77777777" w:rsidR="00283604" w:rsidRPr="00CD218D" w:rsidRDefault="00283604">
            <w:pPr>
              <w:pStyle w:val="Tabletext"/>
            </w:pPr>
            <w:r w:rsidRPr="00CD218D">
              <w:t>4.5.5</w:t>
            </w:r>
          </w:p>
        </w:tc>
      </w:tr>
      <w:tr w:rsidR="00283604" w:rsidRPr="00CD218D" w14:paraId="40F8F024"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E49A016" w14:textId="72FE6E4C" w:rsidR="00283604" w:rsidRPr="00CD218D" w:rsidRDefault="00283604">
            <w:pPr>
              <w:pStyle w:val="Tabletext"/>
            </w:pPr>
            <w:r w:rsidRPr="00CD218D">
              <w:t>4-</w:t>
            </w:r>
            <w:r w:rsidR="007B7855">
              <w:t>125</w:t>
            </w:r>
          </w:p>
        </w:tc>
        <w:tc>
          <w:tcPr>
            <w:tcW w:w="3743" w:type="dxa"/>
            <w:tcBorders>
              <w:top w:val="nil"/>
              <w:left w:val="nil"/>
              <w:bottom w:val="single" w:sz="4" w:space="0" w:color="auto"/>
              <w:right w:val="single" w:sz="4" w:space="0" w:color="auto"/>
            </w:tcBorders>
            <w:shd w:val="clear" w:color="auto" w:fill="auto"/>
            <w:vAlign w:val="bottom"/>
            <w:hideMark/>
          </w:tcPr>
          <w:p w14:paraId="798F489A" w14:textId="77777777" w:rsidR="00283604" w:rsidRPr="00CD218D" w:rsidRDefault="00283604">
            <w:pPr>
              <w:pStyle w:val="Tabletext"/>
            </w:pPr>
            <w:r w:rsidRPr="00CD218D">
              <w:t>Details of the GloBE loss election</w:t>
            </w:r>
          </w:p>
        </w:tc>
        <w:tc>
          <w:tcPr>
            <w:tcW w:w="1746" w:type="dxa"/>
            <w:tcBorders>
              <w:top w:val="nil"/>
              <w:left w:val="nil"/>
              <w:bottom w:val="single" w:sz="4" w:space="0" w:color="auto"/>
              <w:right w:val="single" w:sz="4" w:space="0" w:color="auto"/>
            </w:tcBorders>
            <w:shd w:val="clear" w:color="auto" w:fill="auto"/>
            <w:noWrap/>
            <w:vAlign w:val="bottom"/>
            <w:hideMark/>
          </w:tcPr>
          <w:p w14:paraId="08E12945" w14:textId="77777777" w:rsidR="00283604" w:rsidRPr="00CD218D" w:rsidRDefault="00283604">
            <w:pPr>
              <w:pStyle w:val="Tabletext"/>
            </w:pPr>
            <w:r w:rsidRPr="00CD218D">
              <w:t>4.5.1</w:t>
            </w:r>
          </w:p>
        </w:tc>
      </w:tr>
      <w:tr w:rsidR="00283604" w:rsidRPr="00CD218D" w14:paraId="47D7872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217823" w14:textId="715AE47F" w:rsidR="00283604" w:rsidRPr="00CD218D" w:rsidRDefault="00283604">
            <w:pPr>
              <w:pStyle w:val="Tabletext"/>
            </w:pPr>
            <w:r w:rsidRPr="00CD218D">
              <w:t>4-</w:t>
            </w:r>
            <w:r w:rsidR="00983448" w:rsidRPr="00CD218D">
              <w:t>125</w:t>
            </w:r>
          </w:p>
        </w:tc>
        <w:tc>
          <w:tcPr>
            <w:tcW w:w="3743" w:type="dxa"/>
            <w:tcBorders>
              <w:top w:val="nil"/>
              <w:left w:val="nil"/>
              <w:bottom w:val="single" w:sz="4" w:space="0" w:color="auto"/>
              <w:right w:val="single" w:sz="4" w:space="0" w:color="auto"/>
            </w:tcBorders>
            <w:shd w:val="clear" w:color="auto" w:fill="auto"/>
            <w:vAlign w:val="bottom"/>
            <w:hideMark/>
          </w:tcPr>
          <w:p w14:paraId="040A8F24" w14:textId="77777777" w:rsidR="00283604" w:rsidRPr="00CD218D" w:rsidRDefault="00283604">
            <w:pPr>
              <w:pStyle w:val="Tabletext"/>
            </w:pPr>
            <w:r w:rsidRPr="00CD218D">
              <w:t xml:space="preserve">Carrying forward the balance of the GloBE loss deferred tax asset </w:t>
            </w:r>
          </w:p>
        </w:tc>
        <w:tc>
          <w:tcPr>
            <w:tcW w:w="1746" w:type="dxa"/>
            <w:tcBorders>
              <w:top w:val="nil"/>
              <w:left w:val="nil"/>
              <w:bottom w:val="single" w:sz="4" w:space="0" w:color="auto"/>
              <w:right w:val="single" w:sz="4" w:space="0" w:color="auto"/>
            </w:tcBorders>
            <w:shd w:val="clear" w:color="auto" w:fill="auto"/>
            <w:noWrap/>
            <w:vAlign w:val="bottom"/>
            <w:hideMark/>
          </w:tcPr>
          <w:p w14:paraId="242202F0" w14:textId="77777777" w:rsidR="00283604" w:rsidRPr="00CD218D" w:rsidRDefault="00283604">
            <w:pPr>
              <w:pStyle w:val="Tabletext"/>
            </w:pPr>
            <w:r w:rsidRPr="00CD218D">
              <w:t>4.5.2</w:t>
            </w:r>
          </w:p>
        </w:tc>
      </w:tr>
      <w:tr w:rsidR="00283604" w:rsidRPr="00CD218D" w14:paraId="33F0E13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267E3F1" w14:textId="118C0E32" w:rsidR="00283604" w:rsidRPr="00CD218D" w:rsidRDefault="00283604">
            <w:pPr>
              <w:pStyle w:val="Tabletext"/>
            </w:pPr>
            <w:r w:rsidRPr="00CD218D">
              <w:t>4-</w:t>
            </w:r>
            <w:r w:rsidR="00983448" w:rsidRPr="00CD218D">
              <w:t>125</w:t>
            </w:r>
            <w:r w:rsidRPr="00CD218D">
              <w:t>(2)</w:t>
            </w:r>
          </w:p>
        </w:tc>
        <w:tc>
          <w:tcPr>
            <w:tcW w:w="3743" w:type="dxa"/>
            <w:tcBorders>
              <w:top w:val="nil"/>
              <w:left w:val="nil"/>
              <w:bottom w:val="single" w:sz="4" w:space="0" w:color="auto"/>
              <w:right w:val="single" w:sz="4" w:space="0" w:color="auto"/>
            </w:tcBorders>
            <w:shd w:val="clear" w:color="auto" w:fill="auto"/>
            <w:vAlign w:val="bottom"/>
            <w:hideMark/>
          </w:tcPr>
          <w:p w14:paraId="56A05E0E" w14:textId="77777777" w:rsidR="00283604" w:rsidRPr="00CD218D" w:rsidRDefault="00283604">
            <w:pPr>
              <w:pStyle w:val="Tabletext"/>
            </w:pPr>
            <w:r w:rsidRPr="00CD218D">
              <w:t xml:space="preserve">Using the GloBE loss deferred tax asset </w:t>
            </w:r>
          </w:p>
        </w:tc>
        <w:tc>
          <w:tcPr>
            <w:tcW w:w="1746" w:type="dxa"/>
            <w:tcBorders>
              <w:top w:val="nil"/>
              <w:left w:val="nil"/>
              <w:bottom w:val="single" w:sz="4" w:space="0" w:color="auto"/>
              <w:right w:val="single" w:sz="4" w:space="0" w:color="auto"/>
            </w:tcBorders>
            <w:shd w:val="clear" w:color="auto" w:fill="auto"/>
            <w:noWrap/>
            <w:vAlign w:val="bottom"/>
            <w:hideMark/>
          </w:tcPr>
          <w:p w14:paraId="61452031" w14:textId="77777777" w:rsidR="00283604" w:rsidRPr="00CD218D" w:rsidRDefault="00283604">
            <w:pPr>
              <w:pStyle w:val="Tabletext"/>
            </w:pPr>
            <w:r w:rsidRPr="00CD218D">
              <w:t>4.5.3</w:t>
            </w:r>
          </w:p>
        </w:tc>
      </w:tr>
      <w:tr w:rsidR="00283604" w:rsidRPr="00CD218D" w14:paraId="35776E5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AFD375A" w14:textId="08BB6EC4" w:rsidR="00283604" w:rsidRPr="00CD218D" w:rsidRDefault="00283604">
            <w:pPr>
              <w:pStyle w:val="Tabletext"/>
            </w:pPr>
            <w:r w:rsidRPr="00CD218D">
              <w:t>4-</w:t>
            </w:r>
            <w:r w:rsidR="00842F4D" w:rsidRPr="00CD218D">
              <w:t>120(4)</w:t>
            </w:r>
          </w:p>
        </w:tc>
        <w:tc>
          <w:tcPr>
            <w:tcW w:w="3743" w:type="dxa"/>
            <w:tcBorders>
              <w:top w:val="nil"/>
              <w:left w:val="nil"/>
              <w:bottom w:val="single" w:sz="4" w:space="0" w:color="auto"/>
              <w:right w:val="single" w:sz="4" w:space="0" w:color="auto"/>
            </w:tcBorders>
            <w:shd w:val="clear" w:color="auto" w:fill="auto"/>
            <w:vAlign w:val="bottom"/>
            <w:hideMark/>
          </w:tcPr>
          <w:p w14:paraId="1F4143E6" w14:textId="77777777" w:rsidR="00283604" w:rsidRPr="00CD218D" w:rsidRDefault="00283604">
            <w:pPr>
              <w:pStyle w:val="Tabletext"/>
            </w:pPr>
            <w:r w:rsidRPr="00CD218D">
              <w:t>Effect of revoking a GloBE loss election</w:t>
            </w:r>
          </w:p>
        </w:tc>
        <w:tc>
          <w:tcPr>
            <w:tcW w:w="1746" w:type="dxa"/>
            <w:tcBorders>
              <w:top w:val="nil"/>
              <w:left w:val="nil"/>
              <w:bottom w:val="single" w:sz="4" w:space="0" w:color="auto"/>
              <w:right w:val="single" w:sz="4" w:space="0" w:color="auto"/>
            </w:tcBorders>
            <w:shd w:val="clear" w:color="auto" w:fill="auto"/>
            <w:noWrap/>
            <w:vAlign w:val="bottom"/>
            <w:hideMark/>
          </w:tcPr>
          <w:p w14:paraId="25D69DFB" w14:textId="77777777" w:rsidR="00283604" w:rsidRPr="00CD218D" w:rsidRDefault="00283604">
            <w:pPr>
              <w:pStyle w:val="Tabletext"/>
            </w:pPr>
            <w:r w:rsidRPr="00CD218D">
              <w:t>4.5.4</w:t>
            </w:r>
          </w:p>
        </w:tc>
      </w:tr>
      <w:tr w:rsidR="00283604" w:rsidRPr="00CD218D" w14:paraId="52DFB28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1D0D65F" w14:textId="3C75C93F" w:rsidR="00283604" w:rsidRPr="00CD218D" w:rsidRDefault="007B7855">
            <w:pPr>
              <w:pStyle w:val="Tabletext"/>
            </w:pPr>
            <w:r w:rsidRPr="007B7855">
              <w:t>4-130 and 4-135</w:t>
            </w:r>
          </w:p>
        </w:tc>
        <w:tc>
          <w:tcPr>
            <w:tcW w:w="3743" w:type="dxa"/>
            <w:tcBorders>
              <w:top w:val="nil"/>
              <w:left w:val="nil"/>
              <w:bottom w:val="single" w:sz="4" w:space="0" w:color="auto"/>
              <w:right w:val="single" w:sz="4" w:space="0" w:color="auto"/>
            </w:tcBorders>
            <w:shd w:val="clear" w:color="auto" w:fill="auto"/>
            <w:vAlign w:val="bottom"/>
            <w:hideMark/>
          </w:tcPr>
          <w:p w14:paraId="03BCE164" w14:textId="77777777" w:rsidR="00283604" w:rsidRPr="00CD218D" w:rsidRDefault="00283604">
            <w:pPr>
              <w:pStyle w:val="Tabletext"/>
            </w:pPr>
            <w:r w:rsidRPr="00CD218D">
              <w:t xml:space="preserve">Flow through UPE may make a GloBE loss election </w:t>
            </w:r>
          </w:p>
        </w:tc>
        <w:tc>
          <w:tcPr>
            <w:tcW w:w="1746" w:type="dxa"/>
            <w:tcBorders>
              <w:top w:val="nil"/>
              <w:left w:val="nil"/>
              <w:bottom w:val="single" w:sz="4" w:space="0" w:color="auto"/>
              <w:right w:val="single" w:sz="4" w:space="0" w:color="auto"/>
            </w:tcBorders>
            <w:shd w:val="clear" w:color="auto" w:fill="auto"/>
            <w:noWrap/>
            <w:vAlign w:val="bottom"/>
            <w:hideMark/>
          </w:tcPr>
          <w:p w14:paraId="001F7BDE" w14:textId="77777777" w:rsidR="00283604" w:rsidRPr="00CD218D" w:rsidRDefault="00283604">
            <w:pPr>
              <w:pStyle w:val="Tabletext"/>
            </w:pPr>
            <w:r w:rsidRPr="00CD218D">
              <w:t>4.5.6</w:t>
            </w:r>
          </w:p>
        </w:tc>
      </w:tr>
      <w:tr w:rsidR="00283604" w:rsidRPr="00CD218D" w14:paraId="5D7BCAC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AD034A3" w14:textId="77777777" w:rsidR="00283604" w:rsidRPr="00CD218D" w:rsidRDefault="00283604">
            <w:pPr>
              <w:pStyle w:val="Tabletext"/>
              <w:rPr>
                <w:b/>
                <w:bCs/>
              </w:rPr>
            </w:pPr>
            <w:r w:rsidRPr="00CD218D">
              <w:rPr>
                <w:b/>
                <w:bCs/>
              </w:rPr>
              <w:t>Part 4-6</w:t>
            </w:r>
          </w:p>
        </w:tc>
        <w:tc>
          <w:tcPr>
            <w:tcW w:w="3743" w:type="dxa"/>
            <w:tcBorders>
              <w:top w:val="nil"/>
              <w:left w:val="nil"/>
              <w:bottom w:val="single" w:sz="4" w:space="0" w:color="auto"/>
              <w:right w:val="single" w:sz="4" w:space="0" w:color="auto"/>
            </w:tcBorders>
            <w:shd w:val="clear" w:color="auto" w:fill="auto"/>
            <w:vAlign w:val="bottom"/>
            <w:hideMark/>
          </w:tcPr>
          <w:p w14:paraId="508052C4" w14:textId="77777777" w:rsidR="00283604" w:rsidRPr="00CD218D" w:rsidRDefault="00283604">
            <w:pPr>
              <w:pStyle w:val="Tabletext"/>
              <w:rPr>
                <w:b/>
                <w:bCs/>
              </w:rPr>
            </w:pPr>
            <w:r w:rsidRPr="00CD218D">
              <w:rPr>
                <w:b/>
                <w:bCs/>
              </w:rPr>
              <w:t>Post-filing Adjustments and Tax Rate Changes</w:t>
            </w:r>
          </w:p>
        </w:tc>
        <w:tc>
          <w:tcPr>
            <w:tcW w:w="1746" w:type="dxa"/>
            <w:tcBorders>
              <w:top w:val="nil"/>
              <w:left w:val="nil"/>
              <w:bottom w:val="single" w:sz="4" w:space="0" w:color="auto"/>
              <w:right w:val="single" w:sz="4" w:space="0" w:color="auto"/>
            </w:tcBorders>
            <w:shd w:val="clear" w:color="auto" w:fill="auto"/>
            <w:noWrap/>
            <w:vAlign w:val="bottom"/>
            <w:hideMark/>
          </w:tcPr>
          <w:p w14:paraId="65F4054A" w14:textId="77777777" w:rsidR="00283604" w:rsidRPr="00CD218D" w:rsidRDefault="00283604">
            <w:pPr>
              <w:pStyle w:val="Tabletext"/>
              <w:rPr>
                <w:b/>
                <w:bCs/>
              </w:rPr>
            </w:pPr>
            <w:r w:rsidRPr="00CD218D">
              <w:rPr>
                <w:b/>
                <w:bCs/>
              </w:rPr>
              <w:t>4.6</w:t>
            </w:r>
          </w:p>
        </w:tc>
      </w:tr>
      <w:tr w:rsidR="00283604" w:rsidRPr="00CD218D" w14:paraId="4AFA711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11F783A" w14:textId="73DDFA99" w:rsidR="00283604" w:rsidRPr="00CD218D" w:rsidRDefault="00283604">
            <w:pPr>
              <w:pStyle w:val="Tabletext"/>
            </w:pPr>
            <w:r w:rsidRPr="00CD218D">
              <w:t>4-</w:t>
            </w:r>
            <w:r w:rsidR="00983448" w:rsidRPr="00CD218D">
              <w:t>140</w:t>
            </w:r>
            <w:r w:rsidRPr="00CD218D">
              <w:t>(1)-(8)</w:t>
            </w:r>
          </w:p>
        </w:tc>
        <w:tc>
          <w:tcPr>
            <w:tcW w:w="3743" w:type="dxa"/>
            <w:tcBorders>
              <w:top w:val="nil"/>
              <w:left w:val="nil"/>
              <w:bottom w:val="single" w:sz="4" w:space="0" w:color="auto"/>
              <w:right w:val="single" w:sz="4" w:space="0" w:color="auto"/>
            </w:tcBorders>
            <w:shd w:val="clear" w:color="auto" w:fill="auto"/>
            <w:vAlign w:val="bottom"/>
            <w:hideMark/>
          </w:tcPr>
          <w:p w14:paraId="5F5448E5" w14:textId="77777777" w:rsidR="00283604" w:rsidRPr="00CD218D" w:rsidRDefault="00283604">
            <w:pPr>
              <w:pStyle w:val="Tabletext"/>
            </w:pPr>
            <w:r w:rsidRPr="00CD218D">
              <w:t>Election and criteria for post filing adjustment</w:t>
            </w:r>
          </w:p>
        </w:tc>
        <w:tc>
          <w:tcPr>
            <w:tcW w:w="1746" w:type="dxa"/>
            <w:tcBorders>
              <w:top w:val="nil"/>
              <w:left w:val="nil"/>
              <w:bottom w:val="single" w:sz="4" w:space="0" w:color="auto"/>
              <w:right w:val="single" w:sz="4" w:space="0" w:color="auto"/>
            </w:tcBorders>
            <w:shd w:val="clear" w:color="auto" w:fill="auto"/>
            <w:noWrap/>
            <w:vAlign w:val="bottom"/>
            <w:hideMark/>
          </w:tcPr>
          <w:p w14:paraId="3F7D74E6" w14:textId="77777777" w:rsidR="00283604" w:rsidRPr="00CD218D" w:rsidRDefault="00283604">
            <w:pPr>
              <w:pStyle w:val="Tabletext"/>
            </w:pPr>
            <w:r w:rsidRPr="00CD218D">
              <w:t>4.6.1</w:t>
            </w:r>
          </w:p>
        </w:tc>
      </w:tr>
      <w:tr w:rsidR="00283604" w:rsidRPr="00CD218D" w14:paraId="7959D51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4D29CBD" w14:textId="57FCDC9D" w:rsidR="00283604" w:rsidRPr="00CD218D" w:rsidRDefault="00283604">
            <w:pPr>
              <w:pStyle w:val="Tabletext"/>
            </w:pPr>
            <w:r w:rsidRPr="00CD218D">
              <w:lastRenderedPageBreak/>
              <w:t>4-</w:t>
            </w:r>
            <w:r w:rsidR="00983448" w:rsidRPr="00CD218D">
              <w:t>145</w:t>
            </w:r>
            <w:r w:rsidRPr="00CD218D">
              <w:t>(1)</w:t>
            </w:r>
          </w:p>
        </w:tc>
        <w:tc>
          <w:tcPr>
            <w:tcW w:w="3743" w:type="dxa"/>
            <w:tcBorders>
              <w:top w:val="nil"/>
              <w:left w:val="nil"/>
              <w:bottom w:val="single" w:sz="4" w:space="0" w:color="auto"/>
              <w:right w:val="single" w:sz="4" w:space="0" w:color="auto"/>
            </w:tcBorders>
            <w:shd w:val="clear" w:color="auto" w:fill="auto"/>
            <w:vAlign w:val="bottom"/>
            <w:hideMark/>
          </w:tcPr>
          <w:p w14:paraId="1ED3B669" w14:textId="77777777" w:rsidR="00283604" w:rsidRPr="00CD218D" w:rsidRDefault="00283604">
            <w:pPr>
              <w:pStyle w:val="Tabletext"/>
            </w:pPr>
            <w:r w:rsidRPr="00CD218D">
              <w:t>Treatment of deferred tax expense from a decrease tax rate change (decrease)</w:t>
            </w:r>
          </w:p>
        </w:tc>
        <w:tc>
          <w:tcPr>
            <w:tcW w:w="1746" w:type="dxa"/>
            <w:tcBorders>
              <w:top w:val="nil"/>
              <w:left w:val="nil"/>
              <w:bottom w:val="single" w:sz="4" w:space="0" w:color="auto"/>
              <w:right w:val="single" w:sz="4" w:space="0" w:color="auto"/>
            </w:tcBorders>
            <w:shd w:val="clear" w:color="auto" w:fill="auto"/>
            <w:noWrap/>
            <w:vAlign w:val="bottom"/>
            <w:hideMark/>
          </w:tcPr>
          <w:p w14:paraId="3B099304" w14:textId="77777777" w:rsidR="00283604" w:rsidRPr="00CD218D" w:rsidRDefault="00283604">
            <w:pPr>
              <w:pStyle w:val="Tabletext"/>
            </w:pPr>
            <w:r w:rsidRPr="00CD218D">
              <w:t>4.6.2</w:t>
            </w:r>
          </w:p>
        </w:tc>
      </w:tr>
      <w:tr w:rsidR="00283604" w:rsidRPr="00CD218D" w14:paraId="7550105B"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651E9D8" w14:textId="5CF3E3BC" w:rsidR="00283604" w:rsidRPr="00CD218D" w:rsidRDefault="00283604">
            <w:pPr>
              <w:pStyle w:val="Tabletext"/>
            </w:pPr>
            <w:r w:rsidRPr="00CD218D">
              <w:t>4-</w:t>
            </w:r>
            <w:r w:rsidR="00983448" w:rsidRPr="00CD218D">
              <w:t>145</w:t>
            </w:r>
            <w:r w:rsidRPr="00CD218D">
              <w:t>(2)</w:t>
            </w:r>
          </w:p>
        </w:tc>
        <w:tc>
          <w:tcPr>
            <w:tcW w:w="3743" w:type="dxa"/>
            <w:tcBorders>
              <w:top w:val="nil"/>
              <w:left w:val="nil"/>
              <w:bottom w:val="single" w:sz="4" w:space="0" w:color="auto"/>
              <w:right w:val="single" w:sz="4" w:space="0" w:color="auto"/>
            </w:tcBorders>
            <w:shd w:val="clear" w:color="auto" w:fill="auto"/>
            <w:vAlign w:val="bottom"/>
            <w:hideMark/>
          </w:tcPr>
          <w:p w14:paraId="0F84C662" w14:textId="77777777" w:rsidR="00283604" w:rsidRPr="00CD218D" w:rsidRDefault="00283604">
            <w:pPr>
              <w:pStyle w:val="Tabletext"/>
            </w:pPr>
            <w:r w:rsidRPr="00CD218D">
              <w:t>Treatment of deferred tax expense from an increase in tax rate</w:t>
            </w:r>
          </w:p>
        </w:tc>
        <w:tc>
          <w:tcPr>
            <w:tcW w:w="1746" w:type="dxa"/>
            <w:tcBorders>
              <w:top w:val="nil"/>
              <w:left w:val="nil"/>
              <w:bottom w:val="single" w:sz="4" w:space="0" w:color="auto"/>
              <w:right w:val="single" w:sz="4" w:space="0" w:color="auto"/>
            </w:tcBorders>
            <w:shd w:val="clear" w:color="auto" w:fill="auto"/>
            <w:noWrap/>
            <w:vAlign w:val="bottom"/>
            <w:hideMark/>
          </w:tcPr>
          <w:p w14:paraId="73BB58F1" w14:textId="77777777" w:rsidR="00283604" w:rsidRPr="00CD218D" w:rsidRDefault="00283604">
            <w:pPr>
              <w:pStyle w:val="Tabletext"/>
            </w:pPr>
            <w:r w:rsidRPr="00CD218D">
              <w:t>4.6.3</w:t>
            </w:r>
          </w:p>
        </w:tc>
      </w:tr>
      <w:tr w:rsidR="00283604" w:rsidRPr="00CD218D" w14:paraId="646CDFC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B90682D" w14:textId="2FF62DE9" w:rsidR="00283604" w:rsidRPr="00CD218D" w:rsidRDefault="00283604">
            <w:pPr>
              <w:pStyle w:val="Tabletext"/>
            </w:pPr>
            <w:r w:rsidRPr="00CD218D">
              <w:t>4-</w:t>
            </w:r>
            <w:r w:rsidR="00983448" w:rsidRPr="00CD218D">
              <w:t>145</w:t>
            </w:r>
            <w:r w:rsidRPr="00CD218D">
              <w:t>(3)</w:t>
            </w:r>
          </w:p>
        </w:tc>
        <w:tc>
          <w:tcPr>
            <w:tcW w:w="3743" w:type="dxa"/>
            <w:tcBorders>
              <w:top w:val="nil"/>
              <w:left w:val="nil"/>
              <w:bottom w:val="single" w:sz="4" w:space="0" w:color="auto"/>
              <w:right w:val="single" w:sz="4" w:space="0" w:color="auto"/>
            </w:tcBorders>
            <w:shd w:val="clear" w:color="auto" w:fill="auto"/>
            <w:noWrap/>
            <w:vAlign w:val="bottom"/>
            <w:hideMark/>
          </w:tcPr>
          <w:p w14:paraId="0DF9363B" w14:textId="77777777" w:rsidR="00283604" w:rsidRPr="00CD218D" w:rsidRDefault="00283604">
            <w:pPr>
              <w:pStyle w:val="Tabletext"/>
            </w:pPr>
            <w:r w:rsidRPr="00CD218D">
              <w:t>Treatment of current tax expense greater than EUR 1 Mil and not paid within 3 years</w:t>
            </w:r>
          </w:p>
        </w:tc>
        <w:tc>
          <w:tcPr>
            <w:tcW w:w="1746" w:type="dxa"/>
            <w:tcBorders>
              <w:top w:val="nil"/>
              <w:left w:val="nil"/>
              <w:bottom w:val="single" w:sz="4" w:space="0" w:color="auto"/>
              <w:right w:val="single" w:sz="4" w:space="0" w:color="auto"/>
            </w:tcBorders>
            <w:shd w:val="clear" w:color="auto" w:fill="auto"/>
            <w:noWrap/>
            <w:vAlign w:val="bottom"/>
            <w:hideMark/>
          </w:tcPr>
          <w:p w14:paraId="2CA22B89" w14:textId="77777777" w:rsidR="00283604" w:rsidRPr="00CD218D" w:rsidRDefault="00283604">
            <w:pPr>
              <w:pStyle w:val="Tabletext"/>
            </w:pPr>
            <w:r w:rsidRPr="00CD218D">
              <w:t>4.6.4</w:t>
            </w:r>
          </w:p>
        </w:tc>
      </w:tr>
      <w:tr w:rsidR="00283604" w:rsidRPr="00CD218D" w14:paraId="7CC8073F" w14:textId="77777777">
        <w:trPr>
          <w:trHeight w:val="300"/>
        </w:trPr>
        <w:tc>
          <w:tcPr>
            <w:tcW w:w="7701" w:type="dxa"/>
            <w:gridSpan w:val="3"/>
            <w:tcBorders>
              <w:top w:val="nil"/>
              <w:left w:val="single" w:sz="4" w:space="0" w:color="auto"/>
              <w:bottom w:val="single" w:sz="4" w:space="0" w:color="auto"/>
              <w:right w:val="single" w:sz="4" w:space="0" w:color="auto"/>
            </w:tcBorders>
            <w:shd w:val="clear" w:color="auto" w:fill="auto"/>
            <w:noWrap/>
            <w:vAlign w:val="bottom"/>
          </w:tcPr>
          <w:p w14:paraId="3FD22AFD" w14:textId="77777777" w:rsidR="00283604" w:rsidRPr="00CD218D" w:rsidRDefault="00283604" w:rsidP="00283604">
            <w:pPr>
              <w:pStyle w:val="Tableheaderrowtext"/>
              <w:numPr>
                <w:ilvl w:val="3"/>
                <w:numId w:val="2"/>
              </w:numPr>
            </w:pPr>
            <w:r w:rsidRPr="00CD218D">
              <w:t>Chapter 5 - Computation of Effective Tax Rate</w:t>
            </w:r>
          </w:p>
        </w:tc>
      </w:tr>
      <w:tr w:rsidR="00283604" w:rsidRPr="00CD218D" w14:paraId="730EE79B"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0CAE5D6" w14:textId="77777777" w:rsidR="00283604" w:rsidRPr="00CD218D" w:rsidRDefault="00283604">
            <w:pPr>
              <w:pStyle w:val="Tabletext"/>
              <w:rPr>
                <w:b/>
                <w:bCs/>
              </w:rPr>
            </w:pPr>
            <w:r w:rsidRPr="00CD218D">
              <w:rPr>
                <w:b/>
                <w:bCs/>
              </w:rPr>
              <w:t>Part 5-1</w:t>
            </w:r>
          </w:p>
        </w:tc>
        <w:tc>
          <w:tcPr>
            <w:tcW w:w="3743" w:type="dxa"/>
            <w:tcBorders>
              <w:top w:val="nil"/>
              <w:left w:val="nil"/>
              <w:bottom w:val="single" w:sz="4" w:space="0" w:color="auto"/>
              <w:right w:val="single" w:sz="4" w:space="0" w:color="auto"/>
            </w:tcBorders>
            <w:shd w:val="clear" w:color="auto" w:fill="auto"/>
            <w:vAlign w:val="bottom"/>
            <w:hideMark/>
          </w:tcPr>
          <w:p w14:paraId="22E01697" w14:textId="77777777" w:rsidR="00283604" w:rsidRPr="00CD218D" w:rsidRDefault="00283604">
            <w:pPr>
              <w:pStyle w:val="Tabletext"/>
              <w:rPr>
                <w:b/>
                <w:bCs/>
              </w:rPr>
            </w:pPr>
            <w:r w:rsidRPr="00CD218D">
              <w:rPr>
                <w:b/>
                <w:bCs/>
              </w:rPr>
              <w:t xml:space="preserve">Determination of Effective Tax Rate </w:t>
            </w:r>
          </w:p>
        </w:tc>
        <w:tc>
          <w:tcPr>
            <w:tcW w:w="1746" w:type="dxa"/>
            <w:tcBorders>
              <w:top w:val="nil"/>
              <w:left w:val="nil"/>
              <w:bottom w:val="single" w:sz="4" w:space="0" w:color="auto"/>
              <w:right w:val="single" w:sz="4" w:space="0" w:color="auto"/>
            </w:tcBorders>
            <w:shd w:val="clear" w:color="auto" w:fill="auto"/>
            <w:noWrap/>
            <w:vAlign w:val="bottom"/>
            <w:hideMark/>
          </w:tcPr>
          <w:p w14:paraId="09CF5C27" w14:textId="77777777" w:rsidR="00283604" w:rsidRPr="00CD218D" w:rsidRDefault="00283604">
            <w:pPr>
              <w:pStyle w:val="Tabletext"/>
              <w:rPr>
                <w:b/>
                <w:bCs/>
              </w:rPr>
            </w:pPr>
            <w:r w:rsidRPr="00CD218D">
              <w:rPr>
                <w:b/>
                <w:bCs/>
              </w:rPr>
              <w:t>5.1</w:t>
            </w:r>
          </w:p>
        </w:tc>
      </w:tr>
      <w:tr w:rsidR="00283604" w:rsidRPr="00CD218D" w14:paraId="49DBD67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DD8224B" w14:textId="77777777" w:rsidR="00283604" w:rsidRPr="00CD218D" w:rsidRDefault="00283604">
            <w:pPr>
              <w:pStyle w:val="Tabletext"/>
            </w:pPr>
            <w:r w:rsidRPr="00CD218D">
              <w:t>5-5</w:t>
            </w:r>
          </w:p>
        </w:tc>
        <w:tc>
          <w:tcPr>
            <w:tcW w:w="3743" w:type="dxa"/>
            <w:tcBorders>
              <w:top w:val="nil"/>
              <w:left w:val="nil"/>
              <w:bottom w:val="single" w:sz="4" w:space="0" w:color="auto"/>
              <w:right w:val="single" w:sz="4" w:space="0" w:color="auto"/>
            </w:tcBorders>
            <w:shd w:val="clear" w:color="auto" w:fill="auto"/>
            <w:vAlign w:val="bottom"/>
            <w:hideMark/>
          </w:tcPr>
          <w:p w14:paraId="07A849D4" w14:textId="77777777" w:rsidR="00283604" w:rsidRPr="00CD218D" w:rsidRDefault="00283604">
            <w:pPr>
              <w:pStyle w:val="Tabletext"/>
            </w:pPr>
            <w:r w:rsidRPr="00CD218D">
              <w:t>ETR formula</w:t>
            </w:r>
          </w:p>
        </w:tc>
        <w:tc>
          <w:tcPr>
            <w:tcW w:w="1746" w:type="dxa"/>
            <w:tcBorders>
              <w:top w:val="nil"/>
              <w:left w:val="nil"/>
              <w:bottom w:val="single" w:sz="4" w:space="0" w:color="auto"/>
              <w:right w:val="single" w:sz="4" w:space="0" w:color="auto"/>
            </w:tcBorders>
            <w:shd w:val="clear" w:color="auto" w:fill="auto"/>
            <w:noWrap/>
            <w:vAlign w:val="bottom"/>
            <w:hideMark/>
          </w:tcPr>
          <w:p w14:paraId="5E24EE6E" w14:textId="77777777" w:rsidR="00283604" w:rsidRPr="00CD218D" w:rsidRDefault="00283604">
            <w:pPr>
              <w:pStyle w:val="Tabletext"/>
            </w:pPr>
            <w:r w:rsidRPr="00CD218D">
              <w:t>5.1.1</w:t>
            </w:r>
          </w:p>
        </w:tc>
      </w:tr>
      <w:tr w:rsidR="00283604" w:rsidRPr="00CD218D" w14:paraId="211CA27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1BE76C9" w14:textId="77777777" w:rsidR="00283604" w:rsidRPr="00CD218D" w:rsidRDefault="00283604">
            <w:pPr>
              <w:pStyle w:val="Tabletext"/>
            </w:pPr>
            <w:r w:rsidRPr="00CD218D">
              <w:t>5-10</w:t>
            </w:r>
          </w:p>
        </w:tc>
        <w:tc>
          <w:tcPr>
            <w:tcW w:w="3743" w:type="dxa"/>
            <w:tcBorders>
              <w:top w:val="nil"/>
              <w:left w:val="nil"/>
              <w:bottom w:val="single" w:sz="4" w:space="0" w:color="auto"/>
              <w:right w:val="single" w:sz="4" w:space="0" w:color="auto"/>
            </w:tcBorders>
            <w:shd w:val="clear" w:color="auto" w:fill="auto"/>
            <w:vAlign w:val="bottom"/>
            <w:hideMark/>
          </w:tcPr>
          <w:p w14:paraId="52DFA64E" w14:textId="77777777" w:rsidR="00283604" w:rsidRPr="00CD218D" w:rsidRDefault="00283604">
            <w:pPr>
              <w:pStyle w:val="Tabletext"/>
            </w:pPr>
            <w:r w:rsidRPr="00CD218D">
              <w:t>Net GloBE income formula</w:t>
            </w:r>
          </w:p>
        </w:tc>
        <w:tc>
          <w:tcPr>
            <w:tcW w:w="1746" w:type="dxa"/>
            <w:tcBorders>
              <w:top w:val="nil"/>
              <w:left w:val="nil"/>
              <w:bottom w:val="single" w:sz="4" w:space="0" w:color="auto"/>
              <w:right w:val="single" w:sz="4" w:space="0" w:color="auto"/>
            </w:tcBorders>
            <w:shd w:val="clear" w:color="auto" w:fill="auto"/>
            <w:noWrap/>
            <w:vAlign w:val="bottom"/>
            <w:hideMark/>
          </w:tcPr>
          <w:p w14:paraId="68FBDB65" w14:textId="77777777" w:rsidR="00283604" w:rsidRPr="00CD218D" w:rsidRDefault="00283604">
            <w:pPr>
              <w:pStyle w:val="Tabletext"/>
            </w:pPr>
            <w:r w:rsidRPr="00CD218D">
              <w:t>5.1.2</w:t>
            </w:r>
          </w:p>
        </w:tc>
      </w:tr>
      <w:tr w:rsidR="00283604" w:rsidRPr="00CD218D" w14:paraId="06075FC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B7C02D6" w14:textId="52D75F1D" w:rsidR="00F8139C" w:rsidRDefault="00F8139C" w:rsidP="00F8139C">
            <w:pPr>
              <w:pStyle w:val="Tabletext"/>
            </w:pPr>
            <w:r>
              <w:t>Notes to 5</w:t>
            </w:r>
            <w:r>
              <w:noBreakHyphen/>
              <w:t>5</w:t>
            </w:r>
          </w:p>
          <w:p w14:paraId="62914A81" w14:textId="325FDF07" w:rsidR="00283604" w:rsidRPr="00CD218D" w:rsidRDefault="00F8139C" w:rsidP="00F8139C">
            <w:pPr>
              <w:pStyle w:val="Tabletext"/>
            </w:pPr>
            <w:r>
              <w:t>Part 7</w:t>
            </w:r>
            <w:r>
              <w:noBreakHyphen/>
              <w:t>4</w:t>
            </w:r>
          </w:p>
        </w:tc>
        <w:tc>
          <w:tcPr>
            <w:tcW w:w="3743" w:type="dxa"/>
            <w:tcBorders>
              <w:top w:val="nil"/>
              <w:left w:val="nil"/>
              <w:bottom w:val="single" w:sz="4" w:space="0" w:color="auto"/>
              <w:right w:val="single" w:sz="4" w:space="0" w:color="auto"/>
            </w:tcBorders>
            <w:shd w:val="clear" w:color="auto" w:fill="auto"/>
            <w:vAlign w:val="bottom"/>
            <w:hideMark/>
          </w:tcPr>
          <w:p w14:paraId="7AE41532" w14:textId="77777777" w:rsidR="00283604" w:rsidRPr="00CD218D" w:rsidRDefault="00283604">
            <w:pPr>
              <w:pStyle w:val="Tabletext"/>
            </w:pPr>
            <w:r w:rsidRPr="00CD218D">
              <w:t xml:space="preserve">Investment entities compute ETR separately </w:t>
            </w:r>
          </w:p>
        </w:tc>
        <w:tc>
          <w:tcPr>
            <w:tcW w:w="1746" w:type="dxa"/>
            <w:tcBorders>
              <w:top w:val="nil"/>
              <w:left w:val="nil"/>
              <w:bottom w:val="single" w:sz="4" w:space="0" w:color="auto"/>
              <w:right w:val="single" w:sz="4" w:space="0" w:color="auto"/>
            </w:tcBorders>
            <w:shd w:val="clear" w:color="auto" w:fill="auto"/>
            <w:noWrap/>
            <w:vAlign w:val="bottom"/>
            <w:hideMark/>
          </w:tcPr>
          <w:p w14:paraId="1B0E134E" w14:textId="77777777" w:rsidR="00283604" w:rsidRPr="00CD218D" w:rsidRDefault="00283604">
            <w:pPr>
              <w:pStyle w:val="Tabletext"/>
            </w:pPr>
            <w:r w:rsidRPr="00CD218D">
              <w:t>5.1.3</w:t>
            </w:r>
          </w:p>
        </w:tc>
      </w:tr>
      <w:tr w:rsidR="00283604" w:rsidRPr="00CD218D" w14:paraId="7D4DA1D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3F2BB05" w14:textId="77777777" w:rsidR="00283604" w:rsidRPr="00CD218D" w:rsidRDefault="00283604">
            <w:pPr>
              <w:pStyle w:val="Tabletext"/>
              <w:rPr>
                <w:b/>
                <w:bCs/>
              </w:rPr>
            </w:pPr>
            <w:r w:rsidRPr="00CD218D">
              <w:rPr>
                <w:b/>
                <w:bCs/>
              </w:rPr>
              <w:t>Part 5-2</w:t>
            </w:r>
          </w:p>
        </w:tc>
        <w:tc>
          <w:tcPr>
            <w:tcW w:w="3743" w:type="dxa"/>
            <w:tcBorders>
              <w:top w:val="nil"/>
              <w:left w:val="nil"/>
              <w:bottom w:val="single" w:sz="4" w:space="0" w:color="auto"/>
              <w:right w:val="single" w:sz="4" w:space="0" w:color="auto"/>
            </w:tcBorders>
            <w:shd w:val="clear" w:color="auto" w:fill="auto"/>
            <w:vAlign w:val="bottom"/>
            <w:hideMark/>
          </w:tcPr>
          <w:p w14:paraId="71FDAB92" w14:textId="77777777" w:rsidR="00283604" w:rsidRPr="00CD218D" w:rsidRDefault="00283604">
            <w:pPr>
              <w:pStyle w:val="Tabletext"/>
              <w:rPr>
                <w:b/>
                <w:bCs/>
              </w:rPr>
            </w:pPr>
            <w:r w:rsidRPr="00CD218D">
              <w:rPr>
                <w:b/>
                <w:bCs/>
              </w:rPr>
              <w:t xml:space="preserve">Top-up Tax </w:t>
            </w:r>
          </w:p>
        </w:tc>
        <w:tc>
          <w:tcPr>
            <w:tcW w:w="1746" w:type="dxa"/>
            <w:tcBorders>
              <w:top w:val="nil"/>
              <w:left w:val="nil"/>
              <w:bottom w:val="single" w:sz="4" w:space="0" w:color="auto"/>
              <w:right w:val="single" w:sz="4" w:space="0" w:color="auto"/>
            </w:tcBorders>
            <w:shd w:val="clear" w:color="auto" w:fill="auto"/>
            <w:noWrap/>
            <w:vAlign w:val="bottom"/>
            <w:hideMark/>
          </w:tcPr>
          <w:p w14:paraId="2BABEA70" w14:textId="77777777" w:rsidR="00283604" w:rsidRPr="00CD218D" w:rsidRDefault="00283604">
            <w:pPr>
              <w:pStyle w:val="Tabletext"/>
              <w:rPr>
                <w:b/>
                <w:bCs/>
              </w:rPr>
            </w:pPr>
            <w:r w:rsidRPr="00CD218D">
              <w:rPr>
                <w:b/>
                <w:bCs/>
              </w:rPr>
              <w:t>5.2</w:t>
            </w:r>
          </w:p>
        </w:tc>
      </w:tr>
      <w:tr w:rsidR="00283604" w:rsidRPr="00CD218D" w14:paraId="14387C9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646255F" w14:textId="77777777" w:rsidR="00283604" w:rsidRPr="00CD218D" w:rsidRDefault="00283604">
            <w:pPr>
              <w:pStyle w:val="Tabletext"/>
            </w:pPr>
            <w:r w:rsidRPr="00CD218D">
              <w:t>5-20</w:t>
            </w:r>
          </w:p>
        </w:tc>
        <w:tc>
          <w:tcPr>
            <w:tcW w:w="3743" w:type="dxa"/>
            <w:tcBorders>
              <w:top w:val="nil"/>
              <w:left w:val="nil"/>
              <w:bottom w:val="single" w:sz="4" w:space="0" w:color="auto"/>
              <w:right w:val="single" w:sz="4" w:space="0" w:color="auto"/>
            </w:tcBorders>
            <w:shd w:val="clear" w:color="auto" w:fill="auto"/>
            <w:vAlign w:val="bottom"/>
            <w:hideMark/>
          </w:tcPr>
          <w:p w14:paraId="6C1481F4" w14:textId="77777777" w:rsidR="00283604" w:rsidRPr="00CD218D" w:rsidRDefault="00283604">
            <w:pPr>
              <w:pStyle w:val="Tabletext"/>
            </w:pPr>
            <w:r w:rsidRPr="00CD218D">
              <w:t>Top up tax percentage</w:t>
            </w:r>
          </w:p>
        </w:tc>
        <w:tc>
          <w:tcPr>
            <w:tcW w:w="1746" w:type="dxa"/>
            <w:tcBorders>
              <w:top w:val="nil"/>
              <w:left w:val="nil"/>
              <w:bottom w:val="single" w:sz="4" w:space="0" w:color="auto"/>
              <w:right w:val="single" w:sz="4" w:space="0" w:color="auto"/>
            </w:tcBorders>
            <w:shd w:val="clear" w:color="auto" w:fill="auto"/>
            <w:noWrap/>
            <w:vAlign w:val="bottom"/>
            <w:hideMark/>
          </w:tcPr>
          <w:p w14:paraId="69CA62AD" w14:textId="77777777" w:rsidR="00283604" w:rsidRPr="00CD218D" w:rsidRDefault="00283604">
            <w:pPr>
              <w:pStyle w:val="Tabletext"/>
            </w:pPr>
            <w:r w:rsidRPr="00CD218D">
              <w:t>5.2.1</w:t>
            </w:r>
          </w:p>
        </w:tc>
      </w:tr>
      <w:tr w:rsidR="00283604" w:rsidRPr="00CD218D" w14:paraId="60FB03A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60F6180" w14:textId="77777777" w:rsidR="00283604" w:rsidRPr="00CD218D" w:rsidRDefault="00283604">
            <w:pPr>
              <w:pStyle w:val="Tabletext"/>
            </w:pPr>
            <w:r w:rsidRPr="00CD218D">
              <w:t>5-25</w:t>
            </w:r>
          </w:p>
        </w:tc>
        <w:tc>
          <w:tcPr>
            <w:tcW w:w="3743" w:type="dxa"/>
            <w:tcBorders>
              <w:top w:val="nil"/>
              <w:left w:val="nil"/>
              <w:bottom w:val="single" w:sz="4" w:space="0" w:color="auto"/>
              <w:right w:val="single" w:sz="4" w:space="0" w:color="auto"/>
            </w:tcBorders>
            <w:shd w:val="clear" w:color="auto" w:fill="auto"/>
            <w:vAlign w:val="bottom"/>
            <w:hideMark/>
          </w:tcPr>
          <w:p w14:paraId="271C4664" w14:textId="77777777" w:rsidR="00283604" w:rsidRPr="00CD218D" w:rsidRDefault="00283604">
            <w:pPr>
              <w:pStyle w:val="Tabletext"/>
            </w:pPr>
            <w:r w:rsidRPr="00CD218D">
              <w:t xml:space="preserve">Excess profit formula </w:t>
            </w:r>
          </w:p>
        </w:tc>
        <w:tc>
          <w:tcPr>
            <w:tcW w:w="1746" w:type="dxa"/>
            <w:tcBorders>
              <w:top w:val="nil"/>
              <w:left w:val="nil"/>
              <w:bottom w:val="single" w:sz="4" w:space="0" w:color="auto"/>
              <w:right w:val="single" w:sz="4" w:space="0" w:color="auto"/>
            </w:tcBorders>
            <w:shd w:val="clear" w:color="auto" w:fill="auto"/>
            <w:noWrap/>
            <w:vAlign w:val="bottom"/>
            <w:hideMark/>
          </w:tcPr>
          <w:p w14:paraId="02C52A79" w14:textId="77777777" w:rsidR="00283604" w:rsidRPr="00CD218D" w:rsidRDefault="00283604">
            <w:pPr>
              <w:pStyle w:val="Tabletext"/>
            </w:pPr>
            <w:r w:rsidRPr="00CD218D">
              <w:t>5.2.2</w:t>
            </w:r>
          </w:p>
        </w:tc>
      </w:tr>
      <w:tr w:rsidR="00283604" w:rsidRPr="00CD218D" w14:paraId="49B2FC5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8C7F125" w14:textId="77777777" w:rsidR="00283604" w:rsidRPr="00CD218D" w:rsidRDefault="00283604">
            <w:pPr>
              <w:pStyle w:val="Tabletext"/>
            </w:pPr>
            <w:r w:rsidRPr="00CD218D">
              <w:t>5-30</w:t>
            </w:r>
          </w:p>
        </w:tc>
        <w:tc>
          <w:tcPr>
            <w:tcW w:w="3743" w:type="dxa"/>
            <w:tcBorders>
              <w:top w:val="nil"/>
              <w:left w:val="nil"/>
              <w:bottom w:val="single" w:sz="4" w:space="0" w:color="auto"/>
              <w:right w:val="single" w:sz="4" w:space="0" w:color="auto"/>
            </w:tcBorders>
            <w:shd w:val="clear" w:color="auto" w:fill="auto"/>
            <w:vAlign w:val="bottom"/>
            <w:hideMark/>
          </w:tcPr>
          <w:p w14:paraId="497AC9E5" w14:textId="77777777" w:rsidR="00283604" w:rsidRPr="00CD218D" w:rsidRDefault="00283604">
            <w:pPr>
              <w:pStyle w:val="Tabletext"/>
            </w:pPr>
            <w:r w:rsidRPr="00CD218D">
              <w:t>Jurisdictional top up tax formula</w:t>
            </w:r>
          </w:p>
        </w:tc>
        <w:tc>
          <w:tcPr>
            <w:tcW w:w="1746" w:type="dxa"/>
            <w:tcBorders>
              <w:top w:val="nil"/>
              <w:left w:val="nil"/>
              <w:bottom w:val="single" w:sz="4" w:space="0" w:color="auto"/>
              <w:right w:val="single" w:sz="4" w:space="0" w:color="auto"/>
            </w:tcBorders>
            <w:shd w:val="clear" w:color="auto" w:fill="auto"/>
            <w:noWrap/>
            <w:vAlign w:val="bottom"/>
            <w:hideMark/>
          </w:tcPr>
          <w:p w14:paraId="06A02B8A" w14:textId="77777777" w:rsidR="00283604" w:rsidRPr="00CD218D" w:rsidRDefault="00283604">
            <w:pPr>
              <w:pStyle w:val="Tabletext"/>
            </w:pPr>
            <w:r w:rsidRPr="00CD218D">
              <w:t>5.2.3</w:t>
            </w:r>
          </w:p>
        </w:tc>
      </w:tr>
      <w:tr w:rsidR="00283604" w:rsidRPr="00CD218D" w14:paraId="58669E0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28759B6" w14:textId="77777777" w:rsidR="00283604" w:rsidRPr="00CD218D" w:rsidRDefault="00283604">
            <w:pPr>
              <w:pStyle w:val="Tabletext"/>
            </w:pPr>
            <w:r w:rsidRPr="00CD218D">
              <w:t>5-40</w:t>
            </w:r>
          </w:p>
        </w:tc>
        <w:tc>
          <w:tcPr>
            <w:tcW w:w="3743" w:type="dxa"/>
            <w:tcBorders>
              <w:top w:val="nil"/>
              <w:left w:val="nil"/>
              <w:bottom w:val="single" w:sz="4" w:space="0" w:color="auto"/>
              <w:right w:val="single" w:sz="4" w:space="0" w:color="auto"/>
            </w:tcBorders>
            <w:shd w:val="clear" w:color="auto" w:fill="auto"/>
            <w:vAlign w:val="bottom"/>
            <w:hideMark/>
          </w:tcPr>
          <w:p w14:paraId="4D899F97" w14:textId="77777777" w:rsidR="00283604" w:rsidRPr="00CD218D" w:rsidRDefault="00283604">
            <w:pPr>
              <w:pStyle w:val="Tabletext"/>
            </w:pPr>
            <w:r w:rsidRPr="00CD218D">
              <w:t>Top up Tax of CE formula</w:t>
            </w:r>
          </w:p>
        </w:tc>
        <w:tc>
          <w:tcPr>
            <w:tcW w:w="1746" w:type="dxa"/>
            <w:tcBorders>
              <w:top w:val="nil"/>
              <w:left w:val="nil"/>
              <w:bottom w:val="single" w:sz="4" w:space="0" w:color="auto"/>
              <w:right w:val="single" w:sz="4" w:space="0" w:color="auto"/>
            </w:tcBorders>
            <w:shd w:val="clear" w:color="auto" w:fill="auto"/>
            <w:noWrap/>
            <w:vAlign w:val="bottom"/>
            <w:hideMark/>
          </w:tcPr>
          <w:p w14:paraId="33BC4317" w14:textId="77777777" w:rsidR="00283604" w:rsidRPr="00CD218D" w:rsidRDefault="00283604">
            <w:pPr>
              <w:pStyle w:val="Tabletext"/>
            </w:pPr>
            <w:r w:rsidRPr="00CD218D">
              <w:t>5.2.4</w:t>
            </w:r>
          </w:p>
        </w:tc>
      </w:tr>
      <w:tr w:rsidR="00283604" w:rsidRPr="00CD218D" w14:paraId="7DAE9C0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73C92FC2" w14:textId="77777777" w:rsidR="00283604" w:rsidRPr="00CD218D" w:rsidRDefault="00283604">
            <w:pPr>
              <w:pStyle w:val="Tabletext"/>
            </w:pPr>
            <w:r w:rsidRPr="00CD218D">
              <w:t>5-40</w:t>
            </w:r>
          </w:p>
        </w:tc>
        <w:tc>
          <w:tcPr>
            <w:tcW w:w="3743" w:type="dxa"/>
            <w:tcBorders>
              <w:top w:val="nil"/>
              <w:left w:val="nil"/>
              <w:bottom w:val="single" w:sz="4" w:space="0" w:color="auto"/>
              <w:right w:val="single" w:sz="4" w:space="0" w:color="auto"/>
            </w:tcBorders>
            <w:shd w:val="clear" w:color="auto" w:fill="auto"/>
            <w:vAlign w:val="bottom"/>
          </w:tcPr>
          <w:p w14:paraId="083A0EAE" w14:textId="77777777" w:rsidR="00283604" w:rsidRPr="00CD218D" w:rsidRDefault="00283604">
            <w:pPr>
              <w:pStyle w:val="Tabletext"/>
            </w:pPr>
            <w:r w:rsidRPr="00CD218D">
              <w:t>Recalculation of top up tax - additional current top up tax</w:t>
            </w:r>
          </w:p>
        </w:tc>
        <w:tc>
          <w:tcPr>
            <w:tcW w:w="1746" w:type="dxa"/>
            <w:tcBorders>
              <w:top w:val="nil"/>
              <w:left w:val="nil"/>
              <w:bottom w:val="single" w:sz="4" w:space="0" w:color="auto"/>
              <w:right w:val="single" w:sz="4" w:space="0" w:color="auto"/>
            </w:tcBorders>
            <w:shd w:val="clear" w:color="auto" w:fill="auto"/>
            <w:noWrap/>
            <w:vAlign w:val="bottom"/>
          </w:tcPr>
          <w:p w14:paraId="3651DD96" w14:textId="77777777" w:rsidR="00283604" w:rsidRPr="00CD218D" w:rsidRDefault="00283604">
            <w:pPr>
              <w:pStyle w:val="Tabletext"/>
            </w:pPr>
            <w:r w:rsidRPr="00CD218D">
              <w:t>5.2.5</w:t>
            </w:r>
          </w:p>
        </w:tc>
      </w:tr>
      <w:tr w:rsidR="00283604" w:rsidRPr="00CD218D" w14:paraId="47E810B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EA5B9C0" w14:textId="77777777" w:rsidR="00283604" w:rsidRPr="00CD218D" w:rsidRDefault="00283604">
            <w:pPr>
              <w:pStyle w:val="Tabletext"/>
            </w:pPr>
            <w:r w:rsidRPr="00CD218D">
              <w:t>5-45</w:t>
            </w:r>
          </w:p>
        </w:tc>
        <w:tc>
          <w:tcPr>
            <w:tcW w:w="3743" w:type="dxa"/>
            <w:tcBorders>
              <w:top w:val="nil"/>
              <w:left w:val="nil"/>
              <w:bottom w:val="single" w:sz="4" w:space="0" w:color="auto"/>
              <w:right w:val="single" w:sz="4" w:space="0" w:color="auto"/>
            </w:tcBorders>
            <w:shd w:val="clear" w:color="auto" w:fill="auto"/>
            <w:vAlign w:val="bottom"/>
          </w:tcPr>
          <w:p w14:paraId="26D3CD8C" w14:textId="77777777" w:rsidR="00283604" w:rsidRPr="00CD218D" w:rsidRDefault="00283604">
            <w:pPr>
              <w:pStyle w:val="Tabletext"/>
            </w:pPr>
            <w:r w:rsidRPr="00CD218D">
              <w:t xml:space="preserve">Stateless entities </w:t>
            </w:r>
          </w:p>
        </w:tc>
        <w:tc>
          <w:tcPr>
            <w:tcW w:w="1746" w:type="dxa"/>
            <w:tcBorders>
              <w:top w:val="nil"/>
              <w:left w:val="nil"/>
              <w:bottom w:val="single" w:sz="4" w:space="0" w:color="auto"/>
              <w:right w:val="single" w:sz="4" w:space="0" w:color="auto"/>
            </w:tcBorders>
            <w:shd w:val="clear" w:color="auto" w:fill="auto"/>
            <w:noWrap/>
            <w:vAlign w:val="bottom"/>
          </w:tcPr>
          <w:p w14:paraId="268142B0" w14:textId="77777777" w:rsidR="00283604" w:rsidRPr="00CD218D" w:rsidRDefault="00283604">
            <w:pPr>
              <w:pStyle w:val="Tabletext"/>
            </w:pPr>
            <w:r w:rsidRPr="00CD218D">
              <w:t>5.1.1</w:t>
            </w:r>
          </w:p>
        </w:tc>
      </w:tr>
      <w:tr w:rsidR="00283604" w:rsidRPr="00CD218D" w14:paraId="2811EC7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CD5E77E" w14:textId="77777777" w:rsidR="00283604" w:rsidRPr="00CD218D" w:rsidRDefault="00283604">
            <w:pPr>
              <w:pStyle w:val="Tabletext"/>
              <w:rPr>
                <w:b/>
                <w:bCs/>
              </w:rPr>
            </w:pPr>
            <w:r w:rsidRPr="00CD218D">
              <w:rPr>
                <w:b/>
                <w:bCs/>
              </w:rPr>
              <w:t>Part 5-3</w:t>
            </w:r>
          </w:p>
        </w:tc>
        <w:tc>
          <w:tcPr>
            <w:tcW w:w="3743" w:type="dxa"/>
            <w:tcBorders>
              <w:top w:val="nil"/>
              <w:left w:val="nil"/>
              <w:bottom w:val="single" w:sz="4" w:space="0" w:color="auto"/>
              <w:right w:val="single" w:sz="4" w:space="0" w:color="auto"/>
            </w:tcBorders>
            <w:shd w:val="clear" w:color="auto" w:fill="auto"/>
            <w:vAlign w:val="bottom"/>
            <w:hideMark/>
          </w:tcPr>
          <w:p w14:paraId="251E8A4B" w14:textId="77777777" w:rsidR="00283604" w:rsidRPr="00CD218D" w:rsidRDefault="00283604">
            <w:pPr>
              <w:pStyle w:val="Tabletext"/>
              <w:rPr>
                <w:b/>
                <w:bCs/>
              </w:rPr>
            </w:pPr>
            <w:r w:rsidRPr="00CD218D">
              <w:rPr>
                <w:b/>
                <w:bCs/>
              </w:rPr>
              <w:t>Substance-based Income Exclusion</w:t>
            </w:r>
          </w:p>
        </w:tc>
        <w:tc>
          <w:tcPr>
            <w:tcW w:w="1746" w:type="dxa"/>
            <w:tcBorders>
              <w:top w:val="nil"/>
              <w:left w:val="nil"/>
              <w:bottom w:val="single" w:sz="4" w:space="0" w:color="auto"/>
              <w:right w:val="single" w:sz="4" w:space="0" w:color="auto"/>
            </w:tcBorders>
            <w:shd w:val="clear" w:color="auto" w:fill="auto"/>
            <w:noWrap/>
            <w:vAlign w:val="bottom"/>
            <w:hideMark/>
          </w:tcPr>
          <w:p w14:paraId="1FAC1798" w14:textId="77777777" w:rsidR="00283604" w:rsidRPr="00CD218D" w:rsidRDefault="00283604">
            <w:pPr>
              <w:pStyle w:val="Tabletext"/>
              <w:rPr>
                <w:b/>
                <w:bCs/>
              </w:rPr>
            </w:pPr>
            <w:r w:rsidRPr="00CD218D">
              <w:rPr>
                <w:b/>
                <w:bCs/>
              </w:rPr>
              <w:t>5.3</w:t>
            </w:r>
          </w:p>
        </w:tc>
      </w:tr>
      <w:tr w:rsidR="00283604" w:rsidRPr="00CD218D" w14:paraId="221E233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2A9B805" w14:textId="77777777" w:rsidR="00283604" w:rsidRPr="00CD218D" w:rsidRDefault="00283604">
            <w:pPr>
              <w:pStyle w:val="Tabletext"/>
            </w:pPr>
            <w:r w:rsidRPr="00CD218D">
              <w:t>5-25, 5-50(2)-(6), 5-55(4) and 5-65(5)</w:t>
            </w:r>
          </w:p>
        </w:tc>
        <w:tc>
          <w:tcPr>
            <w:tcW w:w="3743" w:type="dxa"/>
            <w:tcBorders>
              <w:top w:val="nil"/>
              <w:left w:val="nil"/>
              <w:bottom w:val="single" w:sz="4" w:space="0" w:color="auto"/>
              <w:right w:val="single" w:sz="4" w:space="0" w:color="auto"/>
            </w:tcBorders>
            <w:shd w:val="clear" w:color="auto" w:fill="auto"/>
            <w:vAlign w:val="bottom"/>
            <w:hideMark/>
          </w:tcPr>
          <w:p w14:paraId="54057E64" w14:textId="77777777" w:rsidR="00283604" w:rsidRPr="00CD218D" w:rsidRDefault="00283604">
            <w:pPr>
              <w:pStyle w:val="Tabletext"/>
            </w:pPr>
            <w:r w:rsidRPr="00CD218D">
              <w:t>Operation of SBIE and election to opt out</w:t>
            </w:r>
          </w:p>
        </w:tc>
        <w:tc>
          <w:tcPr>
            <w:tcW w:w="1746" w:type="dxa"/>
            <w:tcBorders>
              <w:top w:val="nil"/>
              <w:left w:val="nil"/>
              <w:bottom w:val="single" w:sz="4" w:space="0" w:color="auto"/>
              <w:right w:val="single" w:sz="4" w:space="0" w:color="auto"/>
            </w:tcBorders>
            <w:shd w:val="clear" w:color="auto" w:fill="auto"/>
            <w:noWrap/>
            <w:vAlign w:val="bottom"/>
            <w:hideMark/>
          </w:tcPr>
          <w:p w14:paraId="71CEB5B7" w14:textId="77777777" w:rsidR="00283604" w:rsidRPr="00CD218D" w:rsidRDefault="00283604">
            <w:pPr>
              <w:pStyle w:val="Tabletext"/>
            </w:pPr>
            <w:r w:rsidRPr="00CD218D">
              <w:t>5.3.1</w:t>
            </w:r>
          </w:p>
        </w:tc>
      </w:tr>
      <w:tr w:rsidR="00283604" w:rsidRPr="00CD218D" w14:paraId="78154BD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938F66C" w14:textId="77777777" w:rsidR="00283604" w:rsidRPr="00CD218D" w:rsidRDefault="00283604">
            <w:pPr>
              <w:pStyle w:val="Tabletext"/>
            </w:pPr>
            <w:r w:rsidRPr="00CD218D">
              <w:t>5-50(1)</w:t>
            </w:r>
          </w:p>
        </w:tc>
        <w:tc>
          <w:tcPr>
            <w:tcW w:w="3743" w:type="dxa"/>
            <w:tcBorders>
              <w:top w:val="nil"/>
              <w:left w:val="nil"/>
              <w:bottom w:val="single" w:sz="4" w:space="0" w:color="auto"/>
              <w:right w:val="single" w:sz="4" w:space="0" w:color="auto"/>
            </w:tcBorders>
            <w:shd w:val="clear" w:color="auto" w:fill="auto"/>
            <w:vAlign w:val="bottom"/>
            <w:hideMark/>
          </w:tcPr>
          <w:p w14:paraId="19529575" w14:textId="77777777" w:rsidR="00283604" w:rsidRPr="00CD218D" w:rsidRDefault="00283604">
            <w:pPr>
              <w:pStyle w:val="Tabletext"/>
            </w:pPr>
            <w:r w:rsidRPr="00CD218D">
              <w:t>SBIE formula</w:t>
            </w:r>
          </w:p>
        </w:tc>
        <w:tc>
          <w:tcPr>
            <w:tcW w:w="1746" w:type="dxa"/>
            <w:tcBorders>
              <w:top w:val="nil"/>
              <w:left w:val="nil"/>
              <w:bottom w:val="single" w:sz="4" w:space="0" w:color="auto"/>
              <w:right w:val="single" w:sz="4" w:space="0" w:color="auto"/>
            </w:tcBorders>
            <w:shd w:val="clear" w:color="auto" w:fill="auto"/>
            <w:noWrap/>
            <w:vAlign w:val="bottom"/>
            <w:hideMark/>
          </w:tcPr>
          <w:p w14:paraId="103C65AD" w14:textId="77777777" w:rsidR="00283604" w:rsidRPr="00CD218D" w:rsidRDefault="00283604">
            <w:pPr>
              <w:pStyle w:val="Tabletext"/>
            </w:pPr>
            <w:r w:rsidRPr="00CD218D">
              <w:t>5.3.2</w:t>
            </w:r>
          </w:p>
        </w:tc>
      </w:tr>
      <w:tr w:rsidR="00283604" w:rsidRPr="00CD218D" w14:paraId="63BD186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0BD843" w14:textId="77777777" w:rsidR="00283604" w:rsidRPr="00CD218D" w:rsidRDefault="00283604">
            <w:pPr>
              <w:pStyle w:val="Tabletext"/>
            </w:pPr>
            <w:r w:rsidRPr="00CD218D">
              <w:t>5-55 and 5-60</w:t>
            </w:r>
          </w:p>
        </w:tc>
        <w:tc>
          <w:tcPr>
            <w:tcW w:w="3743" w:type="dxa"/>
            <w:tcBorders>
              <w:top w:val="nil"/>
              <w:left w:val="nil"/>
              <w:bottom w:val="single" w:sz="4" w:space="0" w:color="auto"/>
              <w:right w:val="single" w:sz="4" w:space="0" w:color="auto"/>
            </w:tcBorders>
            <w:shd w:val="clear" w:color="auto" w:fill="auto"/>
            <w:vAlign w:val="bottom"/>
            <w:hideMark/>
          </w:tcPr>
          <w:p w14:paraId="35747C19" w14:textId="7EE2C835" w:rsidR="00283604" w:rsidRPr="00CD218D" w:rsidRDefault="00283604">
            <w:pPr>
              <w:pStyle w:val="Tabletext"/>
            </w:pPr>
            <w:r w:rsidRPr="00CD218D">
              <w:t xml:space="preserve">Payroll </w:t>
            </w:r>
            <w:r w:rsidR="00220D10">
              <w:t>carve-out</w:t>
            </w:r>
          </w:p>
        </w:tc>
        <w:tc>
          <w:tcPr>
            <w:tcW w:w="1746" w:type="dxa"/>
            <w:tcBorders>
              <w:top w:val="nil"/>
              <w:left w:val="nil"/>
              <w:bottom w:val="single" w:sz="4" w:space="0" w:color="auto"/>
              <w:right w:val="single" w:sz="4" w:space="0" w:color="auto"/>
            </w:tcBorders>
            <w:shd w:val="clear" w:color="auto" w:fill="auto"/>
            <w:noWrap/>
            <w:vAlign w:val="bottom"/>
            <w:hideMark/>
          </w:tcPr>
          <w:p w14:paraId="50C9AB4A" w14:textId="77777777" w:rsidR="00283604" w:rsidRPr="00CD218D" w:rsidRDefault="00283604">
            <w:pPr>
              <w:pStyle w:val="Tabletext"/>
            </w:pPr>
            <w:r w:rsidRPr="00CD218D">
              <w:t>5.3.3</w:t>
            </w:r>
          </w:p>
        </w:tc>
      </w:tr>
      <w:tr w:rsidR="00283604" w:rsidRPr="00CD218D" w14:paraId="4B832A8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85E6EE0" w14:textId="77777777" w:rsidR="00283604" w:rsidRPr="00CD218D" w:rsidRDefault="00283604">
            <w:pPr>
              <w:pStyle w:val="Tabletext"/>
            </w:pPr>
            <w:r w:rsidRPr="00CD218D">
              <w:t>5-65, 5-70 and 5-75</w:t>
            </w:r>
          </w:p>
        </w:tc>
        <w:tc>
          <w:tcPr>
            <w:tcW w:w="3743" w:type="dxa"/>
            <w:tcBorders>
              <w:top w:val="nil"/>
              <w:left w:val="nil"/>
              <w:bottom w:val="single" w:sz="4" w:space="0" w:color="auto"/>
              <w:right w:val="single" w:sz="4" w:space="0" w:color="auto"/>
            </w:tcBorders>
            <w:shd w:val="clear" w:color="auto" w:fill="auto"/>
            <w:vAlign w:val="bottom"/>
            <w:hideMark/>
          </w:tcPr>
          <w:p w14:paraId="09D07573" w14:textId="54AF8C9F" w:rsidR="00283604" w:rsidRPr="00CD218D" w:rsidRDefault="00283604">
            <w:pPr>
              <w:pStyle w:val="Tabletext"/>
            </w:pPr>
            <w:r w:rsidRPr="00CD218D">
              <w:t xml:space="preserve">Tangible asset </w:t>
            </w:r>
            <w:r w:rsidR="00220D10">
              <w:t>carve-out</w:t>
            </w:r>
          </w:p>
        </w:tc>
        <w:tc>
          <w:tcPr>
            <w:tcW w:w="1746" w:type="dxa"/>
            <w:tcBorders>
              <w:top w:val="nil"/>
              <w:left w:val="nil"/>
              <w:bottom w:val="single" w:sz="4" w:space="0" w:color="auto"/>
              <w:right w:val="single" w:sz="4" w:space="0" w:color="auto"/>
            </w:tcBorders>
            <w:shd w:val="clear" w:color="auto" w:fill="auto"/>
            <w:noWrap/>
            <w:vAlign w:val="bottom"/>
            <w:hideMark/>
          </w:tcPr>
          <w:p w14:paraId="1D3669BD" w14:textId="77777777" w:rsidR="00283604" w:rsidRPr="00CD218D" w:rsidRDefault="00283604">
            <w:pPr>
              <w:pStyle w:val="Tabletext"/>
            </w:pPr>
            <w:r w:rsidRPr="00CD218D">
              <w:t>5.3.4</w:t>
            </w:r>
          </w:p>
        </w:tc>
      </w:tr>
      <w:tr w:rsidR="00283604" w:rsidRPr="00CD218D" w14:paraId="159EF75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203B06D" w14:textId="77777777" w:rsidR="00283604" w:rsidRPr="00CD218D" w:rsidRDefault="00283604">
            <w:pPr>
              <w:pStyle w:val="Tabletext"/>
            </w:pPr>
            <w:r w:rsidRPr="00CD218D">
              <w:t>5-65(2) and (3)(c) and (e)</w:t>
            </w:r>
          </w:p>
        </w:tc>
        <w:tc>
          <w:tcPr>
            <w:tcW w:w="3743" w:type="dxa"/>
            <w:tcBorders>
              <w:top w:val="nil"/>
              <w:left w:val="nil"/>
              <w:bottom w:val="single" w:sz="4" w:space="0" w:color="auto"/>
              <w:right w:val="single" w:sz="4" w:space="0" w:color="auto"/>
            </w:tcBorders>
            <w:shd w:val="clear" w:color="auto" w:fill="auto"/>
            <w:vAlign w:val="bottom"/>
            <w:hideMark/>
          </w:tcPr>
          <w:p w14:paraId="6293F33A" w14:textId="77777777" w:rsidR="00283604" w:rsidRPr="00CD218D" w:rsidRDefault="00283604">
            <w:pPr>
              <w:pStyle w:val="Tabletext"/>
            </w:pPr>
            <w:r w:rsidRPr="00CD218D">
              <w:t xml:space="preserve">Computation of carrying value of Eligible Tangible Assets </w:t>
            </w:r>
          </w:p>
        </w:tc>
        <w:tc>
          <w:tcPr>
            <w:tcW w:w="1746" w:type="dxa"/>
            <w:tcBorders>
              <w:top w:val="nil"/>
              <w:left w:val="nil"/>
              <w:bottom w:val="single" w:sz="4" w:space="0" w:color="auto"/>
              <w:right w:val="single" w:sz="4" w:space="0" w:color="auto"/>
            </w:tcBorders>
            <w:shd w:val="clear" w:color="auto" w:fill="auto"/>
            <w:noWrap/>
            <w:vAlign w:val="bottom"/>
            <w:hideMark/>
          </w:tcPr>
          <w:p w14:paraId="60E6E9AA" w14:textId="77777777" w:rsidR="00283604" w:rsidRPr="00CD218D" w:rsidRDefault="00283604">
            <w:pPr>
              <w:pStyle w:val="Tabletext"/>
            </w:pPr>
            <w:r w:rsidRPr="00CD218D">
              <w:t>5.3.5</w:t>
            </w:r>
          </w:p>
        </w:tc>
      </w:tr>
      <w:tr w:rsidR="00283604" w:rsidRPr="00CD218D" w14:paraId="0414855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E82F975" w14:textId="77777777" w:rsidR="00283604" w:rsidRPr="00CD218D" w:rsidRDefault="00283604">
            <w:pPr>
              <w:pStyle w:val="Tabletext"/>
            </w:pPr>
            <w:r w:rsidRPr="00CD218D">
              <w:t>5-80 and 5-85(2)</w:t>
            </w:r>
          </w:p>
        </w:tc>
        <w:tc>
          <w:tcPr>
            <w:tcW w:w="3743" w:type="dxa"/>
            <w:tcBorders>
              <w:top w:val="nil"/>
              <w:left w:val="nil"/>
              <w:bottom w:val="single" w:sz="4" w:space="0" w:color="auto"/>
              <w:right w:val="single" w:sz="4" w:space="0" w:color="auto"/>
            </w:tcBorders>
            <w:shd w:val="clear" w:color="auto" w:fill="auto"/>
            <w:vAlign w:val="bottom"/>
            <w:hideMark/>
          </w:tcPr>
          <w:p w14:paraId="51A8A9DC" w14:textId="3C8075C6" w:rsidR="00283604" w:rsidRPr="00CD218D" w:rsidRDefault="00283604">
            <w:pPr>
              <w:pStyle w:val="Tabletext"/>
            </w:pPr>
            <w:r w:rsidRPr="00CD218D">
              <w:t xml:space="preserve">SBIE of </w:t>
            </w:r>
            <w:r w:rsidR="007F271F" w:rsidRPr="00CD218D">
              <w:t xml:space="preserve">Permanent Establishment </w:t>
            </w:r>
          </w:p>
        </w:tc>
        <w:tc>
          <w:tcPr>
            <w:tcW w:w="1746" w:type="dxa"/>
            <w:tcBorders>
              <w:top w:val="nil"/>
              <w:left w:val="nil"/>
              <w:bottom w:val="single" w:sz="4" w:space="0" w:color="auto"/>
              <w:right w:val="single" w:sz="4" w:space="0" w:color="auto"/>
            </w:tcBorders>
            <w:shd w:val="clear" w:color="auto" w:fill="auto"/>
            <w:noWrap/>
            <w:vAlign w:val="bottom"/>
            <w:hideMark/>
          </w:tcPr>
          <w:p w14:paraId="4E894B24" w14:textId="77777777" w:rsidR="00283604" w:rsidRPr="00CD218D" w:rsidRDefault="00283604">
            <w:pPr>
              <w:pStyle w:val="Tabletext"/>
            </w:pPr>
            <w:r w:rsidRPr="00CD218D">
              <w:t>5.3.6</w:t>
            </w:r>
          </w:p>
        </w:tc>
      </w:tr>
      <w:tr w:rsidR="00283604" w:rsidRPr="00CD218D" w14:paraId="7ECBF21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24C053E" w14:textId="77777777" w:rsidR="00283604" w:rsidRPr="00CD218D" w:rsidRDefault="00283604">
            <w:pPr>
              <w:pStyle w:val="Tabletext"/>
            </w:pPr>
            <w:r w:rsidRPr="00CD218D">
              <w:t>5-85(3)-(5)</w:t>
            </w:r>
          </w:p>
        </w:tc>
        <w:tc>
          <w:tcPr>
            <w:tcW w:w="3743" w:type="dxa"/>
            <w:tcBorders>
              <w:top w:val="nil"/>
              <w:left w:val="nil"/>
              <w:bottom w:val="single" w:sz="4" w:space="0" w:color="auto"/>
              <w:right w:val="single" w:sz="4" w:space="0" w:color="auto"/>
            </w:tcBorders>
            <w:shd w:val="clear" w:color="auto" w:fill="auto"/>
            <w:vAlign w:val="bottom"/>
            <w:hideMark/>
          </w:tcPr>
          <w:p w14:paraId="5971DC8F" w14:textId="1AA11697" w:rsidR="00283604" w:rsidRPr="00CD218D" w:rsidRDefault="00283604">
            <w:pPr>
              <w:pStyle w:val="Tabletext"/>
            </w:pPr>
            <w:r w:rsidRPr="00CD218D">
              <w:t xml:space="preserve">SBIE of Flow through </w:t>
            </w:r>
            <w:r w:rsidR="007F271F" w:rsidRPr="00CD218D">
              <w:t>Entity</w:t>
            </w:r>
          </w:p>
        </w:tc>
        <w:tc>
          <w:tcPr>
            <w:tcW w:w="1746" w:type="dxa"/>
            <w:tcBorders>
              <w:top w:val="nil"/>
              <w:left w:val="nil"/>
              <w:bottom w:val="single" w:sz="4" w:space="0" w:color="auto"/>
              <w:right w:val="single" w:sz="4" w:space="0" w:color="auto"/>
            </w:tcBorders>
            <w:shd w:val="clear" w:color="auto" w:fill="auto"/>
            <w:noWrap/>
            <w:vAlign w:val="bottom"/>
            <w:hideMark/>
          </w:tcPr>
          <w:p w14:paraId="00274D45" w14:textId="77777777" w:rsidR="00283604" w:rsidRPr="00CD218D" w:rsidRDefault="00283604">
            <w:pPr>
              <w:pStyle w:val="Tabletext"/>
            </w:pPr>
            <w:r w:rsidRPr="00CD218D">
              <w:t>5.3.7</w:t>
            </w:r>
          </w:p>
        </w:tc>
      </w:tr>
      <w:tr w:rsidR="00283604" w:rsidRPr="00CD218D" w14:paraId="13E4CFFA" w14:textId="77777777">
        <w:trPr>
          <w:trHeight w:val="300"/>
        </w:trPr>
        <w:tc>
          <w:tcPr>
            <w:tcW w:w="2212" w:type="dxa"/>
            <w:tcBorders>
              <w:top w:val="nil"/>
              <w:left w:val="single" w:sz="4" w:space="0" w:color="auto"/>
              <w:bottom w:val="nil"/>
              <w:right w:val="single" w:sz="4" w:space="0" w:color="auto"/>
            </w:tcBorders>
            <w:shd w:val="clear" w:color="auto" w:fill="auto"/>
            <w:noWrap/>
            <w:vAlign w:val="bottom"/>
            <w:hideMark/>
          </w:tcPr>
          <w:p w14:paraId="7112FB4D" w14:textId="77777777" w:rsidR="00283604" w:rsidRPr="00CD218D" w:rsidRDefault="00283604">
            <w:pPr>
              <w:pStyle w:val="Tabletext"/>
            </w:pPr>
            <w:r w:rsidRPr="00CD218D">
              <w:lastRenderedPageBreak/>
              <w:t>5-55(2), 5-65(3)(f)</w:t>
            </w:r>
          </w:p>
        </w:tc>
        <w:tc>
          <w:tcPr>
            <w:tcW w:w="3743" w:type="dxa"/>
            <w:tcBorders>
              <w:top w:val="nil"/>
              <w:left w:val="nil"/>
              <w:bottom w:val="nil"/>
              <w:right w:val="nil"/>
            </w:tcBorders>
            <w:shd w:val="clear" w:color="auto" w:fill="auto"/>
            <w:vAlign w:val="bottom"/>
            <w:hideMark/>
          </w:tcPr>
          <w:p w14:paraId="003FA1F4" w14:textId="77777777" w:rsidR="00283604" w:rsidRPr="00CD218D" w:rsidRDefault="00283604">
            <w:pPr>
              <w:pStyle w:val="Tabletext"/>
            </w:pPr>
            <w:r w:rsidRPr="00CD218D">
              <w:t>SBIE - Interjurisdictional Assets and Employees</w:t>
            </w:r>
          </w:p>
        </w:tc>
        <w:tc>
          <w:tcPr>
            <w:tcW w:w="1746" w:type="dxa"/>
            <w:tcBorders>
              <w:top w:val="nil"/>
              <w:left w:val="single" w:sz="4" w:space="0" w:color="auto"/>
              <w:bottom w:val="nil"/>
              <w:right w:val="single" w:sz="4" w:space="0" w:color="auto"/>
            </w:tcBorders>
            <w:shd w:val="clear" w:color="auto" w:fill="auto"/>
            <w:noWrap/>
            <w:vAlign w:val="bottom"/>
            <w:hideMark/>
          </w:tcPr>
          <w:p w14:paraId="2434AD30" w14:textId="77777777" w:rsidR="00283604" w:rsidRPr="00CD218D" w:rsidRDefault="00283604">
            <w:pPr>
              <w:pStyle w:val="Tabletext"/>
            </w:pPr>
            <w:r w:rsidRPr="00CD218D">
              <w:t xml:space="preserve">Paras 28 to 31 Chapter 3 of the July 2023 AG </w:t>
            </w:r>
          </w:p>
        </w:tc>
      </w:tr>
      <w:tr w:rsidR="00283604" w:rsidRPr="00CD218D" w14:paraId="3F636799" w14:textId="77777777">
        <w:trPr>
          <w:trHeight w:val="300"/>
        </w:trPr>
        <w:tc>
          <w:tcPr>
            <w:tcW w:w="2212" w:type="dxa"/>
            <w:tcBorders>
              <w:top w:val="single" w:sz="4" w:space="0" w:color="auto"/>
              <w:left w:val="single" w:sz="4" w:space="0" w:color="auto"/>
              <w:bottom w:val="single" w:sz="4" w:space="0" w:color="auto"/>
              <w:right w:val="single" w:sz="4" w:space="0" w:color="auto"/>
            </w:tcBorders>
            <w:shd w:val="clear" w:color="auto" w:fill="auto"/>
            <w:noWrap/>
          </w:tcPr>
          <w:p w14:paraId="4C0B5AE6" w14:textId="77777777" w:rsidR="00283604" w:rsidRPr="00CD218D" w:rsidRDefault="00283604">
            <w:pPr>
              <w:pStyle w:val="Tabletext"/>
              <w:rPr>
                <w:b/>
                <w:bCs/>
              </w:rPr>
            </w:pPr>
            <w:r w:rsidRPr="00CD218D">
              <w:t>5-55(3)-(4) and 5-65(4)-(5).</w:t>
            </w:r>
          </w:p>
        </w:tc>
        <w:tc>
          <w:tcPr>
            <w:tcW w:w="3743" w:type="dxa"/>
            <w:tcBorders>
              <w:top w:val="single" w:sz="4" w:space="0" w:color="auto"/>
              <w:left w:val="nil"/>
              <w:bottom w:val="single" w:sz="4" w:space="0" w:color="auto"/>
              <w:right w:val="single" w:sz="4" w:space="0" w:color="auto"/>
            </w:tcBorders>
            <w:shd w:val="clear" w:color="auto" w:fill="auto"/>
          </w:tcPr>
          <w:p w14:paraId="6AAB026B" w14:textId="77777777" w:rsidR="00283604" w:rsidRPr="00CD218D" w:rsidRDefault="00283604">
            <w:pPr>
              <w:pStyle w:val="Tabletext"/>
              <w:rPr>
                <w:b/>
                <w:bCs/>
              </w:rPr>
            </w:pPr>
            <w:r w:rsidRPr="00CD218D">
              <w:t xml:space="preserve">SBIE – Simplification </w:t>
            </w:r>
          </w:p>
        </w:tc>
        <w:tc>
          <w:tcPr>
            <w:tcW w:w="1746" w:type="dxa"/>
            <w:tcBorders>
              <w:top w:val="single" w:sz="4" w:space="0" w:color="auto"/>
              <w:left w:val="nil"/>
              <w:bottom w:val="single" w:sz="4" w:space="0" w:color="auto"/>
              <w:right w:val="single" w:sz="4" w:space="0" w:color="auto"/>
            </w:tcBorders>
            <w:shd w:val="clear" w:color="auto" w:fill="auto"/>
            <w:noWrap/>
          </w:tcPr>
          <w:p w14:paraId="3D88AD0C" w14:textId="77777777" w:rsidR="00283604" w:rsidRPr="00CD218D" w:rsidRDefault="00283604">
            <w:pPr>
              <w:pStyle w:val="Tabletext"/>
              <w:rPr>
                <w:b/>
                <w:bCs/>
              </w:rPr>
            </w:pPr>
            <w:r w:rsidRPr="00CD218D">
              <w:t>Para 36 Chapter 3 of the July 2023 AG</w:t>
            </w:r>
          </w:p>
        </w:tc>
      </w:tr>
      <w:tr w:rsidR="00283604" w:rsidRPr="00CD218D" w14:paraId="08B3AB1B" w14:textId="77777777">
        <w:trPr>
          <w:trHeight w:val="300"/>
        </w:trPr>
        <w:tc>
          <w:tcPr>
            <w:tcW w:w="2212" w:type="dxa"/>
            <w:tcBorders>
              <w:top w:val="single" w:sz="4" w:space="0" w:color="auto"/>
              <w:left w:val="single" w:sz="4" w:space="0" w:color="auto"/>
              <w:bottom w:val="single" w:sz="4" w:space="0" w:color="auto"/>
              <w:right w:val="single" w:sz="4" w:space="0" w:color="auto"/>
            </w:tcBorders>
            <w:shd w:val="clear" w:color="auto" w:fill="auto"/>
            <w:noWrap/>
          </w:tcPr>
          <w:p w14:paraId="638A21EF" w14:textId="77777777" w:rsidR="00283604" w:rsidRPr="00CD218D" w:rsidRDefault="00283604">
            <w:pPr>
              <w:pStyle w:val="Tabletext"/>
              <w:rPr>
                <w:b/>
                <w:bCs/>
              </w:rPr>
            </w:pPr>
            <w:r w:rsidRPr="00CD218D">
              <w:t>5-60</w:t>
            </w:r>
          </w:p>
        </w:tc>
        <w:tc>
          <w:tcPr>
            <w:tcW w:w="3743" w:type="dxa"/>
            <w:tcBorders>
              <w:top w:val="single" w:sz="4" w:space="0" w:color="auto"/>
              <w:left w:val="nil"/>
              <w:bottom w:val="single" w:sz="4" w:space="0" w:color="auto"/>
              <w:right w:val="single" w:sz="4" w:space="0" w:color="auto"/>
            </w:tcBorders>
            <w:shd w:val="clear" w:color="auto" w:fill="auto"/>
          </w:tcPr>
          <w:p w14:paraId="4544C75C" w14:textId="77777777" w:rsidR="00283604" w:rsidRPr="00CD218D" w:rsidRDefault="00283604">
            <w:pPr>
              <w:pStyle w:val="Tabletext"/>
              <w:rPr>
                <w:b/>
                <w:bCs/>
              </w:rPr>
            </w:pPr>
            <w:r w:rsidRPr="00CD218D">
              <w:t xml:space="preserve">SBIE – Stock-based compensation </w:t>
            </w:r>
          </w:p>
        </w:tc>
        <w:tc>
          <w:tcPr>
            <w:tcW w:w="1746" w:type="dxa"/>
            <w:tcBorders>
              <w:top w:val="single" w:sz="4" w:space="0" w:color="auto"/>
              <w:left w:val="nil"/>
              <w:bottom w:val="single" w:sz="4" w:space="0" w:color="auto"/>
              <w:right w:val="single" w:sz="4" w:space="0" w:color="auto"/>
            </w:tcBorders>
            <w:shd w:val="clear" w:color="auto" w:fill="auto"/>
            <w:noWrap/>
          </w:tcPr>
          <w:p w14:paraId="7AA0DFB9" w14:textId="77777777" w:rsidR="00283604" w:rsidRPr="00CD218D" w:rsidRDefault="00283604">
            <w:pPr>
              <w:pStyle w:val="Tabletext"/>
              <w:rPr>
                <w:b/>
                <w:bCs/>
              </w:rPr>
            </w:pPr>
            <w:r w:rsidRPr="00CD218D">
              <w:t xml:space="preserve">Para 45 Chapter 3 of the July 2023 AG </w:t>
            </w:r>
          </w:p>
        </w:tc>
      </w:tr>
      <w:tr w:rsidR="00283604" w:rsidRPr="00CD218D" w14:paraId="2A62C900" w14:textId="77777777">
        <w:trPr>
          <w:trHeight w:val="300"/>
        </w:trPr>
        <w:tc>
          <w:tcPr>
            <w:tcW w:w="2212" w:type="dxa"/>
            <w:tcBorders>
              <w:top w:val="single" w:sz="4" w:space="0" w:color="auto"/>
              <w:left w:val="single" w:sz="4" w:space="0" w:color="auto"/>
              <w:bottom w:val="single" w:sz="4" w:space="0" w:color="auto"/>
              <w:right w:val="single" w:sz="4" w:space="0" w:color="auto"/>
            </w:tcBorders>
            <w:shd w:val="clear" w:color="auto" w:fill="auto"/>
            <w:noWrap/>
          </w:tcPr>
          <w:p w14:paraId="6FB7D7B0" w14:textId="77777777" w:rsidR="00283604" w:rsidRPr="00CD218D" w:rsidRDefault="00283604">
            <w:pPr>
              <w:pStyle w:val="Tabletext"/>
              <w:rPr>
                <w:b/>
                <w:bCs/>
              </w:rPr>
            </w:pPr>
            <w:r w:rsidRPr="00CD218D">
              <w:t>5-70</w:t>
            </w:r>
          </w:p>
        </w:tc>
        <w:tc>
          <w:tcPr>
            <w:tcW w:w="3743" w:type="dxa"/>
            <w:tcBorders>
              <w:top w:val="single" w:sz="4" w:space="0" w:color="auto"/>
              <w:left w:val="nil"/>
              <w:bottom w:val="single" w:sz="4" w:space="0" w:color="auto"/>
              <w:right w:val="single" w:sz="4" w:space="0" w:color="auto"/>
            </w:tcBorders>
            <w:shd w:val="clear" w:color="auto" w:fill="auto"/>
          </w:tcPr>
          <w:p w14:paraId="7ADA7392" w14:textId="77777777" w:rsidR="00283604" w:rsidRPr="00CD218D" w:rsidRDefault="00283604">
            <w:pPr>
              <w:pStyle w:val="Tabletext"/>
              <w:rPr>
                <w:b/>
                <w:bCs/>
              </w:rPr>
            </w:pPr>
            <w:r w:rsidRPr="00CD218D">
              <w:t xml:space="preserve">SBIE – Lease </w:t>
            </w:r>
          </w:p>
        </w:tc>
        <w:tc>
          <w:tcPr>
            <w:tcW w:w="1746" w:type="dxa"/>
            <w:tcBorders>
              <w:top w:val="single" w:sz="4" w:space="0" w:color="auto"/>
              <w:left w:val="nil"/>
              <w:bottom w:val="single" w:sz="4" w:space="0" w:color="auto"/>
              <w:right w:val="single" w:sz="4" w:space="0" w:color="auto"/>
            </w:tcBorders>
            <w:shd w:val="clear" w:color="auto" w:fill="auto"/>
            <w:noWrap/>
          </w:tcPr>
          <w:p w14:paraId="299092F7" w14:textId="77777777" w:rsidR="00283604" w:rsidRPr="00CD218D" w:rsidRDefault="00283604">
            <w:pPr>
              <w:pStyle w:val="Tabletext"/>
              <w:rPr>
                <w:b/>
                <w:bCs/>
              </w:rPr>
            </w:pPr>
            <w:r w:rsidRPr="00CD218D">
              <w:t xml:space="preserve">Para 53 Chapter 3 of the July 2023 AG </w:t>
            </w:r>
          </w:p>
        </w:tc>
      </w:tr>
      <w:tr w:rsidR="00283604" w:rsidRPr="00CD218D" w14:paraId="6127DC58" w14:textId="77777777">
        <w:trPr>
          <w:trHeight w:val="300"/>
        </w:trPr>
        <w:tc>
          <w:tcPr>
            <w:tcW w:w="2212" w:type="dxa"/>
            <w:tcBorders>
              <w:top w:val="single" w:sz="4" w:space="0" w:color="auto"/>
              <w:left w:val="single" w:sz="4" w:space="0" w:color="auto"/>
              <w:bottom w:val="single" w:sz="4" w:space="0" w:color="auto"/>
              <w:right w:val="single" w:sz="4" w:space="0" w:color="auto"/>
            </w:tcBorders>
            <w:shd w:val="clear" w:color="auto" w:fill="auto"/>
            <w:noWrap/>
          </w:tcPr>
          <w:p w14:paraId="2AC5D27A" w14:textId="748BF7B3" w:rsidR="00283604" w:rsidRPr="00CD218D" w:rsidRDefault="00283604">
            <w:pPr>
              <w:pStyle w:val="Tabletext"/>
              <w:rPr>
                <w:b/>
                <w:bCs/>
              </w:rPr>
            </w:pPr>
            <w:r w:rsidRPr="00CD218D">
              <w:t>5-65(2)(a)(ii) and 5</w:t>
            </w:r>
            <w:r w:rsidR="00F8139C">
              <w:noBreakHyphen/>
            </w:r>
            <w:r w:rsidRPr="00CD218D">
              <w:t>65(3)(c) and (d)</w:t>
            </w:r>
          </w:p>
        </w:tc>
        <w:tc>
          <w:tcPr>
            <w:tcW w:w="3743" w:type="dxa"/>
            <w:tcBorders>
              <w:top w:val="single" w:sz="4" w:space="0" w:color="auto"/>
              <w:left w:val="nil"/>
              <w:bottom w:val="single" w:sz="4" w:space="0" w:color="auto"/>
              <w:right w:val="single" w:sz="4" w:space="0" w:color="auto"/>
            </w:tcBorders>
            <w:shd w:val="clear" w:color="auto" w:fill="auto"/>
          </w:tcPr>
          <w:p w14:paraId="0228651F" w14:textId="77777777" w:rsidR="00283604" w:rsidRPr="00CD218D" w:rsidRDefault="00283604">
            <w:pPr>
              <w:pStyle w:val="Tabletext"/>
              <w:rPr>
                <w:b/>
                <w:bCs/>
              </w:rPr>
            </w:pPr>
            <w:r w:rsidRPr="00CD218D">
              <w:t xml:space="preserve">SBIE – Impairment Losses </w:t>
            </w:r>
          </w:p>
        </w:tc>
        <w:tc>
          <w:tcPr>
            <w:tcW w:w="1746" w:type="dxa"/>
            <w:tcBorders>
              <w:top w:val="single" w:sz="4" w:space="0" w:color="auto"/>
              <w:left w:val="nil"/>
              <w:bottom w:val="single" w:sz="4" w:space="0" w:color="auto"/>
              <w:right w:val="single" w:sz="4" w:space="0" w:color="auto"/>
            </w:tcBorders>
            <w:shd w:val="clear" w:color="auto" w:fill="auto"/>
            <w:noWrap/>
          </w:tcPr>
          <w:p w14:paraId="62BBFEB9" w14:textId="77777777" w:rsidR="00283604" w:rsidRPr="00CD218D" w:rsidRDefault="00283604">
            <w:pPr>
              <w:pStyle w:val="Tabletext"/>
              <w:rPr>
                <w:b/>
                <w:bCs/>
              </w:rPr>
            </w:pPr>
            <w:r w:rsidRPr="00CD218D">
              <w:t>Para 61 Chapter 3 of the July 2023 AG</w:t>
            </w:r>
          </w:p>
        </w:tc>
      </w:tr>
      <w:tr w:rsidR="00283604" w:rsidRPr="00CD218D" w14:paraId="59D987FB" w14:textId="77777777">
        <w:trPr>
          <w:trHeight w:val="300"/>
        </w:trPr>
        <w:tc>
          <w:tcPr>
            <w:tcW w:w="2212" w:type="dxa"/>
            <w:tcBorders>
              <w:top w:val="single" w:sz="4" w:space="0" w:color="auto"/>
              <w:left w:val="single" w:sz="4" w:space="0" w:color="auto"/>
              <w:bottom w:val="single" w:sz="4" w:space="0" w:color="auto"/>
              <w:right w:val="single" w:sz="4" w:space="0" w:color="auto"/>
            </w:tcBorders>
            <w:shd w:val="clear" w:color="auto" w:fill="auto"/>
            <w:noWrap/>
          </w:tcPr>
          <w:p w14:paraId="513D0458" w14:textId="32C2DDE4" w:rsidR="00283604" w:rsidRPr="00CD218D" w:rsidRDefault="00283604">
            <w:pPr>
              <w:pStyle w:val="Tabletext"/>
              <w:rPr>
                <w:b/>
                <w:bCs/>
              </w:rPr>
            </w:pPr>
            <w:r w:rsidRPr="00CD218D">
              <w:t>5-</w:t>
            </w:r>
            <w:r w:rsidR="00520A5C" w:rsidRPr="00CD218D">
              <w:t>90</w:t>
            </w:r>
          </w:p>
        </w:tc>
        <w:tc>
          <w:tcPr>
            <w:tcW w:w="3743" w:type="dxa"/>
            <w:tcBorders>
              <w:top w:val="single" w:sz="4" w:space="0" w:color="auto"/>
              <w:left w:val="nil"/>
              <w:bottom w:val="single" w:sz="4" w:space="0" w:color="auto"/>
              <w:right w:val="single" w:sz="4" w:space="0" w:color="auto"/>
            </w:tcBorders>
            <w:shd w:val="clear" w:color="auto" w:fill="auto"/>
          </w:tcPr>
          <w:p w14:paraId="2CDC7EC9" w14:textId="77777777" w:rsidR="00283604" w:rsidRPr="00CD218D" w:rsidRDefault="00283604">
            <w:pPr>
              <w:pStyle w:val="Tabletext"/>
              <w:rPr>
                <w:b/>
                <w:bCs/>
              </w:rPr>
            </w:pPr>
            <w:r w:rsidRPr="00CD218D">
              <w:t>SBIE – Reduction due to Article 7.2</w:t>
            </w:r>
          </w:p>
        </w:tc>
        <w:tc>
          <w:tcPr>
            <w:tcW w:w="1746" w:type="dxa"/>
            <w:tcBorders>
              <w:top w:val="single" w:sz="4" w:space="0" w:color="auto"/>
              <w:left w:val="nil"/>
              <w:bottom w:val="single" w:sz="4" w:space="0" w:color="auto"/>
              <w:right w:val="single" w:sz="4" w:space="0" w:color="auto"/>
            </w:tcBorders>
            <w:shd w:val="clear" w:color="auto" w:fill="auto"/>
            <w:noWrap/>
          </w:tcPr>
          <w:p w14:paraId="21F89E31" w14:textId="77777777" w:rsidR="00283604" w:rsidRPr="00CD218D" w:rsidRDefault="00283604">
            <w:pPr>
              <w:pStyle w:val="Tabletext"/>
              <w:rPr>
                <w:b/>
                <w:bCs/>
              </w:rPr>
            </w:pPr>
            <w:r w:rsidRPr="00CD218D">
              <w:t>Paras 69 to 72 Chapter 3 of July 2023 AG</w:t>
            </w:r>
          </w:p>
        </w:tc>
      </w:tr>
      <w:tr w:rsidR="00283604" w:rsidRPr="00CD218D" w14:paraId="442C4378" w14:textId="77777777">
        <w:trPr>
          <w:trHeight w:val="300"/>
        </w:trPr>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27B48" w14:textId="77777777" w:rsidR="00283604" w:rsidRPr="00CD218D" w:rsidRDefault="00283604">
            <w:pPr>
              <w:pStyle w:val="Tabletext"/>
              <w:rPr>
                <w:b/>
                <w:bCs/>
              </w:rPr>
            </w:pPr>
            <w:r w:rsidRPr="00CD218D">
              <w:rPr>
                <w:b/>
                <w:bCs/>
              </w:rPr>
              <w:t>Part 5-4</w:t>
            </w:r>
          </w:p>
        </w:tc>
        <w:tc>
          <w:tcPr>
            <w:tcW w:w="3743" w:type="dxa"/>
            <w:tcBorders>
              <w:top w:val="single" w:sz="4" w:space="0" w:color="auto"/>
              <w:left w:val="nil"/>
              <w:bottom w:val="single" w:sz="4" w:space="0" w:color="auto"/>
              <w:right w:val="single" w:sz="4" w:space="0" w:color="auto"/>
            </w:tcBorders>
            <w:shd w:val="clear" w:color="auto" w:fill="auto"/>
            <w:vAlign w:val="bottom"/>
            <w:hideMark/>
          </w:tcPr>
          <w:p w14:paraId="56803D7D" w14:textId="77777777" w:rsidR="00283604" w:rsidRPr="00CD218D" w:rsidRDefault="00283604">
            <w:pPr>
              <w:pStyle w:val="Tabletext"/>
              <w:rPr>
                <w:b/>
                <w:bCs/>
              </w:rPr>
            </w:pPr>
            <w:r w:rsidRPr="00CD218D">
              <w:rPr>
                <w:b/>
                <w:bCs/>
              </w:rPr>
              <w:t>Additional Current Top-up Tax</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14:paraId="10C3D76E" w14:textId="77777777" w:rsidR="00283604" w:rsidRPr="00CD218D" w:rsidRDefault="00283604">
            <w:pPr>
              <w:pStyle w:val="Tabletext"/>
              <w:rPr>
                <w:b/>
                <w:bCs/>
              </w:rPr>
            </w:pPr>
            <w:r w:rsidRPr="00CD218D">
              <w:rPr>
                <w:b/>
                <w:bCs/>
              </w:rPr>
              <w:t>5.4</w:t>
            </w:r>
          </w:p>
        </w:tc>
      </w:tr>
      <w:tr w:rsidR="00283604" w:rsidRPr="00CD218D" w14:paraId="3801E6D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1252862" w14:textId="6631E395" w:rsidR="00283604" w:rsidRPr="00CD218D" w:rsidRDefault="00283604">
            <w:pPr>
              <w:pStyle w:val="Tabletext"/>
            </w:pPr>
            <w:r w:rsidRPr="00CD218D">
              <w:t>5-</w:t>
            </w:r>
            <w:r w:rsidR="00520A5C" w:rsidRPr="00CD218D">
              <w:t>95</w:t>
            </w:r>
            <w:r w:rsidRPr="00CD218D">
              <w:t>(1)-(3)</w:t>
            </w:r>
          </w:p>
        </w:tc>
        <w:tc>
          <w:tcPr>
            <w:tcW w:w="3743" w:type="dxa"/>
            <w:tcBorders>
              <w:top w:val="nil"/>
              <w:left w:val="nil"/>
              <w:bottom w:val="single" w:sz="4" w:space="0" w:color="auto"/>
              <w:right w:val="single" w:sz="4" w:space="0" w:color="auto"/>
            </w:tcBorders>
            <w:shd w:val="clear" w:color="auto" w:fill="auto"/>
            <w:vAlign w:val="bottom"/>
            <w:hideMark/>
          </w:tcPr>
          <w:p w14:paraId="398B36FB" w14:textId="77777777" w:rsidR="00283604" w:rsidRPr="00CD218D" w:rsidRDefault="00283604">
            <w:pPr>
              <w:pStyle w:val="Tabletext"/>
            </w:pPr>
            <w:r w:rsidRPr="00CD218D">
              <w:t xml:space="preserve">Conditions for ETR recalculation  </w:t>
            </w:r>
          </w:p>
        </w:tc>
        <w:tc>
          <w:tcPr>
            <w:tcW w:w="1746" w:type="dxa"/>
            <w:tcBorders>
              <w:top w:val="nil"/>
              <w:left w:val="nil"/>
              <w:bottom w:val="single" w:sz="4" w:space="0" w:color="auto"/>
              <w:right w:val="single" w:sz="4" w:space="0" w:color="auto"/>
            </w:tcBorders>
            <w:shd w:val="clear" w:color="auto" w:fill="auto"/>
            <w:noWrap/>
            <w:vAlign w:val="bottom"/>
            <w:hideMark/>
          </w:tcPr>
          <w:p w14:paraId="2CC90CEF" w14:textId="77777777" w:rsidR="00283604" w:rsidRPr="00CD218D" w:rsidRDefault="00283604">
            <w:pPr>
              <w:pStyle w:val="Tabletext"/>
            </w:pPr>
            <w:r w:rsidRPr="00CD218D">
              <w:t>5.4.1</w:t>
            </w:r>
          </w:p>
        </w:tc>
      </w:tr>
      <w:tr w:rsidR="00283604" w:rsidRPr="00CD218D" w14:paraId="43E499A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C00D065" w14:textId="3D48DE78" w:rsidR="00283604" w:rsidRPr="00CD218D" w:rsidRDefault="00283604">
            <w:pPr>
              <w:pStyle w:val="Tabletext"/>
            </w:pPr>
            <w:r w:rsidRPr="00CD218D">
              <w:t>5-</w:t>
            </w:r>
            <w:r w:rsidR="00520A5C" w:rsidRPr="00CD218D">
              <w:t>95</w:t>
            </w:r>
            <w:r w:rsidRPr="00CD218D">
              <w:t>(4)</w:t>
            </w:r>
          </w:p>
        </w:tc>
        <w:tc>
          <w:tcPr>
            <w:tcW w:w="3743" w:type="dxa"/>
            <w:tcBorders>
              <w:top w:val="nil"/>
              <w:left w:val="nil"/>
              <w:bottom w:val="single" w:sz="4" w:space="0" w:color="auto"/>
              <w:right w:val="single" w:sz="4" w:space="0" w:color="auto"/>
            </w:tcBorders>
            <w:shd w:val="clear" w:color="auto" w:fill="auto"/>
            <w:vAlign w:val="bottom"/>
            <w:hideMark/>
          </w:tcPr>
          <w:p w14:paraId="06477ED3" w14:textId="77777777" w:rsidR="00283604" w:rsidRPr="00CD218D" w:rsidRDefault="00283604">
            <w:pPr>
              <w:pStyle w:val="Tabletext"/>
            </w:pPr>
            <w:r w:rsidRPr="00CD218D">
              <w:t xml:space="preserve">Top up tax under ETR recalculation </w:t>
            </w:r>
          </w:p>
        </w:tc>
        <w:tc>
          <w:tcPr>
            <w:tcW w:w="1746" w:type="dxa"/>
            <w:tcBorders>
              <w:top w:val="nil"/>
              <w:left w:val="nil"/>
              <w:bottom w:val="single" w:sz="4" w:space="0" w:color="auto"/>
              <w:right w:val="single" w:sz="4" w:space="0" w:color="auto"/>
            </w:tcBorders>
            <w:shd w:val="clear" w:color="auto" w:fill="auto"/>
            <w:noWrap/>
            <w:vAlign w:val="bottom"/>
            <w:hideMark/>
          </w:tcPr>
          <w:p w14:paraId="7FD906BE" w14:textId="77777777" w:rsidR="00283604" w:rsidRPr="00CD218D" w:rsidRDefault="00283604">
            <w:pPr>
              <w:pStyle w:val="Tabletext"/>
            </w:pPr>
            <w:r w:rsidRPr="00CD218D">
              <w:t>5.4.2</w:t>
            </w:r>
          </w:p>
        </w:tc>
      </w:tr>
      <w:tr w:rsidR="00283604" w:rsidRPr="00CD218D" w14:paraId="586985A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3E7E54D" w14:textId="3EA17C9D" w:rsidR="00283604" w:rsidRPr="00CD218D" w:rsidRDefault="00283604">
            <w:pPr>
              <w:pStyle w:val="Tabletext"/>
            </w:pPr>
            <w:r w:rsidRPr="00CD218D">
              <w:t>5-</w:t>
            </w:r>
            <w:r w:rsidR="00520A5C" w:rsidRPr="00CD218D">
              <w:t>95</w:t>
            </w:r>
            <w:r w:rsidRPr="00CD218D">
              <w:t>(1)-(3)</w:t>
            </w:r>
          </w:p>
        </w:tc>
        <w:tc>
          <w:tcPr>
            <w:tcW w:w="3743" w:type="dxa"/>
            <w:tcBorders>
              <w:top w:val="nil"/>
              <w:left w:val="nil"/>
              <w:bottom w:val="single" w:sz="4" w:space="0" w:color="auto"/>
              <w:right w:val="single" w:sz="4" w:space="0" w:color="auto"/>
            </w:tcBorders>
            <w:shd w:val="clear" w:color="auto" w:fill="auto"/>
            <w:vAlign w:val="bottom"/>
            <w:hideMark/>
          </w:tcPr>
          <w:p w14:paraId="62548CF1" w14:textId="77777777" w:rsidR="00283604" w:rsidRPr="00CD218D" w:rsidRDefault="00283604">
            <w:pPr>
              <w:pStyle w:val="Tabletext"/>
            </w:pPr>
            <w:r w:rsidRPr="00CD218D">
              <w:t xml:space="preserve">Allocation of additional current top up tax </w:t>
            </w:r>
          </w:p>
        </w:tc>
        <w:tc>
          <w:tcPr>
            <w:tcW w:w="1746" w:type="dxa"/>
            <w:tcBorders>
              <w:top w:val="nil"/>
              <w:left w:val="nil"/>
              <w:bottom w:val="single" w:sz="4" w:space="0" w:color="auto"/>
              <w:right w:val="single" w:sz="4" w:space="0" w:color="auto"/>
            </w:tcBorders>
            <w:shd w:val="clear" w:color="auto" w:fill="auto"/>
            <w:noWrap/>
            <w:vAlign w:val="bottom"/>
            <w:hideMark/>
          </w:tcPr>
          <w:p w14:paraId="60AFEED0" w14:textId="77777777" w:rsidR="00283604" w:rsidRPr="00CD218D" w:rsidRDefault="00283604">
            <w:pPr>
              <w:pStyle w:val="Tabletext"/>
            </w:pPr>
            <w:r w:rsidRPr="00CD218D">
              <w:t>5.4.3</w:t>
            </w:r>
          </w:p>
        </w:tc>
      </w:tr>
      <w:tr w:rsidR="00283604" w:rsidRPr="00CD218D" w14:paraId="138BC05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339BE5F" w14:textId="303B225C" w:rsidR="00283604" w:rsidRPr="00CD218D" w:rsidRDefault="00283604">
            <w:pPr>
              <w:pStyle w:val="Tabletext"/>
            </w:pPr>
            <w:r w:rsidRPr="00CD218D">
              <w:t>5-</w:t>
            </w:r>
            <w:r w:rsidR="00520A5C" w:rsidRPr="00CD218D">
              <w:t>95</w:t>
            </w:r>
            <w:r w:rsidRPr="00CD218D">
              <w:t>(5) and 5-</w:t>
            </w:r>
            <w:r w:rsidR="00D7149F" w:rsidRPr="00CD218D">
              <w:t>100</w:t>
            </w:r>
            <w:r w:rsidRPr="00CD218D">
              <w:t>(4)</w:t>
            </w:r>
          </w:p>
        </w:tc>
        <w:tc>
          <w:tcPr>
            <w:tcW w:w="3743" w:type="dxa"/>
            <w:tcBorders>
              <w:top w:val="nil"/>
              <w:left w:val="nil"/>
              <w:bottom w:val="single" w:sz="4" w:space="0" w:color="auto"/>
              <w:right w:val="single" w:sz="4" w:space="0" w:color="auto"/>
            </w:tcBorders>
            <w:shd w:val="clear" w:color="auto" w:fill="auto"/>
            <w:vAlign w:val="bottom"/>
            <w:hideMark/>
          </w:tcPr>
          <w:p w14:paraId="394926C4" w14:textId="637E8B48" w:rsidR="00283604" w:rsidRPr="00CD218D" w:rsidRDefault="00283604">
            <w:pPr>
              <w:pStyle w:val="Tabletext"/>
            </w:pPr>
            <w:r w:rsidRPr="00CD218D">
              <w:t xml:space="preserve">Deeming of a </w:t>
            </w:r>
            <w:r w:rsidR="007F271F" w:rsidRPr="00CD218D">
              <w:t xml:space="preserve">Constituent Entity </w:t>
            </w:r>
            <w:r w:rsidRPr="00CD218D">
              <w:t xml:space="preserve">as a LTCE </w:t>
            </w:r>
          </w:p>
        </w:tc>
        <w:tc>
          <w:tcPr>
            <w:tcW w:w="1746" w:type="dxa"/>
            <w:tcBorders>
              <w:top w:val="nil"/>
              <w:left w:val="nil"/>
              <w:bottom w:val="single" w:sz="4" w:space="0" w:color="auto"/>
              <w:right w:val="single" w:sz="4" w:space="0" w:color="auto"/>
            </w:tcBorders>
            <w:shd w:val="clear" w:color="auto" w:fill="auto"/>
            <w:noWrap/>
            <w:vAlign w:val="bottom"/>
            <w:hideMark/>
          </w:tcPr>
          <w:p w14:paraId="46610864" w14:textId="77777777" w:rsidR="00283604" w:rsidRPr="00CD218D" w:rsidRDefault="00283604">
            <w:pPr>
              <w:pStyle w:val="Tabletext"/>
            </w:pPr>
            <w:r w:rsidRPr="00CD218D">
              <w:t>5.4.4</w:t>
            </w:r>
          </w:p>
        </w:tc>
      </w:tr>
      <w:tr w:rsidR="00283604" w:rsidRPr="00CD218D" w14:paraId="720C023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35EA58A" w14:textId="77777777" w:rsidR="00283604" w:rsidRPr="00CD218D" w:rsidRDefault="00283604">
            <w:pPr>
              <w:pStyle w:val="Tabletext"/>
              <w:rPr>
                <w:b/>
                <w:bCs/>
              </w:rPr>
            </w:pPr>
            <w:r w:rsidRPr="00CD218D">
              <w:rPr>
                <w:b/>
                <w:bCs/>
              </w:rPr>
              <w:t>Part 5-5</w:t>
            </w:r>
          </w:p>
        </w:tc>
        <w:tc>
          <w:tcPr>
            <w:tcW w:w="3743" w:type="dxa"/>
            <w:tcBorders>
              <w:top w:val="nil"/>
              <w:left w:val="nil"/>
              <w:bottom w:val="single" w:sz="4" w:space="0" w:color="auto"/>
              <w:right w:val="single" w:sz="4" w:space="0" w:color="auto"/>
            </w:tcBorders>
            <w:shd w:val="clear" w:color="auto" w:fill="auto"/>
            <w:vAlign w:val="bottom"/>
            <w:hideMark/>
          </w:tcPr>
          <w:p w14:paraId="11019A78" w14:textId="77777777" w:rsidR="00283604" w:rsidRPr="00CD218D" w:rsidRDefault="00283604">
            <w:pPr>
              <w:pStyle w:val="Tabletext"/>
              <w:rPr>
                <w:b/>
                <w:bCs/>
              </w:rPr>
            </w:pPr>
            <w:r w:rsidRPr="00CD218D">
              <w:rPr>
                <w:b/>
                <w:bCs/>
              </w:rPr>
              <w:t>De minimis exclusion</w:t>
            </w:r>
          </w:p>
        </w:tc>
        <w:tc>
          <w:tcPr>
            <w:tcW w:w="1746" w:type="dxa"/>
            <w:tcBorders>
              <w:top w:val="nil"/>
              <w:left w:val="nil"/>
              <w:bottom w:val="single" w:sz="4" w:space="0" w:color="auto"/>
              <w:right w:val="single" w:sz="4" w:space="0" w:color="auto"/>
            </w:tcBorders>
            <w:shd w:val="clear" w:color="auto" w:fill="auto"/>
            <w:noWrap/>
            <w:vAlign w:val="bottom"/>
            <w:hideMark/>
          </w:tcPr>
          <w:p w14:paraId="058FA079" w14:textId="77777777" w:rsidR="00283604" w:rsidRPr="00CD218D" w:rsidRDefault="00283604">
            <w:pPr>
              <w:pStyle w:val="Tabletext"/>
              <w:rPr>
                <w:b/>
                <w:bCs/>
              </w:rPr>
            </w:pPr>
            <w:r w:rsidRPr="00CD218D">
              <w:rPr>
                <w:b/>
                <w:bCs/>
              </w:rPr>
              <w:t>5.5</w:t>
            </w:r>
          </w:p>
        </w:tc>
      </w:tr>
      <w:tr w:rsidR="00283604" w:rsidRPr="00CD218D" w14:paraId="34ED9D4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1BEFEE1" w14:textId="515F0BAD" w:rsidR="00283604" w:rsidRPr="00CD218D" w:rsidRDefault="00283604">
            <w:pPr>
              <w:pStyle w:val="Tabletext"/>
            </w:pPr>
            <w:r w:rsidRPr="00CD218D">
              <w:t>5-</w:t>
            </w:r>
            <w:r w:rsidR="00BF2E86" w:rsidRPr="00CD218D">
              <w:t>105</w:t>
            </w:r>
            <w:r w:rsidRPr="00CD218D">
              <w:t>(1) and (5)-(6)</w:t>
            </w:r>
          </w:p>
        </w:tc>
        <w:tc>
          <w:tcPr>
            <w:tcW w:w="3743" w:type="dxa"/>
            <w:tcBorders>
              <w:top w:val="nil"/>
              <w:left w:val="nil"/>
              <w:bottom w:val="single" w:sz="4" w:space="0" w:color="auto"/>
              <w:right w:val="single" w:sz="4" w:space="0" w:color="auto"/>
            </w:tcBorders>
            <w:shd w:val="clear" w:color="auto" w:fill="auto"/>
            <w:vAlign w:val="bottom"/>
            <w:hideMark/>
          </w:tcPr>
          <w:p w14:paraId="2744EF68" w14:textId="77777777" w:rsidR="00283604" w:rsidRPr="00CD218D" w:rsidRDefault="00283604">
            <w:pPr>
              <w:pStyle w:val="Tabletext"/>
            </w:pPr>
            <w:r w:rsidRPr="00CD218D">
              <w:t xml:space="preserve">Election to apply De minimis </w:t>
            </w:r>
          </w:p>
        </w:tc>
        <w:tc>
          <w:tcPr>
            <w:tcW w:w="1746" w:type="dxa"/>
            <w:tcBorders>
              <w:top w:val="nil"/>
              <w:left w:val="nil"/>
              <w:bottom w:val="single" w:sz="4" w:space="0" w:color="auto"/>
              <w:right w:val="single" w:sz="4" w:space="0" w:color="auto"/>
            </w:tcBorders>
            <w:shd w:val="clear" w:color="auto" w:fill="auto"/>
            <w:noWrap/>
            <w:vAlign w:val="bottom"/>
            <w:hideMark/>
          </w:tcPr>
          <w:p w14:paraId="1AA13150" w14:textId="77777777" w:rsidR="00283604" w:rsidRPr="00CD218D" w:rsidRDefault="00283604">
            <w:pPr>
              <w:pStyle w:val="Tabletext"/>
            </w:pPr>
            <w:r w:rsidRPr="00CD218D">
              <w:t>5.5.1</w:t>
            </w:r>
          </w:p>
        </w:tc>
      </w:tr>
      <w:tr w:rsidR="00283604" w:rsidRPr="00CD218D" w14:paraId="445F06D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AB8B1F9" w14:textId="465DD3C8" w:rsidR="00283604" w:rsidRPr="00CD218D" w:rsidRDefault="00283604">
            <w:pPr>
              <w:pStyle w:val="Tabletext"/>
            </w:pPr>
            <w:r w:rsidRPr="00CD218D">
              <w:t>5-</w:t>
            </w:r>
            <w:r w:rsidR="00BF2E86" w:rsidRPr="00CD218D">
              <w:t>105</w:t>
            </w:r>
            <w:r w:rsidRPr="00CD218D">
              <w:t>(2)-(3)</w:t>
            </w:r>
          </w:p>
        </w:tc>
        <w:tc>
          <w:tcPr>
            <w:tcW w:w="3743" w:type="dxa"/>
            <w:tcBorders>
              <w:top w:val="nil"/>
              <w:left w:val="nil"/>
              <w:bottom w:val="single" w:sz="4" w:space="0" w:color="auto"/>
              <w:right w:val="single" w:sz="4" w:space="0" w:color="auto"/>
            </w:tcBorders>
            <w:shd w:val="clear" w:color="auto" w:fill="auto"/>
            <w:vAlign w:val="bottom"/>
            <w:hideMark/>
          </w:tcPr>
          <w:p w14:paraId="3A9061DE" w14:textId="77777777" w:rsidR="00283604" w:rsidRPr="00CD218D" w:rsidRDefault="00283604">
            <w:pPr>
              <w:pStyle w:val="Tabletext"/>
            </w:pPr>
            <w:r w:rsidRPr="00CD218D">
              <w:t xml:space="preserve">De minimis formula </w:t>
            </w:r>
          </w:p>
        </w:tc>
        <w:tc>
          <w:tcPr>
            <w:tcW w:w="1746" w:type="dxa"/>
            <w:tcBorders>
              <w:top w:val="nil"/>
              <w:left w:val="nil"/>
              <w:bottom w:val="single" w:sz="4" w:space="0" w:color="auto"/>
              <w:right w:val="single" w:sz="4" w:space="0" w:color="auto"/>
            </w:tcBorders>
            <w:shd w:val="clear" w:color="auto" w:fill="auto"/>
            <w:noWrap/>
            <w:vAlign w:val="bottom"/>
            <w:hideMark/>
          </w:tcPr>
          <w:p w14:paraId="50075545" w14:textId="77777777" w:rsidR="00283604" w:rsidRPr="00CD218D" w:rsidRDefault="00283604">
            <w:pPr>
              <w:pStyle w:val="Tabletext"/>
            </w:pPr>
            <w:r w:rsidRPr="00CD218D">
              <w:t>5.5.2</w:t>
            </w:r>
          </w:p>
        </w:tc>
      </w:tr>
      <w:tr w:rsidR="00283604" w:rsidRPr="00CD218D" w14:paraId="4E29C27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C955619" w14:textId="0CC44E18" w:rsidR="00283604" w:rsidRPr="00CD218D" w:rsidRDefault="00283604">
            <w:pPr>
              <w:pStyle w:val="Tabletext"/>
            </w:pPr>
            <w:r w:rsidRPr="00CD218D">
              <w:t>5-</w:t>
            </w:r>
            <w:r w:rsidR="00BF2E86" w:rsidRPr="00CD218D">
              <w:t>105</w:t>
            </w:r>
            <w:r w:rsidRPr="00CD218D">
              <w:t>(4)(a)-(b)</w:t>
            </w:r>
          </w:p>
        </w:tc>
        <w:tc>
          <w:tcPr>
            <w:tcW w:w="3743" w:type="dxa"/>
            <w:tcBorders>
              <w:top w:val="nil"/>
              <w:left w:val="nil"/>
              <w:bottom w:val="single" w:sz="4" w:space="0" w:color="auto"/>
              <w:right w:val="single" w:sz="4" w:space="0" w:color="auto"/>
            </w:tcBorders>
            <w:shd w:val="clear" w:color="auto" w:fill="auto"/>
            <w:vAlign w:val="bottom"/>
            <w:hideMark/>
          </w:tcPr>
          <w:p w14:paraId="5814AC36" w14:textId="77777777" w:rsidR="00283604" w:rsidRPr="00CD218D" w:rsidRDefault="00283604">
            <w:pPr>
              <w:pStyle w:val="Tabletext"/>
            </w:pPr>
            <w:r w:rsidRPr="00CD218D">
              <w:t xml:space="preserve">Definitions within formula of de minimis </w:t>
            </w:r>
          </w:p>
        </w:tc>
        <w:tc>
          <w:tcPr>
            <w:tcW w:w="1746" w:type="dxa"/>
            <w:tcBorders>
              <w:top w:val="nil"/>
              <w:left w:val="nil"/>
              <w:bottom w:val="single" w:sz="4" w:space="0" w:color="auto"/>
              <w:right w:val="single" w:sz="4" w:space="0" w:color="auto"/>
            </w:tcBorders>
            <w:shd w:val="clear" w:color="auto" w:fill="auto"/>
            <w:noWrap/>
            <w:vAlign w:val="bottom"/>
            <w:hideMark/>
          </w:tcPr>
          <w:p w14:paraId="2C1F7720" w14:textId="77777777" w:rsidR="00283604" w:rsidRPr="00CD218D" w:rsidRDefault="00283604">
            <w:pPr>
              <w:pStyle w:val="Tabletext"/>
            </w:pPr>
            <w:r w:rsidRPr="00CD218D">
              <w:t>5.5.3</w:t>
            </w:r>
          </w:p>
        </w:tc>
      </w:tr>
      <w:tr w:rsidR="00283604" w:rsidRPr="00CD218D" w14:paraId="60E3ED4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3173AA2" w14:textId="45C96F00" w:rsidR="00283604" w:rsidRPr="00CD218D" w:rsidRDefault="00283604">
            <w:pPr>
              <w:pStyle w:val="Tabletext"/>
            </w:pPr>
            <w:r w:rsidRPr="00CD218D">
              <w:t> 5-</w:t>
            </w:r>
            <w:r w:rsidR="00BF2E86" w:rsidRPr="00CD218D">
              <w:t>105</w:t>
            </w:r>
            <w:r w:rsidRPr="00CD218D">
              <w:t>(1)(d) and (4)(c)</w:t>
            </w:r>
          </w:p>
        </w:tc>
        <w:tc>
          <w:tcPr>
            <w:tcW w:w="3743" w:type="dxa"/>
            <w:tcBorders>
              <w:top w:val="nil"/>
              <w:left w:val="nil"/>
              <w:bottom w:val="single" w:sz="4" w:space="0" w:color="auto"/>
              <w:right w:val="single" w:sz="4" w:space="0" w:color="auto"/>
            </w:tcBorders>
            <w:shd w:val="clear" w:color="auto" w:fill="auto"/>
            <w:vAlign w:val="bottom"/>
            <w:hideMark/>
          </w:tcPr>
          <w:p w14:paraId="1D31310B" w14:textId="77777777" w:rsidR="00283604" w:rsidRPr="00CD218D" w:rsidRDefault="00283604">
            <w:pPr>
              <w:pStyle w:val="Tabletext"/>
            </w:pPr>
            <w:r w:rsidRPr="00CD218D">
              <w:t xml:space="preserve">Exclusion of stateless entities </w:t>
            </w:r>
          </w:p>
        </w:tc>
        <w:tc>
          <w:tcPr>
            <w:tcW w:w="1746" w:type="dxa"/>
            <w:tcBorders>
              <w:top w:val="nil"/>
              <w:left w:val="nil"/>
              <w:bottom w:val="single" w:sz="4" w:space="0" w:color="auto"/>
              <w:right w:val="single" w:sz="4" w:space="0" w:color="auto"/>
            </w:tcBorders>
            <w:shd w:val="clear" w:color="auto" w:fill="auto"/>
            <w:noWrap/>
            <w:vAlign w:val="bottom"/>
            <w:hideMark/>
          </w:tcPr>
          <w:p w14:paraId="033344D2" w14:textId="77777777" w:rsidR="00283604" w:rsidRPr="00CD218D" w:rsidRDefault="00283604">
            <w:pPr>
              <w:pStyle w:val="Tabletext"/>
            </w:pPr>
            <w:r w:rsidRPr="00CD218D">
              <w:t>5.5.4</w:t>
            </w:r>
          </w:p>
        </w:tc>
      </w:tr>
      <w:tr w:rsidR="00283604" w:rsidRPr="00CD218D" w14:paraId="0B6E44A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3119C9A" w14:textId="77777777" w:rsidR="00283604" w:rsidRPr="00CD218D" w:rsidRDefault="00283604">
            <w:pPr>
              <w:pStyle w:val="Tabletext"/>
              <w:rPr>
                <w:b/>
                <w:bCs/>
              </w:rPr>
            </w:pPr>
            <w:r w:rsidRPr="00CD218D">
              <w:rPr>
                <w:b/>
                <w:bCs/>
              </w:rPr>
              <w:t>Part 5-6</w:t>
            </w:r>
          </w:p>
        </w:tc>
        <w:tc>
          <w:tcPr>
            <w:tcW w:w="3743" w:type="dxa"/>
            <w:tcBorders>
              <w:top w:val="nil"/>
              <w:left w:val="nil"/>
              <w:bottom w:val="single" w:sz="4" w:space="0" w:color="auto"/>
              <w:right w:val="single" w:sz="4" w:space="0" w:color="auto"/>
            </w:tcBorders>
            <w:shd w:val="clear" w:color="auto" w:fill="auto"/>
            <w:vAlign w:val="bottom"/>
            <w:hideMark/>
          </w:tcPr>
          <w:p w14:paraId="75B17D15" w14:textId="77777777" w:rsidR="00283604" w:rsidRPr="00CD218D" w:rsidRDefault="00283604">
            <w:pPr>
              <w:pStyle w:val="Tabletext"/>
              <w:rPr>
                <w:b/>
                <w:bCs/>
              </w:rPr>
            </w:pPr>
            <w:r w:rsidRPr="00CD218D">
              <w:rPr>
                <w:b/>
                <w:bCs/>
              </w:rPr>
              <w:t>Minority-Owned Constituent Entities</w:t>
            </w:r>
          </w:p>
        </w:tc>
        <w:tc>
          <w:tcPr>
            <w:tcW w:w="1746" w:type="dxa"/>
            <w:tcBorders>
              <w:top w:val="nil"/>
              <w:left w:val="nil"/>
              <w:bottom w:val="single" w:sz="4" w:space="0" w:color="auto"/>
              <w:right w:val="single" w:sz="4" w:space="0" w:color="auto"/>
            </w:tcBorders>
            <w:shd w:val="clear" w:color="auto" w:fill="auto"/>
            <w:noWrap/>
            <w:vAlign w:val="bottom"/>
            <w:hideMark/>
          </w:tcPr>
          <w:p w14:paraId="35189739" w14:textId="77777777" w:rsidR="00283604" w:rsidRPr="00CD218D" w:rsidRDefault="00283604">
            <w:pPr>
              <w:pStyle w:val="Tabletext"/>
              <w:rPr>
                <w:b/>
                <w:bCs/>
              </w:rPr>
            </w:pPr>
            <w:r w:rsidRPr="00CD218D">
              <w:rPr>
                <w:b/>
                <w:bCs/>
              </w:rPr>
              <w:t>5.6</w:t>
            </w:r>
          </w:p>
        </w:tc>
      </w:tr>
      <w:tr w:rsidR="00283604" w:rsidRPr="00CD218D" w14:paraId="6B20B91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04C26BD" w14:textId="1EDC69AF" w:rsidR="00283604" w:rsidRPr="00CD218D" w:rsidRDefault="00283604">
            <w:pPr>
              <w:pStyle w:val="Tabletext"/>
            </w:pPr>
            <w:r w:rsidRPr="00CD218D">
              <w:t>5-</w:t>
            </w:r>
            <w:r w:rsidR="00BF2E86" w:rsidRPr="00CD218D">
              <w:t>120</w:t>
            </w:r>
            <w:r w:rsidRPr="00CD218D">
              <w:t>(1)-(2)</w:t>
            </w:r>
          </w:p>
        </w:tc>
        <w:tc>
          <w:tcPr>
            <w:tcW w:w="3743" w:type="dxa"/>
            <w:tcBorders>
              <w:top w:val="nil"/>
              <w:left w:val="nil"/>
              <w:bottom w:val="single" w:sz="4" w:space="0" w:color="auto"/>
              <w:right w:val="single" w:sz="4" w:space="0" w:color="auto"/>
            </w:tcBorders>
            <w:shd w:val="clear" w:color="auto" w:fill="auto"/>
            <w:vAlign w:val="bottom"/>
            <w:hideMark/>
          </w:tcPr>
          <w:p w14:paraId="2476EE5D" w14:textId="77777777" w:rsidR="00283604" w:rsidRPr="00CD218D" w:rsidRDefault="00283604">
            <w:pPr>
              <w:pStyle w:val="Tabletext"/>
            </w:pPr>
            <w:r w:rsidRPr="00CD218D">
              <w:t xml:space="preserve">ETR of MOCE subgroup </w:t>
            </w:r>
          </w:p>
        </w:tc>
        <w:tc>
          <w:tcPr>
            <w:tcW w:w="1746" w:type="dxa"/>
            <w:tcBorders>
              <w:top w:val="nil"/>
              <w:left w:val="nil"/>
              <w:bottom w:val="single" w:sz="4" w:space="0" w:color="auto"/>
              <w:right w:val="single" w:sz="4" w:space="0" w:color="auto"/>
            </w:tcBorders>
            <w:shd w:val="clear" w:color="auto" w:fill="auto"/>
            <w:noWrap/>
            <w:vAlign w:val="bottom"/>
            <w:hideMark/>
          </w:tcPr>
          <w:p w14:paraId="01A32720" w14:textId="77777777" w:rsidR="00283604" w:rsidRPr="00CD218D" w:rsidRDefault="00283604">
            <w:pPr>
              <w:pStyle w:val="Tabletext"/>
            </w:pPr>
            <w:r w:rsidRPr="00CD218D">
              <w:t>5.6.1</w:t>
            </w:r>
          </w:p>
        </w:tc>
      </w:tr>
      <w:tr w:rsidR="00283604" w:rsidRPr="00CD218D" w14:paraId="7EB398E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1695F40" w14:textId="215BDB4E" w:rsidR="00283604" w:rsidRPr="00CD218D" w:rsidRDefault="00283604">
            <w:pPr>
              <w:pStyle w:val="Tabletext"/>
            </w:pPr>
            <w:r w:rsidRPr="00CD218D">
              <w:t>5-</w:t>
            </w:r>
            <w:r w:rsidR="00BF2E86" w:rsidRPr="00CD218D">
              <w:t>120</w:t>
            </w:r>
            <w:r w:rsidRPr="00CD218D">
              <w:t>(3)-(4)</w:t>
            </w:r>
          </w:p>
        </w:tc>
        <w:tc>
          <w:tcPr>
            <w:tcW w:w="3743" w:type="dxa"/>
            <w:tcBorders>
              <w:top w:val="nil"/>
              <w:left w:val="nil"/>
              <w:bottom w:val="single" w:sz="4" w:space="0" w:color="auto"/>
              <w:right w:val="single" w:sz="4" w:space="0" w:color="auto"/>
            </w:tcBorders>
            <w:shd w:val="clear" w:color="auto" w:fill="auto"/>
            <w:vAlign w:val="bottom"/>
            <w:hideMark/>
          </w:tcPr>
          <w:p w14:paraId="227812F6" w14:textId="77777777" w:rsidR="00283604" w:rsidRPr="00CD218D" w:rsidRDefault="00283604">
            <w:pPr>
              <w:pStyle w:val="Tabletext"/>
            </w:pPr>
            <w:r w:rsidRPr="00CD218D">
              <w:t xml:space="preserve">ETR of MOCE </w:t>
            </w:r>
          </w:p>
        </w:tc>
        <w:tc>
          <w:tcPr>
            <w:tcW w:w="1746" w:type="dxa"/>
            <w:tcBorders>
              <w:top w:val="nil"/>
              <w:left w:val="nil"/>
              <w:bottom w:val="single" w:sz="4" w:space="0" w:color="auto"/>
              <w:right w:val="single" w:sz="4" w:space="0" w:color="auto"/>
            </w:tcBorders>
            <w:shd w:val="clear" w:color="auto" w:fill="auto"/>
            <w:noWrap/>
            <w:vAlign w:val="bottom"/>
            <w:hideMark/>
          </w:tcPr>
          <w:p w14:paraId="737C32BE" w14:textId="77777777" w:rsidR="00283604" w:rsidRPr="00CD218D" w:rsidRDefault="00283604">
            <w:pPr>
              <w:pStyle w:val="Tabletext"/>
            </w:pPr>
            <w:r w:rsidRPr="00CD218D">
              <w:t>5.6.2</w:t>
            </w:r>
          </w:p>
        </w:tc>
      </w:tr>
      <w:tr w:rsidR="00283604" w:rsidRPr="00CD218D" w14:paraId="68B55272" w14:textId="77777777">
        <w:trPr>
          <w:trHeight w:val="300"/>
        </w:trPr>
        <w:tc>
          <w:tcPr>
            <w:tcW w:w="7701" w:type="dxa"/>
            <w:gridSpan w:val="3"/>
            <w:tcBorders>
              <w:top w:val="nil"/>
              <w:left w:val="single" w:sz="4" w:space="0" w:color="auto"/>
              <w:bottom w:val="single" w:sz="4" w:space="0" w:color="auto"/>
              <w:right w:val="single" w:sz="4" w:space="0" w:color="auto"/>
            </w:tcBorders>
            <w:shd w:val="clear" w:color="auto" w:fill="auto"/>
            <w:noWrap/>
            <w:vAlign w:val="bottom"/>
          </w:tcPr>
          <w:p w14:paraId="4AFD0BAA" w14:textId="77777777" w:rsidR="00283604" w:rsidRPr="00CD218D" w:rsidRDefault="00283604" w:rsidP="00283604">
            <w:pPr>
              <w:pStyle w:val="Tableheaderrowtext"/>
              <w:numPr>
                <w:ilvl w:val="3"/>
                <w:numId w:val="2"/>
              </w:numPr>
            </w:pPr>
            <w:r w:rsidRPr="00CD218D">
              <w:lastRenderedPageBreak/>
              <w:t>Chapter 6 - Corporate restructurings and holding structures</w:t>
            </w:r>
          </w:p>
        </w:tc>
      </w:tr>
      <w:tr w:rsidR="00283604" w:rsidRPr="00CD218D" w14:paraId="7AF69DD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F28C984" w14:textId="77777777" w:rsidR="00283604" w:rsidRPr="00CD218D" w:rsidRDefault="00283604">
            <w:pPr>
              <w:pStyle w:val="Tabletext"/>
              <w:rPr>
                <w:b/>
                <w:bCs/>
              </w:rPr>
            </w:pPr>
            <w:r w:rsidRPr="00CD218D">
              <w:rPr>
                <w:b/>
                <w:bCs/>
              </w:rPr>
              <w:t>Part 6-1</w:t>
            </w:r>
          </w:p>
        </w:tc>
        <w:tc>
          <w:tcPr>
            <w:tcW w:w="3743" w:type="dxa"/>
            <w:tcBorders>
              <w:top w:val="nil"/>
              <w:left w:val="nil"/>
              <w:bottom w:val="single" w:sz="4" w:space="0" w:color="auto"/>
              <w:right w:val="single" w:sz="4" w:space="0" w:color="auto"/>
            </w:tcBorders>
            <w:shd w:val="clear" w:color="auto" w:fill="auto"/>
            <w:noWrap/>
            <w:vAlign w:val="bottom"/>
            <w:hideMark/>
          </w:tcPr>
          <w:p w14:paraId="2AC78839" w14:textId="77777777" w:rsidR="00283604" w:rsidRPr="00CD218D" w:rsidRDefault="00283604">
            <w:pPr>
              <w:pStyle w:val="Tabletext"/>
              <w:rPr>
                <w:b/>
                <w:bCs/>
              </w:rPr>
            </w:pPr>
            <w:r w:rsidRPr="00CD218D">
              <w:rPr>
                <w:b/>
                <w:bCs/>
              </w:rPr>
              <w:t>Application of Consolidated Revenue Threshold to Group Mergers and Demergers</w:t>
            </w:r>
          </w:p>
        </w:tc>
        <w:tc>
          <w:tcPr>
            <w:tcW w:w="1746" w:type="dxa"/>
            <w:tcBorders>
              <w:top w:val="nil"/>
              <w:left w:val="nil"/>
              <w:bottom w:val="single" w:sz="4" w:space="0" w:color="auto"/>
              <w:right w:val="single" w:sz="4" w:space="0" w:color="auto"/>
            </w:tcBorders>
            <w:shd w:val="clear" w:color="auto" w:fill="auto"/>
            <w:noWrap/>
            <w:vAlign w:val="bottom"/>
            <w:hideMark/>
          </w:tcPr>
          <w:p w14:paraId="43C1C02F" w14:textId="77777777" w:rsidR="00283604" w:rsidRPr="00CD218D" w:rsidRDefault="00283604">
            <w:pPr>
              <w:pStyle w:val="Tabletext"/>
              <w:rPr>
                <w:b/>
                <w:bCs/>
              </w:rPr>
            </w:pPr>
            <w:r w:rsidRPr="00CD218D">
              <w:rPr>
                <w:b/>
                <w:bCs/>
              </w:rPr>
              <w:t>6.1</w:t>
            </w:r>
          </w:p>
        </w:tc>
      </w:tr>
      <w:tr w:rsidR="00283604" w:rsidRPr="00CD218D" w14:paraId="533C030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21342D6" w14:textId="556B1F5D" w:rsidR="00283604" w:rsidRPr="00CD218D" w:rsidRDefault="00283604">
            <w:pPr>
              <w:pStyle w:val="Tabletext"/>
            </w:pPr>
            <w:r w:rsidRPr="00CD218D">
              <w:t>6-5</w:t>
            </w:r>
            <w:r w:rsidR="00F8139C">
              <w:t xml:space="preserve"> and 6</w:t>
            </w:r>
            <w:r w:rsidR="00F8139C">
              <w:noBreakHyphen/>
            </w:r>
            <w:r w:rsidR="00BF2E86" w:rsidRPr="00CD218D">
              <w:t>10</w:t>
            </w:r>
          </w:p>
        </w:tc>
        <w:tc>
          <w:tcPr>
            <w:tcW w:w="3743" w:type="dxa"/>
            <w:tcBorders>
              <w:top w:val="nil"/>
              <w:left w:val="nil"/>
              <w:bottom w:val="single" w:sz="4" w:space="0" w:color="auto"/>
              <w:right w:val="single" w:sz="4" w:space="0" w:color="auto"/>
            </w:tcBorders>
            <w:shd w:val="clear" w:color="auto" w:fill="auto"/>
            <w:vAlign w:val="bottom"/>
            <w:hideMark/>
          </w:tcPr>
          <w:p w14:paraId="17F7E8E1" w14:textId="77777777" w:rsidR="00283604" w:rsidRPr="00CD218D" w:rsidRDefault="00283604">
            <w:pPr>
              <w:pStyle w:val="Tabletext"/>
            </w:pPr>
            <w:r w:rsidRPr="00CD218D">
              <w:t>Modified GloBE threshold for mergers and demergers</w:t>
            </w:r>
          </w:p>
        </w:tc>
        <w:tc>
          <w:tcPr>
            <w:tcW w:w="1746" w:type="dxa"/>
            <w:tcBorders>
              <w:top w:val="nil"/>
              <w:left w:val="nil"/>
              <w:bottom w:val="single" w:sz="4" w:space="0" w:color="auto"/>
              <w:right w:val="single" w:sz="4" w:space="0" w:color="auto"/>
            </w:tcBorders>
            <w:shd w:val="clear" w:color="auto" w:fill="auto"/>
            <w:noWrap/>
            <w:vAlign w:val="bottom"/>
            <w:hideMark/>
          </w:tcPr>
          <w:p w14:paraId="1CADD11D" w14:textId="77777777" w:rsidR="00283604" w:rsidRPr="00CD218D" w:rsidRDefault="00283604">
            <w:pPr>
              <w:pStyle w:val="Tabletext"/>
            </w:pPr>
            <w:r w:rsidRPr="00CD218D">
              <w:t>6.1.1</w:t>
            </w:r>
          </w:p>
        </w:tc>
      </w:tr>
      <w:tr w:rsidR="00283604" w:rsidRPr="00CD218D" w14:paraId="178B8A9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04DE86F" w14:textId="51D52D21" w:rsidR="00283604" w:rsidRPr="00CD218D" w:rsidRDefault="00283604">
            <w:pPr>
              <w:pStyle w:val="Tabletext"/>
            </w:pPr>
            <w:r w:rsidRPr="00CD218D">
              <w:t>6-</w:t>
            </w:r>
            <w:r w:rsidR="007806AC" w:rsidRPr="00F8139C">
              <w:t>5</w:t>
            </w:r>
          </w:p>
        </w:tc>
        <w:tc>
          <w:tcPr>
            <w:tcW w:w="3743" w:type="dxa"/>
            <w:tcBorders>
              <w:top w:val="nil"/>
              <w:left w:val="nil"/>
              <w:bottom w:val="single" w:sz="4" w:space="0" w:color="auto"/>
              <w:right w:val="single" w:sz="4" w:space="0" w:color="auto"/>
            </w:tcBorders>
            <w:shd w:val="clear" w:color="auto" w:fill="auto"/>
            <w:vAlign w:val="bottom"/>
            <w:hideMark/>
          </w:tcPr>
          <w:p w14:paraId="07DAB495" w14:textId="77777777" w:rsidR="00283604" w:rsidRPr="00CD218D" w:rsidRDefault="00283604">
            <w:pPr>
              <w:pStyle w:val="Tabletext"/>
            </w:pPr>
            <w:r w:rsidRPr="00CD218D">
              <w:t>Definition of merger</w:t>
            </w:r>
          </w:p>
        </w:tc>
        <w:tc>
          <w:tcPr>
            <w:tcW w:w="1746" w:type="dxa"/>
            <w:tcBorders>
              <w:top w:val="nil"/>
              <w:left w:val="nil"/>
              <w:bottom w:val="single" w:sz="4" w:space="0" w:color="auto"/>
              <w:right w:val="single" w:sz="4" w:space="0" w:color="auto"/>
            </w:tcBorders>
            <w:shd w:val="clear" w:color="auto" w:fill="auto"/>
            <w:noWrap/>
            <w:vAlign w:val="bottom"/>
            <w:hideMark/>
          </w:tcPr>
          <w:p w14:paraId="6C4E6BD4" w14:textId="77777777" w:rsidR="00283604" w:rsidRPr="00CD218D" w:rsidRDefault="00283604">
            <w:pPr>
              <w:pStyle w:val="Tabletext"/>
            </w:pPr>
            <w:r w:rsidRPr="00CD218D">
              <w:t>6.1.2</w:t>
            </w:r>
          </w:p>
        </w:tc>
      </w:tr>
      <w:tr w:rsidR="00283604" w:rsidRPr="00CD218D" w14:paraId="13D4806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F50B652" w14:textId="7D93365E" w:rsidR="00283604" w:rsidRPr="00CD218D" w:rsidRDefault="00283604">
            <w:pPr>
              <w:pStyle w:val="Tabletext"/>
            </w:pPr>
            <w:r w:rsidRPr="00CD218D">
              <w:t>6-</w:t>
            </w:r>
            <w:r w:rsidR="00BF2E86" w:rsidRPr="00CD218D">
              <w:t>10</w:t>
            </w:r>
            <w:r w:rsidRPr="00CD218D">
              <w:t>(3)</w:t>
            </w:r>
          </w:p>
        </w:tc>
        <w:tc>
          <w:tcPr>
            <w:tcW w:w="3743" w:type="dxa"/>
            <w:tcBorders>
              <w:top w:val="nil"/>
              <w:left w:val="nil"/>
              <w:bottom w:val="single" w:sz="4" w:space="0" w:color="auto"/>
              <w:right w:val="single" w:sz="4" w:space="0" w:color="auto"/>
            </w:tcBorders>
            <w:shd w:val="clear" w:color="auto" w:fill="auto"/>
            <w:vAlign w:val="bottom"/>
            <w:hideMark/>
          </w:tcPr>
          <w:p w14:paraId="366F3E1B" w14:textId="77777777" w:rsidR="00283604" w:rsidRPr="00CD218D" w:rsidRDefault="00283604">
            <w:pPr>
              <w:pStyle w:val="Tabletext"/>
            </w:pPr>
            <w:r w:rsidRPr="00CD218D">
              <w:t xml:space="preserve">Definition of demerger </w:t>
            </w:r>
          </w:p>
        </w:tc>
        <w:tc>
          <w:tcPr>
            <w:tcW w:w="1746" w:type="dxa"/>
            <w:tcBorders>
              <w:top w:val="nil"/>
              <w:left w:val="nil"/>
              <w:bottom w:val="single" w:sz="4" w:space="0" w:color="auto"/>
              <w:right w:val="single" w:sz="4" w:space="0" w:color="auto"/>
            </w:tcBorders>
            <w:shd w:val="clear" w:color="auto" w:fill="auto"/>
            <w:noWrap/>
            <w:vAlign w:val="bottom"/>
            <w:hideMark/>
          </w:tcPr>
          <w:p w14:paraId="64AE753D" w14:textId="77777777" w:rsidR="00283604" w:rsidRPr="00CD218D" w:rsidRDefault="00283604">
            <w:pPr>
              <w:pStyle w:val="Tabletext"/>
            </w:pPr>
            <w:r w:rsidRPr="00CD218D">
              <w:t>6.1.3</w:t>
            </w:r>
          </w:p>
        </w:tc>
      </w:tr>
      <w:tr w:rsidR="00283604" w:rsidRPr="00CD218D" w14:paraId="2DD8F9B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A4F9237" w14:textId="77777777" w:rsidR="00283604" w:rsidRPr="00CD218D" w:rsidRDefault="00283604">
            <w:pPr>
              <w:pStyle w:val="Tabletext"/>
              <w:rPr>
                <w:b/>
                <w:bCs/>
              </w:rPr>
            </w:pPr>
            <w:r w:rsidRPr="00CD218D">
              <w:rPr>
                <w:b/>
                <w:bCs/>
              </w:rPr>
              <w:t>Part 6-2</w:t>
            </w:r>
          </w:p>
        </w:tc>
        <w:tc>
          <w:tcPr>
            <w:tcW w:w="3743" w:type="dxa"/>
            <w:tcBorders>
              <w:top w:val="nil"/>
              <w:left w:val="nil"/>
              <w:bottom w:val="single" w:sz="4" w:space="0" w:color="auto"/>
              <w:right w:val="single" w:sz="4" w:space="0" w:color="auto"/>
            </w:tcBorders>
            <w:shd w:val="clear" w:color="auto" w:fill="auto"/>
            <w:vAlign w:val="bottom"/>
            <w:hideMark/>
          </w:tcPr>
          <w:p w14:paraId="39A91FCC" w14:textId="77777777" w:rsidR="00283604" w:rsidRPr="00CD218D" w:rsidRDefault="00283604">
            <w:pPr>
              <w:pStyle w:val="Tabletext"/>
              <w:rPr>
                <w:b/>
                <w:bCs/>
              </w:rPr>
            </w:pPr>
            <w:r w:rsidRPr="00CD218D">
              <w:rPr>
                <w:b/>
                <w:bCs/>
              </w:rPr>
              <w:t>Constituent Entities joining and leaving an MNE Group</w:t>
            </w:r>
          </w:p>
        </w:tc>
        <w:tc>
          <w:tcPr>
            <w:tcW w:w="1746" w:type="dxa"/>
            <w:tcBorders>
              <w:top w:val="nil"/>
              <w:left w:val="nil"/>
              <w:bottom w:val="single" w:sz="4" w:space="0" w:color="auto"/>
              <w:right w:val="single" w:sz="4" w:space="0" w:color="auto"/>
            </w:tcBorders>
            <w:shd w:val="clear" w:color="auto" w:fill="auto"/>
            <w:noWrap/>
            <w:vAlign w:val="bottom"/>
            <w:hideMark/>
          </w:tcPr>
          <w:p w14:paraId="2835AA74" w14:textId="77777777" w:rsidR="00283604" w:rsidRPr="00CD218D" w:rsidRDefault="00283604">
            <w:pPr>
              <w:pStyle w:val="Tabletext"/>
              <w:rPr>
                <w:b/>
                <w:bCs/>
              </w:rPr>
            </w:pPr>
            <w:r w:rsidRPr="00CD218D">
              <w:rPr>
                <w:b/>
                <w:bCs/>
              </w:rPr>
              <w:t>6.2</w:t>
            </w:r>
          </w:p>
        </w:tc>
      </w:tr>
      <w:tr w:rsidR="00283604" w:rsidRPr="00CD218D" w14:paraId="27BBB19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7F07F39" w14:textId="79B514E5" w:rsidR="00283604" w:rsidRPr="00CD218D" w:rsidRDefault="00F8139C">
            <w:pPr>
              <w:pStyle w:val="Tabletext"/>
            </w:pPr>
            <w:r w:rsidRPr="00F8139C">
              <w:t>6-20, 6-25, 6-30, 6 35, 6-40 and 6 45</w:t>
            </w:r>
          </w:p>
        </w:tc>
        <w:tc>
          <w:tcPr>
            <w:tcW w:w="3743" w:type="dxa"/>
            <w:tcBorders>
              <w:top w:val="nil"/>
              <w:left w:val="nil"/>
              <w:bottom w:val="single" w:sz="4" w:space="0" w:color="auto"/>
              <w:right w:val="single" w:sz="4" w:space="0" w:color="auto"/>
            </w:tcBorders>
            <w:shd w:val="clear" w:color="auto" w:fill="auto"/>
            <w:noWrap/>
            <w:vAlign w:val="bottom"/>
            <w:hideMark/>
          </w:tcPr>
          <w:p w14:paraId="604DB22E" w14:textId="77777777" w:rsidR="00283604" w:rsidRPr="00CD218D" w:rsidRDefault="00283604">
            <w:pPr>
              <w:pStyle w:val="Tabletext"/>
            </w:pPr>
            <w:r w:rsidRPr="00CD218D">
              <w:t xml:space="preserve">Effects of the treatment of acquisition or disposal of controlling interest under GloBE </w:t>
            </w:r>
          </w:p>
        </w:tc>
        <w:tc>
          <w:tcPr>
            <w:tcW w:w="1746" w:type="dxa"/>
            <w:tcBorders>
              <w:top w:val="nil"/>
              <w:left w:val="nil"/>
              <w:bottom w:val="single" w:sz="4" w:space="0" w:color="auto"/>
              <w:right w:val="single" w:sz="4" w:space="0" w:color="auto"/>
            </w:tcBorders>
            <w:shd w:val="clear" w:color="auto" w:fill="auto"/>
            <w:noWrap/>
            <w:vAlign w:val="bottom"/>
            <w:hideMark/>
          </w:tcPr>
          <w:p w14:paraId="1FB96DF2" w14:textId="77777777" w:rsidR="00283604" w:rsidRPr="00CD218D" w:rsidRDefault="00283604">
            <w:pPr>
              <w:pStyle w:val="Tabletext"/>
            </w:pPr>
            <w:r w:rsidRPr="00CD218D">
              <w:t>6.2.1</w:t>
            </w:r>
          </w:p>
        </w:tc>
      </w:tr>
      <w:tr w:rsidR="00283604" w:rsidRPr="00CD218D" w14:paraId="1E621CC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69884B5" w14:textId="5157953B" w:rsidR="00283604" w:rsidRPr="00CD218D" w:rsidRDefault="00283604">
            <w:pPr>
              <w:pStyle w:val="Tabletext"/>
            </w:pPr>
            <w:r w:rsidRPr="00CD218D">
              <w:t>6-</w:t>
            </w:r>
            <w:r w:rsidR="00BF2E86" w:rsidRPr="00CD218D">
              <w:t>50</w:t>
            </w:r>
          </w:p>
        </w:tc>
        <w:tc>
          <w:tcPr>
            <w:tcW w:w="3743" w:type="dxa"/>
            <w:tcBorders>
              <w:top w:val="nil"/>
              <w:left w:val="nil"/>
              <w:bottom w:val="single" w:sz="4" w:space="0" w:color="auto"/>
              <w:right w:val="single" w:sz="4" w:space="0" w:color="auto"/>
            </w:tcBorders>
            <w:shd w:val="clear" w:color="auto" w:fill="auto"/>
            <w:vAlign w:val="bottom"/>
            <w:hideMark/>
          </w:tcPr>
          <w:p w14:paraId="0427FCF5" w14:textId="77777777" w:rsidR="00283604" w:rsidRPr="00CD218D" w:rsidRDefault="00283604">
            <w:pPr>
              <w:pStyle w:val="Tabletext"/>
            </w:pPr>
            <w:r w:rsidRPr="00CD218D">
              <w:t xml:space="preserve">Treatment of acquisition or disposal of controlling interest under GloBE </w:t>
            </w:r>
          </w:p>
        </w:tc>
        <w:tc>
          <w:tcPr>
            <w:tcW w:w="1746" w:type="dxa"/>
            <w:tcBorders>
              <w:top w:val="nil"/>
              <w:left w:val="nil"/>
              <w:bottom w:val="single" w:sz="4" w:space="0" w:color="auto"/>
              <w:right w:val="single" w:sz="4" w:space="0" w:color="auto"/>
            </w:tcBorders>
            <w:shd w:val="clear" w:color="auto" w:fill="auto"/>
            <w:noWrap/>
            <w:vAlign w:val="bottom"/>
            <w:hideMark/>
          </w:tcPr>
          <w:p w14:paraId="0D1FF762" w14:textId="77777777" w:rsidR="00283604" w:rsidRPr="00CD218D" w:rsidRDefault="00283604">
            <w:pPr>
              <w:pStyle w:val="Tabletext"/>
            </w:pPr>
            <w:r w:rsidRPr="00CD218D">
              <w:t>6.2.2</w:t>
            </w:r>
          </w:p>
        </w:tc>
      </w:tr>
      <w:tr w:rsidR="00283604" w:rsidRPr="00CD218D" w14:paraId="245A9BC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4F7D923" w14:textId="77777777" w:rsidR="00283604" w:rsidRPr="00CD218D" w:rsidRDefault="00283604">
            <w:pPr>
              <w:pStyle w:val="Tabletext"/>
              <w:rPr>
                <w:b/>
                <w:bCs/>
              </w:rPr>
            </w:pPr>
            <w:r w:rsidRPr="00CD218D">
              <w:rPr>
                <w:b/>
                <w:bCs/>
              </w:rPr>
              <w:t>Part 6-3</w:t>
            </w:r>
          </w:p>
        </w:tc>
        <w:tc>
          <w:tcPr>
            <w:tcW w:w="3743" w:type="dxa"/>
            <w:tcBorders>
              <w:top w:val="nil"/>
              <w:left w:val="nil"/>
              <w:bottom w:val="single" w:sz="4" w:space="0" w:color="auto"/>
              <w:right w:val="single" w:sz="4" w:space="0" w:color="auto"/>
            </w:tcBorders>
            <w:shd w:val="clear" w:color="auto" w:fill="auto"/>
            <w:vAlign w:val="bottom"/>
            <w:hideMark/>
          </w:tcPr>
          <w:p w14:paraId="2351E670" w14:textId="77777777" w:rsidR="00283604" w:rsidRPr="00CD218D" w:rsidRDefault="00283604">
            <w:pPr>
              <w:pStyle w:val="Tabletext"/>
              <w:rPr>
                <w:b/>
                <w:bCs/>
              </w:rPr>
            </w:pPr>
            <w:r w:rsidRPr="00CD218D">
              <w:rPr>
                <w:b/>
                <w:bCs/>
              </w:rPr>
              <w:t>Transfer of Assets and Liabilities</w:t>
            </w:r>
          </w:p>
        </w:tc>
        <w:tc>
          <w:tcPr>
            <w:tcW w:w="1746" w:type="dxa"/>
            <w:tcBorders>
              <w:top w:val="nil"/>
              <w:left w:val="nil"/>
              <w:bottom w:val="single" w:sz="4" w:space="0" w:color="auto"/>
              <w:right w:val="single" w:sz="4" w:space="0" w:color="auto"/>
            </w:tcBorders>
            <w:shd w:val="clear" w:color="auto" w:fill="auto"/>
            <w:noWrap/>
            <w:vAlign w:val="bottom"/>
            <w:hideMark/>
          </w:tcPr>
          <w:p w14:paraId="18021E8C" w14:textId="77777777" w:rsidR="00283604" w:rsidRPr="00CD218D" w:rsidRDefault="00283604">
            <w:pPr>
              <w:pStyle w:val="Tabletext"/>
              <w:rPr>
                <w:b/>
                <w:bCs/>
              </w:rPr>
            </w:pPr>
            <w:r w:rsidRPr="00CD218D">
              <w:rPr>
                <w:b/>
                <w:bCs/>
              </w:rPr>
              <w:t>6.3</w:t>
            </w:r>
          </w:p>
        </w:tc>
      </w:tr>
      <w:tr w:rsidR="00283604" w:rsidRPr="00CD218D" w14:paraId="15E94C7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3160C1C" w14:textId="23B64539" w:rsidR="00283604" w:rsidRPr="00CD218D" w:rsidRDefault="00283604">
            <w:pPr>
              <w:pStyle w:val="Tabletext"/>
            </w:pPr>
            <w:r w:rsidRPr="00CD218D">
              <w:t>6-</w:t>
            </w:r>
            <w:r w:rsidR="00BF2E86" w:rsidRPr="00CD218D">
              <w:t>55</w:t>
            </w:r>
          </w:p>
        </w:tc>
        <w:tc>
          <w:tcPr>
            <w:tcW w:w="3743" w:type="dxa"/>
            <w:tcBorders>
              <w:top w:val="nil"/>
              <w:left w:val="nil"/>
              <w:bottom w:val="single" w:sz="4" w:space="0" w:color="auto"/>
              <w:right w:val="single" w:sz="4" w:space="0" w:color="auto"/>
            </w:tcBorders>
            <w:shd w:val="clear" w:color="auto" w:fill="auto"/>
            <w:vAlign w:val="bottom"/>
            <w:hideMark/>
          </w:tcPr>
          <w:p w14:paraId="3FDB7593" w14:textId="77777777" w:rsidR="00283604" w:rsidRPr="00CD218D" w:rsidRDefault="00283604">
            <w:pPr>
              <w:pStyle w:val="Tabletext"/>
            </w:pPr>
            <w:r w:rsidRPr="00CD218D">
              <w:t>Accounting for a gain or a loss in a transfer of assets or liabilities</w:t>
            </w:r>
          </w:p>
        </w:tc>
        <w:tc>
          <w:tcPr>
            <w:tcW w:w="1746" w:type="dxa"/>
            <w:tcBorders>
              <w:top w:val="nil"/>
              <w:left w:val="nil"/>
              <w:bottom w:val="single" w:sz="4" w:space="0" w:color="auto"/>
              <w:right w:val="single" w:sz="4" w:space="0" w:color="auto"/>
            </w:tcBorders>
            <w:shd w:val="clear" w:color="auto" w:fill="auto"/>
            <w:noWrap/>
            <w:vAlign w:val="bottom"/>
            <w:hideMark/>
          </w:tcPr>
          <w:p w14:paraId="613A555A" w14:textId="72B7C78F" w:rsidR="00283604" w:rsidRPr="00CD218D" w:rsidRDefault="00283604">
            <w:pPr>
              <w:pStyle w:val="Tabletext"/>
            </w:pPr>
            <w:r w:rsidRPr="00CD218D">
              <w:t>6.3.1</w:t>
            </w:r>
            <w:r w:rsidR="007806AC" w:rsidRPr="00CD218D">
              <w:t xml:space="preserve"> and 3.2.1(e)</w:t>
            </w:r>
          </w:p>
        </w:tc>
      </w:tr>
      <w:tr w:rsidR="00283604" w:rsidRPr="00CD218D" w14:paraId="1FFD7C8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226505C" w14:textId="08F8B1D4" w:rsidR="00283604" w:rsidRPr="00CD218D" w:rsidRDefault="00283604">
            <w:pPr>
              <w:pStyle w:val="Tabletext"/>
            </w:pPr>
            <w:r w:rsidRPr="00CD218D">
              <w:t>6-</w:t>
            </w:r>
            <w:r w:rsidR="00BF2E86" w:rsidRPr="00CD218D">
              <w:t>55</w:t>
            </w:r>
          </w:p>
        </w:tc>
        <w:tc>
          <w:tcPr>
            <w:tcW w:w="3743" w:type="dxa"/>
            <w:tcBorders>
              <w:top w:val="nil"/>
              <w:left w:val="nil"/>
              <w:bottom w:val="single" w:sz="4" w:space="0" w:color="auto"/>
              <w:right w:val="single" w:sz="4" w:space="0" w:color="auto"/>
            </w:tcBorders>
            <w:shd w:val="clear" w:color="auto" w:fill="auto"/>
            <w:noWrap/>
            <w:vAlign w:val="bottom"/>
            <w:hideMark/>
          </w:tcPr>
          <w:p w14:paraId="02E5B3F0" w14:textId="77777777" w:rsidR="00283604" w:rsidRPr="00CD218D" w:rsidRDefault="00283604">
            <w:pPr>
              <w:pStyle w:val="Tabletext"/>
            </w:pPr>
            <w:r w:rsidRPr="00CD218D">
              <w:t>Intragroup transactions accounted at cost</w:t>
            </w:r>
          </w:p>
        </w:tc>
        <w:tc>
          <w:tcPr>
            <w:tcW w:w="1746" w:type="dxa"/>
            <w:tcBorders>
              <w:top w:val="nil"/>
              <w:left w:val="nil"/>
              <w:bottom w:val="single" w:sz="4" w:space="0" w:color="auto"/>
              <w:right w:val="single" w:sz="4" w:space="0" w:color="auto"/>
            </w:tcBorders>
            <w:shd w:val="clear" w:color="auto" w:fill="auto"/>
            <w:noWrap/>
            <w:vAlign w:val="bottom"/>
            <w:hideMark/>
          </w:tcPr>
          <w:p w14:paraId="4134C1D9" w14:textId="77777777" w:rsidR="00283604" w:rsidRPr="00CD218D" w:rsidRDefault="00283604">
            <w:pPr>
              <w:pStyle w:val="Tabletext"/>
            </w:pPr>
            <w:r w:rsidRPr="00CD218D">
              <w:t>2.1 of the February 2023 AG</w:t>
            </w:r>
          </w:p>
        </w:tc>
      </w:tr>
      <w:tr w:rsidR="00283604" w:rsidRPr="00CD218D" w14:paraId="63F5E99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A9DFCBC" w14:textId="7288DFE5" w:rsidR="00283604" w:rsidRPr="00CD218D" w:rsidRDefault="00283604">
            <w:pPr>
              <w:pStyle w:val="Tabletext"/>
            </w:pPr>
            <w:r w:rsidRPr="00CD218D">
              <w:t>6-</w:t>
            </w:r>
            <w:r w:rsidR="00BF2E86" w:rsidRPr="00CD218D">
              <w:t>60</w:t>
            </w:r>
            <w:r w:rsidRPr="00CD218D">
              <w:t>(1) and (2)</w:t>
            </w:r>
          </w:p>
        </w:tc>
        <w:tc>
          <w:tcPr>
            <w:tcW w:w="3743" w:type="dxa"/>
            <w:tcBorders>
              <w:top w:val="nil"/>
              <w:left w:val="nil"/>
              <w:bottom w:val="single" w:sz="4" w:space="0" w:color="auto"/>
              <w:right w:val="single" w:sz="4" w:space="0" w:color="auto"/>
            </w:tcBorders>
            <w:shd w:val="clear" w:color="auto" w:fill="auto"/>
            <w:vAlign w:val="bottom"/>
            <w:hideMark/>
          </w:tcPr>
          <w:p w14:paraId="79F5A803" w14:textId="77777777" w:rsidR="00283604" w:rsidRPr="00CD218D" w:rsidRDefault="00283604">
            <w:pPr>
              <w:pStyle w:val="Tabletext"/>
            </w:pPr>
            <w:r w:rsidRPr="00CD218D">
              <w:t>Alternate outcome in recognising a GloBE reorganisation to article 6.3.1</w:t>
            </w:r>
          </w:p>
        </w:tc>
        <w:tc>
          <w:tcPr>
            <w:tcW w:w="1746" w:type="dxa"/>
            <w:tcBorders>
              <w:top w:val="nil"/>
              <w:left w:val="nil"/>
              <w:bottom w:val="single" w:sz="4" w:space="0" w:color="auto"/>
              <w:right w:val="single" w:sz="4" w:space="0" w:color="auto"/>
            </w:tcBorders>
            <w:shd w:val="clear" w:color="auto" w:fill="auto"/>
            <w:noWrap/>
            <w:vAlign w:val="bottom"/>
            <w:hideMark/>
          </w:tcPr>
          <w:p w14:paraId="603B749F" w14:textId="77777777" w:rsidR="00283604" w:rsidRPr="00CD218D" w:rsidRDefault="00283604">
            <w:pPr>
              <w:pStyle w:val="Tabletext"/>
            </w:pPr>
            <w:r w:rsidRPr="00CD218D">
              <w:t>6.3.2</w:t>
            </w:r>
          </w:p>
        </w:tc>
      </w:tr>
      <w:tr w:rsidR="00283604" w:rsidRPr="00CD218D" w14:paraId="5CA9795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C0EA93B" w14:textId="12B8C773" w:rsidR="00283604" w:rsidRPr="00CD218D" w:rsidRDefault="00283604">
            <w:pPr>
              <w:pStyle w:val="Tabletext"/>
            </w:pPr>
            <w:r w:rsidRPr="00CD218D">
              <w:t>6-</w:t>
            </w:r>
            <w:r w:rsidR="00BF2E86" w:rsidRPr="00CD218D">
              <w:t>60</w:t>
            </w:r>
            <w:r w:rsidRPr="00CD218D">
              <w:t xml:space="preserve">(3) and (4) </w:t>
            </w:r>
          </w:p>
        </w:tc>
        <w:tc>
          <w:tcPr>
            <w:tcW w:w="3743" w:type="dxa"/>
            <w:tcBorders>
              <w:top w:val="nil"/>
              <w:left w:val="nil"/>
              <w:bottom w:val="single" w:sz="4" w:space="0" w:color="auto"/>
              <w:right w:val="single" w:sz="4" w:space="0" w:color="auto"/>
            </w:tcBorders>
            <w:shd w:val="clear" w:color="auto" w:fill="auto"/>
            <w:noWrap/>
            <w:vAlign w:val="bottom"/>
            <w:hideMark/>
          </w:tcPr>
          <w:p w14:paraId="097F2DCE" w14:textId="77777777" w:rsidR="00283604" w:rsidRPr="00CD218D" w:rsidRDefault="00283604">
            <w:pPr>
              <w:pStyle w:val="Tabletext"/>
            </w:pPr>
            <w:r w:rsidRPr="00CD218D">
              <w:t>Alternate outcome in recognising a GloBE reorganisation to articles 6.3.1 and 6.3.2</w:t>
            </w:r>
          </w:p>
        </w:tc>
        <w:tc>
          <w:tcPr>
            <w:tcW w:w="1746" w:type="dxa"/>
            <w:tcBorders>
              <w:top w:val="nil"/>
              <w:left w:val="nil"/>
              <w:bottom w:val="single" w:sz="4" w:space="0" w:color="auto"/>
              <w:right w:val="single" w:sz="4" w:space="0" w:color="auto"/>
            </w:tcBorders>
            <w:shd w:val="clear" w:color="auto" w:fill="auto"/>
            <w:noWrap/>
            <w:vAlign w:val="bottom"/>
            <w:hideMark/>
          </w:tcPr>
          <w:p w14:paraId="6F0CE491" w14:textId="77777777" w:rsidR="00283604" w:rsidRPr="00CD218D" w:rsidRDefault="00283604">
            <w:pPr>
              <w:pStyle w:val="Tabletext"/>
            </w:pPr>
            <w:r w:rsidRPr="00CD218D">
              <w:t>6.3.3</w:t>
            </w:r>
          </w:p>
        </w:tc>
      </w:tr>
      <w:tr w:rsidR="00283604" w:rsidRPr="00CD218D" w14:paraId="7592C83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CA22486" w14:textId="41E22B0A" w:rsidR="00283604" w:rsidRPr="00CD218D" w:rsidRDefault="00283604">
            <w:pPr>
              <w:pStyle w:val="Tabletext"/>
            </w:pPr>
            <w:r w:rsidRPr="00CD218D">
              <w:t>6-</w:t>
            </w:r>
            <w:r w:rsidR="00BF2E86" w:rsidRPr="00CD218D">
              <w:t>70</w:t>
            </w:r>
          </w:p>
        </w:tc>
        <w:tc>
          <w:tcPr>
            <w:tcW w:w="3743" w:type="dxa"/>
            <w:tcBorders>
              <w:top w:val="nil"/>
              <w:left w:val="nil"/>
              <w:bottom w:val="single" w:sz="4" w:space="0" w:color="auto"/>
              <w:right w:val="single" w:sz="4" w:space="0" w:color="auto"/>
            </w:tcBorders>
            <w:shd w:val="clear" w:color="auto" w:fill="auto"/>
            <w:vAlign w:val="bottom"/>
            <w:hideMark/>
          </w:tcPr>
          <w:p w14:paraId="236021EA" w14:textId="77777777" w:rsidR="00283604" w:rsidRPr="00CD218D" w:rsidRDefault="00283604">
            <w:pPr>
              <w:pStyle w:val="Tabletext"/>
            </w:pPr>
            <w:r w:rsidRPr="00CD218D">
              <w:t xml:space="preserve">Details of the election </w:t>
            </w:r>
          </w:p>
        </w:tc>
        <w:tc>
          <w:tcPr>
            <w:tcW w:w="1746" w:type="dxa"/>
            <w:tcBorders>
              <w:top w:val="nil"/>
              <w:left w:val="nil"/>
              <w:bottom w:val="single" w:sz="4" w:space="0" w:color="auto"/>
              <w:right w:val="single" w:sz="4" w:space="0" w:color="auto"/>
            </w:tcBorders>
            <w:shd w:val="clear" w:color="auto" w:fill="auto"/>
            <w:noWrap/>
            <w:vAlign w:val="bottom"/>
            <w:hideMark/>
          </w:tcPr>
          <w:p w14:paraId="3A01E3F4" w14:textId="77777777" w:rsidR="00283604" w:rsidRPr="00CD218D" w:rsidRDefault="00283604">
            <w:pPr>
              <w:pStyle w:val="Tabletext"/>
            </w:pPr>
            <w:r w:rsidRPr="00CD218D">
              <w:t>6.3.4</w:t>
            </w:r>
          </w:p>
        </w:tc>
      </w:tr>
      <w:tr w:rsidR="00283604" w:rsidRPr="00CD218D" w14:paraId="5F61C7A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B1848F1" w14:textId="726EEE6B" w:rsidR="00283604" w:rsidRPr="00A752EF" w:rsidRDefault="00283604">
            <w:pPr>
              <w:pStyle w:val="Tabletext"/>
            </w:pPr>
            <w:r w:rsidRPr="00A752EF">
              <w:t>6-</w:t>
            </w:r>
            <w:r w:rsidR="00BF2E86" w:rsidRPr="00A752EF">
              <w:t>75</w:t>
            </w:r>
            <w:r w:rsidRPr="00A752EF">
              <w:t>, 2-5(</w:t>
            </w:r>
            <w:r w:rsidR="00960690" w:rsidRPr="00A752EF">
              <w:t>3</w:t>
            </w:r>
            <w:r w:rsidR="00A752EF">
              <w:t>)</w:t>
            </w:r>
            <w:r w:rsidR="00960690" w:rsidRPr="00A752EF">
              <w:t>-</w:t>
            </w:r>
            <w:r w:rsidR="00A752EF">
              <w:t>(</w:t>
            </w:r>
            <w:r w:rsidRPr="00A752EF">
              <w:t>4)</w:t>
            </w:r>
          </w:p>
        </w:tc>
        <w:tc>
          <w:tcPr>
            <w:tcW w:w="3743" w:type="dxa"/>
            <w:tcBorders>
              <w:top w:val="nil"/>
              <w:left w:val="nil"/>
              <w:bottom w:val="single" w:sz="4" w:space="0" w:color="auto"/>
              <w:right w:val="single" w:sz="4" w:space="0" w:color="auto"/>
            </w:tcBorders>
            <w:shd w:val="clear" w:color="auto" w:fill="auto"/>
            <w:vAlign w:val="bottom"/>
            <w:hideMark/>
          </w:tcPr>
          <w:p w14:paraId="0DB3005F" w14:textId="77777777" w:rsidR="00283604" w:rsidRPr="00A752EF" w:rsidRDefault="00283604">
            <w:pPr>
              <w:pStyle w:val="Tabletext"/>
            </w:pPr>
            <w:r w:rsidRPr="00A752EF">
              <w:t>Joint Ventures</w:t>
            </w:r>
          </w:p>
        </w:tc>
        <w:tc>
          <w:tcPr>
            <w:tcW w:w="1746" w:type="dxa"/>
            <w:tcBorders>
              <w:top w:val="nil"/>
              <w:left w:val="nil"/>
              <w:bottom w:val="single" w:sz="4" w:space="0" w:color="auto"/>
              <w:right w:val="single" w:sz="4" w:space="0" w:color="auto"/>
            </w:tcBorders>
            <w:shd w:val="clear" w:color="auto" w:fill="auto"/>
            <w:noWrap/>
            <w:vAlign w:val="bottom"/>
            <w:hideMark/>
          </w:tcPr>
          <w:p w14:paraId="2722068B" w14:textId="77777777" w:rsidR="00283604" w:rsidRPr="00A752EF" w:rsidRDefault="00283604">
            <w:pPr>
              <w:pStyle w:val="Tabletext"/>
            </w:pPr>
            <w:r w:rsidRPr="00A752EF">
              <w:t>6.4.1</w:t>
            </w:r>
          </w:p>
        </w:tc>
      </w:tr>
      <w:tr w:rsidR="00283604" w:rsidRPr="00CD218D" w14:paraId="7F37991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535449C" w14:textId="28F9C89E" w:rsidR="00283604" w:rsidRPr="00A752EF" w:rsidRDefault="00283604">
            <w:pPr>
              <w:pStyle w:val="Tabletext"/>
            </w:pPr>
            <w:r w:rsidRPr="00A752EF">
              <w:t>6-8</w:t>
            </w:r>
            <w:r w:rsidR="00A752EF">
              <w:t>0</w:t>
            </w:r>
          </w:p>
        </w:tc>
        <w:tc>
          <w:tcPr>
            <w:tcW w:w="3743" w:type="dxa"/>
            <w:tcBorders>
              <w:top w:val="nil"/>
              <w:left w:val="nil"/>
              <w:bottom w:val="single" w:sz="4" w:space="0" w:color="auto"/>
              <w:right w:val="single" w:sz="4" w:space="0" w:color="auto"/>
            </w:tcBorders>
            <w:shd w:val="clear" w:color="auto" w:fill="auto"/>
            <w:vAlign w:val="bottom"/>
            <w:hideMark/>
          </w:tcPr>
          <w:p w14:paraId="2795E093" w14:textId="77777777" w:rsidR="00283604" w:rsidRPr="00A752EF" w:rsidRDefault="00283604">
            <w:pPr>
              <w:pStyle w:val="Tabletext"/>
            </w:pPr>
            <w:r w:rsidRPr="00A752EF">
              <w:t xml:space="preserve">Multi-Parented MNE Groups </w:t>
            </w:r>
          </w:p>
        </w:tc>
        <w:tc>
          <w:tcPr>
            <w:tcW w:w="1746" w:type="dxa"/>
            <w:tcBorders>
              <w:top w:val="nil"/>
              <w:left w:val="nil"/>
              <w:bottom w:val="single" w:sz="4" w:space="0" w:color="auto"/>
              <w:right w:val="single" w:sz="4" w:space="0" w:color="auto"/>
            </w:tcBorders>
            <w:shd w:val="clear" w:color="auto" w:fill="auto"/>
            <w:noWrap/>
            <w:vAlign w:val="bottom"/>
            <w:hideMark/>
          </w:tcPr>
          <w:p w14:paraId="3BD54151" w14:textId="77777777" w:rsidR="00283604" w:rsidRPr="00A752EF" w:rsidRDefault="00283604">
            <w:pPr>
              <w:pStyle w:val="Tabletext"/>
            </w:pPr>
            <w:r w:rsidRPr="00A752EF">
              <w:t>6.5.1</w:t>
            </w:r>
          </w:p>
        </w:tc>
      </w:tr>
      <w:tr w:rsidR="00283604" w:rsidRPr="00CD218D" w14:paraId="4DB6422A" w14:textId="77777777">
        <w:trPr>
          <w:trHeight w:val="300"/>
        </w:trPr>
        <w:tc>
          <w:tcPr>
            <w:tcW w:w="7701" w:type="dxa"/>
            <w:gridSpan w:val="3"/>
            <w:tcBorders>
              <w:top w:val="nil"/>
              <w:left w:val="single" w:sz="4" w:space="0" w:color="auto"/>
              <w:bottom w:val="single" w:sz="4" w:space="0" w:color="auto"/>
              <w:right w:val="single" w:sz="4" w:space="0" w:color="auto"/>
            </w:tcBorders>
            <w:shd w:val="clear" w:color="auto" w:fill="auto"/>
            <w:noWrap/>
            <w:vAlign w:val="bottom"/>
          </w:tcPr>
          <w:p w14:paraId="12F7F673" w14:textId="77777777" w:rsidR="00283604" w:rsidRPr="00CD218D" w:rsidRDefault="00283604" w:rsidP="00283604">
            <w:pPr>
              <w:pStyle w:val="Tableheaderrowtext"/>
              <w:numPr>
                <w:ilvl w:val="3"/>
                <w:numId w:val="2"/>
              </w:numPr>
            </w:pPr>
            <w:r w:rsidRPr="00CD218D">
              <w:t>Chapter 7 - Tax Neutrality and Distribution Regimes</w:t>
            </w:r>
          </w:p>
        </w:tc>
      </w:tr>
      <w:tr w:rsidR="00283604" w:rsidRPr="00CD218D" w14:paraId="76E2052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151B6C" w14:textId="77777777" w:rsidR="00283604" w:rsidRPr="00CD218D" w:rsidRDefault="00283604">
            <w:pPr>
              <w:pStyle w:val="Tabletext"/>
              <w:rPr>
                <w:b/>
                <w:bCs/>
              </w:rPr>
            </w:pPr>
            <w:r w:rsidRPr="00CD218D">
              <w:rPr>
                <w:b/>
                <w:bCs/>
              </w:rPr>
              <w:t>Part 7-1</w:t>
            </w:r>
          </w:p>
        </w:tc>
        <w:tc>
          <w:tcPr>
            <w:tcW w:w="3743" w:type="dxa"/>
            <w:tcBorders>
              <w:top w:val="nil"/>
              <w:left w:val="nil"/>
              <w:bottom w:val="single" w:sz="4" w:space="0" w:color="auto"/>
              <w:right w:val="single" w:sz="4" w:space="0" w:color="auto"/>
            </w:tcBorders>
            <w:shd w:val="clear" w:color="auto" w:fill="auto"/>
            <w:vAlign w:val="bottom"/>
            <w:hideMark/>
          </w:tcPr>
          <w:p w14:paraId="18C9FA18" w14:textId="5B3B6F73" w:rsidR="00283604" w:rsidRPr="00CD218D" w:rsidRDefault="001B58B0">
            <w:pPr>
              <w:pStyle w:val="Tabletext"/>
              <w:rPr>
                <w:b/>
                <w:bCs/>
              </w:rPr>
            </w:pPr>
            <w:r w:rsidRPr="00CD218D">
              <w:rPr>
                <w:b/>
                <w:bCs/>
              </w:rPr>
              <w:t>UPE</w:t>
            </w:r>
            <w:r w:rsidR="00283604" w:rsidRPr="00CD218D">
              <w:rPr>
                <w:b/>
                <w:bCs/>
              </w:rPr>
              <w:t xml:space="preserve"> that is a Flow-through Entity</w:t>
            </w:r>
          </w:p>
        </w:tc>
        <w:tc>
          <w:tcPr>
            <w:tcW w:w="1746" w:type="dxa"/>
            <w:tcBorders>
              <w:top w:val="nil"/>
              <w:left w:val="nil"/>
              <w:bottom w:val="single" w:sz="4" w:space="0" w:color="auto"/>
              <w:right w:val="single" w:sz="4" w:space="0" w:color="auto"/>
            </w:tcBorders>
            <w:shd w:val="clear" w:color="auto" w:fill="auto"/>
            <w:noWrap/>
            <w:vAlign w:val="bottom"/>
            <w:hideMark/>
          </w:tcPr>
          <w:p w14:paraId="178C27DD" w14:textId="77777777" w:rsidR="00283604" w:rsidRPr="00CD218D" w:rsidRDefault="00283604">
            <w:pPr>
              <w:pStyle w:val="Tabletext"/>
              <w:rPr>
                <w:b/>
                <w:bCs/>
              </w:rPr>
            </w:pPr>
            <w:r w:rsidRPr="00CD218D">
              <w:rPr>
                <w:b/>
                <w:bCs/>
              </w:rPr>
              <w:t>7.1</w:t>
            </w:r>
          </w:p>
        </w:tc>
      </w:tr>
      <w:tr w:rsidR="00283604" w:rsidRPr="00CD218D" w14:paraId="20512C0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7EC8807" w14:textId="77777777" w:rsidR="00283604" w:rsidRPr="00CD218D" w:rsidRDefault="00283604">
            <w:pPr>
              <w:pStyle w:val="Tabletext"/>
            </w:pPr>
            <w:r w:rsidRPr="00CD218D">
              <w:t>7-5</w:t>
            </w:r>
          </w:p>
        </w:tc>
        <w:tc>
          <w:tcPr>
            <w:tcW w:w="3743" w:type="dxa"/>
            <w:tcBorders>
              <w:top w:val="nil"/>
              <w:left w:val="nil"/>
              <w:bottom w:val="single" w:sz="4" w:space="0" w:color="auto"/>
              <w:right w:val="single" w:sz="4" w:space="0" w:color="auto"/>
            </w:tcBorders>
            <w:shd w:val="clear" w:color="auto" w:fill="auto"/>
            <w:vAlign w:val="bottom"/>
            <w:hideMark/>
          </w:tcPr>
          <w:p w14:paraId="282B4CE3" w14:textId="3FE8A7AE" w:rsidR="00283604" w:rsidRPr="00CD218D" w:rsidRDefault="00283604">
            <w:pPr>
              <w:pStyle w:val="Tabletext"/>
            </w:pPr>
            <w:r w:rsidRPr="00CD218D">
              <w:t xml:space="preserve">Calculating GloBE income for a UPE that is a </w:t>
            </w:r>
            <w:r w:rsidR="007F271F" w:rsidRPr="00CD218D">
              <w:t>Flow-through Entity</w:t>
            </w:r>
          </w:p>
        </w:tc>
        <w:tc>
          <w:tcPr>
            <w:tcW w:w="1746" w:type="dxa"/>
            <w:tcBorders>
              <w:top w:val="nil"/>
              <w:left w:val="nil"/>
              <w:bottom w:val="single" w:sz="4" w:space="0" w:color="auto"/>
              <w:right w:val="single" w:sz="4" w:space="0" w:color="auto"/>
            </w:tcBorders>
            <w:shd w:val="clear" w:color="auto" w:fill="auto"/>
            <w:noWrap/>
            <w:vAlign w:val="bottom"/>
            <w:hideMark/>
          </w:tcPr>
          <w:p w14:paraId="203159DD" w14:textId="77777777" w:rsidR="00283604" w:rsidRPr="00CD218D" w:rsidRDefault="00283604">
            <w:pPr>
              <w:pStyle w:val="Tabletext"/>
            </w:pPr>
            <w:r w:rsidRPr="00CD218D">
              <w:t>7.1.1</w:t>
            </w:r>
          </w:p>
        </w:tc>
      </w:tr>
      <w:tr w:rsidR="00283604" w:rsidRPr="00CD218D" w14:paraId="7B084CB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5120F75" w14:textId="77777777" w:rsidR="00283604" w:rsidRPr="00CD218D" w:rsidRDefault="00283604">
            <w:pPr>
              <w:pStyle w:val="Tabletext"/>
            </w:pPr>
            <w:r w:rsidRPr="00CD218D">
              <w:t>7-5(4)</w:t>
            </w:r>
          </w:p>
        </w:tc>
        <w:tc>
          <w:tcPr>
            <w:tcW w:w="3743" w:type="dxa"/>
            <w:tcBorders>
              <w:top w:val="nil"/>
              <w:left w:val="nil"/>
              <w:bottom w:val="single" w:sz="4" w:space="0" w:color="auto"/>
              <w:right w:val="single" w:sz="4" w:space="0" w:color="auto"/>
            </w:tcBorders>
            <w:shd w:val="clear" w:color="auto" w:fill="auto"/>
            <w:vAlign w:val="bottom"/>
          </w:tcPr>
          <w:p w14:paraId="00E7E754" w14:textId="77777777" w:rsidR="00283604" w:rsidRPr="00CD218D" w:rsidRDefault="00283604">
            <w:pPr>
              <w:pStyle w:val="Tabletext"/>
            </w:pPr>
            <w:r w:rsidRPr="00CD218D">
              <w:t xml:space="preserve">Rule for covered taxes </w:t>
            </w:r>
          </w:p>
        </w:tc>
        <w:tc>
          <w:tcPr>
            <w:tcW w:w="1746" w:type="dxa"/>
            <w:tcBorders>
              <w:top w:val="nil"/>
              <w:left w:val="nil"/>
              <w:bottom w:val="single" w:sz="4" w:space="0" w:color="auto"/>
              <w:right w:val="single" w:sz="4" w:space="0" w:color="auto"/>
            </w:tcBorders>
            <w:shd w:val="clear" w:color="auto" w:fill="auto"/>
            <w:noWrap/>
            <w:vAlign w:val="bottom"/>
          </w:tcPr>
          <w:p w14:paraId="5BA2439A" w14:textId="77777777" w:rsidR="00283604" w:rsidRPr="00CD218D" w:rsidRDefault="00283604">
            <w:pPr>
              <w:pStyle w:val="Tabletext"/>
            </w:pPr>
            <w:r w:rsidRPr="00CD218D">
              <w:t>7.1.3</w:t>
            </w:r>
          </w:p>
        </w:tc>
      </w:tr>
      <w:tr w:rsidR="00283604" w:rsidRPr="00CD218D" w14:paraId="60DCDBD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8746273" w14:textId="77777777" w:rsidR="00283604" w:rsidRPr="00CD218D" w:rsidRDefault="00283604">
            <w:pPr>
              <w:pStyle w:val="Tabletext"/>
            </w:pPr>
            <w:r w:rsidRPr="00CD218D">
              <w:lastRenderedPageBreak/>
              <w:t>7-10</w:t>
            </w:r>
          </w:p>
        </w:tc>
        <w:tc>
          <w:tcPr>
            <w:tcW w:w="3743" w:type="dxa"/>
            <w:tcBorders>
              <w:top w:val="nil"/>
              <w:left w:val="nil"/>
              <w:bottom w:val="single" w:sz="4" w:space="0" w:color="auto"/>
              <w:right w:val="single" w:sz="4" w:space="0" w:color="auto"/>
            </w:tcBorders>
            <w:shd w:val="clear" w:color="auto" w:fill="auto"/>
            <w:vAlign w:val="bottom"/>
            <w:hideMark/>
          </w:tcPr>
          <w:p w14:paraId="73F19863" w14:textId="77777777" w:rsidR="00283604" w:rsidRPr="00CD218D" w:rsidRDefault="00283604">
            <w:pPr>
              <w:pStyle w:val="Tabletext"/>
            </w:pPr>
            <w:r w:rsidRPr="00CD218D">
              <w:t>Calculating GloBE loss for a UPE that is a flow through</w:t>
            </w:r>
          </w:p>
        </w:tc>
        <w:tc>
          <w:tcPr>
            <w:tcW w:w="1746" w:type="dxa"/>
            <w:tcBorders>
              <w:top w:val="nil"/>
              <w:left w:val="nil"/>
              <w:bottom w:val="single" w:sz="4" w:space="0" w:color="auto"/>
              <w:right w:val="single" w:sz="4" w:space="0" w:color="auto"/>
            </w:tcBorders>
            <w:shd w:val="clear" w:color="auto" w:fill="auto"/>
            <w:noWrap/>
            <w:vAlign w:val="bottom"/>
            <w:hideMark/>
          </w:tcPr>
          <w:p w14:paraId="166FFA2A" w14:textId="77777777" w:rsidR="00283604" w:rsidRPr="00CD218D" w:rsidRDefault="00283604">
            <w:pPr>
              <w:pStyle w:val="Tabletext"/>
            </w:pPr>
            <w:r w:rsidRPr="00CD218D">
              <w:t>7.1.2</w:t>
            </w:r>
          </w:p>
        </w:tc>
      </w:tr>
      <w:tr w:rsidR="00283604" w:rsidRPr="00CD218D" w14:paraId="7712DEC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3E9FAD5" w14:textId="77777777" w:rsidR="00283604" w:rsidRPr="00CD218D" w:rsidRDefault="00283604">
            <w:pPr>
              <w:pStyle w:val="Tabletext"/>
            </w:pPr>
            <w:r w:rsidRPr="00CD218D">
              <w:t>7-15</w:t>
            </w:r>
          </w:p>
        </w:tc>
        <w:tc>
          <w:tcPr>
            <w:tcW w:w="3743" w:type="dxa"/>
            <w:tcBorders>
              <w:top w:val="nil"/>
              <w:left w:val="nil"/>
              <w:bottom w:val="single" w:sz="4" w:space="0" w:color="auto"/>
              <w:right w:val="single" w:sz="4" w:space="0" w:color="auto"/>
            </w:tcBorders>
            <w:shd w:val="clear" w:color="auto" w:fill="auto"/>
            <w:vAlign w:val="bottom"/>
            <w:hideMark/>
          </w:tcPr>
          <w:p w14:paraId="1248744E" w14:textId="38870A2D" w:rsidR="00283604" w:rsidRPr="00CD218D" w:rsidRDefault="00283604">
            <w:pPr>
              <w:pStyle w:val="Tabletext"/>
            </w:pPr>
            <w:r w:rsidRPr="00CD218D">
              <w:t xml:space="preserve">Application to a </w:t>
            </w:r>
            <w:r w:rsidR="002841AB" w:rsidRPr="00CD218D">
              <w:t xml:space="preserve">Permanent Establishment </w:t>
            </w:r>
          </w:p>
        </w:tc>
        <w:tc>
          <w:tcPr>
            <w:tcW w:w="1746" w:type="dxa"/>
            <w:tcBorders>
              <w:top w:val="nil"/>
              <w:left w:val="nil"/>
              <w:bottom w:val="single" w:sz="4" w:space="0" w:color="auto"/>
              <w:right w:val="single" w:sz="4" w:space="0" w:color="auto"/>
            </w:tcBorders>
            <w:shd w:val="clear" w:color="auto" w:fill="auto"/>
            <w:noWrap/>
            <w:vAlign w:val="bottom"/>
            <w:hideMark/>
          </w:tcPr>
          <w:p w14:paraId="00A28D49" w14:textId="77777777" w:rsidR="00283604" w:rsidRPr="00CD218D" w:rsidRDefault="00283604">
            <w:pPr>
              <w:pStyle w:val="Tabletext"/>
            </w:pPr>
            <w:r w:rsidRPr="00CD218D">
              <w:t>7.1.4</w:t>
            </w:r>
          </w:p>
        </w:tc>
      </w:tr>
      <w:tr w:rsidR="00283604" w:rsidRPr="00CD218D" w14:paraId="6A75380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F9F135" w14:textId="77777777" w:rsidR="00283604" w:rsidRPr="00CD218D" w:rsidRDefault="00283604">
            <w:pPr>
              <w:pStyle w:val="Tabletext"/>
              <w:rPr>
                <w:b/>
                <w:bCs/>
              </w:rPr>
            </w:pPr>
            <w:r w:rsidRPr="00CD218D">
              <w:rPr>
                <w:b/>
                <w:bCs/>
              </w:rPr>
              <w:t>Part 7-2</w:t>
            </w:r>
          </w:p>
        </w:tc>
        <w:tc>
          <w:tcPr>
            <w:tcW w:w="3743" w:type="dxa"/>
            <w:tcBorders>
              <w:top w:val="nil"/>
              <w:left w:val="nil"/>
              <w:bottom w:val="single" w:sz="4" w:space="0" w:color="auto"/>
              <w:right w:val="single" w:sz="4" w:space="0" w:color="auto"/>
            </w:tcBorders>
            <w:shd w:val="clear" w:color="auto" w:fill="auto"/>
            <w:vAlign w:val="bottom"/>
            <w:hideMark/>
          </w:tcPr>
          <w:p w14:paraId="74A74D00" w14:textId="40F559C0" w:rsidR="00283604" w:rsidRPr="00CD218D" w:rsidRDefault="001B58B0">
            <w:pPr>
              <w:pStyle w:val="Tabletext"/>
              <w:rPr>
                <w:b/>
                <w:bCs/>
              </w:rPr>
            </w:pPr>
            <w:r w:rsidRPr="00CD218D">
              <w:rPr>
                <w:b/>
                <w:bCs/>
              </w:rPr>
              <w:t>UPE</w:t>
            </w:r>
            <w:r w:rsidR="00283604" w:rsidRPr="00CD218D">
              <w:rPr>
                <w:b/>
                <w:bCs/>
              </w:rPr>
              <w:t xml:space="preserve"> subject to Deductible Dividend Regime</w:t>
            </w:r>
          </w:p>
        </w:tc>
        <w:tc>
          <w:tcPr>
            <w:tcW w:w="1746" w:type="dxa"/>
            <w:tcBorders>
              <w:top w:val="nil"/>
              <w:left w:val="nil"/>
              <w:bottom w:val="single" w:sz="4" w:space="0" w:color="auto"/>
              <w:right w:val="single" w:sz="4" w:space="0" w:color="auto"/>
            </w:tcBorders>
            <w:shd w:val="clear" w:color="auto" w:fill="auto"/>
            <w:noWrap/>
            <w:vAlign w:val="bottom"/>
            <w:hideMark/>
          </w:tcPr>
          <w:p w14:paraId="5141F588" w14:textId="77777777" w:rsidR="00283604" w:rsidRPr="00CD218D" w:rsidRDefault="00283604">
            <w:pPr>
              <w:pStyle w:val="Tabletext"/>
              <w:rPr>
                <w:b/>
                <w:bCs/>
              </w:rPr>
            </w:pPr>
            <w:r w:rsidRPr="00CD218D">
              <w:rPr>
                <w:b/>
                <w:bCs/>
              </w:rPr>
              <w:t>7.2</w:t>
            </w:r>
          </w:p>
        </w:tc>
      </w:tr>
      <w:tr w:rsidR="00283604" w:rsidRPr="00CD218D" w14:paraId="5178BA7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DF415CD" w14:textId="77777777" w:rsidR="00283604" w:rsidRPr="00CD218D" w:rsidRDefault="00283604">
            <w:pPr>
              <w:pStyle w:val="Tabletext"/>
            </w:pPr>
            <w:r w:rsidRPr="00CD218D">
              <w:t>7-20(1)-(3), 7-25, 7-30, 7-35</w:t>
            </w:r>
          </w:p>
        </w:tc>
        <w:tc>
          <w:tcPr>
            <w:tcW w:w="3743" w:type="dxa"/>
            <w:tcBorders>
              <w:top w:val="nil"/>
              <w:left w:val="nil"/>
              <w:bottom w:val="single" w:sz="4" w:space="0" w:color="auto"/>
              <w:right w:val="single" w:sz="4" w:space="0" w:color="auto"/>
            </w:tcBorders>
            <w:shd w:val="clear" w:color="auto" w:fill="auto"/>
            <w:vAlign w:val="bottom"/>
            <w:hideMark/>
          </w:tcPr>
          <w:p w14:paraId="07F53377" w14:textId="2A1967B4" w:rsidR="00283604" w:rsidRPr="00CD218D" w:rsidRDefault="00283604">
            <w:pPr>
              <w:pStyle w:val="Tabletext"/>
            </w:pPr>
            <w:r w:rsidRPr="00CD218D">
              <w:t xml:space="preserve">UPE to reduce </w:t>
            </w:r>
            <w:r w:rsidR="00264960">
              <w:t>GloBE</w:t>
            </w:r>
            <w:r w:rsidRPr="00CD218D">
              <w:t xml:space="preserve"> income if subject to a deductible dividend regime</w:t>
            </w:r>
          </w:p>
        </w:tc>
        <w:tc>
          <w:tcPr>
            <w:tcW w:w="1746" w:type="dxa"/>
            <w:tcBorders>
              <w:top w:val="nil"/>
              <w:left w:val="nil"/>
              <w:bottom w:val="single" w:sz="4" w:space="0" w:color="auto"/>
              <w:right w:val="single" w:sz="4" w:space="0" w:color="auto"/>
            </w:tcBorders>
            <w:shd w:val="clear" w:color="auto" w:fill="auto"/>
            <w:noWrap/>
            <w:vAlign w:val="bottom"/>
            <w:hideMark/>
          </w:tcPr>
          <w:p w14:paraId="64C41579" w14:textId="77777777" w:rsidR="00283604" w:rsidRPr="00CD218D" w:rsidRDefault="00283604">
            <w:pPr>
              <w:pStyle w:val="Tabletext"/>
            </w:pPr>
            <w:r w:rsidRPr="00CD218D">
              <w:t>7.2.1</w:t>
            </w:r>
          </w:p>
        </w:tc>
      </w:tr>
      <w:tr w:rsidR="00283604" w:rsidRPr="00CD218D" w14:paraId="0B2F8B5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F965C92" w14:textId="77777777" w:rsidR="00283604" w:rsidRPr="00CD218D" w:rsidRDefault="00283604">
            <w:pPr>
              <w:pStyle w:val="Tabletext"/>
            </w:pPr>
            <w:r w:rsidRPr="00CD218D">
              <w:t>7-20(4)</w:t>
            </w:r>
          </w:p>
        </w:tc>
        <w:tc>
          <w:tcPr>
            <w:tcW w:w="3743" w:type="dxa"/>
            <w:tcBorders>
              <w:top w:val="nil"/>
              <w:left w:val="nil"/>
              <w:bottom w:val="single" w:sz="4" w:space="0" w:color="auto"/>
              <w:right w:val="single" w:sz="4" w:space="0" w:color="auto"/>
            </w:tcBorders>
            <w:shd w:val="clear" w:color="auto" w:fill="auto"/>
            <w:vAlign w:val="bottom"/>
          </w:tcPr>
          <w:p w14:paraId="666A11BF" w14:textId="77777777" w:rsidR="00283604" w:rsidRPr="00CD218D" w:rsidRDefault="00283604">
            <w:pPr>
              <w:pStyle w:val="Tabletext"/>
            </w:pPr>
            <w:r w:rsidRPr="00CD218D">
              <w:t xml:space="preserve">Patronage dividends subject to tax in certain circumstances </w:t>
            </w:r>
          </w:p>
        </w:tc>
        <w:tc>
          <w:tcPr>
            <w:tcW w:w="1746" w:type="dxa"/>
            <w:tcBorders>
              <w:top w:val="nil"/>
              <w:left w:val="nil"/>
              <w:bottom w:val="single" w:sz="4" w:space="0" w:color="auto"/>
              <w:right w:val="single" w:sz="4" w:space="0" w:color="auto"/>
            </w:tcBorders>
            <w:shd w:val="clear" w:color="auto" w:fill="auto"/>
            <w:noWrap/>
            <w:vAlign w:val="bottom"/>
          </w:tcPr>
          <w:p w14:paraId="0E37BBE2" w14:textId="77777777" w:rsidR="00283604" w:rsidRPr="00CD218D" w:rsidRDefault="00283604">
            <w:pPr>
              <w:pStyle w:val="Tabletext"/>
            </w:pPr>
            <w:r w:rsidRPr="00CD218D">
              <w:t>7.2.4</w:t>
            </w:r>
          </w:p>
        </w:tc>
      </w:tr>
      <w:tr w:rsidR="00283604" w:rsidRPr="00CD218D" w14:paraId="55D0F8A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A026CD1" w14:textId="77777777" w:rsidR="00283604" w:rsidRPr="00CD218D" w:rsidRDefault="00283604">
            <w:pPr>
              <w:pStyle w:val="Tabletext"/>
            </w:pPr>
            <w:r w:rsidRPr="00CD218D">
              <w:t>7-20(5)</w:t>
            </w:r>
          </w:p>
        </w:tc>
        <w:tc>
          <w:tcPr>
            <w:tcW w:w="3743" w:type="dxa"/>
            <w:tcBorders>
              <w:top w:val="nil"/>
              <w:left w:val="nil"/>
              <w:bottom w:val="single" w:sz="4" w:space="0" w:color="auto"/>
              <w:right w:val="single" w:sz="4" w:space="0" w:color="auto"/>
            </w:tcBorders>
            <w:shd w:val="clear" w:color="auto" w:fill="auto"/>
            <w:vAlign w:val="bottom"/>
            <w:hideMark/>
          </w:tcPr>
          <w:p w14:paraId="0A155556" w14:textId="475A285A" w:rsidR="00283604" w:rsidRPr="00CD218D" w:rsidRDefault="00283604">
            <w:pPr>
              <w:pStyle w:val="Tabletext"/>
            </w:pPr>
            <w:r w:rsidRPr="00CD218D">
              <w:t xml:space="preserve">UPE to reduce adjusted covered taxes if </w:t>
            </w:r>
            <w:r w:rsidR="00264960">
              <w:t>GloBE</w:t>
            </w:r>
            <w:r w:rsidRPr="00CD218D">
              <w:t xml:space="preserve"> income reduced</w:t>
            </w:r>
          </w:p>
        </w:tc>
        <w:tc>
          <w:tcPr>
            <w:tcW w:w="1746" w:type="dxa"/>
            <w:tcBorders>
              <w:top w:val="nil"/>
              <w:left w:val="nil"/>
              <w:bottom w:val="single" w:sz="4" w:space="0" w:color="auto"/>
              <w:right w:val="single" w:sz="4" w:space="0" w:color="auto"/>
            </w:tcBorders>
            <w:shd w:val="clear" w:color="auto" w:fill="auto"/>
            <w:noWrap/>
            <w:vAlign w:val="bottom"/>
            <w:hideMark/>
          </w:tcPr>
          <w:p w14:paraId="6F777BB0" w14:textId="77777777" w:rsidR="00283604" w:rsidRPr="00CD218D" w:rsidRDefault="00283604">
            <w:pPr>
              <w:pStyle w:val="Tabletext"/>
            </w:pPr>
            <w:r w:rsidRPr="00CD218D">
              <w:t>7.2.2</w:t>
            </w:r>
          </w:p>
        </w:tc>
      </w:tr>
      <w:tr w:rsidR="00283604" w:rsidRPr="00CD218D" w14:paraId="6269149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CE0509F" w14:textId="77777777" w:rsidR="00283604" w:rsidRPr="00CD218D" w:rsidRDefault="00283604">
            <w:pPr>
              <w:pStyle w:val="Tabletext"/>
            </w:pPr>
            <w:r w:rsidRPr="00CD218D">
              <w:t>7-20(6)</w:t>
            </w:r>
          </w:p>
        </w:tc>
        <w:tc>
          <w:tcPr>
            <w:tcW w:w="3743" w:type="dxa"/>
            <w:tcBorders>
              <w:top w:val="nil"/>
              <w:left w:val="nil"/>
              <w:bottom w:val="single" w:sz="4" w:space="0" w:color="auto"/>
              <w:right w:val="single" w:sz="4" w:space="0" w:color="auto"/>
            </w:tcBorders>
            <w:shd w:val="clear" w:color="auto" w:fill="auto"/>
            <w:vAlign w:val="bottom"/>
            <w:hideMark/>
          </w:tcPr>
          <w:p w14:paraId="5481CCCF" w14:textId="4D383FEA" w:rsidR="00283604" w:rsidRPr="00CD218D" w:rsidRDefault="00283604">
            <w:pPr>
              <w:pStyle w:val="Tabletext"/>
            </w:pPr>
            <w:r w:rsidRPr="00CD218D">
              <w:t xml:space="preserve">UPE ownership interest in another </w:t>
            </w:r>
            <w:r w:rsidR="002841AB" w:rsidRPr="00CD218D">
              <w:t xml:space="preserve">Constituent Entity </w:t>
            </w:r>
            <w:r w:rsidRPr="00CD218D">
              <w:t>subject to a deductible dividend regime</w:t>
            </w:r>
          </w:p>
        </w:tc>
        <w:tc>
          <w:tcPr>
            <w:tcW w:w="1746" w:type="dxa"/>
            <w:tcBorders>
              <w:top w:val="nil"/>
              <w:left w:val="nil"/>
              <w:bottom w:val="single" w:sz="4" w:space="0" w:color="auto"/>
              <w:right w:val="single" w:sz="4" w:space="0" w:color="auto"/>
            </w:tcBorders>
            <w:shd w:val="clear" w:color="auto" w:fill="auto"/>
            <w:noWrap/>
            <w:vAlign w:val="bottom"/>
            <w:hideMark/>
          </w:tcPr>
          <w:p w14:paraId="129B145E" w14:textId="77777777" w:rsidR="00283604" w:rsidRPr="00CD218D" w:rsidRDefault="00283604">
            <w:pPr>
              <w:pStyle w:val="Tabletext"/>
            </w:pPr>
            <w:r w:rsidRPr="00CD218D">
              <w:t>7.2.3</w:t>
            </w:r>
          </w:p>
        </w:tc>
      </w:tr>
      <w:tr w:rsidR="00283604" w:rsidRPr="00CD218D" w14:paraId="2907CB6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447D8C4" w14:textId="77777777" w:rsidR="00283604" w:rsidRPr="00CD218D" w:rsidRDefault="00283604">
            <w:pPr>
              <w:pStyle w:val="Tabletext"/>
              <w:rPr>
                <w:b/>
                <w:bCs/>
              </w:rPr>
            </w:pPr>
            <w:r w:rsidRPr="00CD218D">
              <w:rPr>
                <w:b/>
                <w:bCs/>
              </w:rPr>
              <w:t>Part 7-3</w:t>
            </w:r>
          </w:p>
        </w:tc>
        <w:tc>
          <w:tcPr>
            <w:tcW w:w="3743" w:type="dxa"/>
            <w:tcBorders>
              <w:top w:val="nil"/>
              <w:left w:val="nil"/>
              <w:bottom w:val="single" w:sz="4" w:space="0" w:color="auto"/>
              <w:right w:val="single" w:sz="4" w:space="0" w:color="auto"/>
            </w:tcBorders>
            <w:shd w:val="clear" w:color="auto" w:fill="auto"/>
            <w:vAlign w:val="bottom"/>
            <w:hideMark/>
          </w:tcPr>
          <w:p w14:paraId="0353D756" w14:textId="77777777" w:rsidR="00283604" w:rsidRPr="00CD218D" w:rsidRDefault="00283604">
            <w:pPr>
              <w:pStyle w:val="Tabletext"/>
              <w:rPr>
                <w:b/>
                <w:bCs/>
              </w:rPr>
            </w:pPr>
            <w:r w:rsidRPr="00CD218D">
              <w:rPr>
                <w:b/>
                <w:bCs/>
              </w:rPr>
              <w:t>Eligible Distribution Tax Systems</w:t>
            </w:r>
          </w:p>
        </w:tc>
        <w:tc>
          <w:tcPr>
            <w:tcW w:w="1746" w:type="dxa"/>
            <w:tcBorders>
              <w:top w:val="nil"/>
              <w:left w:val="nil"/>
              <w:bottom w:val="single" w:sz="4" w:space="0" w:color="auto"/>
              <w:right w:val="single" w:sz="4" w:space="0" w:color="auto"/>
            </w:tcBorders>
            <w:shd w:val="clear" w:color="auto" w:fill="auto"/>
            <w:noWrap/>
            <w:vAlign w:val="bottom"/>
            <w:hideMark/>
          </w:tcPr>
          <w:p w14:paraId="4278A2BC" w14:textId="77777777" w:rsidR="00283604" w:rsidRPr="00CD218D" w:rsidRDefault="00283604">
            <w:pPr>
              <w:pStyle w:val="Tabletext"/>
              <w:rPr>
                <w:b/>
                <w:bCs/>
              </w:rPr>
            </w:pPr>
            <w:r w:rsidRPr="00CD218D">
              <w:rPr>
                <w:b/>
                <w:bCs/>
              </w:rPr>
              <w:t>7.3</w:t>
            </w:r>
          </w:p>
        </w:tc>
      </w:tr>
      <w:tr w:rsidR="00283604" w:rsidRPr="00CD218D" w14:paraId="714B857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B124B37" w14:textId="77777777" w:rsidR="00283604" w:rsidRPr="00CD218D" w:rsidRDefault="00283604">
            <w:pPr>
              <w:pStyle w:val="Tabletext"/>
            </w:pPr>
            <w:r w:rsidRPr="00CD218D">
              <w:t xml:space="preserve">7-40 and 7-50(1) </w:t>
            </w:r>
          </w:p>
        </w:tc>
        <w:tc>
          <w:tcPr>
            <w:tcW w:w="3743" w:type="dxa"/>
            <w:tcBorders>
              <w:top w:val="nil"/>
              <w:left w:val="nil"/>
              <w:bottom w:val="single" w:sz="4" w:space="0" w:color="auto"/>
              <w:right w:val="single" w:sz="4" w:space="0" w:color="auto"/>
            </w:tcBorders>
            <w:shd w:val="clear" w:color="auto" w:fill="auto"/>
            <w:vAlign w:val="bottom"/>
            <w:hideMark/>
          </w:tcPr>
          <w:p w14:paraId="77DC43EF" w14:textId="77777777" w:rsidR="00283604" w:rsidRPr="00CD218D" w:rsidRDefault="00283604">
            <w:pPr>
              <w:pStyle w:val="Tabletext"/>
            </w:pPr>
            <w:r w:rsidRPr="00CD218D">
              <w:t xml:space="preserve">Annual election for eligible distribution tax system </w:t>
            </w:r>
          </w:p>
        </w:tc>
        <w:tc>
          <w:tcPr>
            <w:tcW w:w="1746" w:type="dxa"/>
            <w:tcBorders>
              <w:top w:val="nil"/>
              <w:left w:val="nil"/>
              <w:bottom w:val="single" w:sz="4" w:space="0" w:color="auto"/>
              <w:right w:val="single" w:sz="4" w:space="0" w:color="auto"/>
            </w:tcBorders>
            <w:shd w:val="clear" w:color="auto" w:fill="auto"/>
            <w:noWrap/>
            <w:vAlign w:val="bottom"/>
            <w:hideMark/>
          </w:tcPr>
          <w:p w14:paraId="5827288D" w14:textId="77777777" w:rsidR="00283604" w:rsidRPr="00CD218D" w:rsidRDefault="00283604">
            <w:pPr>
              <w:pStyle w:val="Tabletext"/>
            </w:pPr>
            <w:r w:rsidRPr="00CD218D">
              <w:t>7.3.1</w:t>
            </w:r>
          </w:p>
        </w:tc>
      </w:tr>
      <w:tr w:rsidR="00283604" w:rsidRPr="00CD218D" w14:paraId="1B605E4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94BCA58" w14:textId="77777777" w:rsidR="00283604" w:rsidRPr="00CD218D" w:rsidRDefault="00283604">
            <w:pPr>
              <w:pStyle w:val="Tabletext"/>
            </w:pPr>
            <w:r w:rsidRPr="00CD218D">
              <w:t>7-50(2)-(3)</w:t>
            </w:r>
          </w:p>
        </w:tc>
        <w:tc>
          <w:tcPr>
            <w:tcW w:w="3743" w:type="dxa"/>
            <w:tcBorders>
              <w:top w:val="nil"/>
              <w:left w:val="nil"/>
              <w:bottom w:val="single" w:sz="4" w:space="0" w:color="auto"/>
              <w:right w:val="single" w:sz="4" w:space="0" w:color="auto"/>
            </w:tcBorders>
            <w:shd w:val="clear" w:color="auto" w:fill="auto"/>
            <w:vAlign w:val="bottom"/>
            <w:hideMark/>
          </w:tcPr>
          <w:p w14:paraId="6B9E8116" w14:textId="77777777" w:rsidR="00283604" w:rsidRPr="00CD218D" w:rsidRDefault="00283604">
            <w:pPr>
              <w:pStyle w:val="Tabletext"/>
            </w:pPr>
            <w:r w:rsidRPr="00CD218D">
              <w:t xml:space="preserve">Amount of deemed distribution tax </w:t>
            </w:r>
          </w:p>
        </w:tc>
        <w:tc>
          <w:tcPr>
            <w:tcW w:w="1746" w:type="dxa"/>
            <w:tcBorders>
              <w:top w:val="nil"/>
              <w:left w:val="nil"/>
              <w:bottom w:val="single" w:sz="4" w:space="0" w:color="auto"/>
              <w:right w:val="single" w:sz="4" w:space="0" w:color="auto"/>
            </w:tcBorders>
            <w:shd w:val="clear" w:color="auto" w:fill="auto"/>
            <w:noWrap/>
            <w:vAlign w:val="bottom"/>
            <w:hideMark/>
          </w:tcPr>
          <w:p w14:paraId="3ACB1138" w14:textId="77777777" w:rsidR="00283604" w:rsidRPr="00CD218D" w:rsidRDefault="00283604">
            <w:pPr>
              <w:pStyle w:val="Tabletext"/>
            </w:pPr>
            <w:r w:rsidRPr="00CD218D">
              <w:t>7.3.2</w:t>
            </w:r>
          </w:p>
        </w:tc>
      </w:tr>
      <w:tr w:rsidR="00283604" w:rsidRPr="00CD218D" w14:paraId="367B059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B0E51FD" w14:textId="77777777" w:rsidR="00283604" w:rsidRPr="00CD218D" w:rsidRDefault="00283604">
            <w:pPr>
              <w:pStyle w:val="Tabletext"/>
            </w:pPr>
            <w:r w:rsidRPr="00CD218D">
              <w:t>7-50(4) and 7-55</w:t>
            </w:r>
          </w:p>
        </w:tc>
        <w:tc>
          <w:tcPr>
            <w:tcW w:w="3743" w:type="dxa"/>
            <w:tcBorders>
              <w:top w:val="nil"/>
              <w:left w:val="nil"/>
              <w:bottom w:val="single" w:sz="4" w:space="0" w:color="auto"/>
              <w:right w:val="single" w:sz="4" w:space="0" w:color="auto"/>
            </w:tcBorders>
            <w:shd w:val="clear" w:color="auto" w:fill="auto"/>
            <w:vAlign w:val="bottom"/>
            <w:hideMark/>
          </w:tcPr>
          <w:p w14:paraId="4F6C4295" w14:textId="77777777" w:rsidR="00283604" w:rsidRPr="00CD218D" w:rsidRDefault="00283604">
            <w:pPr>
              <w:pStyle w:val="Tabletext"/>
            </w:pPr>
            <w:r w:rsidRPr="00CD218D">
              <w:t>Annual Distribution tax recapture account</w:t>
            </w:r>
          </w:p>
        </w:tc>
        <w:tc>
          <w:tcPr>
            <w:tcW w:w="1746" w:type="dxa"/>
            <w:tcBorders>
              <w:top w:val="nil"/>
              <w:left w:val="nil"/>
              <w:bottom w:val="single" w:sz="4" w:space="0" w:color="auto"/>
              <w:right w:val="single" w:sz="4" w:space="0" w:color="auto"/>
            </w:tcBorders>
            <w:shd w:val="clear" w:color="auto" w:fill="auto"/>
            <w:noWrap/>
            <w:vAlign w:val="bottom"/>
            <w:hideMark/>
          </w:tcPr>
          <w:p w14:paraId="074328A5" w14:textId="77777777" w:rsidR="00283604" w:rsidRPr="00CD218D" w:rsidRDefault="00283604">
            <w:pPr>
              <w:pStyle w:val="Tabletext"/>
            </w:pPr>
            <w:r w:rsidRPr="00CD218D">
              <w:t>7.3.3</w:t>
            </w:r>
          </w:p>
        </w:tc>
      </w:tr>
      <w:tr w:rsidR="00283604" w:rsidRPr="00CD218D" w14:paraId="160A6FC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892BF9C" w14:textId="77777777" w:rsidR="00283604" w:rsidRPr="00CD218D" w:rsidRDefault="00283604">
            <w:pPr>
              <w:pStyle w:val="Tabletext"/>
            </w:pPr>
            <w:r w:rsidRPr="00CD218D">
              <w:t>7-60</w:t>
            </w:r>
          </w:p>
        </w:tc>
        <w:tc>
          <w:tcPr>
            <w:tcW w:w="3743" w:type="dxa"/>
            <w:tcBorders>
              <w:top w:val="nil"/>
              <w:left w:val="nil"/>
              <w:bottom w:val="single" w:sz="4" w:space="0" w:color="auto"/>
              <w:right w:val="single" w:sz="4" w:space="0" w:color="auto"/>
            </w:tcBorders>
            <w:shd w:val="clear" w:color="auto" w:fill="auto"/>
            <w:vAlign w:val="bottom"/>
            <w:hideMark/>
          </w:tcPr>
          <w:p w14:paraId="20CD9545" w14:textId="77777777" w:rsidR="00283604" w:rsidRPr="00CD218D" w:rsidRDefault="00283604">
            <w:pPr>
              <w:pStyle w:val="Tabletext"/>
            </w:pPr>
            <w:r w:rsidRPr="00CD218D">
              <w:t>Recapture account loss carry forward</w:t>
            </w:r>
          </w:p>
        </w:tc>
        <w:tc>
          <w:tcPr>
            <w:tcW w:w="1746" w:type="dxa"/>
            <w:tcBorders>
              <w:top w:val="nil"/>
              <w:left w:val="nil"/>
              <w:bottom w:val="single" w:sz="4" w:space="0" w:color="auto"/>
              <w:right w:val="single" w:sz="4" w:space="0" w:color="auto"/>
            </w:tcBorders>
            <w:shd w:val="clear" w:color="auto" w:fill="auto"/>
            <w:noWrap/>
            <w:vAlign w:val="bottom"/>
            <w:hideMark/>
          </w:tcPr>
          <w:p w14:paraId="09E44A7E" w14:textId="77777777" w:rsidR="00283604" w:rsidRPr="00CD218D" w:rsidRDefault="00283604">
            <w:pPr>
              <w:pStyle w:val="Tabletext"/>
            </w:pPr>
            <w:r w:rsidRPr="00CD218D">
              <w:t>7.3.4</w:t>
            </w:r>
          </w:p>
        </w:tc>
      </w:tr>
      <w:tr w:rsidR="00283604" w:rsidRPr="00CD218D" w14:paraId="4606490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6E30DB" w14:textId="77777777" w:rsidR="00283604" w:rsidRPr="00CD218D" w:rsidRDefault="00283604">
            <w:pPr>
              <w:pStyle w:val="Tabletext"/>
            </w:pPr>
            <w:r w:rsidRPr="00CD218D">
              <w:t>7-65</w:t>
            </w:r>
          </w:p>
        </w:tc>
        <w:tc>
          <w:tcPr>
            <w:tcW w:w="3743" w:type="dxa"/>
            <w:tcBorders>
              <w:top w:val="nil"/>
              <w:left w:val="nil"/>
              <w:bottom w:val="single" w:sz="4" w:space="0" w:color="auto"/>
              <w:right w:val="single" w:sz="4" w:space="0" w:color="auto"/>
            </w:tcBorders>
            <w:shd w:val="clear" w:color="auto" w:fill="auto"/>
            <w:vAlign w:val="bottom"/>
            <w:hideMark/>
          </w:tcPr>
          <w:p w14:paraId="03551110" w14:textId="77777777" w:rsidR="00283604" w:rsidRPr="00CD218D" w:rsidRDefault="00283604">
            <w:pPr>
              <w:pStyle w:val="Tabletext"/>
            </w:pPr>
            <w:r w:rsidRPr="00CD218D">
              <w:t>Outstanding balance of deemed distribution tax recapture account</w:t>
            </w:r>
          </w:p>
        </w:tc>
        <w:tc>
          <w:tcPr>
            <w:tcW w:w="1746" w:type="dxa"/>
            <w:tcBorders>
              <w:top w:val="nil"/>
              <w:left w:val="nil"/>
              <w:bottom w:val="single" w:sz="4" w:space="0" w:color="auto"/>
              <w:right w:val="single" w:sz="4" w:space="0" w:color="auto"/>
            </w:tcBorders>
            <w:shd w:val="clear" w:color="auto" w:fill="auto"/>
            <w:noWrap/>
            <w:vAlign w:val="bottom"/>
            <w:hideMark/>
          </w:tcPr>
          <w:p w14:paraId="717C3B92" w14:textId="77777777" w:rsidR="00283604" w:rsidRPr="00CD218D" w:rsidRDefault="00283604">
            <w:pPr>
              <w:pStyle w:val="Tabletext"/>
            </w:pPr>
            <w:r w:rsidRPr="00CD218D">
              <w:t>7.3.5</w:t>
            </w:r>
          </w:p>
        </w:tc>
      </w:tr>
      <w:tr w:rsidR="00283604" w:rsidRPr="00CD218D" w14:paraId="44B82E24"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A2D4F9C" w14:textId="77777777" w:rsidR="00283604" w:rsidRPr="00CD218D" w:rsidRDefault="00283604">
            <w:pPr>
              <w:pStyle w:val="Tabletext"/>
            </w:pPr>
            <w:r w:rsidRPr="00CD218D">
              <w:t>7-70</w:t>
            </w:r>
          </w:p>
        </w:tc>
        <w:tc>
          <w:tcPr>
            <w:tcW w:w="3743" w:type="dxa"/>
            <w:tcBorders>
              <w:top w:val="nil"/>
              <w:left w:val="nil"/>
              <w:bottom w:val="single" w:sz="4" w:space="0" w:color="auto"/>
              <w:right w:val="single" w:sz="4" w:space="0" w:color="auto"/>
            </w:tcBorders>
            <w:shd w:val="clear" w:color="auto" w:fill="auto"/>
            <w:vAlign w:val="bottom"/>
            <w:hideMark/>
          </w:tcPr>
          <w:p w14:paraId="37541659" w14:textId="77777777" w:rsidR="00283604" w:rsidRPr="00CD218D" w:rsidRDefault="00283604">
            <w:pPr>
              <w:pStyle w:val="Tabletext"/>
            </w:pPr>
            <w:r w:rsidRPr="00CD218D">
              <w:t>Exclude certain taxes paid on distributions from adjusted covered taxes</w:t>
            </w:r>
          </w:p>
        </w:tc>
        <w:tc>
          <w:tcPr>
            <w:tcW w:w="1746" w:type="dxa"/>
            <w:tcBorders>
              <w:top w:val="nil"/>
              <w:left w:val="nil"/>
              <w:bottom w:val="single" w:sz="4" w:space="0" w:color="auto"/>
              <w:right w:val="single" w:sz="4" w:space="0" w:color="auto"/>
            </w:tcBorders>
            <w:shd w:val="clear" w:color="auto" w:fill="auto"/>
            <w:noWrap/>
            <w:vAlign w:val="bottom"/>
            <w:hideMark/>
          </w:tcPr>
          <w:p w14:paraId="2FEA25C8" w14:textId="77777777" w:rsidR="00283604" w:rsidRPr="00CD218D" w:rsidRDefault="00283604">
            <w:pPr>
              <w:pStyle w:val="Tabletext"/>
            </w:pPr>
            <w:r w:rsidRPr="00CD218D">
              <w:t>7.3.6</w:t>
            </w:r>
          </w:p>
        </w:tc>
      </w:tr>
      <w:tr w:rsidR="00283604" w:rsidRPr="00CD218D" w14:paraId="143BBE3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8CEF5AA" w14:textId="77777777" w:rsidR="00283604" w:rsidRPr="00CD218D" w:rsidRDefault="00283604">
            <w:pPr>
              <w:pStyle w:val="Tabletext"/>
            </w:pPr>
            <w:r w:rsidRPr="00CD218D">
              <w:t xml:space="preserve">7-75(1)-(2) </w:t>
            </w:r>
          </w:p>
        </w:tc>
        <w:tc>
          <w:tcPr>
            <w:tcW w:w="3743" w:type="dxa"/>
            <w:tcBorders>
              <w:top w:val="nil"/>
              <w:left w:val="nil"/>
              <w:bottom w:val="single" w:sz="4" w:space="0" w:color="auto"/>
              <w:right w:val="single" w:sz="4" w:space="0" w:color="auto"/>
            </w:tcBorders>
            <w:shd w:val="clear" w:color="auto" w:fill="auto"/>
            <w:vAlign w:val="bottom"/>
            <w:hideMark/>
          </w:tcPr>
          <w:p w14:paraId="66B36BBF" w14:textId="0AB5D90A" w:rsidR="00283604" w:rsidRPr="00CD218D" w:rsidRDefault="00283604">
            <w:pPr>
              <w:pStyle w:val="Tabletext"/>
            </w:pPr>
            <w:r w:rsidRPr="00CD218D">
              <w:t xml:space="preserve">Departing </w:t>
            </w:r>
            <w:r w:rsidR="002841AB" w:rsidRPr="00CD218D">
              <w:t xml:space="preserve">Constituent Entity </w:t>
            </w:r>
            <w:r w:rsidRPr="00CD218D">
              <w:t xml:space="preserve">leaving the </w:t>
            </w:r>
            <w:r w:rsidR="002330EF">
              <w:t>MNE Group</w:t>
            </w:r>
            <w:r w:rsidRPr="00CD218D">
              <w:t xml:space="preserve"> or transferring assets</w:t>
            </w:r>
          </w:p>
        </w:tc>
        <w:tc>
          <w:tcPr>
            <w:tcW w:w="1746" w:type="dxa"/>
            <w:tcBorders>
              <w:top w:val="nil"/>
              <w:left w:val="nil"/>
              <w:bottom w:val="single" w:sz="4" w:space="0" w:color="auto"/>
              <w:right w:val="single" w:sz="4" w:space="0" w:color="auto"/>
            </w:tcBorders>
            <w:shd w:val="clear" w:color="auto" w:fill="auto"/>
            <w:noWrap/>
            <w:vAlign w:val="bottom"/>
            <w:hideMark/>
          </w:tcPr>
          <w:p w14:paraId="0C397B4C" w14:textId="77777777" w:rsidR="00283604" w:rsidRPr="00CD218D" w:rsidRDefault="00283604">
            <w:pPr>
              <w:pStyle w:val="Tabletext"/>
            </w:pPr>
            <w:r w:rsidRPr="00CD218D">
              <w:t>7.3.7</w:t>
            </w:r>
          </w:p>
        </w:tc>
      </w:tr>
      <w:tr w:rsidR="00283604" w:rsidRPr="00CD218D" w14:paraId="579B8AE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2FD393E" w14:textId="77777777" w:rsidR="00283604" w:rsidRPr="00CD218D" w:rsidRDefault="00283604">
            <w:pPr>
              <w:pStyle w:val="Tabletext"/>
            </w:pPr>
            <w:r w:rsidRPr="00CD218D">
              <w:t>7-75(3)</w:t>
            </w:r>
          </w:p>
        </w:tc>
        <w:tc>
          <w:tcPr>
            <w:tcW w:w="3743" w:type="dxa"/>
            <w:tcBorders>
              <w:top w:val="nil"/>
              <w:left w:val="nil"/>
              <w:bottom w:val="single" w:sz="4" w:space="0" w:color="auto"/>
              <w:right w:val="single" w:sz="4" w:space="0" w:color="auto"/>
            </w:tcBorders>
            <w:shd w:val="clear" w:color="auto" w:fill="auto"/>
            <w:vAlign w:val="bottom"/>
            <w:hideMark/>
          </w:tcPr>
          <w:p w14:paraId="5789E3A0" w14:textId="77777777" w:rsidR="00283604" w:rsidRPr="00CD218D" w:rsidRDefault="00283604">
            <w:pPr>
              <w:pStyle w:val="Tabletext"/>
            </w:pPr>
            <w:r w:rsidRPr="00CD218D">
              <w:t xml:space="preserve">Calculation of disposition recapture ratio </w:t>
            </w:r>
          </w:p>
        </w:tc>
        <w:tc>
          <w:tcPr>
            <w:tcW w:w="1746" w:type="dxa"/>
            <w:tcBorders>
              <w:top w:val="nil"/>
              <w:left w:val="nil"/>
              <w:bottom w:val="single" w:sz="4" w:space="0" w:color="auto"/>
              <w:right w:val="single" w:sz="4" w:space="0" w:color="auto"/>
            </w:tcBorders>
            <w:shd w:val="clear" w:color="auto" w:fill="auto"/>
            <w:noWrap/>
            <w:vAlign w:val="bottom"/>
            <w:hideMark/>
          </w:tcPr>
          <w:p w14:paraId="5FEE64BD" w14:textId="77777777" w:rsidR="00283604" w:rsidRPr="00CD218D" w:rsidRDefault="00283604">
            <w:pPr>
              <w:pStyle w:val="Tabletext"/>
            </w:pPr>
            <w:r w:rsidRPr="00CD218D">
              <w:t>7.3.8</w:t>
            </w:r>
          </w:p>
        </w:tc>
      </w:tr>
      <w:tr w:rsidR="00283604" w:rsidRPr="00CD218D" w14:paraId="2050A77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52D0E33" w14:textId="77777777" w:rsidR="00283604" w:rsidRPr="00CD218D" w:rsidRDefault="00283604">
            <w:pPr>
              <w:pStyle w:val="Tabletext"/>
              <w:rPr>
                <w:b/>
                <w:bCs/>
              </w:rPr>
            </w:pPr>
            <w:r w:rsidRPr="00CD218D">
              <w:rPr>
                <w:b/>
                <w:bCs/>
              </w:rPr>
              <w:t>Part 7-4</w:t>
            </w:r>
          </w:p>
        </w:tc>
        <w:tc>
          <w:tcPr>
            <w:tcW w:w="3743" w:type="dxa"/>
            <w:tcBorders>
              <w:top w:val="nil"/>
              <w:left w:val="nil"/>
              <w:bottom w:val="single" w:sz="4" w:space="0" w:color="auto"/>
              <w:right w:val="single" w:sz="4" w:space="0" w:color="auto"/>
            </w:tcBorders>
            <w:shd w:val="clear" w:color="auto" w:fill="auto"/>
            <w:vAlign w:val="bottom"/>
            <w:hideMark/>
          </w:tcPr>
          <w:p w14:paraId="2C86702D" w14:textId="77777777" w:rsidR="00283604" w:rsidRPr="00CD218D" w:rsidRDefault="00283604">
            <w:pPr>
              <w:pStyle w:val="Tabletext"/>
              <w:rPr>
                <w:b/>
                <w:bCs/>
              </w:rPr>
            </w:pPr>
            <w:r w:rsidRPr="00CD218D">
              <w:rPr>
                <w:b/>
                <w:bCs/>
              </w:rPr>
              <w:t>Effective Tax Rate Computation for Investment Entities</w:t>
            </w:r>
          </w:p>
        </w:tc>
        <w:tc>
          <w:tcPr>
            <w:tcW w:w="1746" w:type="dxa"/>
            <w:tcBorders>
              <w:top w:val="nil"/>
              <w:left w:val="nil"/>
              <w:bottom w:val="single" w:sz="4" w:space="0" w:color="auto"/>
              <w:right w:val="single" w:sz="4" w:space="0" w:color="auto"/>
            </w:tcBorders>
            <w:shd w:val="clear" w:color="auto" w:fill="auto"/>
            <w:noWrap/>
            <w:vAlign w:val="bottom"/>
            <w:hideMark/>
          </w:tcPr>
          <w:p w14:paraId="3C8A4A49" w14:textId="77777777" w:rsidR="00283604" w:rsidRPr="00CD218D" w:rsidRDefault="00283604">
            <w:pPr>
              <w:pStyle w:val="Tabletext"/>
              <w:rPr>
                <w:b/>
                <w:bCs/>
              </w:rPr>
            </w:pPr>
            <w:r w:rsidRPr="00CD218D">
              <w:rPr>
                <w:b/>
                <w:bCs/>
              </w:rPr>
              <w:t>7.4</w:t>
            </w:r>
          </w:p>
        </w:tc>
      </w:tr>
      <w:tr w:rsidR="00283604" w:rsidRPr="00CD218D" w14:paraId="22335AD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1363F80" w14:textId="77777777" w:rsidR="00283604" w:rsidRPr="00CD218D" w:rsidRDefault="00283604">
            <w:pPr>
              <w:pStyle w:val="Tabletext"/>
            </w:pPr>
            <w:r w:rsidRPr="00CD218D">
              <w:t>7-80</w:t>
            </w:r>
          </w:p>
        </w:tc>
        <w:tc>
          <w:tcPr>
            <w:tcW w:w="3743" w:type="dxa"/>
            <w:tcBorders>
              <w:top w:val="nil"/>
              <w:left w:val="nil"/>
              <w:bottom w:val="single" w:sz="4" w:space="0" w:color="auto"/>
              <w:right w:val="single" w:sz="4" w:space="0" w:color="auto"/>
            </w:tcBorders>
            <w:shd w:val="clear" w:color="auto" w:fill="auto"/>
            <w:vAlign w:val="bottom"/>
            <w:hideMark/>
          </w:tcPr>
          <w:p w14:paraId="292EEA38" w14:textId="77777777" w:rsidR="00283604" w:rsidRPr="00CD218D" w:rsidRDefault="00283604">
            <w:pPr>
              <w:pStyle w:val="Tabletext"/>
            </w:pPr>
            <w:r w:rsidRPr="00CD218D">
              <w:t>Application of Part 7-4</w:t>
            </w:r>
          </w:p>
        </w:tc>
        <w:tc>
          <w:tcPr>
            <w:tcW w:w="1746" w:type="dxa"/>
            <w:tcBorders>
              <w:top w:val="nil"/>
              <w:left w:val="nil"/>
              <w:bottom w:val="single" w:sz="4" w:space="0" w:color="auto"/>
              <w:right w:val="single" w:sz="4" w:space="0" w:color="auto"/>
            </w:tcBorders>
            <w:shd w:val="clear" w:color="auto" w:fill="auto"/>
            <w:noWrap/>
            <w:vAlign w:val="bottom"/>
            <w:hideMark/>
          </w:tcPr>
          <w:p w14:paraId="07DC1C39" w14:textId="77777777" w:rsidR="00283604" w:rsidRPr="00CD218D" w:rsidRDefault="00283604">
            <w:pPr>
              <w:pStyle w:val="Tabletext"/>
            </w:pPr>
            <w:r w:rsidRPr="00CD218D">
              <w:t>7.4.1</w:t>
            </w:r>
          </w:p>
        </w:tc>
      </w:tr>
      <w:tr w:rsidR="00283604" w:rsidRPr="00CD218D" w14:paraId="329A718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7301942" w14:textId="3F60DFAC" w:rsidR="00283604" w:rsidRPr="00CD218D" w:rsidRDefault="00283604">
            <w:pPr>
              <w:pStyle w:val="Tabletext"/>
            </w:pPr>
            <w:r w:rsidRPr="00CD218D">
              <w:t>7-</w:t>
            </w:r>
            <w:r w:rsidR="007B25B8" w:rsidRPr="00CD218D">
              <w:t xml:space="preserve">95 </w:t>
            </w:r>
            <w:r w:rsidRPr="00CD218D">
              <w:t>and 7-</w:t>
            </w:r>
            <w:r w:rsidR="007B25B8" w:rsidRPr="00CD218D">
              <w:t>105</w:t>
            </w:r>
          </w:p>
        </w:tc>
        <w:tc>
          <w:tcPr>
            <w:tcW w:w="3743" w:type="dxa"/>
            <w:tcBorders>
              <w:top w:val="nil"/>
              <w:left w:val="nil"/>
              <w:bottom w:val="single" w:sz="4" w:space="0" w:color="auto"/>
              <w:right w:val="single" w:sz="4" w:space="0" w:color="auto"/>
            </w:tcBorders>
            <w:shd w:val="clear" w:color="auto" w:fill="auto"/>
            <w:vAlign w:val="bottom"/>
            <w:hideMark/>
          </w:tcPr>
          <w:p w14:paraId="7B45D330" w14:textId="4BE487AB" w:rsidR="00283604" w:rsidRPr="00CD218D" w:rsidRDefault="00283604">
            <w:pPr>
              <w:pStyle w:val="Tabletext"/>
            </w:pPr>
            <w:r w:rsidRPr="00CD218D">
              <w:t xml:space="preserve">ETR for an </w:t>
            </w:r>
            <w:r w:rsidR="002841AB" w:rsidRPr="00CD218D">
              <w:t xml:space="preserve">Investment Entity </w:t>
            </w:r>
          </w:p>
        </w:tc>
        <w:tc>
          <w:tcPr>
            <w:tcW w:w="1746" w:type="dxa"/>
            <w:tcBorders>
              <w:top w:val="nil"/>
              <w:left w:val="nil"/>
              <w:bottom w:val="single" w:sz="4" w:space="0" w:color="auto"/>
              <w:right w:val="single" w:sz="4" w:space="0" w:color="auto"/>
            </w:tcBorders>
            <w:shd w:val="clear" w:color="auto" w:fill="auto"/>
            <w:noWrap/>
            <w:vAlign w:val="bottom"/>
            <w:hideMark/>
          </w:tcPr>
          <w:p w14:paraId="40C3CCF4" w14:textId="77777777" w:rsidR="00283604" w:rsidRPr="00CD218D" w:rsidRDefault="00283604">
            <w:pPr>
              <w:pStyle w:val="Tabletext"/>
            </w:pPr>
            <w:r w:rsidRPr="00CD218D">
              <w:t>7.4.2</w:t>
            </w:r>
          </w:p>
        </w:tc>
      </w:tr>
      <w:tr w:rsidR="00283604" w:rsidRPr="00CD218D" w14:paraId="718C06CB"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A011290" w14:textId="3DD92638" w:rsidR="00283604" w:rsidRPr="00CD218D" w:rsidRDefault="00283604">
            <w:pPr>
              <w:pStyle w:val="Tabletext"/>
            </w:pPr>
            <w:r w:rsidRPr="00CD218D">
              <w:t>7-</w:t>
            </w:r>
            <w:r w:rsidR="007B25B8" w:rsidRPr="00CD218D">
              <w:t>100</w:t>
            </w:r>
          </w:p>
        </w:tc>
        <w:tc>
          <w:tcPr>
            <w:tcW w:w="3743" w:type="dxa"/>
            <w:tcBorders>
              <w:top w:val="nil"/>
              <w:left w:val="nil"/>
              <w:bottom w:val="single" w:sz="4" w:space="0" w:color="auto"/>
              <w:right w:val="single" w:sz="4" w:space="0" w:color="auto"/>
            </w:tcBorders>
            <w:shd w:val="clear" w:color="auto" w:fill="auto"/>
            <w:vAlign w:val="bottom"/>
          </w:tcPr>
          <w:p w14:paraId="46322110" w14:textId="42A6435B" w:rsidR="00283604" w:rsidRPr="00CD218D" w:rsidRDefault="00283604">
            <w:pPr>
              <w:pStyle w:val="Tabletext"/>
            </w:pPr>
            <w:r w:rsidRPr="00CD218D">
              <w:t xml:space="preserve">Top up tax for an Investment </w:t>
            </w:r>
            <w:r w:rsidR="002841AB" w:rsidRPr="00CD218D">
              <w:t xml:space="preserve">Entity </w:t>
            </w:r>
          </w:p>
        </w:tc>
        <w:tc>
          <w:tcPr>
            <w:tcW w:w="1746" w:type="dxa"/>
            <w:tcBorders>
              <w:top w:val="nil"/>
              <w:left w:val="nil"/>
              <w:bottom w:val="single" w:sz="4" w:space="0" w:color="auto"/>
              <w:right w:val="single" w:sz="4" w:space="0" w:color="auto"/>
            </w:tcBorders>
            <w:shd w:val="clear" w:color="auto" w:fill="auto"/>
            <w:noWrap/>
            <w:vAlign w:val="bottom"/>
          </w:tcPr>
          <w:p w14:paraId="0C2B3B3B" w14:textId="77777777" w:rsidR="00283604" w:rsidRPr="00CD218D" w:rsidRDefault="00283604">
            <w:pPr>
              <w:pStyle w:val="Tabletext"/>
            </w:pPr>
            <w:r w:rsidRPr="00CD218D">
              <w:t>7.4.5</w:t>
            </w:r>
          </w:p>
        </w:tc>
      </w:tr>
      <w:tr w:rsidR="00283604" w:rsidRPr="00CD218D" w14:paraId="7F659C5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3ED9B13" w14:textId="11BEE25E" w:rsidR="00283604" w:rsidRPr="00CD218D" w:rsidRDefault="00283604">
            <w:pPr>
              <w:pStyle w:val="Tabletext"/>
            </w:pPr>
            <w:r w:rsidRPr="00CD218D">
              <w:t>7-105</w:t>
            </w:r>
            <w:r w:rsidR="00960690" w:rsidRPr="00CD218D">
              <w:t>(3)</w:t>
            </w:r>
          </w:p>
        </w:tc>
        <w:tc>
          <w:tcPr>
            <w:tcW w:w="3743" w:type="dxa"/>
            <w:tcBorders>
              <w:top w:val="nil"/>
              <w:left w:val="nil"/>
              <w:bottom w:val="single" w:sz="4" w:space="0" w:color="auto"/>
              <w:right w:val="single" w:sz="4" w:space="0" w:color="auto"/>
            </w:tcBorders>
            <w:shd w:val="clear" w:color="auto" w:fill="auto"/>
            <w:vAlign w:val="bottom"/>
          </w:tcPr>
          <w:p w14:paraId="6D62EF28" w14:textId="77777777" w:rsidR="00283604" w:rsidRPr="00CD218D" w:rsidRDefault="00283604">
            <w:pPr>
              <w:pStyle w:val="Tabletext"/>
            </w:pPr>
            <w:r w:rsidRPr="00CD218D">
              <w:t xml:space="preserve">SBIE modification </w:t>
            </w:r>
          </w:p>
        </w:tc>
        <w:tc>
          <w:tcPr>
            <w:tcW w:w="1746" w:type="dxa"/>
            <w:tcBorders>
              <w:top w:val="nil"/>
              <w:left w:val="nil"/>
              <w:bottom w:val="single" w:sz="4" w:space="0" w:color="auto"/>
              <w:right w:val="single" w:sz="4" w:space="0" w:color="auto"/>
            </w:tcBorders>
            <w:shd w:val="clear" w:color="auto" w:fill="auto"/>
            <w:noWrap/>
            <w:vAlign w:val="bottom"/>
          </w:tcPr>
          <w:p w14:paraId="077DC7C6" w14:textId="77777777" w:rsidR="00283604" w:rsidRPr="00CD218D" w:rsidRDefault="00283604">
            <w:pPr>
              <w:pStyle w:val="Tabletext"/>
            </w:pPr>
            <w:r w:rsidRPr="00CD218D">
              <w:t>7.4.6</w:t>
            </w:r>
          </w:p>
        </w:tc>
      </w:tr>
      <w:tr w:rsidR="00283604" w:rsidRPr="00CD218D" w14:paraId="4955CFE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82AC1C3" w14:textId="41474DD8" w:rsidR="00283604" w:rsidRPr="00CD218D" w:rsidRDefault="00283604">
            <w:pPr>
              <w:pStyle w:val="Tabletext"/>
            </w:pPr>
            <w:r w:rsidRPr="00CD218D">
              <w:t>7-</w:t>
            </w:r>
            <w:r w:rsidR="007B25B8" w:rsidRPr="00CD218D">
              <w:t>105</w:t>
            </w:r>
            <w:r w:rsidRPr="00CD218D">
              <w:t>(4) and 7-</w:t>
            </w:r>
            <w:r w:rsidR="007B25B8" w:rsidRPr="00CD218D">
              <w:t>110</w:t>
            </w:r>
            <w:r w:rsidRPr="00CD218D">
              <w:t>(1)-(2)</w:t>
            </w:r>
          </w:p>
        </w:tc>
        <w:tc>
          <w:tcPr>
            <w:tcW w:w="3743" w:type="dxa"/>
            <w:tcBorders>
              <w:top w:val="nil"/>
              <w:left w:val="nil"/>
              <w:bottom w:val="single" w:sz="4" w:space="0" w:color="auto"/>
              <w:right w:val="single" w:sz="4" w:space="0" w:color="auto"/>
            </w:tcBorders>
            <w:shd w:val="clear" w:color="auto" w:fill="auto"/>
            <w:vAlign w:val="bottom"/>
            <w:hideMark/>
          </w:tcPr>
          <w:p w14:paraId="1B585D3D" w14:textId="4221AB09" w:rsidR="00283604" w:rsidRPr="00CD218D" w:rsidRDefault="00283604">
            <w:pPr>
              <w:pStyle w:val="Tabletext"/>
            </w:pPr>
            <w:r w:rsidRPr="00CD218D">
              <w:t xml:space="preserve">Adjusted Covered Taxes of an </w:t>
            </w:r>
            <w:r w:rsidR="002841AB" w:rsidRPr="00CD218D">
              <w:t xml:space="preserve">Investment Entity </w:t>
            </w:r>
          </w:p>
        </w:tc>
        <w:tc>
          <w:tcPr>
            <w:tcW w:w="1746" w:type="dxa"/>
            <w:tcBorders>
              <w:top w:val="nil"/>
              <w:left w:val="nil"/>
              <w:bottom w:val="single" w:sz="4" w:space="0" w:color="auto"/>
              <w:right w:val="single" w:sz="4" w:space="0" w:color="auto"/>
            </w:tcBorders>
            <w:shd w:val="clear" w:color="auto" w:fill="auto"/>
            <w:noWrap/>
            <w:vAlign w:val="bottom"/>
            <w:hideMark/>
          </w:tcPr>
          <w:p w14:paraId="27FDA954" w14:textId="77777777" w:rsidR="00283604" w:rsidRPr="00CD218D" w:rsidRDefault="00283604">
            <w:pPr>
              <w:pStyle w:val="Tabletext"/>
            </w:pPr>
            <w:r w:rsidRPr="00CD218D">
              <w:t>7.4.3</w:t>
            </w:r>
          </w:p>
        </w:tc>
      </w:tr>
      <w:tr w:rsidR="00283604" w:rsidRPr="00CD218D" w14:paraId="0541B10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C14FF2B" w14:textId="33F9D639" w:rsidR="00283604" w:rsidRPr="00CD218D" w:rsidRDefault="00283604">
            <w:pPr>
              <w:pStyle w:val="Tabletext"/>
            </w:pPr>
            <w:r w:rsidRPr="00CD218D">
              <w:lastRenderedPageBreak/>
              <w:t>7-</w:t>
            </w:r>
            <w:r w:rsidR="007B25B8" w:rsidRPr="00CD218D">
              <w:t>110</w:t>
            </w:r>
            <w:r w:rsidRPr="00CD218D">
              <w:t>(3)</w:t>
            </w:r>
          </w:p>
        </w:tc>
        <w:tc>
          <w:tcPr>
            <w:tcW w:w="3743" w:type="dxa"/>
            <w:tcBorders>
              <w:top w:val="nil"/>
              <w:left w:val="nil"/>
              <w:bottom w:val="single" w:sz="4" w:space="0" w:color="auto"/>
              <w:right w:val="single" w:sz="4" w:space="0" w:color="auto"/>
            </w:tcBorders>
            <w:shd w:val="clear" w:color="auto" w:fill="auto"/>
            <w:vAlign w:val="bottom"/>
            <w:hideMark/>
          </w:tcPr>
          <w:p w14:paraId="4C8E0E4E" w14:textId="6557E806" w:rsidR="00283604" w:rsidRPr="00CD218D" w:rsidRDefault="00283604">
            <w:pPr>
              <w:pStyle w:val="Tabletext"/>
            </w:pPr>
            <w:r w:rsidRPr="00CD218D">
              <w:t xml:space="preserve">Allocable share of </w:t>
            </w:r>
            <w:r w:rsidR="002841AB" w:rsidRPr="00CD218D">
              <w:t xml:space="preserve">Investment Entity's </w:t>
            </w:r>
            <w:r w:rsidRPr="00CD218D">
              <w:t>income</w:t>
            </w:r>
          </w:p>
        </w:tc>
        <w:tc>
          <w:tcPr>
            <w:tcW w:w="1746" w:type="dxa"/>
            <w:tcBorders>
              <w:top w:val="nil"/>
              <w:left w:val="nil"/>
              <w:bottom w:val="single" w:sz="4" w:space="0" w:color="auto"/>
              <w:right w:val="single" w:sz="4" w:space="0" w:color="auto"/>
            </w:tcBorders>
            <w:shd w:val="clear" w:color="auto" w:fill="auto"/>
            <w:noWrap/>
            <w:vAlign w:val="bottom"/>
            <w:hideMark/>
          </w:tcPr>
          <w:p w14:paraId="00C79F94" w14:textId="77777777" w:rsidR="00283604" w:rsidRPr="00CD218D" w:rsidRDefault="00283604">
            <w:pPr>
              <w:pStyle w:val="Tabletext"/>
            </w:pPr>
            <w:r w:rsidRPr="00CD218D">
              <w:t>7.4.4</w:t>
            </w:r>
          </w:p>
        </w:tc>
      </w:tr>
      <w:tr w:rsidR="00283604" w:rsidRPr="00CD218D" w14:paraId="508530F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4323A15" w14:textId="77777777" w:rsidR="00283604" w:rsidRPr="00CD218D" w:rsidRDefault="00283604">
            <w:pPr>
              <w:pStyle w:val="Tabletext"/>
              <w:rPr>
                <w:b/>
                <w:bCs/>
              </w:rPr>
            </w:pPr>
            <w:r w:rsidRPr="00CD218D">
              <w:rPr>
                <w:b/>
                <w:bCs/>
              </w:rPr>
              <w:t>Part 7-5</w:t>
            </w:r>
          </w:p>
        </w:tc>
        <w:tc>
          <w:tcPr>
            <w:tcW w:w="3743" w:type="dxa"/>
            <w:tcBorders>
              <w:top w:val="nil"/>
              <w:left w:val="nil"/>
              <w:bottom w:val="single" w:sz="4" w:space="0" w:color="auto"/>
              <w:right w:val="single" w:sz="4" w:space="0" w:color="auto"/>
            </w:tcBorders>
            <w:shd w:val="clear" w:color="auto" w:fill="auto"/>
            <w:vAlign w:val="bottom"/>
            <w:hideMark/>
          </w:tcPr>
          <w:p w14:paraId="55EB0E5A" w14:textId="77777777" w:rsidR="00283604" w:rsidRPr="00CD218D" w:rsidRDefault="00283604">
            <w:pPr>
              <w:pStyle w:val="Tabletext"/>
              <w:rPr>
                <w:b/>
                <w:bCs/>
              </w:rPr>
            </w:pPr>
            <w:r w:rsidRPr="00CD218D">
              <w:rPr>
                <w:b/>
                <w:bCs/>
              </w:rPr>
              <w:t xml:space="preserve">Investment Entity Tax Transparency Election </w:t>
            </w:r>
          </w:p>
        </w:tc>
        <w:tc>
          <w:tcPr>
            <w:tcW w:w="1746" w:type="dxa"/>
            <w:tcBorders>
              <w:top w:val="nil"/>
              <w:left w:val="nil"/>
              <w:bottom w:val="single" w:sz="4" w:space="0" w:color="auto"/>
              <w:right w:val="single" w:sz="4" w:space="0" w:color="auto"/>
            </w:tcBorders>
            <w:shd w:val="clear" w:color="auto" w:fill="auto"/>
            <w:noWrap/>
            <w:vAlign w:val="bottom"/>
            <w:hideMark/>
          </w:tcPr>
          <w:p w14:paraId="359281AA" w14:textId="77777777" w:rsidR="00283604" w:rsidRPr="00CD218D" w:rsidRDefault="00283604">
            <w:pPr>
              <w:pStyle w:val="Tabletext"/>
              <w:rPr>
                <w:b/>
                <w:bCs/>
              </w:rPr>
            </w:pPr>
            <w:r w:rsidRPr="00CD218D">
              <w:rPr>
                <w:b/>
                <w:bCs/>
              </w:rPr>
              <w:t>7.5</w:t>
            </w:r>
          </w:p>
        </w:tc>
      </w:tr>
      <w:tr w:rsidR="00283604" w:rsidRPr="00CD218D" w14:paraId="4C62BF74"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0B48E9C" w14:textId="664102B6" w:rsidR="00283604" w:rsidRPr="00CD218D" w:rsidRDefault="00106FB8">
            <w:pPr>
              <w:pStyle w:val="Tabletext"/>
            </w:pPr>
            <w:r w:rsidRPr="00106FB8">
              <w:t>7-120, 7-125 and 7 130</w:t>
            </w:r>
          </w:p>
        </w:tc>
        <w:tc>
          <w:tcPr>
            <w:tcW w:w="3743" w:type="dxa"/>
            <w:tcBorders>
              <w:top w:val="nil"/>
              <w:left w:val="nil"/>
              <w:bottom w:val="single" w:sz="4" w:space="0" w:color="auto"/>
              <w:right w:val="single" w:sz="4" w:space="0" w:color="auto"/>
            </w:tcBorders>
            <w:shd w:val="clear" w:color="auto" w:fill="auto"/>
            <w:vAlign w:val="bottom"/>
            <w:hideMark/>
          </w:tcPr>
          <w:p w14:paraId="49CFBB75" w14:textId="77777777" w:rsidR="00283604" w:rsidRPr="00CD218D" w:rsidRDefault="00283604">
            <w:pPr>
              <w:pStyle w:val="Tabletext"/>
            </w:pPr>
            <w:r w:rsidRPr="00CD218D">
              <w:t xml:space="preserve">Details of the election </w:t>
            </w:r>
          </w:p>
        </w:tc>
        <w:tc>
          <w:tcPr>
            <w:tcW w:w="1746" w:type="dxa"/>
            <w:tcBorders>
              <w:top w:val="nil"/>
              <w:left w:val="nil"/>
              <w:bottom w:val="single" w:sz="4" w:space="0" w:color="auto"/>
              <w:right w:val="single" w:sz="4" w:space="0" w:color="auto"/>
            </w:tcBorders>
            <w:shd w:val="clear" w:color="auto" w:fill="auto"/>
            <w:noWrap/>
            <w:vAlign w:val="bottom"/>
            <w:hideMark/>
          </w:tcPr>
          <w:p w14:paraId="4157479A" w14:textId="77777777" w:rsidR="00283604" w:rsidRPr="00CD218D" w:rsidRDefault="00283604">
            <w:pPr>
              <w:pStyle w:val="Tabletext"/>
            </w:pPr>
            <w:r w:rsidRPr="00CD218D">
              <w:t>7.5.1</w:t>
            </w:r>
          </w:p>
        </w:tc>
      </w:tr>
      <w:tr w:rsidR="00283604" w:rsidRPr="00CD218D" w14:paraId="58D0E9A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3579D2F" w14:textId="3ED30283" w:rsidR="00283604" w:rsidRPr="00CD218D" w:rsidRDefault="00BA0B2C">
            <w:pPr>
              <w:pStyle w:val="Tabletext"/>
            </w:pPr>
            <w:r w:rsidRPr="00BA0B2C">
              <w:t>7-1</w:t>
            </w:r>
            <w:r w:rsidR="005E089F">
              <w:t>3</w:t>
            </w:r>
            <w:r w:rsidRPr="00BA0B2C">
              <w:t>0(2)</w:t>
            </w:r>
          </w:p>
        </w:tc>
        <w:tc>
          <w:tcPr>
            <w:tcW w:w="3743" w:type="dxa"/>
            <w:tcBorders>
              <w:top w:val="nil"/>
              <w:left w:val="nil"/>
              <w:bottom w:val="single" w:sz="4" w:space="0" w:color="auto"/>
              <w:right w:val="single" w:sz="4" w:space="0" w:color="auto"/>
            </w:tcBorders>
            <w:shd w:val="clear" w:color="auto" w:fill="auto"/>
            <w:vAlign w:val="bottom"/>
            <w:hideMark/>
          </w:tcPr>
          <w:p w14:paraId="5335D7F5" w14:textId="77777777" w:rsidR="00283604" w:rsidRPr="00CD218D" w:rsidRDefault="00283604">
            <w:pPr>
              <w:pStyle w:val="Tabletext"/>
            </w:pPr>
            <w:r w:rsidRPr="00CD218D">
              <w:t xml:space="preserve">Application of Article 7.5 to Mutual insurance companies </w:t>
            </w:r>
          </w:p>
        </w:tc>
        <w:tc>
          <w:tcPr>
            <w:tcW w:w="1746" w:type="dxa"/>
            <w:tcBorders>
              <w:top w:val="nil"/>
              <w:left w:val="nil"/>
              <w:bottom w:val="single" w:sz="4" w:space="0" w:color="auto"/>
              <w:right w:val="single" w:sz="4" w:space="0" w:color="auto"/>
            </w:tcBorders>
            <w:shd w:val="clear" w:color="auto" w:fill="auto"/>
            <w:noWrap/>
            <w:vAlign w:val="bottom"/>
            <w:hideMark/>
          </w:tcPr>
          <w:p w14:paraId="53AAC192" w14:textId="77777777" w:rsidR="00283604" w:rsidRPr="00CD218D" w:rsidRDefault="00283604">
            <w:pPr>
              <w:pStyle w:val="Tabletext"/>
            </w:pPr>
            <w:r w:rsidRPr="00CD218D">
              <w:t>3.6 of the February 2023 AG</w:t>
            </w:r>
          </w:p>
        </w:tc>
      </w:tr>
      <w:tr w:rsidR="00283604" w:rsidRPr="00CD218D" w14:paraId="513776D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19FE5C2" w14:textId="7045EF36" w:rsidR="00283604" w:rsidRPr="00CD218D" w:rsidRDefault="00283604">
            <w:pPr>
              <w:pStyle w:val="Tabletext"/>
            </w:pPr>
            <w:r w:rsidRPr="00CD218D">
              <w:t>7-</w:t>
            </w:r>
            <w:r w:rsidR="007B25B8" w:rsidRPr="00CD218D">
              <w:t>125</w:t>
            </w:r>
            <w:r w:rsidRPr="00CD218D">
              <w:t>(1), 7-</w:t>
            </w:r>
            <w:r w:rsidR="007B25B8" w:rsidRPr="00CD218D">
              <w:t>135</w:t>
            </w:r>
          </w:p>
        </w:tc>
        <w:tc>
          <w:tcPr>
            <w:tcW w:w="3743" w:type="dxa"/>
            <w:tcBorders>
              <w:top w:val="nil"/>
              <w:left w:val="nil"/>
              <w:bottom w:val="single" w:sz="4" w:space="0" w:color="auto"/>
              <w:right w:val="single" w:sz="4" w:space="0" w:color="auto"/>
            </w:tcBorders>
            <w:shd w:val="clear" w:color="auto" w:fill="auto"/>
            <w:vAlign w:val="bottom"/>
            <w:hideMark/>
          </w:tcPr>
          <w:p w14:paraId="4E3E319F" w14:textId="77777777" w:rsidR="00283604" w:rsidRPr="00CD218D" w:rsidRDefault="00283604">
            <w:pPr>
              <w:pStyle w:val="Tabletext"/>
            </w:pPr>
            <w:r w:rsidRPr="00CD218D">
              <w:t>Five-Year Election</w:t>
            </w:r>
          </w:p>
        </w:tc>
        <w:tc>
          <w:tcPr>
            <w:tcW w:w="1746" w:type="dxa"/>
            <w:tcBorders>
              <w:top w:val="nil"/>
              <w:left w:val="nil"/>
              <w:bottom w:val="single" w:sz="4" w:space="0" w:color="auto"/>
              <w:right w:val="single" w:sz="4" w:space="0" w:color="auto"/>
            </w:tcBorders>
            <w:shd w:val="clear" w:color="auto" w:fill="auto"/>
            <w:noWrap/>
            <w:vAlign w:val="bottom"/>
            <w:hideMark/>
          </w:tcPr>
          <w:p w14:paraId="43027B0D" w14:textId="77777777" w:rsidR="00283604" w:rsidRPr="00CD218D" w:rsidRDefault="00283604">
            <w:pPr>
              <w:pStyle w:val="Tabletext"/>
            </w:pPr>
            <w:r w:rsidRPr="00CD218D">
              <w:t>7.5.2</w:t>
            </w:r>
          </w:p>
        </w:tc>
      </w:tr>
      <w:tr w:rsidR="00283604" w:rsidRPr="00CD218D" w14:paraId="59C21F1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7D6FD21" w14:textId="77777777" w:rsidR="00283604" w:rsidRPr="00CD218D" w:rsidRDefault="00283604">
            <w:pPr>
              <w:pStyle w:val="Tabletext"/>
              <w:rPr>
                <w:b/>
              </w:rPr>
            </w:pPr>
            <w:r w:rsidRPr="00CD218D">
              <w:rPr>
                <w:b/>
              </w:rPr>
              <w:t>Part 7-6</w:t>
            </w:r>
          </w:p>
        </w:tc>
        <w:tc>
          <w:tcPr>
            <w:tcW w:w="3743" w:type="dxa"/>
            <w:tcBorders>
              <w:top w:val="nil"/>
              <w:left w:val="nil"/>
              <w:bottom w:val="single" w:sz="4" w:space="0" w:color="auto"/>
              <w:right w:val="single" w:sz="4" w:space="0" w:color="auto"/>
            </w:tcBorders>
            <w:shd w:val="clear" w:color="auto" w:fill="auto"/>
            <w:vAlign w:val="bottom"/>
            <w:hideMark/>
          </w:tcPr>
          <w:p w14:paraId="6DB9D1D2" w14:textId="77777777" w:rsidR="00283604" w:rsidRPr="00CD218D" w:rsidRDefault="00283604">
            <w:pPr>
              <w:pStyle w:val="Tabletext"/>
              <w:rPr>
                <w:b/>
              </w:rPr>
            </w:pPr>
            <w:r w:rsidRPr="00CD218D">
              <w:rPr>
                <w:b/>
              </w:rPr>
              <w:t>Taxable Distribution Method Election</w:t>
            </w:r>
          </w:p>
        </w:tc>
        <w:tc>
          <w:tcPr>
            <w:tcW w:w="1746" w:type="dxa"/>
            <w:tcBorders>
              <w:top w:val="nil"/>
              <w:left w:val="nil"/>
              <w:bottom w:val="single" w:sz="4" w:space="0" w:color="auto"/>
              <w:right w:val="single" w:sz="4" w:space="0" w:color="auto"/>
            </w:tcBorders>
            <w:shd w:val="clear" w:color="auto" w:fill="auto"/>
            <w:noWrap/>
            <w:vAlign w:val="bottom"/>
            <w:hideMark/>
          </w:tcPr>
          <w:p w14:paraId="0CB368A4" w14:textId="77777777" w:rsidR="00283604" w:rsidRPr="00CD218D" w:rsidRDefault="00283604">
            <w:pPr>
              <w:pStyle w:val="Tabletext"/>
              <w:rPr>
                <w:b/>
              </w:rPr>
            </w:pPr>
            <w:r w:rsidRPr="00CD218D">
              <w:rPr>
                <w:b/>
              </w:rPr>
              <w:t>7.6</w:t>
            </w:r>
          </w:p>
        </w:tc>
      </w:tr>
      <w:tr w:rsidR="00283604" w:rsidRPr="00CD218D" w14:paraId="3F05441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72F8216" w14:textId="4C77C326" w:rsidR="00283604" w:rsidRPr="00CD218D" w:rsidRDefault="008B653E">
            <w:pPr>
              <w:pStyle w:val="Tabletext"/>
            </w:pPr>
            <w:r w:rsidRPr="00CD218D">
              <w:t>7-140</w:t>
            </w:r>
            <w:r>
              <w:t xml:space="preserve">, </w:t>
            </w:r>
            <w:r w:rsidR="00283604" w:rsidRPr="00CD218D">
              <w:t>7-</w:t>
            </w:r>
            <w:r w:rsidR="007B25B8" w:rsidRPr="00CD218D">
              <w:t>145</w:t>
            </w:r>
            <w:r>
              <w:t xml:space="preserve"> and</w:t>
            </w:r>
            <w:r w:rsidR="00283604" w:rsidRPr="00CD218D">
              <w:t xml:space="preserve"> 7</w:t>
            </w:r>
            <w:r>
              <w:noBreakHyphen/>
            </w:r>
            <w:r w:rsidR="007B25B8" w:rsidRPr="00CD218D">
              <w:t>150</w:t>
            </w:r>
            <w:r w:rsidR="00283604" w:rsidRPr="00CD218D">
              <w:t xml:space="preserve">(1) </w:t>
            </w:r>
          </w:p>
        </w:tc>
        <w:tc>
          <w:tcPr>
            <w:tcW w:w="3743" w:type="dxa"/>
            <w:tcBorders>
              <w:top w:val="nil"/>
              <w:left w:val="nil"/>
              <w:bottom w:val="single" w:sz="4" w:space="0" w:color="auto"/>
              <w:right w:val="single" w:sz="4" w:space="0" w:color="auto"/>
            </w:tcBorders>
            <w:shd w:val="clear" w:color="auto" w:fill="auto"/>
            <w:vAlign w:val="bottom"/>
            <w:hideMark/>
          </w:tcPr>
          <w:p w14:paraId="449E3978" w14:textId="77777777" w:rsidR="00283604" w:rsidRPr="00CD218D" w:rsidRDefault="00283604">
            <w:pPr>
              <w:pStyle w:val="Tabletext"/>
            </w:pPr>
            <w:r w:rsidRPr="00CD218D">
              <w:t xml:space="preserve">Application of the Taxable Distribution method </w:t>
            </w:r>
          </w:p>
        </w:tc>
        <w:tc>
          <w:tcPr>
            <w:tcW w:w="1746" w:type="dxa"/>
            <w:tcBorders>
              <w:top w:val="nil"/>
              <w:left w:val="nil"/>
              <w:bottom w:val="single" w:sz="4" w:space="0" w:color="auto"/>
              <w:right w:val="single" w:sz="4" w:space="0" w:color="auto"/>
            </w:tcBorders>
            <w:shd w:val="clear" w:color="auto" w:fill="auto"/>
            <w:noWrap/>
            <w:vAlign w:val="bottom"/>
            <w:hideMark/>
          </w:tcPr>
          <w:p w14:paraId="050F8245" w14:textId="77777777" w:rsidR="00283604" w:rsidRPr="00CD218D" w:rsidRDefault="00283604">
            <w:pPr>
              <w:pStyle w:val="Tabletext"/>
            </w:pPr>
            <w:r w:rsidRPr="00CD218D">
              <w:t>7.6.1</w:t>
            </w:r>
          </w:p>
        </w:tc>
      </w:tr>
      <w:tr w:rsidR="00283604" w:rsidRPr="00CD218D" w14:paraId="6950251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8121AF2" w14:textId="02419FC6" w:rsidR="00283604" w:rsidRPr="00CD218D" w:rsidRDefault="00283604">
            <w:pPr>
              <w:pStyle w:val="Tabletext"/>
            </w:pPr>
            <w:r w:rsidRPr="00CD218D">
              <w:t>7-</w:t>
            </w:r>
            <w:r w:rsidR="007B25B8" w:rsidRPr="00CD218D">
              <w:t>150</w:t>
            </w:r>
            <w:r w:rsidRPr="00CD218D">
              <w:t>(2)-(4),</w:t>
            </w:r>
            <w:r w:rsidR="008B653E">
              <w:t xml:space="preserve"> and </w:t>
            </w:r>
            <w:r w:rsidRPr="00CD218D">
              <w:t xml:space="preserve"> 7</w:t>
            </w:r>
            <w:r w:rsidR="008B653E">
              <w:noBreakHyphen/>
            </w:r>
            <w:r w:rsidR="007B25B8" w:rsidRPr="00CD218D">
              <w:t>155</w:t>
            </w:r>
            <w:r w:rsidRPr="00CD218D">
              <w:t xml:space="preserve">(1)-(2) </w:t>
            </w:r>
          </w:p>
        </w:tc>
        <w:tc>
          <w:tcPr>
            <w:tcW w:w="3743" w:type="dxa"/>
            <w:tcBorders>
              <w:top w:val="nil"/>
              <w:left w:val="nil"/>
              <w:bottom w:val="single" w:sz="4" w:space="0" w:color="auto"/>
              <w:right w:val="single" w:sz="4" w:space="0" w:color="auto"/>
            </w:tcBorders>
            <w:shd w:val="clear" w:color="auto" w:fill="auto"/>
            <w:vAlign w:val="bottom"/>
            <w:hideMark/>
          </w:tcPr>
          <w:p w14:paraId="79A081AA" w14:textId="77777777" w:rsidR="00283604" w:rsidRPr="00CD218D" w:rsidRDefault="00283604">
            <w:pPr>
              <w:pStyle w:val="Tabletext"/>
            </w:pPr>
            <w:r w:rsidRPr="00CD218D">
              <w:t>Computation of the taxable distribution method</w:t>
            </w:r>
          </w:p>
        </w:tc>
        <w:tc>
          <w:tcPr>
            <w:tcW w:w="1746" w:type="dxa"/>
            <w:tcBorders>
              <w:top w:val="nil"/>
              <w:left w:val="nil"/>
              <w:bottom w:val="single" w:sz="4" w:space="0" w:color="auto"/>
              <w:right w:val="single" w:sz="4" w:space="0" w:color="auto"/>
            </w:tcBorders>
            <w:shd w:val="clear" w:color="auto" w:fill="auto"/>
            <w:noWrap/>
            <w:vAlign w:val="bottom"/>
            <w:hideMark/>
          </w:tcPr>
          <w:p w14:paraId="1D9B491A" w14:textId="77777777" w:rsidR="00283604" w:rsidRPr="00CD218D" w:rsidRDefault="00283604">
            <w:pPr>
              <w:pStyle w:val="Tabletext"/>
            </w:pPr>
            <w:r w:rsidRPr="00CD218D">
              <w:t>7.6.2</w:t>
            </w:r>
          </w:p>
        </w:tc>
      </w:tr>
      <w:tr w:rsidR="00283604" w:rsidRPr="00CD218D" w14:paraId="269773C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2ACABFE" w14:textId="4DFBADA3" w:rsidR="00283604" w:rsidRPr="00CD218D" w:rsidRDefault="00283604">
            <w:pPr>
              <w:pStyle w:val="Tabletext"/>
            </w:pPr>
            <w:r w:rsidRPr="00CD218D">
              <w:t>7-</w:t>
            </w:r>
            <w:r w:rsidR="007B25B8" w:rsidRPr="00CD218D">
              <w:t>160</w:t>
            </w:r>
            <w:r w:rsidRPr="00CD218D">
              <w:t>(5)</w:t>
            </w:r>
          </w:p>
        </w:tc>
        <w:tc>
          <w:tcPr>
            <w:tcW w:w="3743" w:type="dxa"/>
            <w:tcBorders>
              <w:top w:val="nil"/>
              <w:left w:val="nil"/>
              <w:bottom w:val="single" w:sz="4" w:space="0" w:color="auto"/>
              <w:right w:val="single" w:sz="4" w:space="0" w:color="auto"/>
            </w:tcBorders>
            <w:shd w:val="clear" w:color="auto" w:fill="auto"/>
            <w:vAlign w:val="bottom"/>
            <w:hideMark/>
          </w:tcPr>
          <w:p w14:paraId="754EFCAC" w14:textId="77777777" w:rsidR="00283604" w:rsidRPr="00CD218D" w:rsidRDefault="00283604">
            <w:pPr>
              <w:pStyle w:val="Tabletext"/>
            </w:pPr>
            <w:r w:rsidRPr="00CD218D">
              <w:t xml:space="preserve">Undistributed Net GloBE Income </w:t>
            </w:r>
          </w:p>
        </w:tc>
        <w:tc>
          <w:tcPr>
            <w:tcW w:w="1746" w:type="dxa"/>
            <w:tcBorders>
              <w:top w:val="nil"/>
              <w:left w:val="nil"/>
              <w:bottom w:val="single" w:sz="4" w:space="0" w:color="auto"/>
              <w:right w:val="single" w:sz="4" w:space="0" w:color="auto"/>
            </w:tcBorders>
            <w:shd w:val="clear" w:color="auto" w:fill="auto"/>
            <w:noWrap/>
            <w:vAlign w:val="bottom"/>
            <w:hideMark/>
          </w:tcPr>
          <w:p w14:paraId="724044AC" w14:textId="77777777" w:rsidR="00283604" w:rsidRPr="00CD218D" w:rsidRDefault="00283604">
            <w:pPr>
              <w:pStyle w:val="Tabletext"/>
            </w:pPr>
            <w:r w:rsidRPr="00CD218D">
              <w:t>7.6.3</w:t>
            </w:r>
          </w:p>
        </w:tc>
      </w:tr>
      <w:tr w:rsidR="00283604" w:rsidRPr="00CD218D" w14:paraId="63DB32A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B420F96" w14:textId="625056AA" w:rsidR="00283604" w:rsidRPr="00CD218D" w:rsidRDefault="00283604">
            <w:pPr>
              <w:pStyle w:val="Tabletext"/>
            </w:pPr>
            <w:r w:rsidRPr="00CD218D">
              <w:t>7-</w:t>
            </w:r>
            <w:r w:rsidR="007B25B8" w:rsidRPr="00CD218D">
              <w:t>160</w:t>
            </w:r>
            <w:r w:rsidRPr="00CD218D">
              <w:t>(6) and (7)</w:t>
            </w:r>
          </w:p>
        </w:tc>
        <w:tc>
          <w:tcPr>
            <w:tcW w:w="3743" w:type="dxa"/>
            <w:tcBorders>
              <w:top w:val="nil"/>
              <w:left w:val="nil"/>
              <w:bottom w:val="single" w:sz="4" w:space="0" w:color="auto"/>
              <w:right w:val="single" w:sz="4" w:space="0" w:color="auto"/>
            </w:tcBorders>
            <w:shd w:val="clear" w:color="auto" w:fill="auto"/>
            <w:vAlign w:val="bottom"/>
            <w:hideMark/>
          </w:tcPr>
          <w:p w14:paraId="505CA2FE" w14:textId="77777777" w:rsidR="00283604" w:rsidRPr="00CD218D" w:rsidRDefault="00283604">
            <w:pPr>
              <w:pStyle w:val="Tabletext"/>
            </w:pPr>
            <w:r w:rsidRPr="00CD218D">
              <w:t>Undistributed Net GloBE Income reduced by certain distributions</w:t>
            </w:r>
          </w:p>
        </w:tc>
        <w:tc>
          <w:tcPr>
            <w:tcW w:w="1746" w:type="dxa"/>
            <w:tcBorders>
              <w:top w:val="nil"/>
              <w:left w:val="nil"/>
              <w:bottom w:val="single" w:sz="4" w:space="0" w:color="auto"/>
              <w:right w:val="single" w:sz="4" w:space="0" w:color="auto"/>
            </w:tcBorders>
            <w:shd w:val="clear" w:color="auto" w:fill="auto"/>
            <w:noWrap/>
            <w:vAlign w:val="bottom"/>
            <w:hideMark/>
          </w:tcPr>
          <w:p w14:paraId="0CE5B847" w14:textId="77777777" w:rsidR="00283604" w:rsidRPr="00CD218D" w:rsidRDefault="00283604">
            <w:pPr>
              <w:pStyle w:val="Tabletext"/>
            </w:pPr>
            <w:r w:rsidRPr="00CD218D">
              <w:t>7.6.4</w:t>
            </w:r>
          </w:p>
        </w:tc>
      </w:tr>
      <w:tr w:rsidR="00283604" w:rsidRPr="00CD218D" w14:paraId="03B6446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B3295EB" w14:textId="60F70215" w:rsidR="00283604" w:rsidRPr="00CD218D" w:rsidRDefault="00283604">
            <w:pPr>
              <w:pStyle w:val="Tabletext"/>
            </w:pPr>
            <w:r w:rsidRPr="00CD218D">
              <w:t>7-</w:t>
            </w:r>
            <w:r w:rsidR="007B25B8" w:rsidRPr="00CD218D">
              <w:t>160</w:t>
            </w:r>
            <w:r w:rsidRPr="00CD218D">
              <w:t>(1)-(4) and 7-</w:t>
            </w:r>
            <w:r w:rsidR="007B25B8" w:rsidRPr="00CD218D">
              <w:t>165</w:t>
            </w:r>
          </w:p>
        </w:tc>
        <w:tc>
          <w:tcPr>
            <w:tcW w:w="3743" w:type="dxa"/>
            <w:tcBorders>
              <w:top w:val="nil"/>
              <w:left w:val="nil"/>
              <w:bottom w:val="single" w:sz="4" w:space="0" w:color="auto"/>
              <w:right w:val="single" w:sz="4" w:space="0" w:color="auto"/>
            </w:tcBorders>
            <w:shd w:val="clear" w:color="auto" w:fill="auto"/>
            <w:vAlign w:val="bottom"/>
            <w:hideMark/>
          </w:tcPr>
          <w:p w14:paraId="0EAE3822" w14:textId="77777777" w:rsidR="00283604" w:rsidRPr="00CD218D" w:rsidRDefault="00283604">
            <w:pPr>
              <w:pStyle w:val="Tabletext"/>
            </w:pPr>
            <w:r w:rsidRPr="00CD218D">
              <w:t>Definitions used in Part 7-6</w:t>
            </w:r>
          </w:p>
        </w:tc>
        <w:tc>
          <w:tcPr>
            <w:tcW w:w="1746" w:type="dxa"/>
            <w:tcBorders>
              <w:top w:val="nil"/>
              <w:left w:val="nil"/>
              <w:bottom w:val="single" w:sz="4" w:space="0" w:color="auto"/>
              <w:right w:val="single" w:sz="4" w:space="0" w:color="auto"/>
            </w:tcBorders>
            <w:shd w:val="clear" w:color="auto" w:fill="auto"/>
            <w:noWrap/>
            <w:vAlign w:val="bottom"/>
            <w:hideMark/>
          </w:tcPr>
          <w:p w14:paraId="4CAC2939" w14:textId="77777777" w:rsidR="00283604" w:rsidRPr="00CD218D" w:rsidRDefault="00283604">
            <w:pPr>
              <w:pStyle w:val="Tabletext"/>
            </w:pPr>
            <w:r w:rsidRPr="00CD218D">
              <w:t>7.6.5</w:t>
            </w:r>
          </w:p>
        </w:tc>
      </w:tr>
      <w:tr w:rsidR="0053656A" w:rsidRPr="00CD218D" w14:paraId="4DE3B88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269FA75" w14:textId="3685FC6D" w:rsidR="0053656A" w:rsidRPr="00CD218D" w:rsidRDefault="0053656A" w:rsidP="0053656A">
            <w:pPr>
              <w:pStyle w:val="Tabletext"/>
            </w:pPr>
            <w:r w:rsidRPr="00CD218D">
              <w:t>7-</w:t>
            </w:r>
            <w:r w:rsidR="0096333B" w:rsidRPr="00CD218D">
              <w:t xml:space="preserve">170 </w:t>
            </w:r>
            <w:r w:rsidRPr="00CD218D">
              <w:t>and 7-</w:t>
            </w:r>
            <w:r w:rsidR="0096333B" w:rsidRPr="00CD218D">
              <w:t>145</w:t>
            </w:r>
            <w:r w:rsidRPr="00CD218D">
              <w:t>(2)</w:t>
            </w:r>
          </w:p>
        </w:tc>
        <w:tc>
          <w:tcPr>
            <w:tcW w:w="3743" w:type="dxa"/>
            <w:tcBorders>
              <w:top w:val="nil"/>
              <w:left w:val="nil"/>
              <w:bottom w:val="single" w:sz="4" w:space="0" w:color="auto"/>
              <w:right w:val="single" w:sz="4" w:space="0" w:color="auto"/>
            </w:tcBorders>
            <w:shd w:val="clear" w:color="auto" w:fill="auto"/>
            <w:noWrap/>
            <w:vAlign w:val="bottom"/>
            <w:hideMark/>
          </w:tcPr>
          <w:p w14:paraId="36BA1D57" w14:textId="32953F1E" w:rsidR="0053656A" w:rsidRPr="00CD218D" w:rsidRDefault="0053656A" w:rsidP="0053656A">
            <w:pPr>
              <w:pStyle w:val="Tabletext"/>
            </w:pPr>
            <w:r w:rsidRPr="00CD218D">
              <w:t>Five-Year Election</w:t>
            </w:r>
          </w:p>
        </w:tc>
        <w:tc>
          <w:tcPr>
            <w:tcW w:w="1746" w:type="dxa"/>
            <w:tcBorders>
              <w:top w:val="nil"/>
              <w:left w:val="nil"/>
              <w:bottom w:val="single" w:sz="4" w:space="0" w:color="auto"/>
              <w:right w:val="single" w:sz="4" w:space="0" w:color="auto"/>
            </w:tcBorders>
            <w:shd w:val="clear" w:color="auto" w:fill="auto"/>
            <w:noWrap/>
            <w:vAlign w:val="bottom"/>
            <w:hideMark/>
          </w:tcPr>
          <w:p w14:paraId="1D046D59" w14:textId="22A3348C" w:rsidR="0053656A" w:rsidRPr="00CD218D" w:rsidRDefault="0053656A" w:rsidP="0053656A">
            <w:pPr>
              <w:pStyle w:val="Tabletext"/>
            </w:pPr>
            <w:r w:rsidRPr="00CD218D">
              <w:t>7.6.6</w:t>
            </w:r>
          </w:p>
        </w:tc>
      </w:tr>
      <w:tr w:rsidR="0053656A" w:rsidRPr="00CD218D" w14:paraId="79417BD9" w14:textId="77777777" w:rsidTr="0053656A">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42B4B5E" w14:textId="5BB9D5E2" w:rsidR="0053656A" w:rsidRPr="00CD218D" w:rsidRDefault="0053656A" w:rsidP="0053656A">
            <w:pPr>
              <w:pStyle w:val="Tabletext"/>
            </w:pPr>
            <w:r w:rsidRPr="00CD218D">
              <w:t>7-85, 7</w:t>
            </w:r>
            <w:r w:rsidRPr="00CD218D">
              <w:noBreakHyphen/>
              <w:t>120</w:t>
            </w:r>
            <w:r w:rsidR="007A00E2" w:rsidRPr="00CD218D">
              <w:t xml:space="preserve"> </w:t>
            </w:r>
            <w:r w:rsidRPr="00CD218D">
              <w:t>and 7</w:t>
            </w:r>
            <w:r w:rsidR="007A00E2" w:rsidRPr="00CD218D">
              <w:noBreakHyphen/>
            </w:r>
            <w:r w:rsidRPr="00CD218D">
              <w:t>140</w:t>
            </w:r>
          </w:p>
        </w:tc>
        <w:tc>
          <w:tcPr>
            <w:tcW w:w="3743" w:type="dxa"/>
            <w:tcBorders>
              <w:top w:val="nil"/>
              <w:left w:val="nil"/>
              <w:bottom w:val="single" w:sz="4" w:space="0" w:color="auto"/>
              <w:right w:val="single" w:sz="4" w:space="0" w:color="auto"/>
            </w:tcBorders>
            <w:shd w:val="clear" w:color="auto" w:fill="auto"/>
            <w:vAlign w:val="bottom"/>
          </w:tcPr>
          <w:p w14:paraId="7BF728B1" w14:textId="7CCFA0EB" w:rsidR="0053656A" w:rsidRPr="00CD218D" w:rsidRDefault="0053656A" w:rsidP="0053656A">
            <w:pPr>
              <w:pStyle w:val="Tabletext"/>
            </w:pPr>
            <w:r w:rsidRPr="00CD218D">
              <w:t xml:space="preserve">Application of Chapter 7 Articles to Insurance Investment Entities </w:t>
            </w:r>
          </w:p>
        </w:tc>
        <w:tc>
          <w:tcPr>
            <w:tcW w:w="1746" w:type="dxa"/>
            <w:tcBorders>
              <w:top w:val="nil"/>
              <w:left w:val="nil"/>
              <w:bottom w:val="single" w:sz="4" w:space="0" w:color="auto"/>
              <w:right w:val="single" w:sz="4" w:space="0" w:color="auto"/>
            </w:tcBorders>
            <w:shd w:val="clear" w:color="auto" w:fill="auto"/>
            <w:noWrap/>
            <w:vAlign w:val="bottom"/>
          </w:tcPr>
          <w:p w14:paraId="53E0FC72" w14:textId="0A6791E8" w:rsidR="0053656A" w:rsidRPr="00CD218D" w:rsidRDefault="0053656A" w:rsidP="0053656A">
            <w:pPr>
              <w:pStyle w:val="Tabletext"/>
            </w:pPr>
            <w:r w:rsidRPr="00CD218D">
              <w:t>3.1 of the February 2023 AG</w:t>
            </w:r>
          </w:p>
        </w:tc>
      </w:tr>
      <w:tr w:rsidR="0053656A" w:rsidRPr="00CD218D" w14:paraId="0EEF9F30" w14:textId="77777777">
        <w:trPr>
          <w:trHeight w:val="300"/>
        </w:trPr>
        <w:tc>
          <w:tcPr>
            <w:tcW w:w="7701" w:type="dxa"/>
            <w:gridSpan w:val="3"/>
            <w:tcBorders>
              <w:top w:val="nil"/>
              <w:left w:val="single" w:sz="4" w:space="0" w:color="auto"/>
              <w:bottom w:val="single" w:sz="4" w:space="0" w:color="auto"/>
              <w:right w:val="single" w:sz="4" w:space="0" w:color="auto"/>
            </w:tcBorders>
            <w:shd w:val="clear" w:color="auto" w:fill="auto"/>
            <w:noWrap/>
            <w:vAlign w:val="bottom"/>
          </w:tcPr>
          <w:p w14:paraId="60393D40" w14:textId="77777777" w:rsidR="0053656A" w:rsidRPr="00CD218D" w:rsidRDefault="0053656A" w:rsidP="0053656A">
            <w:pPr>
              <w:pStyle w:val="Tableheaderrowtext"/>
              <w:numPr>
                <w:ilvl w:val="3"/>
                <w:numId w:val="2"/>
              </w:numPr>
            </w:pPr>
            <w:r w:rsidRPr="00CD218D">
              <w:t xml:space="preserve">Chapter 8 – Administration </w:t>
            </w:r>
          </w:p>
        </w:tc>
      </w:tr>
      <w:tr w:rsidR="0053656A" w:rsidRPr="00CD218D" w14:paraId="7209919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9BAAD3C" w14:textId="77777777" w:rsidR="0053656A" w:rsidRPr="00CD218D" w:rsidRDefault="0053656A" w:rsidP="0053656A">
            <w:pPr>
              <w:pStyle w:val="Tabletext"/>
              <w:rPr>
                <w:b/>
                <w:bCs/>
              </w:rPr>
            </w:pPr>
            <w:r w:rsidRPr="00CD218D">
              <w:rPr>
                <w:b/>
                <w:bCs/>
              </w:rPr>
              <w:t>Part 8-1</w:t>
            </w:r>
          </w:p>
        </w:tc>
        <w:tc>
          <w:tcPr>
            <w:tcW w:w="3743" w:type="dxa"/>
            <w:tcBorders>
              <w:top w:val="nil"/>
              <w:left w:val="nil"/>
              <w:bottom w:val="single" w:sz="4" w:space="0" w:color="auto"/>
              <w:right w:val="single" w:sz="4" w:space="0" w:color="auto"/>
            </w:tcBorders>
            <w:shd w:val="clear" w:color="auto" w:fill="auto"/>
            <w:vAlign w:val="bottom"/>
            <w:hideMark/>
          </w:tcPr>
          <w:p w14:paraId="2994A480" w14:textId="77777777" w:rsidR="0053656A" w:rsidRPr="00CD218D" w:rsidRDefault="0053656A" w:rsidP="0053656A">
            <w:pPr>
              <w:pStyle w:val="Tabletext"/>
              <w:rPr>
                <w:b/>
                <w:bCs/>
              </w:rPr>
            </w:pPr>
            <w:r w:rsidRPr="00CD218D">
              <w:rPr>
                <w:b/>
                <w:bCs/>
              </w:rPr>
              <w:t>Safe Harbours</w:t>
            </w:r>
          </w:p>
        </w:tc>
        <w:tc>
          <w:tcPr>
            <w:tcW w:w="1746" w:type="dxa"/>
            <w:tcBorders>
              <w:top w:val="nil"/>
              <w:left w:val="nil"/>
              <w:bottom w:val="single" w:sz="4" w:space="0" w:color="auto"/>
              <w:right w:val="single" w:sz="4" w:space="0" w:color="auto"/>
            </w:tcBorders>
            <w:shd w:val="clear" w:color="auto" w:fill="auto"/>
            <w:noWrap/>
            <w:vAlign w:val="bottom"/>
            <w:hideMark/>
          </w:tcPr>
          <w:p w14:paraId="467783D6" w14:textId="77777777" w:rsidR="0053656A" w:rsidRPr="00CD218D" w:rsidRDefault="0053656A" w:rsidP="0053656A">
            <w:pPr>
              <w:pStyle w:val="Tabletext"/>
              <w:rPr>
                <w:b/>
                <w:bCs/>
              </w:rPr>
            </w:pPr>
            <w:r w:rsidRPr="00CD218D">
              <w:rPr>
                <w:b/>
                <w:bCs/>
              </w:rPr>
              <w:t>8.2</w:t>
            </w:r>
          </w:p>
        </w:tc>
      </w:tr>
      <w:tr w:rsidR="0053656A" w:rsidRPr="00CD218D" w14:paraId="2CF9D2C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42245EF" w14:textId="2DE09B15" w:rsidR="0053656A" w:rsidRPr="00CD218D" w:rsidRDefault="0053656A" w:rsidP="0053656A">
            <w:pPr>
              <w:pStyle w:val="Tabletext"/>
            </w:pPr>
            <w:r w:rsidRPr="00CD218D">
              <w:t>8-5 and 8-</w:t>
            </w:r>
            <w:r w:rsidR="007B25B8" w:rsidRPr="00CD218D">
              <w:t>155</w:t>
            </w:r>
          </w:p>
        </w:tc>
        <w:tc>
          <w:tcPr>
            <w:tcW w:w="3743" w:type="dxa"/>
            <w:tcBorders>
              <w:top w:val="nil"/>
              <w:left w:val="nil"/>
              <w:bottom w:val="single" w:sz="4" w:space="0" w:color="auto"/>
              <w:right w:val="single" w:sz="4" w:space="0" w:color="auto"/>
            </w:tcBorders>
            <w:shd w:val="clear" w:color="auto" w:fill="auto"/>
            <w:vAlign w:val="bottom"/>
            <w:hideMark/>
          </w:tcPr>
          <w:p w14:paraId="61E1CF25" w14:textId="7C886103" w:rsidR="0053656A" w:rsidRPr="00CD218D" w:rsidRDefault="0053656A" w:rsidP="0053656A">
            <w:pPr>
              <w:pStyle w:val="Tabletext"/>
            </w:pPr>
            <w:r w:rsidRPr="00CD218D">
              <w:rPr>
                <w:i/>
                <w:iCs/>
              </w:rPr>
              <w:t>Safe harbour document: transitional CbC data, transitional penalty relief</w:t>
            </w:r>
            <w:r w:rsidRPr="00CD218D">
              <w:t xml:space="preserve"> </w:t>
            </w:r>
          </w:p>
        </w:tc>
        <w:tc>
          <w:tcPr>
            <w:tcW w:w="1746" w:type="dxa"/>
            <w:tcBorders>
              <w:top w:val="nil"/>
              <w:left w:val="nil"/>
              <w:bottom w:val="single" w:sz="4" w:space="0" w:color="auto"/>
              <w:right w:val="single" w:sz="4" w:space="0" w:color="auto"/>
            </w:tcBorders>
            <w:shd w:val="clear" w:color="auto" w:fill="auto"/>
            <w:vAlign w:val="bottom"/>
            <w:hideMark/>
          </w:tcPr>
          <w:p w14:paraId="2ED498E2" w14:textId="77777777" w:rsidR="0053656A" w:rsidRPr="00CD218D" w:rsidRDefault="0053656A" w:rsidP="0053656A">
            <w:pPr>
              <w:pStyle w:val="Tabletext"/>
            </w:pPr>
            <w:r w:rsidRPr="00CD218D">
              <w:t>8.2.1</w:t>
            </w:r>
          </w:p>
        </w:tc>
      </w:tr>
      <w:tr w:rsidR="0053656A" w:rsidRPr="00CD218D" w14:paraId="6423E6E9" w14:textId="77777777">
        <w:trPr>
          <w:trHeight w:val="300"/>
        </w:trPr>
        <w:tc>
          <w:tcPr>
            <w:tcW w:w="2212" w:type="dxa"/>
            <w:tcBorders>
              <w:top w:val="nil"/>
              <w:left w:val="single" w:sz="4" w:space="0" w:color="auto"/>
              <w:bottom w:val="single" w:sz="4" w:space="0" w:color="auto"/>
              <w:right w:val="single" w:sz="4" w:space="0" w:color="auto"/>
            </w:tcBorders>
            <w:shd w:val="clear" w:color="auto" w:fill="auto"/>
            <w:vAlign w:val="bottom"/>
            <w:hideMark/>
          </w:tcPr>
          <w:p w14:paraId="07189489" w14:textId="77777777" w:rsidR="0053656A" w:rsidRPr="00CD218D" w:rsidRDefault="0053656A" w:rsidP="0053656A">
            <w:pPr>
              <w:pStyle w:val="Tabletext"/>
            </w:pPr>
            <w:r w:rsidRPr="00CD218D">
              <w:t>Part 8-2</w:t>
            </w:r>
          </w:p>
        </w:tc>
        <w:tc>
          <w:tcPr>
            <w:tcW w:w="3743" w:type="dxa"/>
            <w:tcBorders>
              <w:top w:val="nil"/>
              <w:left w:val="nil"/>
              <w:bottom w:val="single" w:sz="4" w:space="0" w:color="auto"/>
              <w:right w:val="single" w:sz="4" w:space="0" w:color="auto"/>
            </w:tcBorders>
            <w:shd w:val="clear" w:color="auto" w:fill="auto"/>
            <w:vAlign w:val="bottom"/>
            <w:hideMark/>
          </w:tcPr>
          <w:p w14:paraId="5506F6A1" w14:textId="3E9024E1" w:rsidR="0053656A" w:rsidRPr="00CD218D" w:rsidRDefault="0053656A" w:rsidP="0053656A">
            <w:pPr>
              <w:pStyle w:val="Tabletext"/>
            </w:pPr>
            <w:r w:rsidRPr="00CD218D">
              <w:t xml:space="preserve">Safe </w:t>
            </w:r>
            <w:r w:rsidR="002841AB" w:rsidRPr="00CD218D">
              <w:t>Harbour</w:t>
            </w:r>
            <w:r w:rsidRPr="00CD218D">
              <w:t xml:space="preserve"> election </w:t>
            </w:r>
          </w:p>
        </w:tc>
        <w:tc>
          <w:tcPr>
            <w:tcW w:w="1746" w:type="dxa"/>
            <w:tcBorders>
              <w:top w:val="nil"/>
              <w:left w:val="nil"/>
              <w:bottom w:val="single" w:sz="4" w:space="0" w:color="auto"/>
              <w:right w:val="single" w:sz="4" w:space="0" w:color="auto"/>
            </w:tcBorders>
            <w:shd w:val="clear" w:color="auto" w:fill="auto"/>
            <w:vAlign w:val="bottom"/>
            <w:hideMark/>
          </w:tcPr>
          <w:p w14:paraId="0730546F" w14:textId="77777777" w:rsidR="0053656A" w:rsidRPr="00CD218D" w:rsidRDefault="0053656A" w:rsidP="0053656A">
            <w:pPr>
              <w:pStyle w:val="Tabletext"/>
            </w:pPr>
            <w:r w:rsidRPr="00CD218D">
              <w:t>8.2.2</w:t>
            </w:r>
          </w:p>
        </w:tc>
      </w:tr>
      <w:tr w:rsidR="0053656A" w:rsidRPr="00CD218D" w14:paraId="2E4DD3A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05E6883" w14:textId="77777777" w:rsidR="0053656A" w:rsidRPr="00CD218D" w:rsidRDefault="0053656A" w:rsidP="0053656A">
            <w:pPr>
              <w:pStyle w:val="Tabletext"/>
            </w:pPr>
            <w:r w:rsidRPr="00CD218D">
              <w:t>Division 1 of Part 8-2</w:t>
            </w:r>
          </w:p>
        </w:tc>
        <w:tc>
          <w:tcPr>
            <w:tcW w:w="3743" w:type="dxa"/>
            <w:tcBorders>
              <w:top w:val="nil"/>
              <w:left w:val="nil"/>
              <w:bottom w:val="single" w:sz="4" w:space="0" w:color="auto"/>
              <w:right w:val="single" w:sz="4" w:space="0" w:color="auto"/>
            </w:tcBorders>
            <w:shd w:val="clear" w:color="auto" w:fill="auto"/>
            <w:vAlign w:val="bottom"/>
            <w:hideMark/>
          </w:tcPr>
          <w:p w14:paraId="50DC4AB2" w14:textId="77777777" w:rsidR="0053656A" w:rsidRPr="00CD218D" w:rsidRDefault="0053656A" w:rsidP="0053656A">
            <w:pPr>
              <w:pStyle w:val="Tabletext"/>
            </w:pPr>
            <w:r w:rsidRPr="00CD218D">
              <w:t xml:space="preserve">Transitional CbC Safe Harbour and associated definitions </w:t>
            </w:r>
          </w:p>
        </w:tc>
        <w:tc>
          <w:tcPr>
            <w:tcW w:w="1746" w:type="dxa"/>
            <w:tcBorders>
              <w:top w:val="nil"/>
              <w:left w:val="nil"/>
              <w:bottom w:val="single" w:sz="4" w:space="0" w:color="auto"/>
              <w:right w:val="single" w:sz="4" w:space="0" w:color="auto"/>
            </w:tcBorders>
            <w:shd w:val="clear" w:color="auto" w:fill="auto"/>
            <w:noWrap/>
            <w:vAlign w:val="bottom"/>
            <w:hideMark/>
          </w:tcPr>
          <w:p w14:paraId="2E2A7817" w14:textId="77777777" w:rsidR="0053656A" w:rsidRPr="00CD218D" w:rsidRDefault="0053656A" w:rsidP="0053656A">
            <w:pPr>
              <w:pStyle w:val="Tabletext"/>
            </w:pPr>
            <w:r w:rsidRPr="00CD218D">
              <w:t xml:space="preserve">Chapter 1 of the 2022 Safe Harbour document </w:t>
            </w:r>
          </w:p>
        </w:tc>
      </w:tr>
      <w:tr w:rsidR="0053656A" w:rsidRPr="00CD218D" w14:paraId="5B21CCF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ABCE06A" w14:textId="77777777" w:rsidR="0053656A" w:rsidRPr="00CD218D" w:rsidRDefault="0053656A" w:rsidP="0053656A">
            <w:pPr>
              <w:pStyle w:val="Tabletext"/>
            </w:pPr>
            <w:r w:rsidRPr="00CD218D">
              <w:t>Division 1 of Part 8-2</w:t>
            </w:r>
          </w:p>
        </w:tc>
        <w:tc>
          <w:tcPr>
            <w:tcW w:w="3743" w:type="dxa"/>
            <w:tcBorders>
              <w:top w:val="nil"/>
              <w:left w:val="nil"/>
              <w:bottom w:val="nil"/>
              <w:right w:val="nil"/>
            </w:tcBorders>
            <w:shd w:val="clear" w:color="auto" w:fill="auto"/>
            <w:noWrap/>
            <w:vAlign w:val="bottom"/>
            <w:hideMark/>
          </w:tcPr>
          <w:p w14:paraId="3AFA384C" w14:textId="77777777" w:rsidR="0053656A" w:rsidRPr="00CD218D" w:rsidRDefault="0053656A" w:rsidP="0053656A">
            <w:pPr>
              <w:pStyle w:val="Tabletext"/>
            </w:pPr>
            <w:r w:rsidRPr="00CD218D">
              <w:t>Purchase price accounting adjustments in Qualified Financial Statements</w:t>
            </w:r>
          </w:p>
        </w:tc>
        <w:tc>
          <w:tcPr>
            <w:tcW w:w="1746" w:type="dxa"/>
            <w:tcBorders>
              <w:top w:val="nil"/>
              <w:left w:val="single" w:sz="4" w:space="0" w:color="auto"/>
              <w:bottom w:val="single" w:sz="4" w:space="0" w:color="auto"/>
              <w:right w:val="single" w:sz="4" w:space="0" w:color="auto"/>
            </w:tcBorders>
            <w:shd w:val="clear" w:color="auto" w:fill="auto"/>
            <w:noWrap/>
            <w:vAlign w:val="bottom"/>
            <w:hideMark/>
          </w:tcPr>
          <w:p w14:paraId="2C4E83C4" w14:textId="77777777" w:rsidR="0053656A" w:rsidRPr="00CD218D" w:rsidRDefault="0053656A" w:rsidP="0053656A">
            <w:pPr>
              <w:pStyle w:val="Tabletext"/>
            </w:pPr>
            <w:r w:rsidRPr="00CD218D">
              <w:t>Chapter 1 of the December 2023 AG</w:t>
            </w:r>
          </w:p>
        </w:tc>
      </w:tr>
      <w:tr w:rsidR="0053656A" w:rsidRPr="00CD218D" w14:paraId="20C1168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AC12CF9" w14:textId="015B65C6" w:rsidR="0053656A" w:rsidRPr="00CD218D" w:rsidRDefault="0053656A" w:rsidP="0053656A">
            <w:pPr>
              <w:pStyle w:val="Tabletext"/>
            </w:pPr>
            <w:r w:rsidRPr="00CD218D">
              <w:lastRenderedPageBreak/>
              <w:t>8-</w:t>
            </w:r>
            <w:r w:rsidR="007B25B8" w:rsidRPr="00CD218D">
              <w:t>135</w:t>
            </w:r>
            <w:r w:rsidRPr="00CD218D">
              <w:t>(c)</w:t>
            </w:r>
          </w:p>
        </w:tc>
        <w:tc>
          <w:tcPr>
            <w:tcW w:w="3743" w:type="dxa"/>
            <w:tcBorders>
              <w:top w:val="single" w:sz="4" w:space="0" w:color="auto"/>
              <w:left w:val="nil"/>
              <w:bottom w:val="single" w:sz="4" w:space="0" w:color="auto"/>
              <w:right w:val="single" w:sz="4" w:space="0" w:color="auto"/>
            </w:tcBorders>
            <w:shd w:val="clear" w:color="auto" w:fill="auto"/>
            <w:noWrap/>
            <w:vAlign w:val="bottom"/>
            <w:hideMark/>
          </w:tcPr>
          <w:p w14:paraId="1FE70EFF" w14:textId="77777777" w:rsidR="0053656A" w:rsidRPr="00CD218D" w:rsidRDefault="0053656A" w:rsidP="0053656A">
            <w:pPr>
              <w:pStyle w:val="Tabletext"/>
            </w:pPr>
            <w:r w:rsidRPr="00CD218D">
              <w:t>Tested Jurisdictions</w:t>
            </w:r>
          </w:p>
        </w:tc>
        <w:tc>
          <w:tcPr>
            <w:tcW w:w="1746" w:type="dxa"/>
            <w:tcBorders>
              <w:top w:val="nil"/>
              <w:left w:val="nil"/>
              <w:bottom w:val="single" w:sz="4" w:space="0" w:color="auto"/>
              <w:right w:val="single" w:sz="4" w:space="0" w:color="auto"/>
            </w:tcBorders>
            <w:shd w:val="clear" w:color="auto" w:fill="auto"/>
            <w:noWrap/>
            <w:vAlign w:val="bottom"/>
            <w:hideMark/>
          </w:tcPr>
          <w:p w14:paraId="7E370B80" w14:textId="2646DFD7" w:rsidR="0053656A" w:rsidRPr="00CD218D" w:rsidRDefault="0053656A" w:rsidP="0053656A">
            <w:pPr>
              <w:pStyle w:val="Tabletext"/>
            </w:pPr>
            <w:r w:rsidRPr="00CD218D">
              <w:t>2.2 of the December 2023 AG</w:t>
            </w:r>
          </w:p>
        </w:tc>
      </w:tr>
      <w:tr w:rsidR="0053656A" w:rsidRPr="00CD218D" w14:paraId="0E62B60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A8AEC2D" w14:textId="5F6A7A2E" w:rsidR="0053656A" w:rsidRPr="00CD218D" w:rsidRDefault="0053656A" w:rsidP="0053656A">
            <w:pPr>
              <w:pStyle w:val="Tabletext"/>
              <w:ind w:left="0"/>
            </w:pPr>
            <w:r w:rsidRPr="00CD218D">
              <w:t>8-</w:t>
            </w:r>
            <w:r w:rsidR="007B25B8" w:rsidRPr="00CD218D">
              <w:t>75</w:t>
            </w:r>
          </w:p>
        </w:tc>
        <w:tc>
          <w:tcPr>
            <w:tcW w:w="3743" w:type="dxa"/>
            <w:tcBorders>
              <w:top w:val="nil"/>
              <w:left w:val="nil"/>
              <w:bottom w:val="single" w:sz="4" w:space="0" w:color="auto"/>
              <w:right w:val="single" w:sz="4" w:space="0" w:color="auto"/>
            </w:tcBorders>
            <w:shd w:val="clear" w:color="auto" w:fill="auto"/>
            <w:noWrap/>
            <w:vAlign w:val="bottom"/>
            <w:hideMark/>
          </w:tcPr>
          <w:p w14:paraId="2E9342BB" w14:textId="77777777" w:rsidR="0053656A" w:rsidRPr="00CD218D" w:rsidRDefault="0053656A" w:rsidP="0053656A">
            <w:pPr>
              <w:pStyle w:val="Tabletext"/>
            </w:pPr>
            <w:r w:rsidRPr="00CD218D">
              <w:t>Qualified Financial Statements: Consistent use of data</w:t>
            </w:r>
          </w:p>
        </w:tc>
        <w:tc>
          <w:tcPr>
            <w:tcW w:w="1746" w:type="dxa"/>
            <w:tcBorders>
              <w:top w:val="nil"/>
              <w:left w:val="nil"/>
              <w:bottom w:val="single" w:sz="4" w:space="0" w:color="auto"/>
              <w:right w:val="single" w:sz="4" w:space="0" w:color="auto"/>
            </w:tcBorders>
            <w:shd w:val="clear" w:color="auto" w:fill="auto"/>
            <w:noWrap/>
            <w:vAlign w:val="bottom"/>
            <w:hideMark/>
          </w:tcPr>
          <w:p w14:paraId="6273C53E" w14:textId="2BD42C4C" w:rsidR="0053656A" w:rsidRPr="00CD218D" w:rsidRDefault="0053656A" w:rsidP="0053656A">
            <w:pPr>
              <w:pStyle w:val="Tabletext"/>
            </w:pPr>
            <w:r w:rsidRPr="00CD218D">
              <w:t>2.3.1 of the December 2023 AG</w:t>
            </w:r>
          </w:p>
        </w:tc>
      </w:tr>
      <w:tr w:rsidR="0053656A" w:rsidRPr="00CD218D" w14:paraId="63B01CB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tcPr>
          <w:p w14:paraId="7BEE614A" w14:textId="56E132F6" w:rsidR="0053656A" w:rsidRPr="00CD218D" w:rsidRDefault="0053656A" w:rsidP="0053656A">
            <w:pPr>
              <w:pStyle w:val="Tabletext"/>
            </w:pPr>
            <w:r w:rsidRPr="00CD218D">
              <w:t>8-</w:t>
            </w:r>
            <w:r w:rsidR="007B25B8" w:rsidRPr="00CD218D">
              <w:t>70</w:t>
            </w:r>
          </w:p>
        </w:tc>
        <w:tc>
          <w:tcPr>
            <w:tcW w:w="3743" w:type="dxa"/>
            <w:tcBorders>
              <w:top w:val="nil"/>
              <w:left w:val="nil"/>
              <w:bottom w:val="single" w:sz="4" w:space="0" w:color="auto"/>
              <w:right w:val="single" w:sz="4" w:space="0" w:color="auto"/>
            </w:tcBorders>
            <w:shd w:val="clear" w:color="auto" w:fill="auto"/>
            <w:noWrap/>
          </w:tcPr>
          <w:p w14:paraId="031754EA" w14:textId="77777777" w:rsidR="0053656A" w:rsidRPr="00CD218D" w:rsidRDefault="0053656A" w:rsidP="0053656A">
            <w:pPr>
              <w:pStyle w:val="Tabletext"/>
            </w:pPr>
            <w:r w:rsidRPr="00CD218D">
              <w:t>Qualified Financial Statements: Using different accounting standards</w:t>
            </w:r>
          </w:p>
        </w:tc>
        <w:tc>
          <w:tcPr>
            <w:tcW w:w="1746" w:type="dxa"/>
            <w:tcBorders>
              <w:top w:val="nil"/>
              <w:left w:val="nil"/>
              <w:bottom w:val="single" w:sz="4" w:space="0" w:color="auto"/>
              <w:right w:val="single" w:sz="4" w:space="0" w:color="auto"/>
            </w:tcBorders>
            <w:shd w:val="clear" w:color="auto" w:fill="auto"/>
            <w:noWrap/>
          </w:tcPr>
          <w:p w14:paraId="31214064" w14:textId="77777777" w:rsidR="0053656A" w:rsidRPr="00CD218D" w:rsidRDefault="0053656A" w:rsidP="0053656A">
            <w:pPr>
              <w:pStyle w:val="Tabletext"/>
            </w:pPr>
            <w:r w:rsidRPr="00CD218D">
              <w:t>2.3.2 of the December 2023 AG</w:t>
            </w:r>
          </w:p>
        </w:tc>
      </w:tr>
      <w:tr w:rsidR="0053656A" w:rsidRPr="00CD218D" w14:paraId="7411F41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tcPr>
          <w:p w14:paraId="76496D0B" w14:textId="218C5D6F" w:rsidR="0053656A" w:rsidRPr="00CD218D" w:rsidRDefault="0053656A" w:rsidP="0053656A">
            <w:pPr>
              <w:pStyle w:val="Tabletext"/>
            </w:pPr>
            <w:r w:rsidRPr="00CD218D">
              <w:t>8-</w:t>
            </w:r>
            <w:r w:rsidR="007B25B8" w:rsidRPr="00CD218D">
              <w:t>25</w:t>
            </w:r>
            <w:r w:rsidRPr="00CD218D">
              <w:t>(2)-(3) and 8</w:t>
            </w:r>
            <w:r w:rsidR="008B653E">
              <w:noBreakHyphen/>
            </w:r>
            <w:r w:rsidR="007B25B8" w:rsidRPr="00CD218D">
              <w:t>30</w:t>
            </w:r>
            <w:r w:rsidRPr="00CD218D">
              <w:t>(2)</w:t>
            </w:r>
            <w:r w:rsidR="008B653E">
              <w:noBreakHyphen/>
            </w:r>
            <w:r w:rsidRPr="00CD218D">
              <w:t>(3)</w:t>
            </w:r>
          </w:p>
        </w:tc>
        <w:tc>
          <w:tcPr>
            <w:tcW w:w="3743" w:type="dxa"/>
            <w:tcBorders>
              <w:top w:val="nil"/>
              <w:left w:val="nil"/>
              <w:bottom w:val="single" w:sz="4" w:space="0" w:color="auto"/>
              <w:right w:val="single" w:sz="4" w:space="0" w:color="auto"/>
            </w:tcBorders>
            <w:shd w:val="clear" w:color="auto" w:fill="auto"/>
            <w:noWrap/>
          </w:tcPr>
          <w:p w14:paraId="79E9286B" w14:textId="77777777" w:rsidR="0053656A" w:rsidRPr="00CD218D" w:rsidRDefault="0053656A" w:rsidP="0053656A">
            <w:pPr>
              <w:pStyle w:val="Tabletext"/>
            </w:pPr>
            <w:r w:rsidRPr="00CD218D">
              <w:t>Adjustments to Qualified Financial Statements</w:t>
            </w:r>
          </w:p>
        </w:tc>
        <w:tc>
          <w:tcPr>
            <w:tcW w:w="1746" w:type="dxa"/>
            <w:tcBorders>
              <w:top w:val="nil"/>
              <w:left w:val="nil"/>
              <w:bottom w:val="single" w:sz="4" w:space="0" w:color="auto"/>
              <w:right w:val="single" w:sz="4" w:space="0" w:color="auto"/>
            </w:tcBorders>
            <w:shd w:val="clear" w:color="auto" w:fill="auto"/>
            <w:noWrap/>
          </w:tcPr>
          <w:p w14:paraId="00C08098" w14:textId="77777777" w:rsidR="0053656A" w:rsidRPr="00CD218D" w:rsidRDefault="0053656A" w:rsidP="0053656A">
            <w:pPr>
              <w:pStyle w:val="Tabletext"/>
            </w:pPr>
            <w:r w:rsidRPr="00CD218D">
              <w:t>2.3.3 of the December 2023 AG</w:t>
            </w:r>
          </w:p>
        </w:tc>
      </w:tr>
      <w:tr w:rsidR="0053656A" w:rsidRPr="00CD218D" w14:paraId="0D34229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tcPr>
          <w:p w14:paraId="6FCE5BB7" w14:textId="55541EB1" w:rsidR="0053656A" w:rsidRPr="00CD218D" w:rsidRDefault="0053656A" w:rsidP="0053656A">
            <w:pPr>
              <w:pStyle w:val="Tabletext"/>
            </w:pPr>
            <w:r w:rsidRPr="00CD218D">
              <w:t>8-</w:t>
            </w:r>
            <w:r w:rsidR="007B25B8" w:rsidRPr="00CD218D">
              <w:t>35</w:t>
            </w:r>
          </w:p>
        </w:tc>
        <w:tc>
          <w:tcPr>
            <w:tcW w:w="3743" w:type="dxa"/>
            <w:tcBorders>
              <w:top w:val="nil"/>
              <w:left w:val="nil"/>
              <w:bottom w:val="single" w:sz="4" w:space="0" w:color="auto"/>
              <w:right w:val="single" w:sz="4" w:space="0" w:color="auto"/>
            </w:tcBorders>
            <w:shd w:val="clear" w:color="auto" w:fill="auto"/>
            <w:noWrap/>
          </w:tcPr>
          <w:p w14:paraId="5AA171CA" w14:textId="77777777" w:rsidR="0053656A" w:rsidRPr="00CD218D" w:rsidRDefault="0053656A" w:rsidP="0053656A">
            <w:pPr>
              <w:pStyle w:val="Tabletext"/>
            </w:pPr>
            <w:r w:rsidRPr="00CD218D">
              <w:t>MNE Groups not required to file CbCR</w:t>
            </w:r>
          </w:p>
        </w:tc>
        <w:tc>
          <w:tcPr>
            <w:tcW w:w="1746" w:type="dxa"/>
            <w:tcBorders>
              <w:top w:val="nil"/>
              <w:left w:val="nil"/>
              <w:bottom w:val="single" w:sz="4" w:space="0" w:color="auto"/>
              <w:right w:val="single" w:sz="4" w:space="0" w:color="auto"/>
            </w:tcBorders>
            <w:shd w:val="clear" w:color="auto" w:fill="auto"/>
            <w:noWrap/>
          </w:tcPr>
          <w:p w14:paraId="7E974B63" w14:textId="77777777" w:rsidR="0053656A" w:rsidRPr="00CD218D" w:rsidRDefault="0053656A" w:rsidP="0053656A">
            <w:pPr>
              <w:pStyle w:val="Tabletext"/>
            </w:pPr>
            <w:r w:rsidRPr="00CD218D">
              <w:t>2.3.4 of the December 2023 AG</w:t>
            </w:r>
          </w:p>
        </w:tc>
      </w:tr>
      <w:tr w:rsidR="0053656A" w:rsidRPr="00CD218D" w14:paraId="484D1B4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41F6D4C" w14:textId="2111CDAE" w:rsidR="0053656A" w:rsidRPr="00CD218D" w:rsidRDefault="0053656A" w:rsidP="0053656A">
            <w:pPr>
              <w:pStyle w:val="Tabletext"/>
            </w:pPr>
            <w:r w:rsidRPr="00CD218D">
              <w:t> 8-</w:t>
            </w:r>
            <w:r w:rsidR="007B25B8" w:rsidRPr="00CD218D">
              <w:t>50</w:t>
            </w:r>
            <w:r w:rsidRPr="00CD218D">
              <w:t>(2)</w:t>
            </w:r>
          </w:p>
        </w:tc>
        <w:tc>
          <w:tcPr>
            <w:tcW w:w="3743" w:type="dxa"/>
            <w:tcBorders>
              <w:top w:val="nil"/>
              <w:left w:val="nil"/>
              <w:bottom w:val="single" w:sz="4" w:space="0" w:color="auto"/>
              <w:right w:val="single" w:sz="4" w:space="0" w:color="auto"/>
            </w:tcBorders>
            <w:shd w:val="clear" w:color="auto" w:fill="auto"/>
            <w:noWrap/>
            <w:vAlign w:val="bottom"/>
            <w:hideMark/>
          </w:tcPr>
          <w:p w14:paraId="64B0B4CE" w14:textId="77777777" w:rsidR="0053656A" w:rsidRPr="00CD218D" w:rsidRDefault="0053656A" w:rsidP="0053656A">
            <w:pPr>
              <w:pStyle w:val="Tabletext"/>
            </w:pPr>
            <w:r w:rsidRPr="00CD218D">
              <w:t>Simplified Covered Taxes</w:t>
            </w:r>
          </w:p>
        </w:tc>
        <w:tc>
          <w:tcPr>
            <w:tcW w:w="1746" w:type="dxa"/>
            <w:tcBorders>
              <w:top w:val="nil"/>
              <w:left w:val="nil"/>
              <w:bottom w:val="single" w:sz="4" w:space="0" w:color="auto"/>
              <w:right w:val="single" w:sz="4" w:space="0" w:color="auto"/>
            </w:tcBorders>
            <w:shd w:val="clear" w:color="auto" w:fill="auto"/>
            <w:noWrap/>
            <w:vAlign w:val="bottom"/>
            <w:hideMark/>
          </w:tcPr>
          <w:p w14:paraId="6A152584" w14:textId="77777777" w:rsidR="0053656A" w:rsidRPr="00CD218D" w:rsidRDefault="0053656A" w:rsidP="0053656A">
            <w:pPr>
              <w:pStyle w:val="Tabletext"/>
            </w:pPr>
            <w:r w:rsidRPr="00CD218D">
              <w:t>2.4 of the December</w:t>
            </w:r>
          </w:p>
        </w:tc>
      </w:tr>
      <w:tr w:rsidR="0053656A" w:rsidRPr="00CD218D" w14:paraId="5DAF642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11B98CE" w14:textId="794CAC3C" w:rsidR="0053656A" w:rsidRPr="00CD218D" w:rsidRDefault="0053656A" w:rsidP="0053656A">
            <w:pPr>
              <w:pStyle w:val="Tabletext"/>
            </w:pPr>
            <w:r w:rsidRPr="00CD218D">
              <w:t>8-</w:t>
            </w:r>
            <w:r w:rsidR="007B25B8" w:rsidRPr="00CD218D">
              <w:t>50</w:t>
            </w:r>
            <w:r w:rsidRPr="00CD218D">
              <w:t>(3)</w:t>
            </w:r>
          </w:p>
        </w:tc>
        <w:tc>
          <w:tcPr>
            <w:tcW w:w="3743" w:type="dxa"/>
            <w:tcBorders>
              <w:top w:val="nil"/>
              <w:left w:val="nil"/>
              <w:bottom w:val="single" w:sz="4" w:space="0" w:color="auto"/>
              <w:right w:val="single" w:sz="4" w:space="0" w:color="auto"/>
            </w:tcBorders>
            <w:shd w:val="clear" w:color="auto" w:fill="auto"/>
            <w:noWrap/>
            <w:vAlign w:val="bottom"/>
          </w:tcPr>
          <w:p w14:paraId="2AC1EAE8" w14:textId="77777777" w:rsidR="0053656A" w:rsidRPr="00CD218D" w:rsidRDefault="0053656A" w:rsidP="0053656A">
            <w:pPr>
              <w:pStyle w:val="Tabletext"/>
            </w:pPr>
            <w:r w:rsidRPr="00CD218D">
              <w:t>Covered Taxes on income of PEs, CFCs, and Hybrid Entities</w:t>
            </w:r>
          </w:p>
        </w:tc>
        <w:tc>
          <w:tcPr>
            <w:tcW w:w="1746" w:type="dxa"/>
            <w:tcBorders>
              <w:top w:val="nil"/>
              <w:left w:val="nil"/>
              <w:bottom w:val="single" w:sz="4" w:space="0" w:color="auto"/>
              <w:right w:val="single" w:sz="4" w:space="0" w:color="auto"/>
            </w:tcBorders>
            <w:shd w:val="clear" w:color="auto" w:fill="auto"/>
            <w:noWrap/>
            <w:vAlign w:val="bottom"/>
          </w:tcPr>
          <w:p w14:paraId="6C5D987A" w14:textId="77777777" w:rsidR="0053656A" w:rsidRPr="00CD218D" w:rsidRDefault="0053656A" w:rsidP="0053656A">
            <w:pPr>
              <w:pStyle w:val="Tabletext"/>
            </w:pPr>
            <w:r w:rsidRPr="00CD218D">
              <w:t>2.4.2 of the December 2023 AG</w:t>
            </w:r>
          </w:p>
        </w:tc>
      </w:tr>
      <w:tr w:rsidR="0053656A" w:rsidRPr="00CD218D" w14:paraId="4CF34D3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CA0F75E" w14:textId="6C25B6F5" w:rsidR="0053656A" w:rsidRPr="00CD218D" w:rsidRDefault="0053656A" w:rsidP="0053656A">
            <w:pPr>
              <w:pStyle w:val="Tabletext"/>
            </w:pPr>
            <w:r w:rsidRPr="00CD218D">
              <w:t> 8-</w:t>
            </w:r>
            <w:r w:rsidR="007B25B8" w:rsidRPr="00CD218D">
              <w:t>60</w:t>
            </w:r>
            <w:r w:rsidRPr="00CD218D">
              <w:t>(3)</w:t>
            </w:r>
          </w:p>
        </w:tc>
        <w:tc>
          <w:tcPr>
            <w:tcW w:w="3743" w:type="dxa"/>
            <w:tcBorders>
              <w:top w:val="nil"/>
              <w:left w:val="nil"/>
              <w:bottom w:val="single" w:sz="4" w:space="0" w:color="auto"/>
              <w:right w:val="single" w:sz="4" w:space="0" w:color="auto"/>
            </w:tcBorders>
            <w:shd w:val="clear" w:color="auto" w:fill="auto"/>
            <w:noWrap/>
            <w:vAlign w:val="bottom"/>
            <w:hideMark/>
          </w:tcPr>
          <w:p w14:paraId="363E9F86" w14:textId="77777777" w:rsidR="0053656A" w:rsidRPr="00CD218D" w:rsidRDefault="0053656A" w:rsidP="0053656A">
            <w:pPr>
              <w:pStyle w:val="Tabletext"/>
            </w:pPr>
            <w:r w:rsidRPr="00CD218D">
              <w:t>Routine Profits Test</w:t>
            </w:r>
          </w:p>
        </w:tc>
        <w:tc>
          <w:tcPr>
            <w:tcW w:w="1746" w:type="dxa"/>
            <w:tcBorders>
              <w:top w:val="nil"/>
              <w:left w:val="nil"/>
              <w:bottom w:val="single" w:sz="4" w:space="0" w:color="auto"/>
              <w:right w:val="single" w:sz="4" w:space="0" w:color="auto"/>
            </w:tcBorders>
            <w:shd w:val="clear" w:color="auto" w:fill="auto"/>
            <w:noWrap/>
            <w:vAlign w:val="bottom"/>
            <w:hideMark/>
          </w:tcPr>
          <w:p w14:paraId="1B7AB15F" w14:textId="77777777" w:rsidR="0053656A" w:rsidRPr="00CD218D" w:rsidRDefault="0053656A" w:rsidP="0053656A">
            <w:pPr>
              <w:pStyle w:val="Tabletext"/>
            </w:pPr>
            <w:r w:rsidRPr="00CD218D">
              <w:t>2.5 of the December 2023 AG</w:t>
            </w:r>
          </w:p>
        </w:tc>
      </w:tr>
      <w:tr w:rsidR="0053656A" w:rsidRPr="00CD218D" w14:paraId="44E9735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CE74B85" w14:textId="609BB58F" w:rsidR="0053656A" w:rsidRPr="00CD218D" w:rsidRDefault="0053656A" w:rsidP="0053656A">
            <w:pPr>
              <w:pStyle w:val="Tabletext"/>
            </w:pPr>
            <w:r w:rsidRPr="00CD218D">
              <w:t> 8-</w:t>
            </w:r>
            <w:r w:rsidR="00F95538" w:rsidRPr="00CD218D">
              <w:t>110</w:t>
            </w:r>
            <w:r w:rsidR="008B653E">
              <w:t xml:space="preserve"> to 8</w:t>
            </w:r>
            <w:r w:rsidR="008B653E">
              <w:noBreakHyphen/>
            </w:r>
            <w:r w:rsidR="00F95538" w:rsidRPr="00CD218D">
              <w:t>150</w:t>
            </w:r>
          </w:p>
        </w:tc>
        <w:tc>
          <w:tcPr>
            <w:tcW w:w="3743" w:type="dxa"/>
            <w:tcBorders>
              <w:top w:val="nil"/>
              <w:left w:val="nil"/>
              <w:bottom w:val="single" w:sz="4" w:space="0" w:color="auto"/>
              <w:right w:val="single" w:sz="4" w:space="0" w:color="auto"/>
            </w:tcBorders>
            <w:shd w:val="clear" w:color="auto" w:fill="auto"/>
            <w:noWrap/>
            <w:vAlign w:val="bottom"/>
            <w:hideMark/>
          </w:tcPr>
          <w:p w14:paraId="4048FACB" w14:textId="77777777" w:rsidR="0053656A" w:rsidRPr="00CD218D" w:rsidRDefault="0053656A" w:rsidP="0053656A">
            <w:pPr>
              <w:pStyle w:val="Tabletext"/>
            </w:pPr>
            <w:r w:rsidRPr="00CD218D">
              <w:t>Treatment of hybrid arbitrage arrangements</w:t>
            </w:r>
          </w:p>
        </w:tc>
        <w:tc>
          <w:tcPr>
            <w:tcW w:w="1746" w:type="dxa"/>
            <w:tcBorders>
              <w:top w:val="nil"/>
              <w:left w:val="nil"/>
              <w:bottom w:val="single" w:sz="4" w:space="0" w:color="auto"/>
              <w:right w:val="single" w:sz="4" w:space="0" w:color="auto"/>
            </w:tcBorders>
            <w:shd w:val="clear" w:color="auto" w:fill="auto"/>
            <w:noWrap/>
            <w:vAlign w:val="bottom"/>
            <w:hideMark/>
          </w:tcPr>
          <w:p w14:paraId="4ACA108B" w14:textId="77777777" w:rsidR="0053656A" w:rsidRPr="00CD218D" w:rsidRDefault="0053656A" w:rsidP="0053656A">
            <w:pPr>
              <w:pStyle w:val="Tabletext"/>
            </w:pPr>
            <w:r w:rsidRPr="00CD218D">
              <w:t>2.6 of the December 2023 AG</w:t>
            </w:r>
          </w:p>
        </w:tc>
      </w:tr>
      <w:tr w:rsidR="0053656A" w:rsidRPr="00CD218D" w14:paraId="0C2D61B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AF9EDED" w14:textId="7C21449E" w:rsidR="0053656A" w:rsidRPr="00CD218D" w:rsidRDefault="0053656A" w:rsidP="0053656A">
            <w:pPr>
              <w:pStyle w:val="Tabletext"/>
            </w:pPr>
            <w:r w:rsidRPr="00CD218D">
              <w:t>8-</w:t>
            </w:r>
            <w:r w:rsidR="00F95538" w:rsidRPr="00CD218D">
              <w:t xml:space="preserve">155 </w:t>
            </w:r>
            <w:r w:rsidRPr="00CD218D">
              <w:t>to 8-</w:t>
            </w:r>
            <w:r w:rsidR="00F95538" w:rsidRPr="00CD218D">
              <w:t>170</w:t>
            </w:r>
          </w:p>
        </w:tc>
        <w:tc>
          <w:tcPr>
            <w:tcW w:w="3743" w:type="dxa"/>
            <w:tcBorders>
              <w:top w:val="nil"/>
              <w:left w:val="nil"/>
              <w:bottom w:val="single" w:sz="4" w:space="0" w:color="auto"/>
              <w:right w:val="single" w:sz="4" w:space="0" w:color="auto"/>
            </w:tcBorders>
            <w:shd w:val="clear" w:color="auto" w:fill="auto"/>
            <w:vAlign w:val="bottom"/>
            <w:hideMark/>
          </w:tcPr>
          <w:p w14:paraId="71296E78" w14:textId="77777777" w:rsidR="0053656A" w:rsidRPr="00CD218D" w:rsidRDefault="0053656A" w:rsidP="0053656A">
            <w:pPr>
              <w:pStyle w:val="Tabletext"/>
            </w:pPr>
            <w:r w:rsidRPr="00CD218D">
              <w:t xml:space="preserve">Simplified Calculations Safe Harbour </w:t>
            </w:r>
          </w:p>
        </w:tc>
        <w:tc>
          <w:tcPr>
            <w:tcW w:w="1746" w:type="dxa"/>
            <w:tcBorders>
              <w:top w:val="nil"/>
              <w:left w:val="nil"/>
              <w:bottom w:val="single" w:sz="4" w:space="0" w:color="auto"/>
              <w:right w:val="single" w:sz="4" w:space="0" w:color="auto"/>
            </w:tcBorders>
            <w:shd w:val="clear" w:color="auto" w:fill="auto"/>
            <w:noWrap/>
            <w:vAlign w:val="bottom"/>
            <w:hideMark/>
          </w:tcPr>
          <w:p w14:paraId="5D7FD579" w14:textId="77777777" w:rsidR="0053656A" w:rsidRPr="00CD218D" w:rsidRDefault="0053656A" w:rsidP="0053656A">
            <w:pPr>
              <w:pStyle w:val="Tabletext"/>
            </w:pPr>
            <w:r w:rsidRPr="00CD218D">
              <w:t>Chapter 2 of the 2022 Safe Harbours document</w:t>
            </w:r>
          </w:p>
        </w:tc>
      </w:tr>
      <w:tr w:rsidR="0053656A" w:rsidRPr="00CD218D" w14:paraId="26AAAB9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40B873F" w14:textId="401CBED9" w:rsidR="0053656A" w:rsidRPr="00CD218D" w:rsidRDefault="0053656A" w:rsidP="0053656A">
            <w:pPr>
              <w:pStyle w:val="Tabletext"/>
            </w:pPr>
            <w:r w:rsidRPr="00CD218D">
              <w:t>8-</w:t>
            </w:r>
            <w:r w:rsidR="00F95538" w:rsidRPr="00CD218D">
              <w:t xml:space="preserve">175 </w:t>
            </w:r>
            <w:r w:rsidRPr="00CD218D">
              <w:t>to 8-</w:t>
            </w:r>
            <w:r w:rsidR="00F95538" w:rsidRPr="00CD218D">
              <w:t>185</w:t>
            </w:r>
          </w:p>
        </w:tc>
        <w:tc>
          <w:tcPr>
            <w:tcW w:w="3743" w:type="dxa"/>
            <w:tcBorders>
              <w:top w:val="nil"/>
              <w:left w:val="nil"/>
              <w:bottom w:val="single" w:sz="4" w:space="0" w:color="auto"/>
              <w:right w:val="single" w:sz="4" w:space="0" w:color="auto"/>
            </w:tcBorders>
            <w:shd w:val="clear" w:color="auto" w:fill="auto"/>
            <w:vAlign w:val="bottom"/>
          </w:tcPr>
          <w:p w14:paraId="095051D5" w14:textId="77777777" w:rsidR="0053656A" w:rsidRPr="00CD218D" w:rsidRDefault="0053656A" w:rsidP="0053656A">
            <w:pPr>
              <w:pStyle w:val="Tabletext"/>
            </w:pPr>
            <w:r w:rsidRPr="00CD218D">
              <w:t>Simplified Calculation Safe Harbour for Non-Material Constituent Entities</w:t>
            </w:r>
          </w:p>
        </w:tc>
        <w:tc>
          <w:tcPr>
            <w:tcW w:w="1746" w:type="dxa"/>
            <w:tcBorders>
              <w:top w:val="nil"/>
              <w:left w:val="nil"/>
              <w:bottom w:val="single" w:sz="4" w:space="0" w:color="auto"/>
              <w:right w:val="single" w:sz="4" w:space="0" w:color="auto"/>
            </w:tcBorders>
            <w:shd w:val="clear" w:color="auto" w:fill="auto"/>
            <w:noWrap/>
            <w:vAlign w:val="bottom"/>
          </w:tcPr>
          <w:p w14:paraId="696018F7" w14:textId="77777777" w:rsidR="0053656A" w:rsidRPr="00CD218D" w:rsidRDefault="0053656A" w:rsidP="0053656A">
            <w:pPr>
              <w:pStyle w:val="Tabletext"/>
            </w:pPr>
            <w:r w:rsidRPr="00CD218D">
              <w:t>Chapter 6 of the December 2023 AG</w:t>
            </w:r>
          </w:p>
        </w:tc>
      </w:tr>
      <w:tr w:rsidR="0053656A" w:rsidRPr="00CD218D" w14:paraId="1BC05F4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C85EDB0" w14:textId="77777777" w:rsidR="0053656A" w:rsidRPr="00CD218D" w:rsidRDefault="0053656A" w:rsidP="0053656A">
            <w:pPr>
              <w:pStyle w:val="Tabletext"/>
            </w:pPr>
            <w:r w:rsidRPr="00CD218D">
              <w:t>Division 3 of Part 8-2</w:t>
            </w:r>
          </w:p>
        </w:tc>
        <w:tc>
          <w:tcPr>
            <w:tcW w:w="3743" w:type="dxa"/>
            <w:tcBorders>
              <w:top w:val="single" w:sz="4" w:space="0" w:color="auto"/>
              <w:left w:val="nil"/>
              <w:bottom w:val="single" w:sz="4" w:space="0" w:color="auto"/>
              <w:right w:val="single" w:sz="4" w:space="0" w:color="auto"/>
            </w:tcBorders>
            <w:shd w:val="clear" w:color="auto" w:fill="auto"/>
            <w:vAlign w:val="bottom"/>
            <w:hideMark/>
          </w:tcPr>
          <w:p w14:paraId="38FC625D" w14:textId="77777777" w:rsidR="0053656A" w:rsidRPr="00CD218D" w:rsidRDefault="0053656A" w:rsidP="0053656A">
            <w:pPr>
              <w:pStyle w:val="Tabletext"/>
            </w:pPr>
            <w:r w:rsidRPr="00CD218D">
              <w:t xml:space="preserve">QDMTT Safe Harbour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14:paraId="45565324" w14:textId="2BD9A3C6" w:rsidR="0053656A" w:rsidRPr="00CD218D" w:rsidRDefault="0053656A" w:rsidP="0053656A">
            <w:pPr>
              <w:pStyle w:val="Tabletext"/>
            </w:pPr>
            <w:r w:rsidRPr="00CD218D">
              <w:t xml:space="preserve">Chapter 5 of the July 2023 AG </w:t>
            </w:r>
          </w:p>
        </w:tc>
      </w:tr>
      <w:tr w:rsidR="0053656A" w:rsidRPr="00CD218D" w14:paraId="1E5E30C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E12E58E" w14:textId="77777777" w:rsidR="0053656A" w:rsidRPr="00CD218D" w:rsidRDefault="0053656A" w:rsidP="0053656A">
            <w:pPr>
              <w:pStyle w:val="Tabletext"/>
            </w:pPr>
            <w:r w:rsidRPr="00CD218D">
              <w:t>Division 4 of Part 8-2</w:t>
            </w:r>
          </w:p>
        </w:tc>
        <w:tc>
          <w:tcPr>
            <w:tcW w:w="3743" w:type="dxa"/>
            <w:tcBorders>
              <w:top w:val="single" w:sz="4" w:space="0" w:color="auto"/>
              <w:left w:val="nil"/>
              <w:bottom w:val="single" w:sz="4" w:space="0" w:color="auto"/>
              <w:right w:val="single" w:sz="4" w:space="0" w:color="auto"/>
            </w:tcBorders>
            <w:shd w:val="clear" w:color="auto" w:fill="auto"/>
            <w:vAlign w:val="bottom"/>
          </w:tcPr>
          <w:p w14:paraId="75FD411D" w14:textId="77777777" w:rsidR="0053656A" w:rsidRPr="00CD218D" w:rsidRDefault="0053656A" w:rsidP="0053656A">
            <w:pPr>
              <w:pStyle w:val="Tabletext"/>
            </w:pPr>
            <w:r w:rsidRPr="00CD218D">
              <w:t>Transitional UTPR Safe Harbour</w:t>
            </w:r>
          </w:p>
        </w:tc>
        <w:tc>
          <w:tcPr>
            <w:tcW w:w="1746" w:type="dxa"/>
            <w:tcBorders>
              <w:top w:val="single" w:sz="4" w:space="0" w:color="auto"/>
              <w:left w:val="nil"/>
              <w:bottom w:val="single" w:sz="4" w:space="0" w:color="auto"/>
              <w:right w:val="single" w:sz="4" w:space="0" w:color="auto"/>
            </w:tcBorders>
            <w:shd w:val="clear" w:color="auto" w:fill="auto"/>
            <w:noWrap/>
            <w:vAlign w:val="bottom"/>
          </w:tcPr>
          <w:p w14:paraId="0FB7EF26" w14:textId="77777777" w:rsidR="0053656A" w:rsidRPr="00CD218D" w:rsidRDefault="0053656A" w:rsidP="0053656A">
            <w:pPr>
              <w:pStyle w:val="Tabletext"/>
            </w:pPr>
            <w:r w:rsidRPr="00CD218D">
              <w:t>5.2 of the July 2023 AG</w:t>
            </w:r>
          </w:p>
        </w:tc>
      </w:tr>
      <w:tr w:rsidR="0053656A" w:rsidRPr="00CD218D" w14:paraId="0F928858" w14:textId="77777777">
        <w:trPr>
          <w:trHeight w:val="300"/>
        </w:trPr>
        <w:tc>
          <w:tcPr>
            <w:tcW w:w="7701" w:type="dxa"/>
            <w:gridSpan w:val="3"/>
            <w:tcBorders>
              <w:top w:val="nil"/>
              <w:left w:val="single" w:sz="4" w:space="0" w:color="auto"/>
              <w:bottom w:val="single" w:sz="4" w:space="0" w:color="auto"/>
              <w:right w:val="single" w:sz="4" w:space="0" w:color="auto"/>
            </w:tcBorders>
            <w:shd w:val="clear" w:color="auto" w:fill="auto"/>
            <w:noWrap/>
            <w:vAlign w:val="bottom"/>
          </w:tcPr>
          <w:p w14:paraId="1E8280C3" w14:textId="77777777" w:rsidR="0053656A" w:rsidRPr="00CD218D" w:rsidRDefault="0053656A" w:rsidP="0053656A">
            <w:pPr>
              <w:pStyle w:val="Tableheaderrowtext"/>
              <w:numPr>
                <w:ilvl w:val="3"/>
                <w:numId w:val="2"/>
              </w:numPr>
            </w:pPr>
            <w:r w:rsidRPr="00CD218D">
              <w:t>Chapter 9 – Transition rules</w:t>
            </w:r>
          </w:p>
        </w:tc>
      </w:tr>
      <w:tr w:rsidR="0053656A" w:rsidRPr="00CD218D" w14:paraId="3A0DF7D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38540BC" w14:textId="77777777" w:rsidR="0053656A" w:rsidRPr="00CD218D" w:rsidRDefault="0053656A" w:rsidP="0053656A">
            <w:pPr>
              <w:pStyle w:val="Tabletext"/>
              <w:rPr>
                <w:b/>
              </w:rPr>
            </w:pPr>
            <w:r w:rsidRPr="00CD218D">
              <w:rPr>
                <w:b/>
              </w:rPr>
              <w:t>Part 9-1</w:t>
            </w:r>
          </w:p>
        </w:tc>
        <w:tc>
          <w:tcPr>
            <w:tcW w:w="3743" w:type="dxa"/>
            <w:tcBorders>
              <w:top w:val="nil"/>
              <w:left w:val="nil"/>
              <w:bottom w:val="single" w:sz="4" w:space="0" w:color="auto"/>
              <w:right w:val="single" w:sz="4" w:space="0" w:color="auto"/>
            </w:tcBorders>
            <w:shd w:val="clear" w:color="auto" w:fill="auto"/>
            <w:vAlign w:val="bottom"/>
            <w:hideMark/>
          </w:tcPr>
          <w:p w14:paraId="2A111895" w14:textId="77777777" w:rsidR="0053656A" w:rsidRPr="00CD218D" w:rsidRDefault="0053656A" w:rsidP="0053656A">
            <w:pPr>
              <w:pStyle w:val="Tabletext"/>
              <w:rPr>
                <w:b/>
              </w:rPr>
            </w:pPr>
            <w:r w:rsidRPr="00CD218D">
              <w:rPr>
                <w:b/>
              </w:rPr>
              <w:t xml:space="preserve">Tax Attributes Upon Transition </w:t>
            </w:r>
          </w:p>
        </w:tc>
        <w:tc>
          <w:tcPr>
            <w:tcW w:w="1746" w:type="dxa"/>
            <w:tcBorders>
              <w:top w:val="nil"/>
              <w:left w:val="nil"/>
              <w:bottom w:val="single" w:sz="4" w:space="0" w:color="auto"/>
              <w:right w:val="single" w:sz="4" w:space="0" w:color="auto"/>
            </w:tcBorders>
            <w:shd w:val="clear" w:color="auto" w:fill="auto"/>
            <w:noWrap/>
            <w:vAlign w:val="bottom"/>
            <w:hideMark/>
          </w:tcPr>
          <w:p w14:paraId="6CE8CD04" w14:textId="77777777" w:rsidR="0053656A" w:rsidRPr="00CD218D" w:rsidRDefault="0053656A" w:rsidP="0053656A">
            <w:pPr>
              <w:pStyle w:val="Tabletext"/>
              <w:rPr>
                <w:b/>
              </w:rPr>
            </w:pPr>
            <w:r w:rsidRPr="00CD218D">
              <w:rPr>
                <w:b/>
              </w:rPr>
              <w:t>9.1</w:t>
            </w:r>
          </w:p>
        </w:tc>
      </w:tr>
      <w:tr w:rsidR="0053656A" w:rsidRPr="00CD218D" w14:paraId="56B243F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4E97714" w14:textId="77777777" w:rsidR="0053656A" w:rsidRPr="00CD218D" w:rsidRDefault="0053656A" w:rsidP="0053656A">
            <w:pPr>
              <w:pStyle w:val="Tabletext"/>
            </w:pPr>
            <w:r w:rsidRPr="00CD218D">
              <w:lastRenderedPageBreak/>
              <w:t xml:space="preserve">9-5 and 9-10 </w:t>
            </w:r>
          </w:p>
        </w:tc>
        <w:tc>
          <w:tcPr>
            <w:tcW w:w="3743" w:type="dxa"/>
            <w:tcBorders>
              <w:top w:val="nil"/>
              <w:left w:val="nil"/>
              <w:bottom w:val="single" w:sz="4" w:space="0" w:color="auto"/>
              <w:right w:val="single" w:sz="4" w:space="0" w:color="auto"/>
            </w:tcBorders>
            <w:shd w:val="clear" w:color="auto" w:fill="auto"/>
            <w:vAlign w:val="bottom"/>
            <w:hideMark/>
          </w:tcPr>
          <w:p w14:paraId="4B8A05CB" w14:textId="77777777" w:rsidR="0053656A" w:rsidRPr="00CD218D" w:rsidRDefault="0053656A" w:rsidP="0053656A">
            <w:pPr>
              <w:pStyle w:val="Tabletext"/>
            </w:pPr>
            <w:r w:rsidRPr="00CD218D">
              <w:t xml:space="preserve">Deferred tax assets and liabilities in a transition year for the ETR </w:t>
            </w:r>
          </w:p>
        </w:tc>
        <w:tc>
          <w:tcPr>
            <w:tcW w:w="1746" w:type="dxa"/>
            <w:tcBorders>
              <w:top w:val="nil"/>
              <w:left w:val="nil"/>
              <w:bottom w:val="single" w:sz="4" w:space="0" w:color="auto"/>
              <w:right w:val="single" w:sz="4" w:space="0" w:color="auto"/>
            </w:tcBorders>
            <w:shd w:val="clear" w:color="auto" w:fill="auto"/>
            <w:noWrap/>
            <w:vAlign w:val="bottom"/>
            <w:hideMark/>
          </w:tcPr>
          <w:p w14:paraId="090D1A2F" w14:textId="77777777" w:rsidR="0053656A" w:rsidRPr="00CD218D" w:rsidRDefault="0053656A" w:rsidP="0053656A">
            <w:pPr>
              <w:pStyle w:val="Tabletext"/>
            </w:pPr>
            <w:r w:rsidRPr="00CD218D">
              <w:t>9.1.1</w:t>
            </w:r>
          </w:p>
        </w:tc>
      </w:tr>
      <w:tr w:rsidR="0053656A" w:rsidRPr="00CD218D" w14:paraId="5E30916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FE5E167" w14:textId="77777777" w:rsidR="0053656A" w:rsidRPr="00CD218D" w:rsidRDefault="0053656A" w:rsidP="0053656A">
            <w:pPr>
              <w:pStyle w:val="Tabletext"/>
            </w:pPr>
            <w:r w:rsidRPr="00CD218D">
              <w:t>9-5(3)(a)</w:t>
            </w:r>
          </w:p>
        </w:tc>
        <w:tc>
          <w:tcPr>
            <w:tcW w:w="3743" w:type="dxa"/>
            <w:tcBorders>
              <w:top w:val="nil"/>
              <w:left w:val="nil"/>
              <w:bottom w:val="single" w:sz="4" w:space="0" w:color="auto"/>
              <w:right w:val="single" w:sz="4" w:space="0" w:color="auto"/>
            </w:tcBorders>
            <w:shd w:val="clear" w:color="auto" w:fill="auto"/>
            <w:vAlign w:val="bottom"/>
            <w:hideMark/>
          </w:tcPr>
          <w:p w14:paraId="0104E644" w14:textId="77777777" w:rsidR="0053656A" w:rsidRPr="00CD218D" w:rsidRDefault="0053656A" w:rsidP="0053656A">
            <w:pPr>
              <w:pStyle w:val="Tabletext"/>
            </w:pPr>
            <w:r w:rsidRPr="00CD218D">
              <w:t>Deferred tax assets from excluded items under chapter 3</w:t>
            </w:r>
          </w:p>
        </w:tc>
        <w:tc>
          <w:tcPr>
            <w:tcW w:w="1746" w:type="dxa"/>
            <w:tcBorders>
              <w:top w:val="nil"/>
              <w:left w:val="nil"/>
              <w:bottom w:val="single" w:sz="4" w:space="0" w:color="auto"/>
              <w:right w:val="single" w:sz="4" w:space="0" w:color="auto"/>
            </w:tcBorders>
            <w:shd w:val="clear" w:color="auto" w:fill="auto"/>
            <w:noWrap/>
            <w:vAlign w:val="bottom"/>
            <w:hideMark/>
          </w:tcPr>
          <w:p w14:paraId="34027ADF" w14:textId="77777777" w:rsidR="0053656A" w:rsidRPr="00CD218D" w:rsidRDefault="0053656A" w:rsidP="0053656A">
            <w:pPr>
              <w:pStyle w:val="Tabletext"/>
            </w:pPr>
            <w:r w:rsidRPr="00CD218D">
              <w:t>9.1.2</w:t>
            </w:r>
          </w:p>
        </w:tc>
      </w:tr>
      <w:tr w:rsidR="0053656A" w:rsidRPr="00CD218D" w14:paraId="58790EC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8462FD0" w14:textId="77777777" w:rsidR="0053656A" w:rsidRPr="00CD218D" w:rsidRDefault="0053656A" w:rsidP="0053656A">
            <w:pPr>
              <w:pStyle w:val="Tabletext"/>
            </w:pPr>
            <w:r w:rsidRPr="00CD218D">
              <w:t>9-15</w:t>
            </w:r>
          </w:p>
        </w:tc>
        <w:tc>
          <w:tcPr>
            <w:tcW w:w="3743" w:type="dxa"/>
            <w:tcBorders>
              <w:top w:val="nil"/>
              <w:left w:val="nil"/>
              <w:bottom w:val="single" w:sz="4" w:space="0" w:color="auto"/>
              <w:right w:val="single" w:sz="4" w:space="0" w:color="auto"/>
            </w:tcBorders>
            <w:shd w:val="clear" w:color="auto" w:fill="auto"/>
            <w:vAlign w:val="bottom"/>
            <w:hideMark/>
          </w:tcPr>
          <w:p w14:paraId="07A4FA36" w14:textId="5E7436D0" w:rsidR="0053656A" w:rsidRPr="00CD218D" w:rsidRDefault="0053656A" w:rsidP="0053656A">
            <w:pPr>
              <w:pStyle w:val="Tabletext"/>
            </w:pPr>
            <w:r w:rsidRPr="00CD218D">
              <w:t xml:space="preserve">Transfer of assets between </w:t>
            </w:r>
            <w:r w:rsidR="002841AB" w:rsidRPr="00CD218D">
              <w:t xml:space="preserve">Constituent Entities </w:t>
            </w:r>
          </w:p>
        </w:tc>
        <w:tc>
          <w:tcPr>
            <w:tcW w:w="1746" w:type="dxa"/>
            <w:tcBorders>
              <w:top w:val="nil"/>
              <w:left w:val="nil"/>
              <w:bottom w:val="single" w:sz="4" w:space="0" w:color="auto"/>
              <w:right w:val="single" w:sz="4" w:space="0" w:color="auto"/>
            </w:tcBorders>
            <w:shd w:val="clear" w:color="auto" w:fill="auto"/>
            <w:noWrap/>
            <w:vAlign w:val="bottom"/>
            <w:hideMark/>
          </w:tcPr>
          <w:p w14:paraId="5F1F8D35" w14:textId="77777777" w:rsidR="0053656A" w:rsidRPr="00CD218D" w:rsidRDefault="0053656A" w:rsidP="0053656A">
            <w:pPr>
              <w:pStyle w:val="Tabletext"/>
            </w:pPr>
            <w:r w:rsidRPr="00CD218D">
              <w:t>9.1.3</w:t>
            </w:r>
          </w:p>
        </w:tc>
      </w:tr>
      <w:tr w:rsidR="0053656A" w:rsidRPr="00CD218D" w14:paraId="0E9E9C1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739EBE6" w14:textId="77777777" w:rsidR="0053656A" w:rsidRPr="00CD218D" w:rsidRDefault="0053656A" w:rsidP="0053656A">
            <w:pPr>
              <w:pStyle w:val="Tabletext"/>
            </w:pPr>
            <w:r w:rsidRPr="00CD218D">
              <w:t>Part 9-1</w:t>
            </w:r>
          </w:p>
        </w:tc>
        <w:tc>
          <w:tcPr>
            <w:tcW w:w="3743" w:type="dxa"/>
            <w:tcBorders>
              <w:top w:val="nil"/>
              <w:left w:val="nil"/>
              <w:bottom w:val="single" w:sz="4" w:space="0" w:color="auto"/>
              <w:right w:val="single" w:sz="4" w:space="0" w:color="auto"/>
            </w:tcBorders>
            <w:shd w:val="clear" w:color="auto" w:fill="auto"/>
            <w:vAlign w:val="bottom"/>
            <w:hideMark/>
          </w:tcPr>
          <w:p w14:paraId="441BA215" w14:textId="77777777" w:rsidR="0053656A" w:rsidRPr="00CD218D" w:rsidRDefault="0053656A" w:rsidP="0053656A">
            <w:pPr>
              <w:pStyle w:val="Tabletext"/>
            </w:pPr>
            <w:r w:rsidRPr="00CD218D">
              <w:t>Deferred tax assets with respect to tax credits</w:t>
            </w:r>
          </w:p>
        </w:tc>
        <w:tc>
          <w:tcPr>
            <w:tcW w:w="1746" w:type="dxa"/>
            <w:tcBorders>
              <w:top w:val="nil"/>
              <w:left w:val="nil"/>
              <w:bottom w:val="single" w:sz="4" w:space="0" w:color="auto"/>
              <w:right w:val="single" w:sz="4" w:space="0" w:color="auto"/>
            </w:tcBorders>
            <w:shd w:val="clear" w:color="auto" w:fill="auto"/>
            <w:noWrap/>
            <w:vAlign w:val="bottom"/>
            <w:hideMark/>
          </w:tcPr>
          <w:p w14:paraId="7325DD10" w14:textId="77777777" w:rsidR="0053656A" w:rsidRPr="00CD218D" w:rsidRDefault="0053656A" w:rsidP="0053656A">
            <w:pPr>
              <w:pStyle w:val="Tabletext"/>
            </w:pPr>
            <w:r w:rsidRPr="00CD218D">
              <w:t>4.1 of the February 2023 AG</w:t>
            </w:r>
          </w:p>
        </w:tc>
      </w:tr>
      <w:tr w:rsidR="0053656A" w:rsidRPr="00CD218D" w14:paraId="247554C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5D5BEFE" w14:textId="77777777" w:rsidR="0053656A" w:rsidRPr="00CD218D" w:rsidRDefault="0053656A" w:rsidP="0053656A">
            <w:pPr>
              <w:pStyle w:val="Tabletext"/>
            </w:pPr>
            <w:r w:rsidRPr="00CD218D">
              <w:t>9-15</w:t>
            </w:r>
          </w:p>
        </w:tc>
        <w:tc>
          <w:tcPr>
            <w:tcW w:w="3743" w:type="dxa"/>
            <w:tcBorders>
              <w:top w:val="nil"/>
              <w:left w:val="nil"/>
              <w:bottom w:val="single" w:sz="4" w:space="0" w:color="auto"/>
              <w:right w:val="single" w:sz="4" w:space="0" w:color="auto"/>
            </w:tcBorders>
            <w:shd w:val="clear" w:color="auto" w:fill="auto"/>
            <w:vAlign w:val="bottom"/>
            <w:hideMark/>
          </w:tcPr>
          <w:p w14:paraId="240D046C" w14:textId="77777777" w:rsidR="0053656A" w:rsidRPr="00CD218D" w:rsidRDefault="0053656A" w:rsidP="0053656A">
            <w:pPr>
              <w:pStyle w:val="Tabletext"/>
            </w:pPr>
            <w:r w:rsidRPr="00CD218D">
              <w:t xml:space="preserve">Applicability of Article 9.1.3 to transactions similar to asset transfers </w:t>
            </w:r>
          </w:p>
        </w:tc>
        <w:tc>
          <w:tcPr>
            <w:tcW w:w="1746" w:type="dxa"/>
            <w:tcBorders>
              <w:top w:val="nil"/>
              <w:left w:val="nil"/>
              <w:bottom w:val="single" w:sz="4" w:space="0" w:color="auto"/>
              <w:right w:val="single" w:sz="4" w:space="0" w:color="auto"/>
            </w:tcBorders>
            <w:shd w:val="clear" w:color="auto" w:fill="auto"/>
            <w:noWrap/>
            <w:vAlign w:val="bottom"/>
            <w:hideMark/>
          </w:tcPr>
          <w:p w14:paraId="226F5750" w14:textId="77777777" w:rsidR="0053656A" w:rsidRPr="00CD218D" w:rsidRDefault="0053656A" w:rsidP="0053656A">
            <w:pPr>
              <w:pStyle w:val="Tabletext"/>
            </w:pPr>
            <w:r w:rsidRPr="00CD218D">
              <w:t>4.2 of the February 2023 AG</w:t>
            </w:r>
          </w:p>
        </w:tc>
      </w:tr>
      <w:tr w:rsidR="0053656A" w:rsidRPr="00CD218D" w14:paraId="6B02FAB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4414EE6" w14:textId="77777777" w:rsidR="0053656A" w:rsidRPr="00CD218D" w:rsidRDefault="0053656A" w:rsidP="0053656A">
            <w:pPr>
              <w:pStyle w:val="Tabletext"/>
            </w:pPr>
            <w:r w:rsidRPr="00CD218D">
              <w:t>9-15</w:t>
            </w:r>
          </w:p>
        </w:tc>
        <w:tc>
          <w:tcPr>
            <w:tcW w:w="3743" w:type="dxa"/>
            <w:tcBorders>
              <w:top w:val="nil"/>
              <w:left w:val="nil"/>
              <w:bottom w:val="single" w:sz="4" w:space="0" w:color="auto"/>
              <w:right w:val="single" w:sz="4" w:space="0" w:color="auto"/>
            </w:tcBorders>
            <w:shd w:val="clear" w:color="auto" w:fill="auto"/>
            <w:vAlign w:val="bottom"/>
            <w:hideMark/>
          </w:tcPr>
          <w:p w14:paraId="187C9EC8" w14:textId="77777777" w:rsidR="0053656A" w:rsidRPr="00CD218D" w:rsidRDefault="0053656A" w:rsidP="0053656A">
            <w:pPr>
              <w:pStyle w:val="Tabletext"/>
            </w:pPr>
            <w:r w:rsidRPr="00CD218D">
              <w:t xml:space="preserve">Clarifies aspect of the ‘carrying value’ </w:t>
            </w:r>
          </w:p>
        </w:tc>
        <w:tc>
          <w:tcPr>
            <w:tcW w:w="1746" w:type="dxa"/>
            <w:tcBorders>
              <w:top w:val="nil"/>
              <w:left w:val="nil"/>
              <w:bottom w:val="single" w:sz="4" w:space="0" w:color="auto"/>
              <w:right w:val="single" w:sz="4" w:space="0" w:color="auto"/>
            </w:tcBorders>
            <w:shd w:val="clear" w:color="auto" w:fill="auto"/>
            <w:noWrap/>
            <w:vAlign w:val="bottom"/>
            <w:hideMark/>
          </w:tcPr>
          <w:p w14:paraId="7FE40E3B" w14:textId="77777777" w:rsidR="0053656A" w:rsidRPr="00CD218D" w:rsidRDefault="0053656A" w:rsidP="0053656A">
            <w:pPr>
              <w:pStyle w:val="Tabletext"/>
            </w:pPr>
            <w:r w:rsidRPr="00CD218D">
              <w:t>4.3 of the February 2023 AG</w:t>
            </w:r>
          </w:p>
        </w:tc>
      </w:tr>
      <w:tr w:rsidR="0053656A" w:rsidRPr="00CD218D" w14:paraId="760A098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C5A6167" w14:textId="77777777" w:rsidR="0053656A" w:rsidRPr="00CD218D" w:rsidDel="00C82854" w:rsidRDefault="0053656A" w:rsidP="0053656A">
            <w:pPr>
              <w:pStyle w:val="Tabletext"/>
            </w:pPr>
            <w:r w:rsidRPr="00CD218D">
              <w:t>9-20</w:t>
            </w:r>
          </w:p>
        </w:tc>
        <w:tc>
          <w:tcPr>
            <w:tcW w:w="3743" w:type="dxa"/>
            <w:tcBorders>
              <w:top w:val="nil"/>
              <w:left w:val="nil"/>
              <w:bottom w:val="single" w:sz="4" w:space="0" w:color="auto"/>
              <w:right w:val="single" w:sz="4" w:space="0" w:color="auto"/>
            </w:tcBorders>
            <w:shd w:val="clear" w:color="auto" w:fill="auto"/>
            <w:vAlign w:val="bottom"/>
          </w:tcPr>
          <w:p w14:paraId="62579B89" w14:textId="77777777" w:rsidR="0053656A" w:rsidRPr="00CD218D" w:rsidRDefault="0053656A" w:rsidP="0053656A">
            <w:pPr>
              <w:pStyle w:val="Tabletext"/>
            </w:pPr>
            <w:r w:rsidRPr="00CD218D">
              <w:t>Transition Year for the purpose of Art 9.1.3</w:t>
            </w:r>
          </w:p>
        </w:tc>
        <w:tc>
          <w:tcPr>
            <w:tcW w:w="1746" w:type="dxa"/>
            <w:tcBorders>
              <w:top w:val="nil"/>
              <w:left w:val="nil"/>
              <w:bottom w:val="single" w:sz="4" w:space="0" w:color="auto"/>
              <w:right w:val="single" w:sz="4" w:space="0" w:color="auto"/>
            </w:tcBorders>
            <w:shd w:val="clear" w:color="auto" w:fill="auto"/>
            <w:noWrap/>
            <w:vAlign w:val="bottom"/>
          </w:tcPr>
          <w:p w14:paraId="55F6BEFE" w14:textId="77777777" w:rsidR="0053656A" w:rsidRPr="00CD218D" w:rsidRDefault="0053656A" w:rsidP="0053656A">
            <w:pPr>
              <w:pStyle w:val="Tabletext"/>
            </w:pPr>
            <w:r w:rsidRPr="00CD218D">
              <w:t>Para 53 Chapter 4 of the July 2023 AG</w:t>
            </w:r>
          </w:p>
        </w:tc>
      </w:tr>
      <w:tr w:rsidR="0053656A" w:rsidRPr="00CD218D" w14:paraId="7D737D3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A1BCE5D" w14:textId="77777777" w:rsidR="0053656A" w:rsidRPr="00CD218D" w:rsidRDefault="0053656A" w:rsidP="0053656A">
            <w:pPr>
              <w:pStyle w:val="Tabletext"/>
              <w:rPr>
                <w:b/>
                <w:bCs/>
              </w:rPr>
            </w:pPr>
            <w:r w:rsidRPr="00CD218D">
              <w:rPr>
                <w:b/>
                <w:bCs/>
              </w:rPr>
              <w:t>Part 9-2</w:t>
            </w:r>
          </w:p>
        </w:tc>
        <w:tc>
          <w:tcPr>
            <w:tcW w:w="3743" w:type="dxa"/>
            <w:tcBorders>
              <w:top w:val="nil"/>
              <w:left w:val="nil"/>
              <w:bottom w:val="single" w:sz="4" w:space="0" w:color="auto"/>
              <w:right w:val="single" w:sz="4" w:space="0" w:color="auto"/>
            </w:tcBorders>
            <w:shd w:val="clear" w:color="auto" w:fill="auto"/>
            <w:vAlign w:val="bottom"/>
            <w:hideMark/>
          </w:tcPr>
          <w:p w14:paraId="17C8B5A8" w14:textId="77777777" w:rsidR="0053656A" w:rsidRPr="00CD218D" w:rsidRDefault="0053656A" w:rsidP="0053656A">
            <w:pPr>
              <w:pStyle w:val="Tabletext"/>
              <w:rPr>
                <w:b/>
                <w:bCs/>
              </w:rPr>
            </w:pPr>
            <w:r w:rsidRPr="00CD218D">
              <w:rPr>
                <w:b/>
                <w:bCs/>
              </w:rPr>
              <w:t>Transitional relief for the Substance-based Income Exclusion</w:t>
            </w:r>
          </w:p>
        </w:tc>
        <w:tc>
          <w:tcPr>
            <w:tcW w:w="1746" w:type="dxa"/>
            <w:tcBorders>
              <w:top w:val="nil"/>
              <w:left w:val="nil"/>
              <w:bottom w:val="single" w:sz="4" w:space="0" w:color="auto"/>
              <w:right w:val="single" w:sz="4" w:space="0" w:color="auto"/>
            </w:tcBorders>
            <w:shd w:val="clear" w:color="auto" w:fill="auto"/>
            <w:noWrap/>
            <w:vAlign w:val="bottom"/>
            <w:hideMark/>
          </w:tcPr>
          <w:p w14:paraId="09EDA8DB" w14:textId="77777777" w:rsidR="0053656A" w:rsidRPr="00CD218D" w:rsidRDefault="0053656A" w:rsidP="0053656A">
            <w:pPr>
              <w:pStyle w:val="Tabletext"/>
              <w:rPr>
                <w:b/>
                <w:bCs/>
              </w:rPr>
            </w:pPr>
            <w:r w:rsidRPr="00CD218D">
              <w:rPr>
                <w:b/>
                <w:bCs/>
              </w:rPr>
              <w:t>9.2</w:t>
            </w:r>
          </w:p>
        </w:tc>
      </w:tr>
      <w:tr w:rsidR="0053656A" w:rsidRPr="00CD218D" w14:paraId="7EBDF91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297DF3A" w14:textId="77777777" w:rsidR="0053656A" w:rsidRPr="00CD218D" w:rsidRDefault="0053656A" w:rsidP="0053656A">
            <w:pPr>
              <w:pStyle w:val="Tabletext"/>
            </w:pPr>
            <w:r w:rsidRPr="00CD218D">
              <w:t>9-25 and 9-30</w:t>
            </w:r>
          </w:p>
        </w:tc>
        <w:tc>
          <w:tcPr>
            <w:tcW w:w="3743" w:type="dxa"/>
            <w:tcBorders>
              <w:top w:val="nil"/>
              <w:left w:val="nil"/>
              <w:bottom w:val="single" w:sz="4" w:space="0" w:color="auto"/>
              <w:right w:val="single" w:sz="4" w:space="0" w:color="auto"/>
            </w:tcBorders>
            <w:shd w:val="clear" w:color="auto" w:fill="auto"/>
            <w:vAlign w:val="bottom"/>
            <w:hideMark/>
          </w:tcPr>
          <w:p w14:paraId="275BA716" w14:textId="77777777" w:rsidR="0053656A" w:rsidRPr="00CD218D" w:rsidRDefault="0053656A" w:rsidP="0053656A">
            <w:pPr>
              <w:pStyle w:val="Tabletext"/>
            </w:pPr>
            <w:r w:rsidRPr="00CD218D">
              <w:t>Percentages for eligible employees</w:t>
            </w:r>
          </w:p>
        </w:tc>
        <w:tc>
          <w:tcPr>
            <w:tcW w:w="1746" w:type="dxa"/>
            <w:tcBorders>
              <w:top w:val="nil"/>
              <w:left w:val="nil"/>
              <w:bottom w:val="single" w:sz="4" w:space="0" w:color="auto"/>
              <w:right w:val="single" w:sz="4" w:space="0" w:color="auto"/>
            </w:tcBorders>
            <w:shd w:val="clear" w:color="auto" w:fill="auto"/>
            <w:noWrap/>
            <w:vAlign w:val="bottom"/>
            <w:hideMark/>
          </w:tcPr>
          <w:p w14:paraId="0225C9DE" w14:textId="77777777" w:rsidR="0053656A" w:rsidRPr="00CD218D" w:rsidRDefault="0053656A" w:rsidP="0053656A">
            <w:pPr>
              <w:pStyle w:val="Tabletext"/>
            </w:pPr>
            <w:r w:rsidRPr="00CD218D">
              <w:t>9.2.1</w:t>
            </w:r>
          </w:p>
        </w:tc>
      </w:tr>
      <w:tr w:rsidR="0053656A" w:rsidRPr="00CD218D" w14:paraId="0511CE3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9094D48" w14:textId="77777777" w:rsidR="0053656A" w:rsidRPr="00CD218D" w:rsidRDefault="0053656A" w:rsidP="0053656A">
            <w:pPr>
              <w:pStyle w:val="Tabletext"/>
            </w:pPr>
            <w:r w:rsidRPr="00CD218D">
              <w:t>9-35</w:t>
            </w:r>
          </w:p>
        </w:tc>
        <w:tc>
          <w:tcPr>
            <w:tcW w:w="3743" w:type="dxa"/>
            <w:tcBorders>
              <w:top w:val="nil"/>
              <w:left w:val="nil"/>
              <w:bottom w:val="single" w:sz="4" w:space="0" w:color="auto"/>
              <w:right w:val="single" w:sz="4" w:space="0" w:color="auto"/>
            </w:tcBorders>
            <w:shd w:val="clear" w:color="auto" w:fill="auto"/>
            <w:vAlign w:val="bottom"/>
            <w:hideMark/>
          </w:tcPr>
          <w:p w14:paraId="54E6ABFB" w14:textId="77777777" w:rsidR="0053656A" w:rsidRPr="00CD218D" w:rsidRDefault="0053656A" w:rsidP="0053656A">
            <w:pPr>
              <w:pStyle w:val="Tabletext"/>
            </w:pPr>
            <w:r w:rsidRPr="00CD218D">
              <w:t>Percentages for eligible assets</w:t>
            </w:r>
          </w:p>
        </w:tc>
        <w:tc>
          <w:tcPr>
            <w:tcW w:w="1746" w:type="dxa"/>
            <w:tcBorders>
              <w:top w:val="nil"/>
              <w:left w:val="nil"/>
              <w:bottom w:val="single" w:sz="4" w:space="0" w:color="auto"/>
              <w:right w:val="single" w:sz="4" w:space="0" w:color="auto"/>
            </w:tcBorders>
            <w:shd w:val="clear" w:color="auto" w:fill="auto"/>
            <w:noWrap/>
            <w:vAlign w:val="bottom"/>
            <w:hideMark/>
          </w:tcPr>
          <w:p w14:paraId="30609A72" w14:textId="77777777" w:rsidR="0053656A" w:rsidRPr="00CD218D" w:rsidRDefault="0053656A" w:rsidP="0053656A">
            <w:pPr>
              <w:pStyle w:val="Tabletext"/>
            </w:pPr>
            <w:r w:rsidRPr="00CD218D">
              <w:t>9.2.2</w:t>
            </w:r>
          </w:p>
        </w:tc>
      </w:tr>
      <w:tr w:rsidR="0053656A" w:rsidRPr="00CD218D" w14:paraId="4298AC30" w14:textId="77777777">
        <w:trPr>
          <w:trHeight w:val="6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7212D23" w14:textId="77777777" w:rsidR="0053656A" w:rsidRPr="00CD218D" w:rsidRDefault="0053656A" w:rsidP="0053656A">
            <w:pPr>
              <w:pStyle w:val="Tabletext"/>
              <w:rPr>
                <w:b/>
                <w:bCs/>
              </w:rPr>
            </w:pPr>
            <w:r w:rsidRPr="00CD218D">
              <w:rPr>
                <w:b/>
                <w:bCs/>
              </w:rPr>
              <w:t>Part 9-4</w:t>
            </w:r>
          </w:p>
        </w:tc>
        <w:tc>
          <w:tcPr>
            <w:tcW w:w="3743" w:type="dxa"/>
            <w:tcBorders>
              <w:top w:val="nil"/>
              <w:left w:val="nil"/>
              <w:bottom w:val="single" w:sz="4" w:space="0" w:color="auto"/>
              <w:right w:val="single" w:sz="4" w:space="0" w:color="auto"/>
            </w:tcBorders>
            <w:shd w:val="clear" w:color="auto" w:fill="auto"/>
            <w:vAlign w:val="bottom"/>
            <w:hideMark/>
          </w:tcPr>
          <w:p w14:paraId="6ECD55AE" w14:textId="77777777" w:rsidR="0053656A" w:rsidRPr="00CD218D" w:rsidRDefault="0053656A" w:rsidP="0053656A">
            <w:pPr>
              <w:pStyle w:val="Tabletext"/>
              <w:rPr>
                <w:b/>
                <w:bCs/>
              </w:rPr>
            </w:pPr>
            <w:r w:rsidRPr="00CD218D">
              <w:rPr>
                <w:b/>
                <w:bCs/>
              </w:rPr>
              <w:t>Exclusion from the UTPR of MNE Groups in the initial phase of their international activity</w:t>
            </w:r>
          </w:p>
        </w:tc>
        <w:tc>
          <w:tcPr>
            <w:tcW w:w="1746" w:type="dxa"/>
            <w:tcBorders>
              <w:top w:val="nil"/>
              <w:left w:val="nil"/>
              <w:bottom w:val="single" w:sz="4" w:space="0" w:color="auto"/>
              <w:right w:val="single" w:sz="4" w:space="0" w:color="auto"/>
            </w:tcBorders>
            <w:shd w:val="clear" w:color="auto" w:fill="auto"/>
            <w:noWrap/>
            <w:vAlign w:val="bottom"/>
            <w:hideMark/>
          </w:tcPr>
          <w:p w14:paraId="565CD65E" w14:textId="77777777" w:rsidR="0053656A" w:rsidRPr="00CD218D" w:rsidRDefault="0053656A" w:rsidP="0053656A">
            <w:pPr>
              <w:pStyle w:val="Tabletext"/>
              <w:rPr>
                <w:b/>
                <w:bCs/>
              </w:rPr>
            </w:pPr>
            <w:r w:rsidRPr="00CD218D">
              <w:rPr>
                <w:b/>
                <w:bCs/>
              </w:rPr>
              <w:t>9.3</w:t>
            </w:r>
          </w:p>
        </w:tc>
      </w:tr>
      <w:tr w:rsidR="0053656A" w:rsidRPr="00CD218D" w14:paraId="4409D44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hideMark/>
          </w:tcPr>
          <w:p w14:paraId="761297AF" w14:textId="41E19E74" w:rsidR="0053656A" w:rsidRPr="00CD218D" w:rsidRDefault="0053656A" w:rsidP="00A73F53">
            <w:pPr>
              <w:pStyle w:val="Tabletext"/>
              <w:ind w:left="0"/>
            </w:pPr>
            <w:r w:rsidRPr="00CD218D">
              <w:t>9-40</w:t>
            </w:r>
          </w:p>
        </w:tc>
        <w:tc>
          <w:tcPr>
            <w:tcW w:w="3743" w:type="dxa"/>
            <w:tcBorders>
              <w:top w:val="nil"/>
              <w:left w:val="nil"/>
              <w:bottom w:val="single" w:sz="4" w:space="0" w:color="auto"/>
              <w:right w:val="single" w:sz="4" w:space="0" w:color="auto"/>
            </w:tcBorders>
            <w:shd w:val="clear" w:color="auto" w:fill="auto"/>
            <w:hideMark/>
          </w:tcPr>
          <w:p w14:paraId="42520425" w14:textId="77777777" w:rsidR="0053656A" w:rsidRPr="00CD218D" w:rsidRDefault="0053656A" w:rsidP="0053656A">
            <w:pPr>
              <w:pStyle w:val="Tabletext"/>
            </w:pPr>
            <w:r w:rsidRPr="00CD218D">
              <w:t xml:space="preserve"> The Total UTPR Top up Tax Amount is reduced to zero during the initial phase of an MNE Group’s international activity</w:t>
            </w:r>
          </w:p>
        </w:tc>
        <w:tc>
          <w:tcPr>
            <w:tcW w:w="1746" w:type="dxa"/>
            <w:tcBorders>
              <w:top w:val="nil"/>
              <w:left w:val="nil"/>
              <w:bottom w:val="single" w:sz="4" w:space="0" w:color="auto"/>
              <w:right w:val="single" w:sz="4" w:space="0" w:color="auto"/>
            </w:tcBorders>
            <w:shd w:val="clear" w:color="auto" w:fill="auto"/>
            <w:noWrap/>
            <w:vAlign w:val="bottom"/>
            <w:hideMark/>
          </w:tcPr>
          <w:p w14:paraId="5F75C4C0" w14:textId="77777777" w:rsidR="0053656A" w:rsidRPr="00CD218D" w:rsidRDefault="0053656A" w:rsidP="0053656A">
            <w:pPr>
              <w:pStyle w:val="Tabletext"/>
            </w:pPr>
            <w:r w:rsidRPr="00CD218D">
              <w:t>9.3.1</w:t>
            </w:r>
          </w:p>
        </w:tc>
      </w:tr>
      <w:tr w:rsidR="0053656A" w:rsidRPr="00CD218D" w14:paraId="4283604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hideMark/>
          </w:tcPr>
          <w:p w14:paraId="4820F85D" w14:textId="422BC7B6" w:rsidR="0053656A" w:rsidRPr="00CD218D" w:rsidRDefault="0053656A" w:rsidP="00A73F53">
            <w:pPr>
              <w:pStyle w:val="Tabletext"/>
              <w:ind w:left="0"/>
            </w:pPr>
            <w:r w:rsidRPr="00CD218D">
              <w:t>9-40</w:t>
            </w:r>
          </w:p>
        </w:tc>
        <w:tc>
          <w:tcPr>
            <w:tcW w:w="3743" w:type="dxa"/>
            <w:tcBorders>
              <w:top w:val="nil"/>
              <w:left w:val="nil"/>
              <w:bottom w:val="single" w:sz="4" w:space="0" w:color="auto"/>
              <w:right w:val="single" w:sz="4" w:space="0" w:color="auto"/>
            </w:tcBorders>
            <w:shd w:val="clear" w:color="auto" w:fill="auto"/>
            <w:hideMark/>
          </w:tcPr>
          <w:p w14:paraId="33E4E273" w14:textId="796F9EDF" w:rsidR="0053656A" w:rsidRPr="00CD218D" w:rsidRDefault="0053656A" w:rsidP="0053656A">
            <w:pPr>
              <w:pStyle w:val="Tabletext"/>
            </w:pPr>
            <w:r w:rsidRPr="00CD218D">
              <w:t xml:space="preserve">Meaning of initial phase of an MNE Group’s international activity </w:t>
            </w:r>
          </w:p>
        </w:tc>
        <w:tc>
          <w:tcPr>
            <w:tcW w:w="1746" w:type="dxa"/>
            <w:tcBorders>
              <w:top w:val="nil"/>
              <w:left w:val="nil"/>
              <w:bottom w:val="single" w:sz="4" w:space="0" w:color="auto"/>
              <w:right w:val="single" w:sz="4" w:space="0" w:color="auto"/>
            </w:tcBorders>
            <w:shd w:val="clear" w:color="auto" w:fill="auto"/>
            <w:noWrap/>
            <w:vAlign w:val="bottom"/>
            <w:hideMark/>
          </w:tcPr>
          <w:p w14:paraId="6ED0275F" w14:textId="77777777" w:rsidR="0053656A" w:rsidRPr="00CD218D" w:rsidRDefault="0053656A" w:rsidP="0053656A">
            <w:pPr>
              <w:pStyle w:val="Tabletext"/>
            </w:pPr>
            <w:r w:rsidRPr="00CD218D">
              <w:t>9.3.2</w:t>
            </w:r>
          </w:p>
        </w:tc>
      </w:tr>
      <w:tr w:rsidR="0053656A" w:rsidRPr="00CD218D" w14:paraId="3683529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hideMark/>
          </w:tcPr>
          <w:p w14:paraId="451215F5" w14:textId="5D0A4C45" w:rsidR="0053656A" w:rsidRPr="00CD218D" w:rsidRDefault="0053656A" w:rsidP="00A73F53">
            <w:pPr>
              <w:pStyle w:val="Tabletext"/>
              <w:ind w:left="0"/>
            </w:pPr>
            <w:r w:rsidRPr="00CD218D">
              <w:t>9-50</w:t>
            </w:r>
          </w:p>
        </w:tc>
        <w:tc>
          <w:tcPr>
            <w:tcW w:w="3743" w:type="dxa"/>
            <w:tcBorders>
              <w:top w:val="nil"/>
              <w:left w:val="nil"/>
              <w:bottom w:val="single" w:sz="4" w:space="0" w:color="auto"/>
              <w:right w:val="single" w:sz="4" w:space="0" w:color="auto"/>
            </w:tcBorders>
            <w:shd w:val="clear" w:color="auto" w:fill="auto"/>
            <w:hideMark/>
          </w:tcPr>
          <w:p w14:paraId="61E12361" w14:textId="77777777" w:rsidR="0053656A" w:rsidRPr="00CD218D" w:rsidRDefault="0053656A" w:rsidP="0053656A">
            <w:pPr>
              <w:pStyle w:val="Tabletext"/>
            </w:pPr>
            <w:r w:rsidRPr="00CD218D">
              <w:t xml:space="preserve"> Meaning of Reference Jurisdiction </w:t>
            </w:r>
          </w:p>
        </w:tc>
        <w:tc>
          <w:tcPr>
            <w:tcW w:w="1746" w:type="dxa"/>
            <w:tcBorders>
              <w:top w:val="nil"/>
              <w:left w:val="nil"/>
              <w:bottom w:val="single" w:sz="4" w:space="0" w:color="auto"/>
              <w:right w:val="single" w:sz="4" w:space="0" w:color="auto"/>
            </w:tcBorders>
            <w:shd w:val="clear" w:color="auto" w:fill="auto"/>
            <w:noWrap/>
            <w:vAlign w:val="bottom"/>
            <w:hideMark/>
          </w:tcPr>
          <w:p w14:paraId="1517361A" w14:textId="77777777" w:rsidR="0053656A" w:rsidRPr="00CD218D" w:rsidRDefault="0053656A" w:rsidP="0053656A">
            <w:pPr>
              <w:pStyle w:val="Tabletext"/>
            </w:pPr>
            <w:r w:rsidRPr="00CD218D">
              <w:t>9.3.3</w:t>
            </w:r>
          </w:p>
        </w:tc>
      </w:tr>
      <w:tr w:rsidR="0053656A" w:rsidRPr="00CD218D" w14:paraId="6DE3888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hideMark/>
          </w:tcPr>
          <w:p w14:paraId="67037DAF" w14:textId="77777777" w:rsidR="0053656A" w:rsidRPr="00CD218D" w:rsidRDefault="0053656A" w:rsidP="00A73F53">
            <w:pPr>
              <w:pStyle w:val="Tabletext"/>
              <w:ind w:left="0"/>
            </w:pPr>
            <w:r w:rsidRPr="00CD218D">
              <w:t>10-5</w:t>
            </w:r>
          </w:p>
        </w:tc>
        <w:tc>
          <w:tcPr>
            <w:tcW w:w="3743" w:type="dxa"/>
            <w:tcBorders>
              <w:top w:val="nil"/>
              <w:left w:val="nil"/>
              <w:bottom w:val="single" w:sz="4" w:space="0" w:color="auto"/>
              <w:right w:val="single" w:sz="4" w:space="0" w:color="auto"/>
            </w:tcBorders>
            <w:shd w:val="clear" w:color="auto" w:fill="auto"/>
            <w:hideMark/>
          </w:tcPr>
          <w:p w14:paraId="0BF989D4" w14:textId="77777777" w:rsidR="0053656A" w:rsidRPr="00CD218D" w:rsidRDefault="0053656A" w:rsidP="0053656A">
            <w:pPr>
              <w:pStyle w:val="Tabletext"/>
            </w:pPr>
            <w:r w:rsidRPr="00CD218D">
              <w:t xml:space="preserve"> Period of initial phase of international activity</w:t>
            </w:r>
          </w:p>
        </w:tc>
        <w:tc>
          <w:tcPr>
            <w:tcW w:w="1746" w:type="dxa"/>
            <w:tcBorders>
              <w:top w:val="nil"/>
              <w:left w:val="nil"/>
              <w:bottom w:val="single" w:sz="4" w:space="0" w:color="auto"/>
              <w:right w:val="single" w:sz="4" w:space="0" w:color="auto"/>
            </w:tcBorders>
            <w:shd w:val="clear" w:color="auto" w:fill="auto"/>
            <w:noWrap/>
            <w:vAlign w:val="bottom"/>
            <w:hideMark/>
          </w:tcPr>
          <w:p w14:paraId="7F294907" w14:textId="77777777" w:rsidR="0053656A" w:rsidRPr="00CD218D" w:rsidRDefault="0053656A" w:rsidP="0053656A">
            <w:pPr>
              <w:pStyle w:val="Tabletext"/>
            </w:pPr>
            <w:r w:rsidRPr="00CD218D">
              <w:t>9.3.4</w:t>
            </w:r>
          </w:p>
        </w:tc>
      </w:tr>
      <w:tr w:rsidR="0053656A" w:rsidRPr="00CD218D" w14:paraId="2521142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hideMark/>
          </w:tcPr>
          <w:p w14:paraId="4CF98DF7" w14:textId="22575E97" w:rsidR="0053656A" w:rsidRPr="00CD218D" w:rsidRDefault="0053656A" w:rsidP="00A73F53">
            <w:pPr>
              <w:pStyle w:val="Tabletext"/>
              <w:ind w:left="0"/>
            </w:pPr>
            <w:r w:rsidRPr="00CD218D">
              <w:t>9-45</w:t>
            </w:r>
          </w:p>
        </w:tc>
        <w:tc>
          <w:tcPr>
            <w:tcW w:w="3743" w:type="dxa"/>
            <w:tcBorders>
              <w:top w:val="nil"/>
              <w:left w:val="nil"/>
              <w:bottom w:val="single" w:sz="4" w:space="0" w:color="auto"/>
              <w:right w:val="single" w:sz="4" w:space="0" w:color="auto"/>
            </w:tcBorders>
            <w:shd w:val="clear" w:color="auto" w:fill="auto"/>
            <w:hideMark/>
          </w:tcPr>
          <w:p w14:paraId="1CC81E5D" w14:textId="3C3CE86F" w:rsidR="0053656A" w:rsidRPr="00CD218D" w:rsidRDefault="0053656A" w:rsidP="0053656A">
            <w:pPr>
              <w:pStyle w:val="Tabletext"/>
            </w:pPr>
            <w:r w:rsidRPr="00CD218D">
              <w:t xml:space="preserve"> If Australia is the Reference Jurisdiction, the Top up Tax of a LTCE in Australia is taken to be zero</w:t>
            </w:r>
          </w:p>
        </w:tc>
        <w:tc>
          <w:tcPr>
            <w:tcW w:w="1746" w:type="dxa"/>
            <w:tcBorders>
              <w:top w:val="nil"/>
              <w:left w:val="nil"/>
              <w:bottom w:val="single" w:sz="4" w:space="0" w:color="auto"/>
              <w:right w:val="single" w:sz="4" w:space="0" w:color="auto"/>
            </w:tcBorders>
            <w:shd w:val="clear" w:color="auto" w:fill="auto"/>
            <w:noWrap/>
            <w:vAlign w:val="bottom"/>
            <w:hideMark/>
          </w:tcPr>
          <w:p w14:paraId="4441A343" w14:textId="77777777" w:rsidR="0053656A" w:rsidRPr="00CD218D" w:rsidRDefault="0053656A" w:rsidP="0053656A">
            <w:pPr>
              <w:pStyle w:val="Tabletext"/>
            </w:pPr>
            <w:r w:rsidRPr="00CD218D">
              <w:t>9.3.5</w:t>
            </w:r>
          </w:p>
        </w:tc>
      </w:tr>
      <w:tr w:rsidR="0053656A" w:rsidRPr="00CD218D" w14:paraId="1D5AF845" w14:textId="77777777">
        <w:trPr>
          <w:trHeight w:val="300"/>
        </w:trPr>
        <w:tc>
          <w:tcPr>
            <w:tcW w:w="7701" w:type="dxa"/>
            <w:gridSpan w:val="3"/>
            <w:tcBorders>
              <w:top w:val="nil"/>
              <w:left w:val="single" w:sz="4" w:space="0" w:color="auto"/>
              <w:bottom w:val="single" w:sz="4" w:space="0" w:color="auto"/>
              <w:right w:val="single" w:sz="4" w:space="0" w:color="auto"/>
            </w:tcBorders>
            <w:shd w:val="clear" w:color="auto" w:fill="auto"/>
            <w:noWrap/>
            <w:vAlign w:val="bottom"/>
          </w:tcPr>
          <w:p w14:paraId="010E518B" w14:textId="77777777" w:rsidR="0053656A" w:rsidRPr="00CD218D" w:rsidRDefault="0053656A" w:rsidP="0053656A">
            <w:pPr>
              <w:pStyle w:val="Tableheaderrowtext"/>
              <w:numPr>
                <w:ilvl w:val="3"/>
                <w:numId w:val="2"/>
              </w:numPr>
            </w:pPr>
            <w:r w:rsidRPr="00CD218D">
              <w:lastRenderedPageBreak/>
              <w:t xml:space="preserve">Chapter 10 – Definitions </w:t>
            </w:r>
          </w:p>
        </w:tc>
      </w:tr>
      <w:tr w:rsidR="00722C88" w:rsidRPr="00CD218D" w14:paraId="66A56F5E" w14:textId="77777777" w:rsidTr="00722C88">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5F34071" w14:textId="77777777" w:rsidR="00722C88" w:rsidRPr="00722C88" w:rsidRDefault="00722C88" w:rsidP="00722C88">
            <w:pPr>
              <w:pStyle w:val="Tabletext"/>
              <w:rPr>
                <w:b/>
                <w:bCs/>
              </w:rPr>
            </w:pPr>
            <w:r w:rsidRPr="00722C88">
              <w:rPr>
                <w:b/>
                <w:bCs/>
              </w:rPr>
              <w:t xml:space="preserve">10-5 </w:t>
            </w:r>
          </w:p>
        </w:tc>
        <w:tc>
          <w:tcPr>
            <w:tcW w:w="3743" w:type="dxa"/>
            <w:tcBorders>
              <w:top w:val="nil"/>
              <w:left w:val="nil"/>
              <w:bottom w:val="single" w:sz="4" w:space="0" w:color="auto"/>
              <w:right w:val="single" w:sz="4" w:space="0" w:color="auto"/>
            </w:tcBorders>
            <w:shd w:val="clear" w:color="auto" w:fill="auto"/>
            <w:vAlign w:val="bottom"/>
            <w:hideMark/>
          </w:tcPr>
          <w:p w14:paraId="1FFBF812" w14:textId="77777777" w:rsidR="00722C88" w:rsidRPr="00CD218D" w:rsidRDefault="00722C88" w:rsidP="00722C88">
            <w:pPr>
              <w:pStyle w:val="Tabletext"/>
              <w:rPr>
                <w:b/>
              </w:rPr>
            </w:pPr>
            <w:r w:rsidRPr="00CD218D">
              <w:rPr>
                <w:b/>
              </w:rPr>
              <w:t>Definitions</w:t>
            </w:r>
          </w:p>
        </w:tc>
        <w:tc>
          <w:tcPr>
            <w:tcW w:w="1746" w:type="dxa"/>
            <w:tcBorders>
              <w:top w:val="nil"/>
              <w:left w:val="nil"/>
              <w:bottom w:val="single" w:sz="4" w:space="0" w:color="auto"/>
              <w:right w:val="single" w:sz="4" w:space="0" w:color="auto"/>
            </w:tcBorders>
            <w:shd w:val="clear" w:color="auto" w:fill="auto"/>
            <w:noWrap/>
            <w:vAlign w:val="bottom"/>
            <w:hideMark/>
          </w:tcPr>
          <w:p w14:paraId="20689193" w14:textId="77777777" w:rsidR="00722C88" w:rsidRPr="00CD218D" w:rsidRDefault="00722C88" w:rsidP="00722C88">
            <w:pPr>
              <w:pStyle w:val="Tabletext"/>
              <w:rPr>
                <w:b/>
              </w:rPr>
            </w:pPr>
            <w:r w:rsidRPr="00CD218D">
              <w:rPr>
                <w:b/>
              </w:rPr>
              <w:t>10.1</w:t>
            </w:r>
          </w:p>
        </w:tc>
      </w:tr>
      <w:tr w:rsidR="00722C88" w:rsidRPr="00CD218D" w14:paraId="47089D9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B514DD1" w14:textId="3FFCDC42" w:rsidR="00722C88" w:rsidRPr="00CD218D" w:rsidRDefault="00722C88" w:rsidP="00722C88">
            <w:pPr>
              <w:pStyle w:val="Tabletext"/>
            </w:pPr>
            <w:r>
              <w:t>3-60</w:t>
            </w:r>
          </w:p>
        </w:tc>
        <w:tc>
          <w:tcPr>
            <w:tcW w:w="3743" w:type="dxa"/>
            <w:tcBorders>
              <w:top w:val="nil"/>
              <w:left w:val="nil"/>
              <w:bottom w:val="single" w:sz="4" w:space="0" w:color="auto"/>
              <w:right w:val="single" w:sz="4" w:space="0" w:color="auto"/>
            </w:tcBorders>
            <w:shd w:val="clear" w:color="auto" w:fill="auto"/>
            <w:noWrap/>
            <w:vAlign w:val="bottom"/>
          </w:tcPr>
          <w:p w14:paraId="39232F2E" w14:textId="0DD0293E" w:rsidR="00722C88" w:rsidRPr="00CD218D" w:rsidRDefault="00722C88" w:rsidP="00722C88">
            <w:pPr>
              <w:pStyle w:val="Tabletext"/>
            </w:pPr>
            <w:r>
              <w:t xml:space="preserve">Accrued Pension Expense </w:t>
            </w:r>
          </w:p>
        </w:tc>
        <w:tc>
          <w:tcPr>
            <w:tcW w:w="1746" w:type="dxa"/>
            <w:tcBorders>
              <w:top w:val="nil"/>
              <w:left w:val="nil"/>
              <w:bottom w:val="single" w:sz="4" w:space="0" w:color="auto"/>
              <w:right w:val="single" w:sz="4" w:space="0" w:color="auto"/>
            </w:tcBorders>
            <w:shd w:val="clear" w:color="auto" w:fill="auto"/>
            <w:noWrap/>
            <w:vAlign w:val="bottom"/>
          </w:tcPr>
          <w:p w14:paraId="15D5D2E7" w14:textId="77777777" w:rsidR="00722C88" w:rsidRPr="00CD218D" w:rsidRDefault="00722C88" w:rsidP="00722C88">
            <w:pPr>
              <w:pStyle w:val="Tabletext"/>
            </w:pPr>
            <w:r w:rsidRPr="00CD218D">
              <w:rPr>
                <w:bCs/>
              </w:rPr>
              <w:t>10.1.1</w:t>
            </w:r>
          </w:p>
        </w:tc>
      </w:tr>
      <w:tr w:rsidR="00722C88" w:rsidRPr="00CD218D" w14:paraId="6C3934D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0919F9D" w14:textId="37D32F3C" w:rsidR="00722C88" w:rsidRPr="00CD218D" w:rsidRDefault="00722C88" w:rsidP="00722C88">
            <w:pPr>
              <w:pStyle w:val="Tabletext"/>
            </w:pPr>
            <w:r w:rsidRPr="00EB655C">
              <w:t>10-5, 4-</w:t>
            </w:r>
            <w:r>
              <w:t>25</w:t>
            </w:r>
            <w:r w:rsidRPr="00EB655C">
              <w:t>(</w:t>
            </w:r>
            <w:r>
              <w:t>3</w:t>
            </w:r>
            <w:r w:rsidRPr="00EB655C">
              <w:t>), 5-</w:t>
            </w:r>
            <w:r>
              <w:t>95</w:t>
            </w:r>
            <w:r w:rsidRPr="00EB655C">
              <w:t>(3)(b) and 7-75(2)(c)</w:t>
            </w:r>
          </w:p>
        </w:tc>
        <w:tc>
          <w:tcPr>
            <w:tcW w:w="3743" w:type="dxa"/>
            <w:tcBorders>
              <w:top w:val="nil"/>
              <w:left w:val="nil"/>
              <w:bottom w:val="single" w:sz="4" w:space="0" w:color="auto"/>
              <w:right w:val="single" w:sz="4" w:space="0" w:color="auto"/>
            </w:tcBorders>
            <w:shd w:val="clear" w:color="auto" w:fill="auto"/>
            <w:noWrap/>
            <w:vAlign w:val="bottom"/>
          </w:tcPr>
          <w:p w14:paraId="5DA51F01" w14:textId="77777777" w:rsidR="00722C88" w:rsidRPr="00CD218D" w:rsidRDefault="00722C88" w:rsidP="00722C88">
            <w:pPr>
              <w:pStyle w:val="Tabletext"/>
            </w:pPr>
            <w:r w:rsidRPr="00EB655C">
              <w:t>Additional Current Top-up Tax</w:t>
            </w:r>
          </w:p>
        </w:tc>
        <w:tc>
          <w:tcPr>
            <w:tcW w:w="1746" w:type="dxa"/>
            <w:tcBorders>
              <w:top w:val="nil"/>
              <w:left w:val="nil"/>
              <w:bottom w:val="single" w:sz="4" w:space="0" w:color="auto"/>
              <w:right w:val="single" w:sz="4" w:space="0" w:color="auto"/>
            </w:tcBorders>
            <w:shd w:val="clear" w:color="auto" w:fill="auto"/>
            <w:noWrap/>
          </w:tcPr>
          <w:p w14:paraId="22A34275" w14:textId="77777777" w:rsidR="00722C88" w:rsidRPr="00CD218D" w:rsidRDefault="00722C88" w:rsidP="00722C88">
            <w:pPr>
              <w:pStyle w:val="Tabletext"/>
            </w:pPr>
            <w:r w:rsidRPr="00CD218D">
              <w:t>10.1.1</w:t>
            </w:r>
          </w:p>
        </w:tc>
      </w:tr>
      <w:tr w:rsidR="00722C88" w:rsidRPr="00CD218D" w14:paraId="4F7B28F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9AD91CB" w14:textId="3BC7DC53" w:rsidR="00722C88" w:rsidRPr="00CD218D" w:rsidRDefault="00722C88" w:rsidP="00722C88">
            <w:pPr>
              <w:pStyle w:val="Tabletext"/>
            </w:pPr>
            <w:r w:rsidRPr="00EB655C">
              <w:t>3-</w:t>
            </w:r>
            <w:r>
              <w:t>210</w:t>
            </w:r>
            <w:r w:rsidRPr="00EB655C">
              <w:t>(2)</w:t>
            </w:r>
          </w:p>
        </w:tc>
        <w:tc>
          <w:tcPr>
            <w:tcW w:w="3743" w:type="dxa"/>
            <w:tcBorders>
              <w:top w:val="nil"/>
              <w:left w:val="nil"/>
              <w:bottom w:val="single" w:sz="4" w:space="0" w:color="auto"/>
              <w:right w:val="single" w:sz="4" w:space="0" w:color="auto"/>
            </w:tcBorders>
            <w:shd w:val="clear" w:color="auto" w:fill="auto"/>
            <w:noWrap/>
            <w:vAlign w:val="bottom"/>
          </w:tcPr>
          <w:p w14:paraId="42BF09AA" w14:textId="77777777" w:rsidR="00722C88" w:rsidRPr="00CD218D" w:rsidRDefault="00722C88" w:rsidP="00722C88">
            <w:pPr>
              <w:pStyle w:val="Tabletext"/>
            </w:pPr>
            <w:r w:rsidRPr="00EB655C">
              <w:t>Additional Tier One Capital</w:t>
            </w:r>
          </w:p>
        </w:tc>
        <w:tc>
          <w:tcPr>
            <w:tcW w:w="1746" w:type="dxa"/>
            <w:tcBorders>
              <w:top w:val="nil"/>
              <w:left w:val="nil"/>
              <w:bottom w:val="single" w:sz="4" w:space="0" w:color="auto"/>
              <w:right w:val="single" w:sz="4" w:space="0" w:color="auto"/>
            </w:tcBorders>
            <w:shd w:val="clear" w:color="auto" w:fill="auto"/>
            <w:noWrap/>
          </w:tcPr>
          <w:p w14:paraId="35E28E55" w14:textId="77777777" w:rsidR="00722C88" w:rsidRPr="00CD218D" w:rsidRDefault="00722C88" w:rsidP="00722C88">
            <w:pPr>
              <w:pStyle w:val="Tabletext"/>
            </w:pPr>
            <w:r w:rsidRPr="00CD218D">
              <w:t>10.1.1</w:t>
            </w:r>
          </w:p>
        </w:tc>
      </w:tr>
      <w:tr w:rsidR="00722C88" w:rsidRPr="00CD218D" w14:paraId="7A77C87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2DFA6FB" w14:textId="77777777" w:rsidR="00722C88" w:rsidRPr="00CD218D" w:rsidRDefault="00722C88" w:rsidP="00722C88">
            <w:pPr>
              <w:pStyle w:val="Tabletext"/>
            </w:pPr>
            <w:r w:rsidRPr="00EB655C">
              <w:t>4-15</w:t>
            </w:r>
          </w:p>
        </w:tc>
        <w:tc>
          <w:tcPr>
            <w:tcW w:w="3743" w:type="dxa"/>
            <w:tcBorders>
              <w:top w:val="nil"/>
              <w:left w:val="nil"/>
              <w:bottom w:val="single" w:sz="4" w:space="0" w:color="auto"/>
              <w:right w:val="single" w:sz="4" w:space="0" w:color="auto"/>
            </w:tcBorders>
            <w:shd w:val="clear" w:color="auto" w:fill="auto"/>
            <w:noWrap/>
            <w:vAlign w:val="bottom"/>
          </w:tcPr>
          <w:p w14:paraId="1915D2D0" w14:textId="77777777" w:rsidR="00722C88" w:rsidRPr="00CD218D" w:rsidRDefault="00722C88" w:rsidP="00722C88">
            <w:pPr>
              <w:pStyle w:val="Tabletext"/>
            </w:pPr>
            <w:r w:rsidRPr="00EB655C">
              <w:t>Additions to Covered Tax</w:t>
            </w:r>
          </w:p>
        </w:tc>
        <w:tc>
          <w:tcPr>
            <w:tcW w:w="1746" w:type="dxa"/>
            <w:tcBorders>
              <w:top w:val="nil"/>
              <w:left w:val="nil"/>
              <w:bottom w:val="single" w:sz="4" w:space="0" w:color="auto"/>
              <w:right w:val="single" w:sz="4" w:space="0" w:color="auto"/>
            </w:tcBorders>
            <w:shd w:val="clear" w:color="auto" w:fill="auto"/>
            <w:noWrap/>
          </w:tcPr>
          <w:p w14:paraId="7545310D" w14:textId="77777777" w:rsidR="00722C88" w:rsidRPr="00CD218D" w:rsidRDefault="00722C88" w:rsidP="00722C88">
            <w:pPr>
              <w:pStyle w:val="Tabletext"/>
            </w:pPr>
            <w:r w:rsidRPr="00CD218D">
              <w:t>10.1.1</w:t>
            </w:r>
          </w:p>
        </w:tc>
      </w:tr>
      <w:tr w:rsidR="00722C88" w:rsidRPr="00CD218D" w14:paraId="5BA2FC5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0526A1A" w14:textId="77777777" w:rsidR="00722C88" w:rsidRPr="00CD218D" w:rsidRDefault="00722C88" w:rsidP="00722C88">
            <w:pPr>
              <w:pStyle w:val="Tabletext"/>
            </w:pPr>
            <w:r w:rsidRPr="00EB655C">
              <w:t>4-5</w:t>
            </w:r>
          </w:p>
        </w:tc>
        <w:tc>
          <w:tcPr>
            <w:tcW w:w="3743" w:type="dxa"/>
            <w:tcBorders>
              <w:top w:val="nil"/>
              <w:left w:val="nil"/>
              <w:bottom w:val="single" w:sz="4" w:space="0" w:color="auto"/>
              <w:right w:val="single" w:sz="4" w:space="0" w:color="auto"/>
            </w:tcBorders>
            <w:shd w:val="clear" w:color="auto" w:fill="auto"/>
            <w:noWrap/>
            <w:vAlign w:val="bottom"/>
          </w:tcPr>
          <w:p w14:paraId="54BD3E70" w14:textId="77777777" w:rsidR="00722C88" w:rsidRPr="00CD218D" w:rsidRDefault="00722C88" w:rsidP="00722C88">
            <w:pPr>
              <w:pStyle w:val="Tabletext"/>
            </w:pPr>
            <w:r w:rsidRPr="00EB655C">
              <w:t>Adjusted Covered Taxes</w:t>
            </w:r>
          </w:p>
        </w:tc>
        <w:tc>
          <w:tcPr>
            <w:tcW w:w="1746" w:type="dxa"/>
            <w:tcBorders>
              <w:top w:val="nil"/>
              <w:left w:val="nil"/>
              <w:bottom w:val="single" w:sz="4" w:space="0" w:color="auto"/>
              <w:right w:val="single" w:sz="4" w:space="0" w:color="auto"/>
            </w:tcBorders>
            <w:shd w:val="clear" w:color="auto" w:fill="auto"/>
            <w:noWrap/>
          </w:tcPr>
          <w:p w14:paraId="7B11241A" w14:textId="77777777" w:rsidR="00722C88" w:rsidRPr="00CD218D" w:rsidRDefault="00722C88" w:rsidP="00722C88">
            <w:pPr>
              <w:pStyle w:val="Tabletext"/>
            </w:pPr>
            <w:r w:rsidRPr="00CD218D">
              <w:t>10.1.1</w:t>
            </w:r>
          </w:p>
        </w:tc>
      </w:tr>
      <w:tr w:rsidR="00722C88" w:rsidRPr="00CD218D" w14:paraId="0C7E82B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6B7A266" w14:textId="42CD5235" w:rsidR="00722C88" w:rsidRPr="00CD218D" w:rsidRDefault="00722C88" w:rsidP="00722C88">
            <w:pPr>
              <w:pStyle w:val="Tabletext"/>
            </w:pPr>
            <w:r w:rsidRPr="00EB655C">
              <w:t>3-1</w:t>
            </w:r>
            <w:r>
              <w:t>70</w:t>
            </w:r>
          </w:p>
        </w:tc>
        <w:tc>
          <w:tcPr>
            <w:tcW w:w="3743" w:type="dxa"/>
            <w:tcBorders>
              <w:top w:val="nil"/>
              <w:left w:val="nil"/>
              <w:bottom w:val="single" w:sz="4" w:space="0" w:color="auto"/>
              <w:right w:val="single" w:sz="4" w:space="0" w:color="auto"/>
            </w:tcBorders>
            <w:shd w:val="clear" w:color="auto" w:fill="auto"/>
            <w:noWrap/>
            <w:vAlign w:val="bottom"/>
          </w:tcPr>
          <w:p w14:paraId="1DDDE226" w14:textId="77777777" w:rsidR="00722C88" w:rsidRPr="00CD218D" w:rsidRDefault="00722C88" w:rsidP="00722C88">
            <w:pPr>
              <w:pStyle w:val="Tabletext"/>
            </w:pPr>
            <w:r w:rsidRPr="00EB655C">
              <w:t>Aggregate Asset Gain</w:t>
            </w:r>
          </w:p>
        </w:tc>
        <w:tc>
          <w:tcPr>
            <w:tcW w:w="1746" w:type="dxa"/>
            <w:tcBorders>
              <w:top w:val="nil"/>
              <w:left w:val="nil"/>
              <w:bottom w:val="single" w:sz="4" w:space="0" w:color="auto"/>
              <w:right w:val="single" w:sz="4" w:space="0" w:color="auto"/>
            </w:tcBorders>
            <w:shd w:val="clear" w:color="auto" w:fill="auto"/>
            <w:noWrap/>
          </w:tcPr>
          <w:p w14:paraId="64397D08" w14:textId="77777777" w:rsidR="00722C88" w:rsidRPr="00CD218D" w:rsidRDefault="00722C88" w:rsidP="00722C88">
            <w:pPr>
              <w:pStyle w:val="Tabletext"/>
            </w:pPr>
            <w:r w:rsidRPr="00CD218D">
              <w:t>10.1.1</w:t>
            </w:r>
          </w:p>
        </w:tc>
      </w:tr>
      <w:tr w:rsidR="00722C88" w:rsidRPr="00CD218D" w14:paraId="2F09933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C693BAF" w14:textId="59D78309" w:rsidR="00722C88" w:rsidRPr="00CD218D" w:rsidRDefault="00722C88" w:rsidP="00722C88">
            <w:pPr>
              <w:pStyle w:val="Tabletext"/>
            </w:pPr>
            <w:r>
              <w:t>2</w:t>
            </w:r>
            <w:r>
              <w:noBreakHyphen/>
              <w:t xml:space="preserve">10 </w:t>
            </w:r>
          </w:p>
        </w:tc>
        <w:tc>
          <w:tcPr>
            <w:tcW w:w="3743" w:type="dxa"/>
            <w:tcBorders>
              <w:top w:val="nil"/>
              <w:left w:val="nil"/>
              <w:bottom w:val="single" w:sz="4" w:space="0" w:color="auto"/>
              <w:right w:val="single" w:sz="4" w:space="0" w:color="auto"/>
            </w:tcBorders>
            <w:shd w:val="clear" w:color="auto" w:fill="auto"/>
            <w:noWrap/>
            <w:vAlign w:val="bottom"/>
          </w:tcPr>
          <w:p w14:paraId="1C2391ED" w14:textId="77777777" w:rsidR="00722C88" w:rsidRPr="00CD218D" w:rsidRDefault="00722C88" w:rsidP="00722C88">
            <w:pPr>
              <w:pStyle w:val="Tabletext"/>
            </w:pPr>
            <w:r w:rsidRPr="00EB655C">
              <w:t>Allocable Share of the Top-up Tax</w:t>
            </w:r>
          </w:p>
        </w:tc>
        <w:tc>
          <w:tcPr>
            <w:tcW w:w="1746" w:type="dxa"/>
            <w:tcBorders>
              <w:top w:val="nil"/>
              <w:left w:val="nil"/>
              <w:bottom w:val="single" w:sz="4" w:space="0" w:color="auto"/>
              <w:right w:val="single" w:sz="4" w:space="0" w:color="auto"/>
            </w:tcBorders>
            <w:shd w:val="clear" w:color="auto" w:fill="auto"/>
            <w:noWrap/>
          </w:tcPr>
          <w:p w14:paraId="1BA1F390" w14:textId="77777777" w:rsidR="00722C88" w:rsidRPr="00CD218D" w:rsidRDefault="00722C88" w:rsidP="00722C88">
            <w:pPr>
              <w:pStyle w:val="Tabletext"/>
            </w:pPr>
            <w:r w:rsidRPr="00CD218D">
              <w:t>10.1.1</w:t>
            </w:r>
          </w:p>
        </w:tc>
      </w:tr>
      <w:tr w:rsidR="00722C88" w:rsidRPr="00CD218D" w14:paraId="14E6CA6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D61456D" w14:textId="3BCACA8F" w:rsidR="00722C88" w:rsidRPr="00CD218D" w:rsidRDefault="00722C88" w:rsidP="00722C88">
            <w:pPr>
              <w:pStyle w:val="Tabletext"/>
            </w:pPr>
            <w:r>
              <w:t>No equivalent</w:t>
            </w:r>
          </w:p>
        </w:tc>
        <w:tc>
          <w:tcPr>
            <w:tcW w:w="3743" w:type="dxa"/>
            <w:tcBorders>
              <w:top w:val="nil"/>
              <w:left w:val="nil"/>
              <w:bottom w:val="single" w:sz="4" w:space="0" w:color="auto"/>
              <w:right w:val="single" w:sz="4" w:space="0" w:color="auto"/>
            </w:tcBorders>
            <w:shd w:val="clear" w:color="auto" w:fill="auto"/>
            <w:noWrap/>
            <w:vAlign w:val="bottom"/>
          </w:tcPr>
          <w:p w14:paraId="37B13306" w14:textId="5387CCE2" w:rsidR="00722C88" w:rsidRPr="00CD218D" w:rsidRDefault="00722C88" w:rsidP="00722C88">
            <w:pPr>
              <w:pStyle w:val="Tabletext"/>
            </w:pPr>
            <w:r>
              <w:t xml:space="preserve">Allocated Asset Gain </w:t>
            </w:r>
          </w:p>
        </w:tc>
        <w:tc>
          <w:tcPr>
            <w:tcW w:w="1746" w:type="dxa"/>
            <w:tcBorders>
              <w:top w:val="nil"/>
              <w:left w:val="nil"/>
              <w:bottom w:val="single" w:sz="4" w:space="0" w:color="auto"/>
              <w:right w:val="single" w:sz="4" w:space="0" w:color="auto"/>
            </w:tcBorders>
            <w:shd w:val="clear" w:color="auto" w:fill="auto"/>
            <w:noWrap/>
          </w:tcPr>
          <w:p w14:paraId="23FF5183" w14:textId="77777777" w:rsidR="00722C88" w:rsidRPr="00CD218D" w:rsidRDefault="00722C88" w:rsidP="00722C88">
            <w:pPr>
              <w:pStyle w:val="Tabletext"/>
            </w:pPr>
            <w:r w:rsidRPr="00CD218D">
              <w:t>10.1.1</w:t>
            </w:r>
          </w:p>
        </w:tc>
      </w:tr>
      <w:tr w:rsidR="00722C88" w:rsidRPr="00CD218D" w14:paraId="4B2AF78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74EEE97D" w14:textId="6DC9A511" w:rsidR="00722C88" w:rsidRPr="00CD218D" w:rsidRDefault="00722C88" w:rsidP="00722C88">
            <w:pPr>
              <w:pStyle w:val="Tabletext"/>
            </w:pPr>
            <w:r w:rsidRPr="00EB655C">
              <w:t>3-10</w:t>
            </w:r>
            <w:r>
              <w:t>5</w:t>
            </w:r>
          </w:p>
        </w:tc>
        <w:tc>
          <w:tcPr>
            <w:tcW w:w="3743" w:type="dxa"/>
            <w:tcBorders>
              <w:top w:val="nil"/>
              <w:left w:val="nil"/>
              <w:bottom w:val="single" w:sz="4" w:space="0" w:color="auto"/>
              <w:right w:val="single" w:sz="4" w:space="0" w:color="auto"/>
            </w:tcBorders>
            <w:shd w:val="clear" w:color="auto" w:fill="auto"/>
            <w:noWrap/>
            <w:vAlign w:val="bottom"/>
          </w:tcPr>
          <w:p w14:paraId="0C806317" w14:textId="1BCBEDB8" w:rsidR="00722C88" w:rsidRPr="00CD218D" w:rsidRDefault="00722C88" w:rsidP="00722C88">
            <w:pPr>
              <w:pStyle w:val="Tabletext"/>
            </w:pPr>
            <w:r w:rsidRPr="00EB655C">
              <w:t>Arm’s Length Principle</w:t>
            </w:r>
          </w:p>
        </w:tc>
        <w:tc>
          <w:tcPr>
            <w:tcW w:w="1746" w:type="dxa"/>
            <w:tcBorders>
              <w:top w:val="nil"/>
              <w:left w:val="nil"/>
              <w:bottom w:val="single" w:sz="4" w:space="0" w:color="auto"/>
              <w:right w:val="single" w:sz="4" w:space="0" w:color="auto"/>
            </w:tcBorders>
            <w:shd w:val="clear" w:color="auto" w:fill="auto"/>
            <w:noWrap/>
          </w:tcPr>
          <w:p w14:paraId="34661471" w14:textId="77777777" w:rsidR="00722C88" w:rsidRPr="00CD218D" w:rsidRDefault="00722C88" w:rsidP="00722C88">
            <w:pPr>
              <w:pStyle w:val="Tabletext"/>
            </w:pPr>
            <w:r w:rsidRPr="00CD218D">
              <w:t>10.1.1</w:t>
            </w:r>
          </w:p>
        </w:tc>
      </w:tr>
      <w:tr w:rsidR="00722C88" w:rsidRPr="00CD218D" w14:paraId="5E19CCC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A671D5C" w14:textId="6BCE6433" w:rsidR="00722C88" w:rsidRPr="00CD218D" w:rsidRDefault="00722C88" w:rsidP="00722C88">
            <w:pPr>
              <w:pStyle w:val="Tabletext"/>
            </w:pPr>
            <w:r>
              <w:t>3-55</w:t>
            </w:r>
          </w:p>
        </w:tc>
        <w:tc>
          <w:tcPr>
            <w:tcW w:w="3743" w:type="dxa"/>
            <w:tcBorders>
              <w:top w:val="nil"/>
              <w:left w:val="nil"/>
              <w:bottom w:val="single" w:sz="4" w:space="0" w:color="auto"/>
              <w:right w:val="single" w:sz="4" w:space="0" w:color="auto"/>
            </w:tcBorders>
            <w:shd w:val="clear" w:color="auto" w:fill="auto"/>
            <w:noWrap/>
            <w:vAlign w:val="bottom"/>
          </w:tcPr>
          <w:p w14:paraId="70DE1D0C" w14:textId="796B69BB" w:rsidR="00722C88" w:rsidRPr="00CD218D" w:rsidRDefault="00722C88" w:rsidP="00722C88">
            <w:pPr>
              <w:pStyle w:val="Tabletext"/>
            </w:pPr>
            <w:r>
              <w:t>Asymmetric Foreign Currency Gains or Losses</w:t>
            </w:r>
          </w:p>
        </w:tc>
        <w:tc>
          <w:tcPr>
            <w:tcW w:w="1746" w:type="dxa"/>
            <w:tcBorders>
              <w:top w:val="nil"/>
              <w:left w:val="nil"/>
              <w:bottom w:val="single" w:sz="4" w:space="0" w:color="auto"/>
              <w:right w:val="single" w:sz="4" w:space="0" w:color="auto"/>
            </w:tcBorders>
            <w:shd w:val="clear" w:color="auto" w:fill="auto"/>
            <w:noWrap/>
            <w:hideMark/>
          </w:tcPr>
          <w:p w14:paraId="140D5245" w14:textId="77777777" w:rsidR="00722C88" w:rsidRPr="00CD218D" w:rsidRDefault="00722C88" w:rsidP="00722C88">
            <w:pPr>
              <w:pStyle w:val="Tabletext"/>
            </w:pPr>
            <w:r w:rsidRPr="00CD218D">
              <w:t>10.1.1</w:t>
            </w:r>
          </w:p>
        </w:tc>
      </w:tr>
      <w:tr w:rsidR="00722C88" w:rsidRPr="00CD218D" w14:paraId="057742C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ED0B79F" w14:textId="67E6EF70" w:rsidR="00722C88" w:rsidRPr="00CD218D" w:rsidRDefault="00722C88" w:rsidP="00722C88">
            <w:pPr>
              <w:pStyle w:val="Tabletext"/>
            </w:pPr>
            <w:r w:rsidRPr="00EB655C">
              <w:t>5-1</w:t>
            </w:r>
            <w:r>
              <w:t>1</w:t>
            </w:r>
            <w:r w:rsidRPr="00EB655C">
              <w:t>0(</w:t>
            </w:r>
            <w:r>
              <w:t>1</w:t>
            </w:r>
            <w:r w:rsidRPr="00EB655C">
              <w:t>)(b)</w:t>
            </w:r>
          </w:p>
        </w:tc>
        <w:tc>
          <w:tcPr>
            <w:tcW w:w="3743" w:type="dxa"/>
            <w:tcBorders>
              <w:top w:val="nil"/>
              <w:left w:val="nil"/>
              <w:bottom w:val="single" w:sz="4" w:space="0" w:color="auto"/>
              <w:right w:val="single" w:sz="4" w:space="0" w:color="auto"/>
            </w:tcBorders>
            <w:shd w:val="clear" w:color="auto" w:fill="auto"/>
            <w:noWrap/>
            <w:vAlign w:val="bottom"/>
          </w:tcPr>
          <w:p w14:paraId="48210862" w14:textId="28C42C7D" w:rsidR="00722C88" w:rsidRPr="00CD218D" w:rsidRDefault="00722C88" w:rsidP="00722C88">
            <w:pPr>
              <w:pStyle w:val="Tabletext"/>
            </w:pPr>
            <w:r w:rsidRPr="00EB655C">
              <w:t>Average GloBE Income or Loss</w:t>
            </w:r>
          </w:p>
        </w:tc>
        <w:tc>
          <w:tcPr>
            <w:tcW w:w="1746" w:type="dxa"/>
            <w:tcBorders>
              <w:top w:val="nil"/>
              <w:left w:val="nil"/>
              <w:bottom w:val="single" w:sz="4" w:space="0" w:color="auto"/>
              <w:right w:val="single" w:sz="4" w:space="0" w:color="auto"/>
            </w:tcBorders>
            <w:shd w:val="clear" w:color="auto" w:fill="auto"/>
            <w:noWrap/>
          </w:tcPr>
          <w:p w14:paraId="364B653A" w14:textId="77777777" w:rsidR="00722C88" w:rsidRPr="00CD218D" w:rsidRDefault="00722C88" w:rsidP="00722C88">
            <w:pPr>
              <w:pStyle w:val="Tabletext"/>
            </w:pPr>
            <w:r w:rsidRPr="00CD218D">
              <w:t>10.1.1</w:t>
            </w:r>
          </w:p>
        </w:tc>
      </w:tr>
      <w:tr w:rsidR="00722C88" w:rsidRPr="00CD218D" w14:paraId="3B345CD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B4A9F6B" w14:textId="217C7FB8" w:rsidR="00722C88" w:rsidRPr="00CD218D" w:rsidRDefault="00722C88" w:rsidP="00722C88">
            <w:pPr>
              <w:pStyle w:val="Tabletext"/>
            </w:pPr>
            <w:r>
              <w:t>5</w:t>
            </w:r>
            <w:r>
              <w:noBreakHyphen/>
            </w:r>
            <w:r w:rsidRPr="00EB655C">
              <w:t>1</w:t>
            </w:r>
            <w:r>
              <w:t>10</w:t>
            </w:r>
            <w:r w:rsidRPr="00EB655C">
              <w:t>(</w:t>
            </w:r>
            <w:r>
              <w:t>1</w:t>
            </w:r>
            <w:r w:rsidRPr="00EB655C">
              <w:t xml:space="preserve">)(a) </w:t>
            </w:r>
          </w:p>
        </w:tc>
        <w:tc>
          <w:tcPr>
            <w:tcW w:w="3743" w:type="dxa"/>
            <w:tcBorders>
              <w:top w:val="nil"/>
              <w:left w:val="nil"/>
              <w:bottom w:val="single" w:sz="4" w:space="0" w:color="auto"/>
              <w:right w:val="single" w:sz="4" w:space="0" w:color="auto"/>
            </w:tcBorders>
            <w:shd w:val="clear" w:color="auto" w:fill="auto"/>
            <w:noWrap/>
            <w:vAlign w:val="bottom"/>
          </w:tcPr>
          <w:p w14:paraId="08D2A9C3" w14:textId="08EB6D23" w:rsidR="00722C88" w:rsidRPr="00CD218D" w:rsidRDefault="00722C88" w:rsidP="00722C88">
            <w:pPr>
              <w:pStyle w:val="Tabletext"/>
            </w:pPr>
            <w:r w:rsidRPr="00EB655C">
              <w:t>Average GloBE Revenue</w:t>
            </w:r>
          </w:p>
        </w:tc>
        <w:tc>
          <w:tcPr>
            <w:tcW w:w="1746" w:type="dxa"/>
            <w:tcBorders>
              <w:top w:val="nil"/>
              <w:left w:val="nil"/>
              <w:bottom w:val="single" w:sz="4" w:space="0" w:color="auto"/>
              <w:right w:val="single" w:sz="4" w:space="0" w:color="auto"/>
            </w:tcBorders>
            <w:shd w:val="clear" w:color="auto" w:fill="auto"/>
            <w:noWrap/>
          </w:tcPr>
          <w:p w14:paraId="14C741CF" w14:textId="77777777" w:rsidR="00722C88" w:rsidRPr="00CD218D" w:rsidRDefault="00722C88" w:rsidP="00722C88">
            <w:pPr>
              <w:pStyle w:val="Tabletext"/>
            </w:pPr>
            <w:r w:rsidRPr="00CD218D">
              <w:t>10.1.1</w:t>
            </w:r>
          </w:p>
        </w:tc>
      </w:tr>
      <w:tr w:rsidR="00722C88" w:rsidRPr="00CD218D" w14:paraId="44F79F5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2DB931A" w14:textId="403C7C20" w:rsidR="00722C88" w:rsidRPr="00CD218D" w:rsidRDefault="00722C88" w:rsidP="00722C88">
            <w:pPr>
              <w:pStyle w:val="Tabletext"/>
            </w:pPr>
            <w:r>
              <w:t>4-60</w:t>
            </w:r>
          </w:p>
        </w:tc>
        <w:tc>
          <w:tcPr>
            <w:tcW w:w="3743" w:type="dxa"/>
            <w:tcBorders>
              <w:top w:val="nil"/>
              <w:left w:val="nil"/>
              <w:bottom w:val="single" w:sz="4" w:space="0" w:color="auto"/>
              <w:right w:val="single" w:sz="4" w:space="0" w:color="auto"/>
            </w:tcBorders>
            <w:shd w:val="clear" w:color="auto" w:fill="auto"/>
            <w:noWrap/>
            <w:vAlign w:val="bottom"/>
          </w:tcPr>
          <w:p w14:paraId="1CA74036" w14:textId="4AC69442" w:rsidR="00722C88" w:rsidRPr="00CD218D" w:rsidRDefault="00722C88" w:rsidP="00722C88">
            <w:pPr>
              <w:pStyle w:val="Tabletext"/>
            </w:pPr>
            <w:r>
              <w:t xml:space="preserve">Blended CFC Tax Regime </w:t>
            </w:r>
          </w:p>
        </w:tc>
        <w:tc>
          <w:tcPr>
            <w:tcW w:w="1746" w:type="dxa"/>
            <w:tcBorders>
              <w:top w:val="nil"/>
              <w:left w:val="nil"/>
              <w:bottom w:val="single" w:sz="4" w:space="0" w:color="auto"/>
              <w:right w:val="single" w:sz="4" w:space="0" w:color="auto"/>
            </w:tcBorders>
            <w:shd w:val="clear" w:color="auto" w:fill="auto"/>
            <w:noWrap/>
          </w:tcPr>
          <w:p w14:paraId="57572372" w14:textId="77777777" w:rsidR="00722C88" w:rsidRPr="00CD218D" w:rsidRDefault="00722C88" w:rsidP="00722C88">
            <w:pPr>
              <w:pStyle w:val="Tabletext"/>
            </w:pPr>
            <w:r w:rsidRPr="00CD218D">
              <w:t>10.1.1</w:t>
            </w:r>
          </w:p>
        </w:tc>
      </w:tr>
      <w:tr w:rsidR="00722C88" w:rsidRPr="00CD218D" w14:paraId="3139CAD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AA9692E" w14:textId="6B72BFFF" w:rsidR="00722C88" w:rsidRPr="00CD218D" w:rsidRDefault="00722C88" w:rsidP="00722C88">
            <w:pPr>
              <w:pStyle w:val="Tabletext"/>
            </w:pPr>
            <w:r w:rsidRPr="00EB655C">
              <w:t>10-5</w:t>
            </w:r>
          </w:p>
        </w:tc>
        <w:tc>
          <w:tcPr>
            <w:tcW w:w="3743" w:type="dxa"/>
            <w:tcBorders>
              <w:top w:val="nil"/>
              <w:left w:val="nil"/>
              <w:bottom w:val="single" w:sz="4" w:space="0" w:color="auto"/>
              <w:right w:val="single" w:sz="4" w:space="0" w:color="auto"/>
            </w:tcBorders>
            <w:shd w:val="clear" w:color="auto" w:fill="auto"/>
            <w:noWrap/>
            <w:vAlign w:val="bottom"/>
          </w:tcPr>
          <w:p w14:paraId="003504F9" w14:textId="3F3278D3" w:rsidR="00722C88" w:rsidRPr="00CD218D" w:rsidRDefault="00722C88" w:rsidP="00722C88">
            <w:pPr>
              <w:pStyle w:val="Tabletext"/>
            </w:pPr>
            <w:r w:rsidRPr="00EB655C">
              <w:t>Constituent Entity-owner</w:t>
            </w:r>
          </w:p>
        </w:tc>
        <w:tc>
          <w:tcPr>
            <w:tcW w:w="1746" w:type="dxa"/>
            <w:tcBorders>
              <w:top w:val="nil"/>
              <w:left w:val="nil"/>
              <w:bottom w:val="single" w:sz="4" w:space="0" w:color="auto"/>
              <w:right w:val="single" w:sz="4" w:space="0" w:color="auto"/>
            </w:tcBorders>
            <w:shd w:val="clear" w:color="auto" w:fill="auto"/>
            <w:noWrap/>
          </w:tcPr>
          <w:p w14:paraId="0D0C7038" w14:textId="77777777" w:rsidR="00722C88" w:rsidRPr="00CD218D" w:rsidRDefault="00722C88" w:rsidP="00722C88">
            <w:pPr>
              <w:pStyle w:val="Tabletext"/>
            </w:pPr>
            <w:r w:rsidRPr="00CD218D">
              <w:t>10.1.1</w:t>
            </w:r>
          </w:p>
        </w:tc>
      </w:tr>
      <w:tr w:rsidR="00722C88" w:rsidRPr="00CD218D" w14:paraId="62E3000B"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1269E2B" w14:textId="2C3C9AD1" w:rsidR="00722C88" w:rsidRPr="00CD218D" w:rsidRDefault="00722C88" w:rsidP="00722C88">
            <w:pPr>
              <w:pStyle w:val="Tabletext"/>
            </w:pPr>
            <w:r w:rsidRPr="00EB655C">
              <w:t>10-5</w:t>
            </w:r>
          </w:p>
        </w:tc>
        <w:tc>
          <w:tcPr>
            <w:tcW w:w="3743" w:type="dxa"/>
            <w:tcBorders>
              <w:top w:val="nil"/>
              <w:left w:val="nil"/>
              <w:bottom w:val="single" w:sz="4" w:space="0" w:color="auto"/>
              <w:right w:val="single" w:sz="4" w:space="0" w:color="auto"/>
            </w:tcBorders>
            <w:shd w:val="clear" w:color="auto" w:fill="auto"/>
            <w:noWrap/>
            <w:vAlign w:val="bottom"/>
          </w:tcPr>
          <w:p w14:paraId="118E9195" w14:textId="0E52101F" w:rsidR="00722C88" w:rsidRPr="00CD218D" w:rsidRDefault="00722C88" w:rsidP="00722C88">
            <w:pPr>
              <w:pStyle w:val="Tabletext"/>
            </w:pPr>
            <w:r w:rsidRPr="00EB655C">
              <w:t>Controlled Foreign Company Tax Regime</w:t>
            </w:r>
          </w:p>
        </w:tc>
        <w:tc>
          <w:tcPr>
            <w:tcW w:w="1746" w:type="dxa"/>
            <w:tcBorders>
              <w:top w:val="nil"/>
              <w:left w:val="nil"/>
              <w:bottom w:val="single" w:sz="4" w:space="0" w:color="auto"/>
              <w:right w:val="single" w:sz="4" w:space="0" w:color="auto"/>
            </w:tcBorders>
            <w:shd w:val="clear" w:color="auto" w:fill="auto"/>
            <w:noWrap/>
          </w:tcPr>
          <w:p w14:paraId="2573B492" w14:textId="77777777" w:rsidR="00722C88" w:rsidRPr="00CD218D" w:rsidRDefault="00722C88" w:rsidP="00722C88">
            <w:pPr>
              <w:pStyle w:val="Tabletext"/>
            </w:pPr>
            <w:r w:rsidRPr="00CD218D">
              <w:t>10.1.1</w:t>
            </w:r>
          </w:p>
        </w:tc>
      </w:tr>
      <w:tr w:rsidR="00722C88" w:rsidRPr="00CD218D" w14:paraId="31660FF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98594A1" w14:textId="2C0BFD19" w:rsidR="00722C88" w:rsidRPr="00CD218D" w:rsidRDefault="00722C88" w:rsidP="00722C88">
            <w:pPr>
              <w:pStyle w:val="Tabletext"/>
            </w:pPr>
            <w:r w:rsidRPr="00EB655C">
              <w:t>10-5</w:t>
            </w:r>
          </w:p>
        </w:tc>
        <w:tc>
          <w:tcPr>
            <w:tcW w:w="3743" w:type="dxa"/>
            <w:tcBorders>
              <w:top w:val="nil"/>
              <w:left w:val="nil"/>
              <w:bottom w:val="single" w:sz="4" w:space="0" w:color="auto"/>
              <w:right w:val="single" w:sz="4" w:space="0" w:color="auto"/>
            </w:tcBorders>
            <w:shd w:val="clear" w:color="auto" w:fill="auto"/>
            <w:noWrap/>
            <w:vAlign w:val="bottom"/>
          </w:tcPr>
          <w:p w14:paraId="54A3B290" w14:textId="7D412417" w:rsidR="00722C88" w:rsidRPr="00CD218D" w:rsidRDefault="00722C88" w:rsidP="00722C88">
            <w:pPr>
              <w:pStyle w:val="Tabletext"/>
            </w:pPr>
            <w:r w:rsidRPr="00EB655C">
              <w:t>Cooperative</w:t>
            </w:r>
          </w:p>
        </w:tc>
        <w:tc>
          <w:tcPr>
            <w:tcW w:w="1746" w:type="dxa"/>
            <w:tcBorders>
              <w:top w:val="nil"/>
              <w:left w:val="nil"/>
              <w:bottom w:val="single" w:sz="4" w:space="0" w:color="auto"/>
              <w:right w:val="single" w:sz="4" w:space="0" w:color="auto"/>
            </w:tcBorders>
            <w:shd w:val="clear" w:color="auto" w:fill="auto"/>
            <w:noWrap/>
          </w:tcPr>
          <w:p w14:paraId="2706227E" w14:textId="77777777" w:rsidR="00722C88" w:rsidRPr="00CD218D" w:rsidRDefault="00722C88" w:rsidP="00722C88">
            <w:pPr>
              <w:pStyle w:val="Tabletext"/>
            </w:pPr>
            <w:r w:rsidRPr="00CD218D">
              <w:t>10.1.1</w:t>
            </w:r>
          </w:p>
        </w:tc>
      </w:tr>
      <w:tr w:rsidR="00722C88" w:rsidRPr="00CD218D" w14:paraId="505F063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3806368" w14:textId="62F97242" w:rsidR="00722C88" w:rsidRPr="00CD218D" w:rsidRDefault="00722C88" w:rsidP="00722C88">
            <w:pPr>
              <w:pStyle w:val="Tabletext"/>
            </w:pPr>
            <w:r w:rsidRPr="00EB655C">
              <w:t>4-</w:t>
            </w:r>
            <w:r>
              <w:t>40</w:t>
            </w:r>
          </w:p>
        </w:tc>
        <w:tc>
          <w:tcPr>
            <w:tcW w:w="3743" w:type="dxa"/>
            <w:tcBorders>
              <w:top w:val="nil"/>
              <w:left w:val="nil"/>
              <w:bottom w:val="single" w:sz="4" w:space="0" w:color="auto"/>
              <w:right w:val="single" w:sz="4" w:space="0" w:color="auto"/>
            </w:tcBorders>
            <w:shd w:val="clear" w:color="auto" w:fill="auto"/>
            <w:noWrap/>
            <w:vAlign w:val="bottom"/>
          </w:tcPr>
          <w:p w14:paraId="5F726858" w14:textId="4712745A" w:rsidR="00722C88" w:rsidRPr="00CD218D" w:rsidRDefault="00722C88" w:rsidP="00722C88">
            <w:pPr>
              <w:pStyle w:val="Tabletext"/>
            </w:pPr>
            <w:r w:rsidRPr="00EB655C">
              <w:t>Covered Taxes</w:t>
            </w:r>
          </w:p>
        </w:tc>
        <w:tc>
          <w:tcPr>
            <w:tcW w:w="1746" w:type="dxa"/>
            <w:tcBorders>
              <w:top w:val="nil"/>
              <w:left w:val="nil"/>
              <w:bottom w:val="single" w:sz="4" w:space="0" w:color="auto"/>
              <w:right w:val="single" w:sz="4" w:space="0" w:color="auto"/>
            </w:tcBorders>
            <w:shd w:val="clear" w:color="auto" w:fill="auto"/>
            <w:noWrap/>
          </w:tcPr>
          <w:p w14:paraId="4319D076" w14:textId="77777777" w:rsidR="00722C88" w:rsidRPr="00CD218D" w:rsidRDefault="00722C88" w:rsidP="00722C88">
            <w:pPr>
              <w:pStyle w:val="Tabletext"/>
            </w:pPr>
            <w:r w:rsidRPr="00CD218D">
              <w:t>10.1.1</w:t>
            </w:r>
          </w:p>
        </w:tc>
      </w:tr>
      <w:tr w:rsidR="00722C88" w:rsidRPr="00CD218D" w14:paraId="04D88154"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87DA95E" w14:textId="16A14770" w:rsidR="00722C88" w:rsidRPr="00CD218D" w:rsidRDefault="00722C88" w:rsidP="00722C88">
            <w:pPr>
              <w:pStyle w:val="Tabletext"/>
            </w:pPr>
            <w:r w:rsidRPr="00EB655C">
              <w:t>7-35</w:t>
            </w:r>
          </w:p>
        </w:tc>
        <w:tc>
          <w:tcPr>
            <w:tcW w:w="3743" w:type="dxa"/>
            <w:tcBorders>
              <w:top w:val="nil"/>
              <w:left w:val="nil"/>
              <w:bottom w:val="single" w:sz="4" w:space="0" w:color="auto"/>
              <w:right w:val="single" w:sz="4" w:space="0" w:color="auto"/>
            </w:tcBorders>
            <w:shd w:val="clear" w:color="auto" w:fill="auto"/>
            <w:vAlign w:val="bottom"/>
          </w:tcPr>
          <w:p w14:paraId="37D768FE" w14:textId="2A066D0D" w:rsidR="00722C88" w:rsidRPr="00CD218D" w:rsidRDefault="00722C88" w:rsidP="00722C88">
            <w:pPr>
              <w:pStyle w:val="Tabletext"/>
            </w:pPr>
            <w:r w:rsidRPr="00EB655C">
              <w:t>Deductible Dividend</w:t>
            </w:r>
          </w:p>
        </w:tc>
        <w:tc>
          <w:tcPr>
            <w:tcW w:w="1746" w:type="dxa"/>
            <w:tcBorders>
              <w:top w:val="nil"/>
              <w:left w:val="nil"/>
              <w:bottom w:val="single" w:sz="4" w:space="0" w:color="auto"/>
              <w:right w:val="single" w:sz="4" w:space="0" w:color="auto"/>
            </w:tcBorders>
            <w:shd w:val="clear" w:color="auto" w:fill="auto"/>
            <w:noWrap/>
            <w:hideMark/>
          </w:tcPr>
          <w:p w14:paraId="5DE3BD0D" w14:textId="77777777" w:rsidR="00722C88" w:rsidRPr="00CD218D" w:rsidRDefault="00722C88" w:rsidP="00722C88">
            <w:pPr>
              <w:pStyle w:val="Tabletext"/>
            </w:pPr>
            <w:r w:rsidRPr="00CD218D">
              <w:t>10.2.5</w:t>
            </w:r>
          </w:p>
        </w:tc>
      </w:tr>
      <w:tr w:rsidR="00722C88" w:rsidRPr="00CD218D" w14:paraId="36FD59B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00E632AF" w14:textId="443E5806" w:rsidR="00722C88" w:rsidRPr="00CD218D" w:rsidRDefault="00722C88" w:rsidP="00722C88">
            <w:pPr>
              <w:pStyle w:val="Tabletext"/>
            </w:pPr>
            <w:r w:rsidRPr="00EB655C">
              <w:t>7-30</w:t>
            </w:r>
          </w:p>
        </w:tc>
        <w:tc>
          <w:tcPr>
            <w:tcW w:w="3743" w:type="dxa"/>
            <w:tcBorders>
              <w:top w:val="nil"/>
              <w:left w:val="nil"/>
              <w:bottom w:val="single" w:sz="4" w:space="0" w:color="auto"/>
              <w:right w:val="single" w:sz="4" w:space="0" w:color="auto"/>
            </w:tcBorders>
            <w:shd w:val="clear" w:color="auto" w:fill="auto"/>
            <w:vAlign w:val="bottom"/>
          </w:tcPr>
          <w:p w14:paraId="1A331BC6" w14:textId="539242B8" w:rsidR="00722C88" w:rsidRPr="00CD218D" w:rsidRDefault="00722C88" w:rsidP="00722C88">
            <w:pPr>
              <w:pStyle w:val="Tabletext"/>
            </w:pPr>
            <w:r w:rsidRPr="00EB655C">
              <w:t>Deductible Dividend Regime</w:t>
            </w:r>
          </w:p>
        </w:tc>
        <w:tc>
          <w:tcPr>
            <w:tcW w:w="1746" w:type="dxa"/>
            <w:tcBorders>
              <w:top w:val="nil"/>
              <w:left w:val="nil"/>
              <w:bottom w:val="single" w:sz="4" w:space="0" w:color="auto"/>
              <w:right w:val="single" w:sz="4" w:space="0" w:color="auto"/>
            </w:tcBorders>
            <w:shd w:val="clear" w:color="auto" w:fill="auto"/>
            <w:noWrap/>
            <w:hideMark/>
          </w:tcPr>
          <w:p w14:paraId="35BD3740" w14:textId="77777777" w:rsidR="00722C88" w:rsidRPr="00CD218D" w:rsidRDefault="00722C88" w:rsidP="00722C88">
            <w:pPr>
              <w:pStyle w:val="Tabletext"/>
            </w:pPr>
            <w:r w:rsidRPr="00CD218D">
              <w:t>10.2.4</w:t>
            </w:r>
          </w:p>
        </w:tc>
      </w:tr>
      <w:tr w:rsidR="00722C88" w:rsidRPr="00CD218D" w14:paraId="15321D4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066CFBE" w14:textId="26C3AAD5" w:rsidR="00722C88" w:rsidRPr="00CD218D" w:rsidRDefault="00722C88" w:rsidP="00722C88">
            <w:pPr>
              <w:pStyle w:val="Tabletext"/>
            </w:pPr>
            <w:r>
              <w:t>8-120</w:t>
            </w:r>
          </w:p>
        </w:tc>
        <w:tc>
          <w:tcPr>
            <w:tcW w:w="3743" w:type="dxa"/>
            <w:tcBorders>
              <w:top w:val="nil"/>
              <w:left w:val="nil"/>
              <w:bottom w:val="single" w:sz="4" w:space="0" w:color="auto"/>
              <w:right w:val="single" w:sz="4" w:space="0" w:color="auto"/>
            </w:tcBorders>
            <w:shd w:val="clear" w:color="auto" w:fill="auto"/>
            <w:noWrap/>
            <w:vAlign w:val="bottom"/>
          </w:tcPr>
          <w:p w14:paraId="733C69D6" w14:textId="2D16731F" w:rsidR="00722C88" w:rsidRPr="00CD218D" w:rsidRDefault="00722C88" w:rsidP="00722C88">
            <w:pPr>
              <w:pStyle w:val="Tabletext"/>
            </w:pPr>
            <w:r>
              <w:t xml:space="preserve">Deduction/Non-Inclusion arrangement </w:t>
            </w:r>
          </w:p>
        </w:tc>
        <w:tc>
          <w:tcPr>
            <w:tcW w:w="1746" w:type="dxa"/>
            <w:tcBorders>
              <w:top w:val="nil"/>
              <w:left w:val="nil"/>
              <w:bottom w:val="single" w:sz="4" w:space="0" w:color="auto"/>
              <w:right w:val="single" w:sz="4" w:space="0" w:color="auto"/>
            </w:tcBorders>
            <w:shd w:val="clear" w:color="auto" w:fill="auto"/>
            <w:noWrap/>
          </w:tcPr>
          <w:p w14:paraId="6FB53153" w14:textId="77777777" w:rsidR="00722C88" w:rsidRPr="00CD218D" w:rsidRDefault="00722C88" w:rsidP="00722C88">
            <w:pPr>
              <w:pStyle w:val="Tabletext"/>
            </w:pPr>
            <w:r w:rsidRPr="00CD218D">
              <w:t>10.1.1</w:t>
            </w:r>
          </w:p>
        </w:tc>
      </w:tr>
      <w:tr w:rsidR="00722C88" w:rsidRPr="00CD218D" w14:paraId="744C414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E9A5528" w14:textId="3B7D8040" w:rsidR="00722C88" w:rsidRPr="00CD218D" w:rsidRDefault="00722C88" w:rsidP="00722C88">
            <w:pPr>
              <w:pStyle w:val="Tabletext"/>
            </w:pPr>
            <w:r>
              <w:t>7-50(2)</w:t>
            </w:r>
          </w:p>
        </w:tc>
        <w:tc>
          <w:tcPr>
            <w:tcW w:w="3743" w:type="dxa"/>
            <w:tcBorders>
              <w:top w:val="nil"/>
              <w:left w:val="nil"/>
              <w:bottom w:val="single" w:sz="4" w:space="0" w:color="auto"/>
              <w:right w:val="single" w:sz="4" w:space="0" w:color="auto"/>
            </w:tcBorders>
            <w:shd w:val="clear" w:color="auto" w:fill="auto"/>
            <w:noWrap/>
            <w:vAlign w:val="bottom"/>
          </w:tcPr>
          <w:p w14:paraId="41C1BEFD" w14:textId="514B43C7" w:rsidR="00722C88" w:rsidRPr="00CD218D" w:rsidRDefault="00722C88" w:rsidP="00722C88">
            <w:pPr>
              <w:pStyle w:val="Tabletext"/>
            </w:pPr>
            <w:r>
              <w:t xml:space="preserve">Deemed Distribution Tax </w:t>
            </w:r>
          </w:p>
        </w:tc>
        <w:tc>
          <w:tcPr>
            <w:tcW w:w="1746" w:type="dxa"/>
            <w:tcBorders>
              <w:top w:val="nil"/>
              <w:left w:val="nil"/>
              <w:bottom w:val="single" w:sz="4" w:space="0" w:color="auto"/>
              <w:right w:val="single" w:sz="4" w:space="0" w:color="auto"/>
            </w:tcBorders>
            <w:shd w:val="clear" w:color="auto" w:fill="auto"/>
            <w:noWrap/>
          </w:tcPr>
          <w:p w14:paraId="40C8D97C" w14:textId="77777777" w:rsidR="00722C88" w:rsidRPr="00CD218D" w:rsidRDefault="00722C88" w:rsidP="00722C88">
            <w:pPr>
              <w:pStyle w:val="Tabletext"/>
            </w:pPr>
            <w:r w:rsidRPr="00CD218D">
              <w:t>10.1.1</w:t>
            </w:r>
          </w:p>
        </w:tc>
      </w:tr>
      <w:tr w:rsidR="00722C88" w:rsidRPr="00CD218D" w14:paraId="7E11082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C7091AA" w14:textId="58ADED0B" w:rsidR="00722C88" w:rsidRPr="00CD218D" w:rsidRDefault="00722C88" w:rsidP="00722C88">
            <w:pPr>
              <w:pStyle w:val="Tabletext"/>
            </w:pPr>
            <w:r w:rsidRPr="00EB655C">
              <w:t>7-50(4)</w:t>
            </w:r>
          </w:p>
        </w:tc>
        <w:tc>
          <w:tcPr>
            <w:tcW w:w="3743" w:type="dxa"/>
            <w:tcBorders>
              <w:top w:val="nil"/>
              <w:left w:val="nil"/>
              <w:bottom w:val="single" w:sz="4" w:space="0" w:color="auto"/>
              <w:right w:val="single" w:sz="4" w:space="0" w:color="auto"/>
            </w:tcBorders>
            <w:shd w:val="clear" w:color="auto" w:fill="auto"/>
            <w:noWrap/>
            <w:vAlign w:val="bottom"/>
          </w:tcPr>
          <w:p w14:paraId="7590F701" w14:textId="4F740920" w:rsidR="00722C88" w:rsidRPr="00CD218D" w:rsidRDefault="00722C88" w:rsidP="00722C88">
            <w:pPr>
              <w:pStyle w:val="Tabletext"/>
            </w:pPr>
            <w:r w:rsidRPr="00EB655C">
              <w:t>Deemed Distribution Tax Recapture Account</w:t>
            </w:r>
          </w:p>
        </w:tc>
        <w:tc>
          <w:tcPr>
            <w:tcW w:w="1746" w:type="dxa"/>
            <w:tcBorders>
              <w:top w:val="nil"/>
              <w:left w:val="nil"/>
              <w:bottom w:val="single" w:sz="4" w:space="0" w:color="auto"/>
              <w:right w:val="single" w:sz="4" w:space="0" w:color="auto"/>
            </w:tcBorders>
            <w:shd w:val="clear" w:color="auto" w:fill="auto"/>
            <w:noWrap/>
          </w:tcPr>
          <w:p w14:paraId="5560CFCE" w14:textId="77777777" w:rsidR="00722C88" w:rsidRPr="00CD218D" w:rsidRDefault="00722C88" w:rsidP="00722C88">
            <w:pPr>
              <w:pStyle w:val="Tabletext"/>
            </w:pPr>
            <w:r w:rsidRPr="00CD218D">
              <w:t>10.1.1</w:t>
            </w:r>
          </w:p>
        </w:tc>
      </w:tr>
      <w:tr w:rsidR="00722C88" w:rsidRPr="00CD218D" w14:paraId="1266B5C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E726C60" w14:textId="236B9803" w:rsidR="00722C88" w:rsidRPr="00CD218D" w:rsidRDefault="00722C88" w:rsidP="00722C88">
            <w:pPr>
              <w:pStyle w:val="Tabletext"/>
            </w:pPr>
            <w:r w:rsidRPr="00EB655C">
              <w:t>10-</w:t>
            </w:r>
            <w:r>
              <w:t>55</w:t>
            </w:r>
          </w:p>
        </w:tc>
        <w:tc>
          <w:tcPr>
            <w:tcW w:w="3743" w:type="dxa"/>
            <w:tcBorders>
              <w:top w:val="nil"/>
              <w:left w:val="nil"/>
              <w:bottom w:val="single" w:sz="4" w:space="0" w:color="auto"/>
              <w:right w:val="single" w:sz="4" w:space="0" w:color="auto"/>
            </w:tcBorders>
            <w:shd w:val="clear" w:color="auto" w:fill="auto"/>
            <w:vAlign w:val="bottom"/>
          </w:tcPr>
          <w:p w14:paraId="36B47F4F" w14:textId="318EF6AE" w:rsidR="00722C88" w:rsidRPr="00CD218D" w:rsidRDefault="00722C88" w:rsidP="00722C88">
            <w:pPr>
              <w:pStyle w:val="Tabletext"/>
            </w:pPr>
            <w:r w:rsidRPr="00EB655C">
              <w:t xml:space="preserve">Deeming an entity as a separate taxable person </w:t>
            </w:r>
          </w:p>
        </w:tc>
        <w:tc>
          <w:tcPr>
            <w:tcW w:w="1746" w:type="dxa"/>
            <w:tcBorders>
              <w:top w:val="nil"/>
              <w:left w:val="nil"/>
              <w:bottom w:val="single" w:sz="4" w:space="0" w:color="auto"/>
              <w:right w:val="single" w:sz="4" w:space="0" w:color="auto"/>
            </w:tcBorders>
            <w:shd w:val="clear" w:color="auto" w:fill="auto"/>
            <w:noWrap/>
            <w:hideMark/>
          </w:tcPr>
          <w:p w14:paraId="4584CAD9" w14:textId="77777777" w:rsidR="00722C88" w:rsidRPr="00CD218D" w:rsidRDefault="00722C88" w:rsidP="00722C88">
            <w:pPr>
              <w:pStyle w:val="Tabletext"/>
            </w:pPr>
            <w:r w:rsidRPr="00CD218D">
              <w:t>10.3.4</w:t>
            </w:r>
          </w:p>
        </w:tc>
      </w:tr>
      <w:tr w:rsidR="00722C88" w:rsidRPr="001F4122" w14:paraId="4822D29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09598AEA" w14:textId="71B37CD5" w:rsidR="00722C88" w:rsidRPr="00CD218D" w:rsidRDefault="00722C88" w:rsidP="00722C88">
            <w:pPr>
              <w:pStyle w:val="Tabletext"/>
            </w:pPr>
            <w:r w:rsidRPr="00EB655C">
              <w:t>10-</w:t>
            </w:r>
            <w:r>
              <w:t>50</w:t>
            </w:r>
          </w:p>
        </w:tc>
        <w:tc>
          <w:tcPr>
            <w:tcW w:w="3743" w:type="dxa"/>
            <w:tcBorders>
              <w:top w:val="nil"/>
              <w:left w:val="nil"/>
              <w:bottom w:val="single" w:sz="4" w:space="0" w:color="auto"/>
              <w:right w:val="single" w:sz="4" w:space="0" w:color="auto"/>
            </w:tcBorders>
            <w:shd w:val="clear" w:color="auto" w:fill="auto"/>
            <w:vAlign w:val="bottom"/>
          </w:tcPr>
          <w:p w14:paraId="4B32D5C6" w14:textId="549A33D2" w:rsidR="00722C88" w:rsidRPr="00CD218D" w:rsidRDefault="00722C88" w:rsidP="00722C88">
            <w:pPr>
              <w:pStyle w:val="Tabletext"/>
            </w:pPr>
            <w:r w:rsidRPr="00EB655C">
              <w:t xml:space="preserve">Deeming of a Flow Through or Tax Transparent Entity </w:t>
            </w:r>
          </w:p>
        </w:tc>
        <w:tc>
          <w:tcPr>
            <w:tcW w:w="1746" w:type="dxa"/>
            <w:tcBorders>
              <w:top w:val="nil"/>
              <w:left w:val="nil"/>
              <w:bottom w:val="single" w:sz="4" w:space="0" w:color="auto"/>
              <w:right w:val="single" w:sz="4" w:space="0" w:color="auto"/>
            </w:tcBorders>
            <w:shd w:val="clear" w:color="auto" w:fill="auto"/>
            <w:noWrap/>
            <w:hideMark/>
          </w:tcPr>
          <w:p w14:paraId="783FF18E" w14:textId="77777777" w:rsidR="00722C88" w:rsidRPr="001F4122" w:rsidRDefault="00722C88" w:rsidP="00722C88">
            <w:pPr>
              <w:pStyle w:val="Tabletext"/>
            </w:pPr>
            <w:r w:rsidRPr="00CD218D">
              <w:t>10.3.5</w:t>
            </w:r>
          </w:p>
        </w:tc>
      </w:tr>
      <w:tr w:rsidR="00722C88" w:rsidRPr="00CD218D" w14:paraId="3D07480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7AF6BEF4" w14:textId="0DC8FE1A" w:rsidR="00722C88" w:rsidRPr="00CD218D" w:rsidRDefault="00722C88" w:rsidP="00722C88">
            <w:pPr>
              <w:pStyle w:val="Tabletext"/>
            </w:pPr>
            <w:r w:rsidRPr="00786B81">
              <w:rPr>
                <w:bCs/>
              </w:rPr>
              <w:lastRenderedPageBreak/>
              <w:t>10-</w:t>
            </w:r>
            <w:r>
              <w:rPr>
                <w:bCs/>
              </w:rPr>
              <w:t>30</w:t>
            </w:r>
            <w:r w:rsidRPr="00786B81">
              <w:rPr>
                <w:bCs/>
              </w:rPr>
              <w:t>, 10-</w:t>
            </w:r>
            <w:r>
              <w:rPr>
                <w:bCs/>
              </w:rPr>
              <w:t>35</w:t>
            </w:r>
            <w:r w:rsidRPr="00786B81">
              <w:rPr>
                <w:bCs/>
              </w:rPr>
              <w:t>, 10-</w:t>
            </w:r>
            <w:r>
              <w:rPr>
                <w:bCs/>
              </w:rPr>
              <w:t>40</w:t>
            </w:r>
            <w:r w:rsidRPr="00786B81">
              <w:rPr>
                <w:bCs/>
              </w:rPr>
              <w:t>, 10-</w:t>
            </w:r>
            <w:r>
              <w:rPr>
                <w:bCs/>
              </w:rPr>
              <w:t>45</w:t>
            </w:r>
            <w:r w:rsidRPr="00786B81">
              <w:rPr>
                <w:bCs/>
              </w:rPr>
              <w:t xml:space="preserve">, </w:t>
            </w:r>
            <w:r>
              <w:rPr>
                <w:bCs/>
              </w:rPr>
              <w:t>10-50, 10-55</w:t>
            </w:r>
          </w:p>
        </w:tc>
        <w:tc>
          <w:tcPr>
            <w:tcW w:w="3743" w:type="dxa"/>
            <w:tcBorders>
              <w:top w:val="nil"/>
              <w:left w:val="nil"/>
              <w:bottom w:val="single" w:sz="4" w:space="0" w:color="auto"/>
              <w:right w:val="single" w:sz="4" w:space="0" w:color="auto"/>
            </w:tcBorders>
            <w:shd w:val="clear" w:color="auto" w:fill="auto"/>
            <w:noWrap/>
            <w:vAlign w:val="bottom"/>
          </w:tcPr>
          <w:p w14:paraId="67088263" w14:textId="3AC2EB7C" w:rsidR="00722C88" w:rsidRPr="00CD218D" w:rsidRDefault="00722C88" w:rsidP="00722C88">
            <w:pPr>
              <w:pStyle w:val="Tabletext"/>
            </w:pPr>
            <w:r w:rsidRPr="00EB655C">
              <w:t>Definitions of Flow-through Entity, Tax Transparent Entity, Reverse Hybrid Entity, and Hybrid Entity</w:t>
            </w:r>
          </w:p>
        </w:tc>
        <w:tc>
          <w:tcPr>
            <w:tcW w:w="1746" w:type="dxa"/>
            <w:tcBorders>
              <w:top w:val="nil"/>
              <w:left w:val="nil"/>
              <w:bottom w:val="single" w:sz="4" w:space="0" w:color="auto"/>
              <w:right w:val="single" w:sz="4" w:space="0" w:color="auto"/>
            </w:tcBorders>
            <w:shd w:val="clear" w:color="auto" w:fill="auto"/>
            <w:noWrap/>
          </w:tcPr>
          <w:p w14:paraId="4C7EF199" w14:textId="77777777" w:rsidR="00722C88" w:rsidRPr="00CD218D" w:rsidRDefault="00722C88" w:rsidP="00722C88">
            <w:pPr>
              <w:pStyle w:val="Tabletext"/>
            </w:pPr>
            <w:r w:rsidRPr="00CD218D">
              <w:t>10.1.1</w:t>
            </w:r>
          </w:p>
        </w:tc>
      </w:tr>
      <w:tr w:rsidR="00722C88" w:rsidRPr="00CD218D" w14:paraId="041CDEF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B643A3E" w14:textId="72C8F5B2" w:rsidR="00722C88" w:rsidRPr="00CD218D" w:rsidRDefault="00722C88" w:rsidP="00722C88">
            <w:pPr>
              <w:pStyle w:val="Tabletext"/>
            </w:pPr>
            <w:r>
              <w:t xml:space="preserve">No equivalent. </w:t>
            </w:r>
          </w:p>
        </w:tc>
        <w:tc>
          <w:tcPr>
            <w:tcW w:w="3743" w:type="dxa"/>
            <w:tcBorders>
              <w:top w:val="nil"/>
              <w:left w:val="nil"/>
              <w:bottom w:val="single" w:sz="4" w:space="0" w:color="auto"/>
              <w:right w:val="single" w:sz="4" w:space="0" w:color="auto"/>
            </w:tcBorders>
            <w:shd w:val="clear" w:color="auto" w:fill="auto"/>
            <w:noWrap/>
            <w:vAlign w:val="bottom"/>
          </w:tcPr>
          <w:p w14:paraId="2F1B51B6" w14:textId="62D0D8F9" w:rsidR="00722C88" w:rsidRPr="00CD218D" w:rsidRDefault="00722C88" w:rsidP="00722C88">
            <w:pPr>
              <w:pStyle w:val="Tabletext"/>
            </w:pPr>
            <w:r>
              <w:t>Departing Constituent Entity</w:t>
            </w:r>
          </w:p>
        </w:tc>
        <w:tc>
          <w:tcPr>
            <w:tcW w:w="1746" w:type="dxa"/>
            <w:tcBorders>
              <w:top w:val="nil"/>
              <w:left w:val="nil"/>
              <w:bottom w:val="single" w:sz="4" w:space="0" w:color="auto"/>
              <w:right w:val="single" w:sz="4" w:space="0" w:color="auto"/>
            </w:tcBorders>
            <w:shd w:val="clear" w:color="auto" w:fill="auto"/>
            <w:noWrap/>
          </w:tcPr>
          <w:p w14:paraId="461A9041" w14:textId="77777777" w:rsidR="00722C88" w:rsidRPr="00CD218D" w:rsidRDefault="00722C88" w:rsidP="00722C88">
            <w:pPr>
              <w:pStyle w:val="Tabletext"/>
            </w:pPr>
            <w:r w:rsidRPr="00CD218D">
              <w:t>10.1.1</w:t>
            </w:r>
          </w:p>
        </w:tc>
      </w:tr>
      <w:tr w:rsidR="00722C88" w:rsidRPr="00CD218D" w14:paraId="388DDFB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2A34D6D" w14:textId="2286AE18" w:rsidR="00722C88" w:rsidRPr="00CD218D" w:rsidRDefault="00722C88" w:rsidP="00722C88">
            <w:pPr>
              <w:pStyle w:val="Tabletext"/>
            </w:pPr>
            <w:r w:rsidRPr="00EB655C">
              <w:t>4-</w:t>
            </w:r>
            <w:r>
              <w:t>115</w:t>
            </w:r>
            <w:r w:rsidRPr="00EB655C">
              <w:t>(1)</w:t>
            </w:r>
          </w:p>
        </w:tc>
        <w:tc>
          <w:tcPr>
            <w:tcW w:w="3743" w:type="dxa"/>
            <w:tcBorders>
              <w:top w:val="nil"/>
              <w:left w:val="nil"/>
              <w:bottom w:val="single" w:sz="4" w:space="0" w:color="auto"/>
              <w:right w:val="single" w:sz="4" w:space="0" w:color="auto"/>
            </w:tcBorders>
            <w:shd w:val="clear" w:color="auto" w:fill="auto"/>
            <w:noWrap/>
            <w:vAlign w:val="bottom"/>
          </w:tcPr>
          <w:p w14:paraId="2DDE2D4F" w14:textId="0120BC00" w:rsidR="00722C88" w:rsidRPr="00CD218D" w:rsidRDefault="00722C88" w:rsidP="00722C88">
            <w:pPr>
              <w:pStyle w:val="Tabletext"/>
            </w:pPr>
            <w:r w:rsidRPr="00EB655C">
              <w:t>Disallowed Accrual</w:t>
            </w:r>
          </w:p>
        </w:tc>
        <w:tc>
          <w:tcPr>
            <w:tcW w:w="1746" w:type="dxa"/>
            <w:tcBorders>
              <w:top w:val="nil"/>
              <w:left w:val="nil"/>
              <w:bottom w:val="single" w:sz="4" w:space="0" w:color="auto"/>
              <w:right w:val="single" w:sz="4" w:space="0" w:color="auto"/>
            </w:tcBorders>
            <w:shd w:val="clear" w:color="auto" w:fill="auto"/>
            <w:noWrap/>
          </w:tcPr>
          <w:p w14:paraId="3F7CF9F4" w14:textId="77777777" w:rsidR="00722C88" w:rsidRPr="00CD218D" w:rsidRDefault="00722C88" w:rsidP="00722C88">
            <w:pPr>
              <w:pStyle w:val="Tabletext"/>
            </w:pPr>
            <w:r w:rsidRPr="00CD218D">
              <w:t>10.1.1</w:t>
            </w:r>
          </w:p>
        </w:tc>
      </w:tr>
      <w:tr w:rsidR="00722C88" w:rsidRPr="00CD218D" w14:paraId="29D4C53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5CBE2F8" w14:textId="23D18F16" w:rsidR="00722C88" w:rsidRPr="00CD218D" w:rsidRDefault="00722C88" w:rsidP="00722C88">
            <w:pPr>
              <w:pStyle w:val="Tabletext"/>
            </w:pPr>
            <w:r w:rsidRPr="00EB655C">
              <w:t>7-75(3)</w:t>
            </w:r>
          </w:p>
        </w:tc>
        <w:tc>
          <w:tcPr>
            <w:tcW w:w="3743" w:type="dxa"/>
            <w:tcBorders>
              <w:top w:val="nil"/>
              <w:left w:val="nil"/>
              <w:bottom w:val="single" w:sz="4" w:space="0" w:color="auto"/>
              <w:right w:val="single" w:sz="4" w:space="0" w:color="auto"/>
            </w:tcBorders>
            <w:shd w:val="clear" w:color="auto" w:fill="auto"/>
            <w:noWrap/>
            <w:vAlign w:val="bottom"/>
          </w:tcPr>
          <w:p w14:paraId="69CF111E" w14:textId="5FD902EC" w:rsidR="00722C88" w:rsidRPr="00CD218D" w:rsidRDefault="00722C88" w:rsidP="00722C88">
            <w:pPr>
              <w:pStyle w:val="Tabletext"/>
            </w:pPr>
            <w:r w:rsidRPr="00EB655C">
              <w:t>Disposition Recapture Ratio</w:t>
            </w:r>
          </w:p>
        </w:tc>
        <w:tc>
          <w:tcPr>
            <w:tcW w:w="1746" w:type="dxa"/>
            <w:tcBorders>
              <w:top w:val="nil"/>
              <w:left w:val="nil"/>
              <w:bottom w:val="single" w:sz="4" w:space="0" w:color="auto"/>
              <w:right w:val="single" w:sz="4" w:space="0" w:color="auto"/>
            </w:tcBorders>
            <w:shd w:val="clear" w:color="auto" w:fill="auto"/>
            <w:noWrap/>
          </w:tcPr>
          <w:p w14:paraId="47D0A19C" w14:textId="77777777" w:rsidR="00722C88" w:rsidRPr="00CD218D" w:rsidRDefault="00722C88" w:rsidP="00722C88">
            <w:pPr>
              <w:pStyle w:val="Tabletext"/>
            </w:pPr>
            <w:r w:rsidRPr="00CD218D">
              <w:t>10.1.1</w:t>
            </w:r>
          </w:p>
        </w:tc>
      </w:tr>
      <w:tr w:rsidR="00722C88" w:rsidRPr="00CD218D" w14:paraId="13ADCA2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29EF698" w14:textId="396AF398" w:rsidR="00722C88" w:rsidRPr="00CD218D" w:rsidRDefault="00722C88" w:rsidP="00722C88">
            <w:pPr>
              <w:pStyle w:val="Tabletext"/>
            </w:pPr>
            <w:r w:rsidRPr="00EB655C">
              <w:t>10-5</w:t>
            </w:r>
          </w:p>
        </w:tc>
        <w:tc>
          <w:tcPr>
            <w:tcW w:w="3743" w:type="dxa"/>
            <w:tcBorders>
              <w:top w:val="nil"/>
              <w:left w:val="nil"/>
              <w:bottom w:val="single" w:sz="4" w:space="0" w:color="auto"/>
              <w:right w:val="single" w:sz="4" w:space="0" w:color="auto"/>
            </w:tcBorders>
            <w:shd w:val="clear" w:color="auto" w:fill="auto"/>
            <w:noWrap/>
            <w:vAlign w:val="bottom"/>
          </w:tcPr>
          <w:p w14:paraId="07670BB9" w14:textId="2351F70C" w:rsidR="00722C88" w:rsidRPr="00CD218D" w:rsidRDefault="00722C88" w:rsidP="00722C88">
            <w:pPr>
              <w:pStyle w:val="Tabletext"/>
            </w:pPr>
            <w:r w:rsidRPr="00EB655C">
              <w:t>Disqualified Refundable Imputation Tax</w:t>
            </w:r>
          </w:p>
        </w:tc>
        <w:tc>
          <w:tcPr>
            <w:tcW w:w="1746" w:type="dxa"/>
            <w:tcBorders>
              <w:top w:val="nil"/>
              <w:left w:val="nil"/>
              <w:bottom w:val="single" w:sz="4" w:space="0" w:color="auto"/>
              <w:right w:val="single" w:sz="4" w:space="0" w:color="auto"/>
            </w:tcBorders>
            <w:shd w:val="clear" w:color="auto" w:fill="auto"/>
            <w:noWrap/>
          </w:tcPr>
          <w:p w14:paraId="17397E45" w14:textId="77777777" w:rsidR="00722C88" w:rsidRPr="00CD218D" w:rsidRDefault="00722C88" w:rsidP="00722C88">
            <w:pPr>
              <w:pStyle w:val="Tabletext"/>
            </w:pPr>
            <w:r w:rsidRPr="00CD218D">
              <w:t>10.1.1</w:t>
            </w:r>
          </w:p>
        </w:tc>
      </w:tr>
      <w:tr w:rsidR="00722C88" w:rsidRPr="00CD218D" w14:paraId="4B9BFAD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0D31E12A" w14:textId="570FD553" w:rsidR="00722C88" w:rsidRPr="00CD218D" w:rsidRDefault="00722C88" w:rsidP="00722C88">
            <w:pPr>
              <w:pStyle w:val="Tabletext"/>
            </w:pPr>
            <w:r w:rsidRPr="00EB655C">
              <w:t>10-</w:t>
            </w:r>
            <w:r>
              <w:t>6</w:t>
            </w:r>
            <w:r w:rsidRPr="00EB655C">
              <w:t>0</w:t>
            </w:r>
          </w:p>
        </w:tc>
        <w:tc>
          <w:tcPr>
            <w:tcW w:w="3743" w:type="dxa"/>
            <w:tcBorders>
              <w:top w:val="nil"/>
              <w:left w:val="nil"/>
              <w:bottom w:val="single" w:sz="4" w:space="0" w:color="auto"/>
              <w:right w:val="single" w:sz="4" w:space="0" w:color="auto"/>
            </w:tcBorders>
            <w:shd w:val="clear" w:color="auto" w:fill="auto"/>
            <w:noWrap/>
            <w:vAlign w:val="bottom"/>
          </w:tcPr>
          <w:p w14:paraId="4D97C04E" w14:textId="1A7F481A" w:rsidR="00722C88" w:rsidRPr="00CD218D" w:rsidRDefault="00722C88" w:rsidP="00722C88">
            <w:pPr>
              <w:pStyle w:val="Tabletext"/>
            </w:pPr>
            <w:r w:rsidRPr="00EB655C">
              <w:t xml:space="preserve">Dual located entity </w:t>
            </w:r>
          </w:p>
        </w:tc>
        <w:tc>
          <w:tcPr>
            <w:tcW w:w="1746" w:type="dxa"/>
            <w:tcBorders>
              <w:top w:val="nil"/>
              <w:left w:val="nil"/>
              <w:bottom w:val="single" w:sz="4" w:space="0" w:color="auto"/>
              <w:right w:val="single" w:sz="4" w:space="0" w:color="auto"/>
            </w:tcBorders>
            <w:shd w:val="clear" w:color="auto" w:fill="auto"/>
            <w:noWrap/>
          </w:tcPr>
          <w:p w14:paraId="51B94514" w14:textId="77777777" w:rsidR="00722C88" w:rsidRPr="00CD218D" w:rsidRDefault="00722C88" w:rsidP="00722C88">
            <w:pPr>
              <w:pStyle w:val="Tabletext"/>
            </w:pPr>
            <w:r w:rsidRPr="00CD218D">
              <w:t>10.1.1</w:t>
            </w:r>
          </w:p>
        </w:tc>
      </w:tr>
      <w:tr w:rsidR="00722C88" w:rsidRPr="00CD218D" w14:paraId="34CAE70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9F1E2A4" w14:textId="1577B975" w:rsidR="00722C88" w:rsidRPr="00CD218D" w:rsidRDefault="00722C88" w:rsidP="00722C88">
            <w:pPr>
              <w:pStyle w:val="Tabletext"/>
            </w:pPr>
            <w:r w:rsidRPr="00EB655C">
              <w:t>10-</w:t>
            </w:r>
            <w:r>
              <w:t>65</w:t>
            </w:r>
          </w:p>
        </w:tc>
        <w:tc>
          <w:tcPr>
            <w:tcW w:w="3743" w:type="dxa"/>
            <w:tcBorders>
              <w:top w:val="nil"/>
              <w:left w:val="nil"/>
              <w:bottom w:val="single" w:sz="4" w:space="0" w:color="auto"/>
              <w:right w:val="single" w:sz="4" w:space="0" w:color="auto"/>
            </w:tcBorders>
            <w:shd w:val="clear" w:color="auto" w:fill="auto"/>
            <w:noWrap/>
            <w:vAlign w:val="bottom"/>
          </w:tcPr>
          <w:p w14:paraId="0F9088B2" w14:textId="1FFDBE87" w:rsidR="00722C88" w:rsidRPr="00CD218D" w:rsidRDefault="00722C88" w:rsidP="00722C88">
            <w:pPr>
              <w:pStyle w:val="Tabletext"/>
            </w:pPr>
            <w:r w:rsidRPr="00EB655C">
              <w:t xml:space="preserve">Dual located parent entity </w:t>
            </w:r>
          </w:p>
        </w:tc>
        <w:tc>
          <w:tcPr>
            <w:tcW w:w="1746" w:type="dxa"/>
            <w:tcBorders>
              <w:top w:val="nil"/>
              <w:left w:val="nil"/>
              <w:bottom w:val="single" w:sz="4" w:space="0" w:color="auto"/>
              <w:right w:val="single" w:sz="4" w:space="0" w:color="auto"/>
            </w:tcBorders>
            <w:shd w:val="clear" w:color="auto" w:fill="auto"/>
            <w:noWrap/>
          </w:tcPr>
          <w:p w14:paraId="36D8C358" w14:textId="77777777" w:rsidR="00722C88" w:rsidRPr="00CD218D" w:rsidRDefault="00722C88" w:rsidP="00722C88">
            <w:pPr>
              <w:pStyle w:val="Tabletext"/>
            </w:pPr>
            <w:r w:rsidRPr="00CD218D">
              <w:t>10.1.1</w:t>
            </w:r>
          </w:p>
        </w:tc>
      </w:tr>
      <w:tr w:rsidR="00722C88" w:rsidRPr="00CD218D" w14:paraId="69EEF45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70DCC23" w14:textId="2D126AFD" w:rsidR="00722C88" w:rsidRPr="00CD218D" w:rsidRDefault="00722C88" w:rsidP="00722C88">
            <w:pPr>
              <w:pStyle w:val="Tabletext"/>
            </w:pPr>
            <w:r w:rsidRPr="00EB655C">
              <w:t>6-</w:t>
            </w:r>
            <w:r>
              <w:t>85</w:t>
            </w:r>
            <w:r w:rsidRPr="00EB655C">
              <w:t>(4)</w:t>
            </w:r>
          </w:p>
        </w:tc>
        <w:tc>
          <w:tcPr>
            <w:tcW w:w="3743" w:type="dxa"/>
            <w:tcBorders>
              <w:top w:val="nil"/>
              <w:left w:val="nil"/>
              <w:bottom w:val="single" w:sz="4" w:space="0" w:color="auto"/>
              <w:right w:val="single" w:sz="4" w:space="0" w:color="auto"/>
            </w:tcBorders>
            <w:shd w:val="clear" w:color="auto" w:fill="auto"/>
            <w:noWrap/>
            <w:vAlign w:val="bottom"/>
          </w:tcPr>
          <w:p w14:paraId="175D3754" w14:textId="6482F38B" w:rsidR="00722C88" w:rsidRPr="00CD218D" w:rsidRDefault="00722C88" w:rsidP="00722C88">
            <w:pPr>
              <w:pStyle w:val="Tabletext"/>
            </w:pPr>
            <w:r w:rsidRPr="00EB655C">
              <w:t>Dual-listed Arrangement</w:t>
            </w:r>
          </w:p>
        </w:tc>
        <w:tc>
          <w:tcPr>
            <w:tcW w:w="1746" w:type="dxa"/>
            <w:tcBorders>
              <w:top w:val="nil"/>
              <w:left w:val="nil"/>
              <w:bottom w:val="single" w:sz="4" w:space="0" w:color="auto"/>
              <w:right w:val="single" w:sz="4" w:space="0" w:color="auto"/>
            </w:tcBorders>
            <w:shd w:val="clear" w:color="auto" w:fill="auto"/>
            <w:noWrap/>
          </w:tcPr>
          <w:p w14:paraId="6E205878" w14:textId="77777777" w:rsidR="00722C88" w:rsidRPr="00CD218D" w:rsidRDefault="00722C88" w:rsidP="00722C88">
            <w:pPr>
              <w:pStyle w:val="Tabletext"/>
            </w:pPr>
            <w:r w:rsidRPr="00CD218D">
              <w:t>10.1.1</w:t>
            </w:r>
          </w:p>
        </w:tc>
      </w:tr>
      <w:tr w:rsidR="00722C88" w:rsidRPr="00CD218D" w14:paraId="74FEF03B"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0F1FCA07" w14:textId="369F2934" w:rsidR="00722C88" w:rsidRPr="00CD218D" w:rsidRDefault="00722C88" w:rsidP="00722C88">
            <w:pPr>
              <w:pStyle w:val="Tabletext"/>
            </w:pPr>
            <w:r>
              <w:t>8-125</w:t>
            </w:r>
          </w:p>
        </w:tc>
        <w:tc>
          <w:tcPr>
            <w:tcW w:w="3743" w:type="dxa"/>
            <w:tcBorders>
              <w:top w:val="nil"/>
              <w:left w:val="nil"/>
              <w:bottom w:val="single" w:sz="4" w:space="0" w:color="auto"/>
              <w:right w:val="single" w:sz="4" w:space="0" w:color="auto"/>
            </w:tcBorders>
            <w:shd w:val="clear" w:color="auto" w:fill="auto"/>
            <w:noWrap/>
            <w:vAlign w:val="bottom"/>
          </w:tcPr>
          <w:p w14:paraId="51963905" w14:textId="0EC605AC" w:rsidR="00722C88" w:rsidRPr="00CD218D" w:rsidRDefault="00722C88" w:rsidP="00722C88">
            <w:pPr>
              <w:pStyle w:val="Tabletext"/>
            </w:pPr>
            <w:r>
              <w:t xml:space="preserve">Duplicate loss arrangement </w:t>
            </w:r>
          </w:p>
        </w:tc>
        <w:tc>
          <w:tcPr>
            <w:tcW w:w="1746" w:type="dxa"/>
            <w:tcBorders>
              <w:top w:val="nil"/>
              <w:left w:val="nil"/>
              <w:bottom w:val="single" w:sz="4" w:space="0" w:color="auto"/>
              <w:right w:val="single" w:sz="4" w:space="0" w:color="auto"/>
            </w:tcBorders>
            <w:shd w:val="clear" w:color="auto" w:fill="auto"/>
            <w:noWrap/>
          </w:tcPr>
          <w:p w14:paraId="0B1663CA" w14:textId="77777777" w:rsidR="00722C88" w:rsidRPr="00CD218D" w:rsidRDefault="00722C88" w:rsidP="00722C88">
            <w:pPr>
              <w:pStyle w:val="Tabletext"/>
            </w:pPr>
            <w:r w:rsidRPr="00CD218D">
              <w:t>10.1.1</w:t>
            </w:r>
          </w:p>
        </w:tc>
      </w:tr>
      <w:tr w:rsidR="00722C88" w:rsidRPr="00CD218D" w14:paraId="4FE523E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7352FBF2" w14:textId="12FC79B3" w:rsidR="00722C88" w:rsidRPr="00CD218D" w:rsidRDefault="00722C88" w:rsidP="00722C88">
            <w:pPr>
              <w:pStyle w:val="Tabletext"/>
            </w:pPr>
            <w:r>
              <w:t>8-130</w:t>
            </w:r>
          </w:p>
        </w:tc>
        <w:tc>
          <w:tcPr>
            <w:tcW w:w="3743" w:type="dxa"/>
            <w:tcBorders>
              <w:top w:val="nil"/>
              <w:left w:val="nil"/>
              <w:bottom w:val="single" w:sz="4" w:space="0" w:color="auto"/>
              <w:right w:val="single" w:sz="4" w:space="0" w:color="auto"/>
            </w:tcBorders>
            <w:shd w:val="clear" w:color="auto" w:fill="auto"/>
            <w:noWrap/>
            <w:vAlign w:val="bottom"/>
          </w:tcPr>
          <w:p w14:paraId="51985E23" w14:textId="5DD459B8" w:rsidR="00722C88" w:rsidRPr="00CD218D" w:rsidRDefault="00722C88" w:rsidP="00722C88">
            <w:pPr>
              <w:pStyle w:val="Tabletext"/>
            </w:pPr>
            <w:r>
              <w:t xml:space="preserve">Duplicate tax recognition arrangement </w:t>
            </w:r>
          </w:p>
        </w:tc>
        <w:tc>
          <w:tcPr>
            <w:tcW w:w="1746" w:type="dxa"/>
            <w:tcBorders>
              <w:top w:val="nil"/>
              <w:left w:val="nil"/>
              <w:bottom w:val="single" w:sz="4" w:space="0" w:color="auto"/>
              <w:right w:val="single" w:sz="4" w:space="0" w:color="auto"/>
            </w:tcBorders>
            <w:shd w:val="clear" w:color="auto" w:fill="auto"/>
            <w:noWrap/>
          </w:tcPr>
          <w:p w14:paraId="5D603BDB" w14:textId="77777777" w:rsidR="00722C88" w:rsidRPr="00CD218D" w:rsidRDefault="00722C88" w:rsidP="00722C88">
            <w:pPr>
              <w:pStyle w:val="Tabletext"/>
            </w:pPr>
            <w:r w:rsidRPr="00CD218D">
              <w:t>10.1.1</w:t>
            </w:r>
          </w:p>
        </w:tc>
      </w:tr>
      <w:tr w:rsidR="00722C88" w:rsidRPr="00CD218D" w14:paraId="6188BDD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49F9C4E" w14:textId="7AD57847" w:rsidR="00722C88" w:rsidRPr="00CD218D" w:rsidRDefault="00722C88" w:rsidP="00722C88">
            <w:pPr>
              <w:pStyle w:val="Tabletext"/>
            </w:pPr>
            <w:r w:rsidRPr="00EB655C">
              <w:t>5-5</w:t>
            </w:r>
          </w:p>
        </w:tc>
        <w:tc>
          <w:tcPr>
            <w:tcW w:w="3743" w:type="dxa"/>
            <w:tcBorders>
              <w:top w:val="nil"/>
              <w:left w:val="nil"/>
              <w:bottom w:val="single" w:sz="4" w:space="0" w:color="auto"/>
              <w:right w:val="single" w:sz="4" w:space="0" w:color="auto"/>
            </w:tcBorders>
            <w:shd w:val="clear" w:color="auto" w:fill="auto"/>
            <w:noWrap/>
            <w:vAlign w:val="bottom"/>
          </w:tcPr>
          <w:p w14:paraId="1A3C1D14" w14:textId="3682D790" w:rsidR="00722C88" w:rsidRPr="00CD218D" w:rsidRDefault="00722C88" w:rsidP="00722C88">
            <w:pPr>
              <w:pStyle w:val="Tabletext"/>
            </w:pPr>
            <w:r w:rsidRPr="00EB655C">
              <w:t>Effective Tax Rate</w:t>
            </w:r>
          </w:p>
        </w:tc>
        <w:tc>
          <w:tcPr>
            <w:tcW w:w="1746" w:type="dxa"/>
            <w:tcBorders>
              <w:top w:val="nil"/>
              <w:left w:val="nil"/>
              <w:bottom w:val="single" w:sz="4" w:space="0" w:color="auto"/>
              <w:right w:val="single" w:sz="4" w:space="0" w:color="auto"/>
            </w:tcBorders>
            <w:shd w:val="clear" w:color="auto" w:fill="auto"/>
            <w:noWrap/>
          </w:tcPr>
          <w:p w14:paraId="0F343959" w14:textId="77777777" w:rsidR="00722C88" w:rsidRPr="00CD218D" w:rsidRDefault="00722C88" w:rsidP="00722C88">
            <w:pPr>
              <w:pStyle w:val="Tabletext"/>
            </w:pPr>
            <w:r w:rsidRPr="00CD218D">
              <w:t>3.2 of the February 2023 AG</w:t>
            </w:r>
          </w:p>
        </w:tc>
      </w:tr>
      <w:tr w:rsidR="00722C88" w:rsidRPr="00CD218D" w14:paraId="18F26EE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5E77E8D" w14:textId="6A743B18" w:rsidR="00722C88" w:rsidRPr="00CD218D" w:rsidRDefault="00722C88" w:rsidP="00722C88">
            <w:pPr>
              <w:pStyle w:val="Tabletext"/>
            </w:pPr>
            <w:r w:rsidRPr="00EB655C">
              <w:t>7-45</w:t>
            </w:r>
          </w:p>
        </w:tc>
        <w:tc>
          <w:tcPr>
            <w:tcW w:w="3743" w:type="dxa"/>
            <w:tcBorders>
              <w:top w:val="nil"/>
              <w:left w:val="nil"/>
              <w:bottom w:val="single" w:sz="4" w:space="0" w:color="auto"/>
              <w:right w:val="single" w:sz="4" w:space="0" w:color="auto"/>
            </w:tcBorders>
            <w:shd w:val="clear" w:color="auto" w:fill="auto"/>
            <w:noWrap/>
            <w:vAlign w:val="bottom"/>
          </w:tcPr>
          <w:p w14:paraId="2CEECFD3" w14:textId="5494827B" w:rsidR="00722C88" w:rsidRPr="00CD218D" w:rsidRDefault="00722C88" w:rsidP="00722C88">
            <w:pPr>
              <w:pStyle w:val="Tabletext"/>
            </w:pPr>
            <w:r w:rsidRPr="00EB655C">
              <w:t>Eligible Distribution Tax System</w:t>
            </w:r>
          </w:p>
        </w:tc>
        <w:tc>
          <w:tcPr>
            <w:tcW w:w="1746" w:type="dxa"/>
            <w:tcBorders>
              <w:top w:val="nil"/>
              <w:left w:val="nil"/>
              <w:bottom w:val="single" w:sz="4" w:space="0" w:color="auto"/>
              <w:right w:val="single" w:sz="4" w:space="0" w:color="auto"/>
            </w:tcBorders>
            <w:shd w:val="clear" w:color="auto" w:fill="auto"/>
            <w:noWrap/>
          </w:tcPr>
          <w:p w14:paraId="60A79B01" w14:textId="77777777" w:rsidR="00722C88" w:rsidRPr="00CD218D" w:rsidRDefault="00722C88" w:rsidP="00722C88">
            <w:pPr>
              <w:pStyle w:val="Tabletext"/>
            </w:pPr>
            <w:r w:rsidRPr="00CD218D">
              <w:t>10.1.1</w:t>
            </w:r>
          </w:p>
        </w:tc>
      </w:tr>
      <w:tr w:rsidR="00722C88" w:rsidRPr="00CD218D" w14:paraId="5048C13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79538DC" w14:textId="080BF8F0" w:rsidR="00722C88" w:rsidRPr="00CD218D" w:rsidRDefault="00722C88" w:rsidP="00722C88">
            <w:pPr>
              <w:pStyle w:val="Tabletext"/>
            </w:pPr>
            <w:r w:rsidRPr="00EB655C">
              <w:t>5-60(2)</w:t>
            </w:r>
          </w:p>
        </w:tc>
        <w:tc>
          <w:tcPr>
            <w:tcW w:w="3743" w:type="dxa"/>
            <w:tcBorders>
              <w:top w:val="nil"/>
              <w:left w:val="nil"/>
              <w:bottom w:val="single" w:sz="4" w:space="0" w:color="auto"/>
              <w:right w:val="single" w:sz="4" w:space="0" w:color="auto"/>
            </w:tcBorders>
            <w:shd w:val="clear" w:color="auto" w:fill="auto"/>
            <w:vAlign w:val="bottom"/>
          </w:tcPr>
          <w:p w14:paraId="22B31874" w14:textId="605E9A59" w:rsidR="00722C88" w:rsidRPr="00CD218D" w:rsidRDefault="00722C88" w:rsidP="00722C88">
            <w:pPr>
              <w:pStyle w:val="Tabletext"/>
            </w:pPr>
            <w:r w:rsidRPr="00EB655C">
              <w:t>Eligible Employees</w:t>
            </w:r>
          </w:p>
        </w:tc>
        <w:tc>
          <w:tcPr>
            <w:tcW w:w="1746" w:type="dxa"/>
            <w:tcBorders>
              <w:top w:val="nil"/>
              <w:left w:val="nil"/>
              <w:bottom w:val="single" w:sz="4" w:space="0" w:color="auto"/>
              <w:right w:val="single" w:sz="4" w:space="0" w:color="auto"/>
            </w:tcBorders>
            <w:shd w:val="clear" w:color="auto" w:fill="auto"/>
            <w:noWrap/>
            <w:hideMark/>
          </w:tcPr>
          <w:p w14:paraId="4BBDED63" w14:textId="77777777" w:rsidR="00722C88" w:rsidRPr="00CD218D" w:rsidRDefault="00722C88" w:rsidP="00722C88">
            <w:pPr>
              <w:pStyle w:val="Tabletext"/>
            </w:pPr>
            <w:r w:rsidRPr="00CD218D">
              <w:t>10.2.2</w:t>
            </w:r>
          </w:p>
        </w:tc>
      </w:tr>
      <w:tr w:rsidR="00722C88" w:rsidRPr="00CD218D" w14:paraId="27D628B0" w14:textId="77777777">
        <w:trPr>
          <w:trHeight w:val="6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22A0593" w14:textId="4E59D445" w:rsidR="00722C88" w:rsidRPr="00CD218D" w:rsidRDefault="00722C88" w:rsidP="00722C88">
            <w:pPr>
              <w:pStyle w:val="Tabletext"/>
              <w:rPr>
                <w:b/>
                <w:bCs/>
              </w:rPr>
            </w:pPr>
            <w:r w:rsidRPr="00EB655C">
              <w:t>5-60(1)</w:t>
            </w:r>
          </w:p>
        </w:tc>
        <w:tc>
          <w:tcPr>
            <w:tcW w:w="3743" w:type="dxa"/>
            <w:tcBorders>
              <w:top w:val="nil"/>
              <w:left w:val="nil"/>
              <w:bottom w:val="single" w:sz="4" w:space="0" w:color="auto"/>
              <w:right w:val="single" w:sz="4" w:space="0" w:color="auto"/>
            </w:tcBorders>
            <w:shd w:val="clear" w:color="auto" w:fill="auto"/>
            <w:vAlign w:val="bottom"/>
          </w:tcPr>
          <w:p w14:paraId="712485A8" w14:textId="2854373A" w:rsidR="00722C88" w:rsidRPr="00CD218D" w:rsidRDefault="00722C88" w:rsidP="00722C88">
            <w:pPr>
              <w:pStyle w:val="Tabletext"/>
            </w:pPr>
            <w:r w:rsidRPr="00EB655C">
              <w:t>Eligible Payroll Costs</w:t>
            </w:r>
          </w:p>
        </w:tc>
        <w:tc>
          <w:tcPr>
            <w:tcW w:w="1746" w:type="dxa"/>
            <w:tcBorders>
              <w:top w:val="nil"/>
              <w:left w:val="nil"/>
              <w:bottom w:val="single" w:sz="4" w:space="0" w:color="auto"/>
              <w:right w:val="single" w:sz="4" w:space="0" w:color="auto"/>
            </w:tcBorders>
            <w:shd w:val="clear" w:color="auto" w:fill="auto"/>
            <w:noWrap/>
            <w:hideMark/>
          </w:tcPr>
          <w:p w14:paraId="21287325" w14:textId="77777777" w:rsidR="00722C88" w:rsidRPr="00CD218D" w:rsidRDefault="00722C88" w:rsidP="00722C88">
            <w:pPr>
              <w:pStyle w:val="Tabletext"/>
            </w:pPr>
            <w:r w:rsidRPr="00CD218D">
              <w:t>10.2.1</w:t>
            </w:r>
          </w:p>
        </w:tc>
      </w:tr>
      <w:tr w:rsidR="00722C88" w:rsidRPr="00CD218D" w14:paraId="00D70BC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DE39E09" w14:textId="67314709" w:rsidR="00722C88" w:rsidRPr="00CD218D" w:rsidRDefault="00722C88" w:rsidP="00722C88">
            <w:pPr>
              <w:pStyle w:val="Tabletext"/>
            </w:pPr>
            <w:r w:rsidRPr="00EB655C">
              <w:t>5-75</w:t>
            </w:r>
          </w:p>
        </w:tc>
        <w:tc>
          <w:tcPr>
            <w:tcW w:w="3743" w:type="dxa"/>
            <w:tcBorders>
              <w:top w:val="nil"/>
              <w:left w:val="nil"/>
              <w:bottom w:val="single" w:sz="4" w:space="0" w:color="auto"/>
              <w:right w:val="single" w:sz="4" w:space="0" w:color="auto"/>
            </w:tcBorders>
            <w:shd w:val="clear" w:color="auto" w:fill="auto"/>
            <w:noWrap/>
            <w:vAlign w:val="bottom"/>
          </w:tcPr>
          <w:p w14:paraId="00329EA8" w14:textId="41D77F51" w:rsidR="00722C88" w:rsidRPr="00CD218D" w:rsidRDefault="00722C88" w:rsidP="00722C88">
            <w:pPr>
              <w:pStyle w:val="Tabletext"/>
            </w:pPr>
            <w:r w:rsidRPr="00EB655C">
              <w:t>Eligible Tangible Assets</w:t>
            </w:r>
          </w:p>
        </w:tc>
        <w:tc>
          <w:tcPr>
            <w:tcW w:w="1746" w:type="dxa"/>
            <w:tcBorders>
              <w:top w:val="nil"/>
              <w:left w:val="nil"/>
              <w:bottom w:val="single" w:sz="4" w:space="0" w:color="auto"/>
              <w:right w:val="single" w:sz="4" w:space="0" w:color="auto"/>
            </w:tcBorders>
            <w:shd w:val="clear" w:color="auto" w:fill="auto"/>
            <w:noWrap/>
          </w:tcPr>
          <w:p w14:paraId="30FD4F46" w14:textId="77777777" w:rsidR="00722C88" w:rsidRPr="00CD218D" w:rsidRDefault="00722C88" w:rsidP="00722C88">
            <w:pPr>
              <w:pStyle w:val="Tabletext"/>
            </w:pPr>
            <w:r w:rsidRPr="00CD218D">
              <w:t>10.1.1</w:t>
            </w:r>
          </w:p>
        </w:tc>
      </w:tr>
      <w:tr w:rsidR="00722C88" w:rsidRPr="00CD218D" w14:paraId="37AA3A8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4EB5689" w14:textId="687F1AA7" w:rsidR="00722C88" w:rsidRPr="00CD218D" w:rsidRDefault="00722C88" w:rsidP="00722C88">
            <w:pPr>
              <w:pStyle w:val="Tabletext"/>
            </w:pPr>
            <w:r w:rsidRPr="00EB655C">
              <w:t>5</w:t>
            </w:r>
            <w:r>
              <w:noBreakHyphen/>
              <w:t>95(6)</w:t>
            </w:r>
          </w:p>
        </w:tc>
        <w:tc>
          <w:tcPr>
            <w:tcW w:w="3743" w:type="dxa"/>
            <w:tcBorders>
              <w:top w:val="nil"/>
              <w:left w:val="nil"/>
              <w:bottom w:val="single" w:sz="4" w:space="0" w:color="auto"/>
              <w:right w:val="single" w:sz="4" w:space="0" w:color="auto"/>
            </w:tcBorders>
            <w:shd w:val="clear" w:color="auto" w:fill="auto"/>
            <w:noWrap/>
            <w:vAlign w:val="bottom"/>
          </w:tcPr>
          <w:p w14:paraId="6363BB08" w14:textId="033C18B3" w:rsidR="00722C88" w:rsidRPr="00CD218D" w:rsidRDefault="00722C88" w:rsidP="00722C88">
            <w:pPr>
              <w:pStyle w:val="Tabletext"/>
            </w:pPr>
            <w:r w:rsidRPr="00EB655C">
              <w:t>ETR Adjustment Article</w:t>
            </w:r>
          </w:p>
        </w:tc>
        <w:tc>
          <w:tcPr>
            <w:tcW w:w="1746" w:type="dxa"/>
            <w:tcBorders>
              <w:top w:val="nil"/>
              <w:left w:val="nil"/>
              <w:bottom w:val="single" w:sz="4" w:space="0" w:color="auto"/>
              <w:right w:val="single" w:sz="4" w:space="0" w:color="auto"/>
            </w:tcBorders>
            <w:shd w:val="clear" w:color="auto" w:fill="auto"/>
            <w:noWrap/>
          </w:tcPr>
          <w:p w14:paraId="040B117A" w14:textId="77777777" w:rsidR="00722C88" w:rsidRPr="00CD218D" w:rsidRDefault="00722C88" w:rsidP="00722C88">
            <w:pPr>
              <w:pStyle w:val="Tabletext"/>
            </w:pPr>
            <w:r w:rsidRPr="00CD218D">
              <w:t>10.1.1</w:t>
            </w:r>
          </w:p>
        </w:tc>
      </w:tr>
      <w:tr w:rsidR="00722C88" w:rsidRPr="00CD218D" w14:paraId="4B1113B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8952D22" w14:textId="6F2E7891" w:rsidR="00722C88" w:rsidRPr="00CD218D" w:rsidRDefault="00722C88" w:rsidP="00722C88">
            <w:pPr>
              <w:pStyle w:val="Tabletext"/>
            </w:pPr>
            <w:r>
              <w:t>4-30(5)(a)(i) and 5</w:t>
            </w:r>
            <w:r>
              <w:noBreakHyphen/>
              <w:t>-10(3)(a)(i)</w:t>
            </w:r>
          </w:p>
        </w:tc>
        <w:tc>
          <w:tcPr>
            <w:tcW w:w="3743" w:type="dxa"/>
            <w:tcBorders>
              <w:top w:val="nil"/>
              <w:left w:val="nil"/>
              <w:bottom w:val="single" w:sz="4" w:space="0" w:color="auto"/>
              <w:right w:val="single" w:sz="4" w:space="0" w:color="auto"/>
            </w:tcBorders>
            <w:shd w:val="clear" w:color="auto" w:fill="auto"/>
            <w:noWrap/>
            <w:vAlign w:val="bottom"/>
          </w:tcPr>
          <w:p w14:paraId="2DF13922" w14:textId="338C4F70" w:rsidR="00722C88" w:rsidRPr="00CD218D" w:rsidRDefault="00722C88" w:rsidP="00722C88">
            <w:pPr>
              <w:pStyle w:val="Tabletext"/>
            </w:pPr>
            <w:r>
              <w:t>Excess Negative Tax Expense Carry-forward</w:t>
            </w:r>
          </w:p>
        </w:tc>
        <w:tc>
          <w:tcPr>
            <w:tcW w:w="1746" w:type="dxa"/>
            <w:tcBorders>
              <w:top w:val="nil"/>
              <w:left w:val="nil"/>
              <w:bottom w:val="single" w:sz="4" w:space="0" w:color="auto"/>
              <w:right w:val="single" w:sz="4" w:space="0" w:color="auto"/>
            </w:tcBorders>
            <w:shd w:val="clear" w:color="auto" w:fill="auto"/>
            <w:noWrap/>
          </w:tcPr>
          <w:p w14:paraId="1A29A7A5" w14:textId="77777777" w:rsidR="00722C88" w:rsidRPr="00CD218D" w:rsidRDefault="00722C88" w:rsidP="00722C88">
            <w:pPr>
              <w:pStyle w:val="Tabletext"/>
            </w:pPr>
            <w:r w:rsidRPr="00CD218D">
              <w:t>10.1.1</w:t>
            </w:r>
          </w:p>
        </w:tc>
      </w:tr>
      <w:tr w:rsidR="00722C88" w:rsidRPr="00CD218D" w14:paraId="73674AC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92D7AB0" w14:textId="64D45533" w:rsidR="00722C88" w:rsidRPr="00CD218D" w:rsidRDefault="00722C88" w:rsidP="00722C88">
            <w:pPr>
              <w:pStyle w:val="Tabletext"/>
            </w:pPr>
            <w:r w:rsidRPr="00EB655C">
              <w:t>5-25</w:t>
            </w:r>
          </w:p>
        </w:tc>
        <w:tc>
          <w:tcPr>
            <w:tcW w:w="3743" w:type="dxa"/>
            <w:tcBorders>
              <w:top w:val="nil"/>
              <w:left w:val="nil"/>
              <w:bottom w:val="single" w:sz="4" w:space="0" w:color="auto"/>
              <w:right w:val="single" w:sz="4" w:space="0" w:color="auto"/>
            </w:tcBorders>
            <w:shd w:val="clear" w:color="auto" w:fill="auto"/>
            <w:noWrap/>
            <w:vAlign w:val="bottom"/>
          </w:tcPr>
          <w:p w14:paraId="10C8A8C7" w14:textId="28D04F50" w:rsidR="00722C88" w:rsidRPr="00CD218D" w:rsidRDefault="00722C88" w:rsidP="00722C88">
            <w:pPr>
              <w:pStyle w:val="Tabletext"/>
            </w:pPr>
            <w:r w:rsidRPr="00EB655C">
              <w:t>Excess Profit</w:t>
            </w:r>
          </w:p>
        </w:tc>
        <w:tc>
          <w:tcPr>
            <w:tcW w:w="1746" w:type="dxa"/>
            <w:tcBorders>
              <w:top w:val="nil"/>
              <w:left w:val="nil"/>
              <w:bottom w:val="single" w:sz="4" w:space="0" w:color="auto"/>
              <w:right w:val="single" w:sz="4" w:space="0" w:color="auto"/>
            </w:tcBorders>
            <w:shd w:val="clear" w:color="auto" w:fill="auto"/>
            <w:noWrap/>
          </w:tcPr>
          <w:p w14:paraId="7CFF90EA" w14:textId="77777777" w:rsidR="00722C88" w:rsidRPr="00CD218D" w:rsidRDefault="00722C88" w:rsidP="00722C88">
            <w:pPr>
              <w:pStyle w:val="Tabletext"/>
            </w:pPr>
            <w:r w:rsidRPr="00CD218D">
              <w:t>10.1.1</w:t>
            </w:r>
          </w:p>
        </w:tc>
      </w:tr>
      <w:tr w:rsidR="00722C88" w:rsidRPr="00CD218D" w14:paraId="7202445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CADACF5" w14:textId="40D56F8D" w:rsidR="00722C88" w:rsidRPr="00CD218D" w:rsidRDefault="00722C88" w:rsidP="00722C88">
            <w:pPr>
              <w:pStyle w:val="Tabletext"/>
            </w:pPr>
            <w:r w:rsidRPr="00EB655C">
              <w:t>3-</w:t>
            </w:r>
            <w:r>
              <w:t>25</w:t>
            </w:r>
            <w:r w:rsidRPr="00EB655C">
              <w:t>(1)</w:t>
            </w:r>
          </w:p>
        </w:tc>
        <w:tc>
          <w:tcPr>
            <w:tcW w:w="3743" w:type="dxa"/>
            <w:tcBorders>
              <w:top w:val="nil"/>
              <w:left w:val="nil"/>
              <w:bottom w:val="single" w:sz="4" w:space="0" w:color="auto"/>
              <w:right w:val="single" w:sz="4" w:space="0" w:color="auto"/>
            </w:tcBorders>
            <w:shd w:val="clear" w:color="auto" w:fill="auto"/>
            <w:noWrap/>
            <w:vAlign w:val="bottom"/>
          </w:tcPr>
          <w:p w14:paraId="0DD1110B" w14:textId="5A7F6F73" w:rsidR="00722C88" w:rsidRPr="00CD218D" w:rsidRDefault="00722C88" w:rsidP="00722C88">
            <w:pPr>
              <w:pStyle w:val="Tabletext"/>
            </w:pPr>
            <w:r w:rsidRPr="00EB655C">
              <w:t>Excluded Dividends</w:t>
            </w:r>
          </w:p>
        </w:tc>
        <w:tc>
          <w:tcPr>
            <w:tcW w:w="1746" w:type="dxa"/>
            <w:tcBorders>
              <w:top w:val="nil"/>
              <w:left w:val="nil"/>
              <w:bottom w:val="single" w:sz="4" w:space="0" w:color="auto"/>
              <w:right w:val="single" w:sz="4" w:space="0" w:color="auto"/>
            </w:tcBorders>
            <w:shd w:val="clear" w:color="auto" w:fill="auto"/>
            <w:noWrap/>
          </w:tcPr>
          <w:p w14:paraId="288784E6" w14:textId="77777777" w:rsidR="00722C88" w:rsidRPr="00CD218D" w:rsidRDefault="00722C88" w:rsidP="00722C88">
            <w:pPr>
              <w:pStyle w:val="Tabletext"/>
            </w:pPr>
            <w:r w:rsidRPr="00CD218D">
              <w:t>10.1.1</w:t>
            </w:r>
          </w:p>
        </w:tc>
      </w:tr>
      <w:tr w:rsidR="00722C88" w:rsidRPr="00CD218D" w14:paraId="186ED1F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C04C72C" w14:textId="57254EE3" w:rsidR="00722C88" w:rsidRPr="00CD218D" w:rsidRDefault="00722C88" w:rsidP="00722C88">
            <w:pPr>
              <w:pStyle w:val="Tabletext"/>
            </w:pPr>
            <w:r w:rsidRPr="00EB655C">
              <w:t>3-</w:t>
            </w:r>
            <w:r>
              <w:t>35</w:t>
            </w:r>
          </w:p>
        </w:tc>
        <w:tc>
          <w:tcPr>
            <w:tcW w:w="3743" w:type="dxa"/>
            <w:tcBorders>
              <w:top w:val="nil"/>
              <w:left w:val="nil"/>
              <w:bottom w:val="single" w:sz="4" w:space="0" w:color="auto"/>
              <w:right w:val="single" w:sz="4" w:space="0" w:color="auto"/>
            </w:tcBorders>
            <w:shd w:val="clear" w:color="auto" w:fill="auto"/>
            <w:noWrap/>
            <w:vAlign w:val="bottom"/>
          </w:tcPr>
          <w:p w14:paraId="3E59CFB5" w14:textId="65E3823D" w:rsidR="00722C88" w:rsidRPr="00CD218D" w:rsidRDefault="00722C88" w:rsidP="00722C88">
            <w:pPr>
              <w:pStyle w:val="Tabletext"/>
            </w:pPr>
            <w:r w:rsidRPr="00EB655C">
              <w:t>Excluded Equity Gain or Loss</w:t>
            </w:r>
          </w:p>
        </w:tc>
        <w:tc>
          <w:tcPr>
            <w:tcW w:w="1746" w:type="dxa"/>
            <w:tcBorders>
              <w:top w:val="nil"/>
              <w:left w:val="nil"/>
              <w:bottom w:val="single" w:sz="4" w:space="0" w:color="auto"/>
              <w:right w:val="single" w:sz="4" w:space="0" w:color="auto"/>
            </w:tcBorders>
            <w:shd w:val="clear" w:color="auto" w:fill="auto"/>
            <w:noWrap/>
          </w:tcPr>
          <w:p w14:paraId="16821BBD" w14:textId="77777777" w:rsidR="00722C88" w:rsidRPr="00CD218D" w:rsidRDefault="00722C88" w:rsidP="00722C88">
            <w:pPr>
              <w:pStyle w:val="Tabletext"/>
            </w:pPr>
            <w:r w:rsidRPr="00CD218D">
              <w:t>10.1.1</w:t>
            </w:r>
          </w:p>
        </w:tc>
      </w:tr>
      <w:tr w:rsidR="00722C88" w:rsidRPr="00CD218D" w14:paraId="1210EFB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E7AB6D1" w14:textId="4D502C10" w:rsidR="00722C88" w:rsidRPr="00CD218D" w:rsidRDefault="00722C88" w:rsidP="00722C88">
            <w:pPr>
              <w:pStyle w:val="Tabletext"/>
            </w:pPr>
            <w:r w:rsidRPr="00EB655C">
              <w:t xml:space="preserve">10-5 </w:t>
            </w:r>
          </w:p>
        </w:tc>
        <w:tc>
          <w:tcPr>
            <w:tcW w:w="3743" w:type="dxa"/>
            <w:tcBorders>
              <w:top w:val="nil"/>
              <w:left w:val="nil"/>
              <w:bottom w:val="single" w:sz="4" w:space="0" w:color="auto"/>
              <w:right w:val="single" w:sz="4" w:space="0" w:color="auto"/>
            </w:tcBorders>
            <w:shd w:val="clear" w:color="auto" w:fill="auto"/>
            <w:noWrap/>
            <w:vAlign w:val="bottom"/>
          </w:tcPr>
          <w:p w14:paraId="74C45CF2" w14:textId="64085AD7" w:rsidR="00722C88" w:rsidRPr="00CD218D" w:rsidRDefault="00722C88" w:rsidP="00722C88">
            <w:pPr>
              <w:pStyle w:val="Tabletext"/>
            </w:pPr>
            <w:r w:rsidRPr="00EB655C">
              <w:t xml:space="preserve">Excluding </w:t>
            </w:r>
            <w:r>
              <w:t>I</w:t>
            </w:r>
            <w:r w:rsidRPr="00EB655C">
              <w:t xml:space="preserve">nvestment </w:t>
            </w:r>
            <w:r>
              <w:t>E</w:t>
            </w:r>
            <w:r w:rsidRPr="00EB655C">
              <w:t xml:space="preserve">ntities from definition of IPE and POPE </w:t>
            </w:r>
          </w:p>
        </w:tc>
        <w:tc>
          <w:tcPr>
            <w:tcW w:w="1746" w:type="dxa"/>
            <w:tcBorders>
              <w:top w:val="nil"/>
              <w:left w:val="nil"/>
              <w:bottom w:val="single" w:sz="4" w:space="0" w:color="auto"/>
              <w:right w:val="single" w:sz="4" w:space="0" w:color="auto"/>
            </w:tcBorders>
            <w:shd w:val="clear" w:color="auto" w:fill="auto"/>
            <w:noWrap/>
          </w:tcPr>
          <w:p w14:paraId="2C2E94D8" w14:textId="77777777" w:rsidR="00722C88" w:rsidRPr="00CD218D" w:rsidRDefault="00722C88" w:rsidP="00722C88">
            <w:pPr>
              <w:pStyle w:val="Tabletext"/>
            </w:pPr>
            <w:r w:rsidRPr="00CD218D">
              <w:t>10.1.1</w:t>
            </w:r>
          </w:p>
        </w:tc>
      </w:tr>
      <w:tr w:rsidR="00722C88" w:rsidRPr="00CD218D" w14:paraId="7588BE3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EC94A19" w14:textId="17B7343D" w:rsidR="00722C88" w:rsidRPr="00CD218D" w:rsidRDefault="00722C88" w:rsidP="00722C88">
            <w:pPr>
              <w:pStyle w:val="Tabletext"/>
            </w:pPr>
            <w:r w:rsidRPr="00EB655C">
              <w:t>3-10 and 3-2</w:t>
            </w:r>
            <w:r>
              <w:t>40</w:t>
            </w:r>
          </w:p>
        </w:tc>
        <w:tc>
          <w:tcPr>
            <w:tcW w:w="3743" w:type="dxa"/>
            <w:tcBorders>
              <w:top w:val="nil"/>
              <w:left w:val="nil"/>
              <w:bottom w:val="single" w:sz="4" w:space="0" w:color="auto"/>
              <w:right w:val="single" w:sz="4" w:space="0" w:color="auto"/>
            </w:tcBorders>
            <w:shd w:val="clear" w:color="auto" w:fill="auto"/>
            <w:noWrap/>
            <w:vAlign w:val="bottom"/>
          </w:tcPr>
          <w:p w14:paraId="7B2C7C44" w14:textId="2F91CD89" w:rsidR="00722C88" w:rsidRPr="00CD218D" w:rsidRDefault="00722C88" w:rsidP="00722C88">
            <w:pPr>
              <w:pStyle w:val="Tabletext"/>
            </w:pPr>
            <w:r>
              <w:t>FANIL</w:t>
            </w:r>
          </w:p>
        </w:tc>
        <w:tc>
          <w:tcPr>
            <w:tcW w:w="1746" w:type="dxa"/>
            <w:tcBorders>
              <w:top w:val="nil"/>
              <w:left w:val="nil"/>
              <w:bottom w:val="single" w:sz="4" w:space="0" w:color="auto"/>
              <w:right w:val="single" w:sz="4" w:space="0" w:color="auto"/>
            </w:tcBorders>
            <w:shd w:val="clear" w:color="auto" w:fill="auto"/>
            <w:noWrap/>
          </w:tcPr>
          <w:p w14:paraId="74A83F13" w14:textId="77777777" w:rsidR="00722C88" w:rsidRPr="00CD218D" w:rsidRDefault="00722C88" w:rsidP="00722C88">
            <w:pPr>
              <w:pStyle w:val="Tabletext"/>
            </w:pPr>
            <w:r w:rsidRPr="00CD218D">
              <w:t>10.1.1</w:t>
            </w:r>
          </w:p>
        </w:tc>
      </w:tr>
      <w:tr w:rsidR="00722C88" w:rsidRPr="00CD218D" w14:paraId="5CAF065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9F5A5F0" w14:textId="6A5BB424" w:rsidR="00722C88" w:rsidRPr="00CD218D" w:rsidRDefault="00722C88" w:rsidP="00722C88">
            <w:pPr>
              <w:pStyle w:val="Tabletext"/>
            </w:pPr>
            <w:r w:rsidRPr="00EB655C">
              <w:t>10-</w:t>
            </w:r>
            <w:r>
              <w:t>45</w:t>
            </w:r>
            <w:r w:rsidRPr="00EB655C">
              <w:t>(1)</w:t>
            </w:r>
          </w:p>
        </w:tc>
        <w:tc>
          <w:tcPr>
            <w:tcW w:w="3743" w:type="dxa"/>
            <w:tcBorders>
              <w:top w:val="nil"/>
              <w:left w:val="nil"/>
              <w:bottom w:val="single" w:sz="4" w:space="0" w:color="auto"/>
              <w:right w:val="single" w:sz="4" w:space="0" w:color="auto"/>
            </w:tcBorders>
            <w:shd w:val="clear" w:color="auto" w:fill="auto"/>
            <w:noWrap/>
            <w:vAlign w:val="bottom"/>
          </w:tcPr>
          <w:p w14:paraId="7FEBA1F4" w14:textId="0786DC09" w:rsidR="00722C88" w:rsidRPr="00CD218D" w:rsidRDefault="00722C88" w:rsidP="00722C88">
            <w:pPr>
              <w:pStyle w:val="Tabletext"/>
            </w:pPr>
            <w:r w:rsidRPr="00EB655C">
              <w:t xml:space="preserve">Fiscally transparent entity </w:t>
            </w:r>
          </w:p>
        </w:tc>
        <w:tc>
          <w:tcPr>
            <w:tcW w:w="1746" w:type="dxa"/>
            <w:tcBorders>
              <w:top w:val="nil"/>
              <w:left w:val="nil"/>
              <w:bottom w:val="single" w:sz="4" w:space="0" w:color="auto"/>
              <w:right w:val="single" w:sz="4" w:space="0" w:color="auto"/>
            </w:tcBorders>
            <w:shd w:val="clear" w:color="auto" w:fill="auto"/>
            <w:noWrap/>
          </w:tcPr>
          <w:p w14:paraId="0DB10F92" w14:textId="77777777" w:rsidR="00722C88" w:rsidRPr="00CD218D" w:rsidRDefault="00722C88" w:rsidP="00722C88">
            <w:pPr>
              <w:pStyle w:val="Tabletext"/>
            </w:pPr>
            <w:r w:rsidRPr="00CD218D">
              <w:t>10.1.1</w:t>
            </w:r>
          </w:p>
        </w:tc>
      </w:tr>
      <w:tr w:rsidR="00722C88" w:rsidRPr="00CD218D" w14:paraId="5FB2178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19226B2" w14:textId="5B1ABAD1" w:rsidR="00722C88" w:rsidRPr="00CD218D" w:rsidRDefault="00722C88" w:rsidP="00722C88">
            <w:pPr>
              <w:pStyle w:val="Tabletext"/>
            </w:pPr>
            <w:r w:rsidRPr="00EB655C">
              <w:t>10-</w:t>
            </w:r>
            <w:r>
              <w:t>30</w:t>
            </w:r>
          </w:p>
        </w:tc>
        <w:tc>
          <w:tcPr>
            <w:tcW w:w="3743" w:type="dxa"/>
            <w:tcBorders>
              <w:top w:val="nil"/>
              <w:left w:val="nil"/>
              <w:bottom w:val="single" w:sz="4" w:space="0" w:color="auto"/>
              <w:right w:val="single" w:sz="4" w:space="0" w:color="auto"/>
            </w:tcBorders>
            <w:shd w:val="clear" w:color="auto" w:fill="auto"/>
            <w:noWrap/>
            <w:vAlign w:val="bottom"/>
          </w:tcPr>
          <w:p w14:paraId="1EE34944" w14:textId="5BB401E3" w:rsidR="00722C88" w:rsidRPr="00CD218D" w:rsidRDefault="00722C88" w:rsidP="00722C88">
            <w:pPr>
              <w:pStyle w:val="Tabletext"/>
            </w:pPr>
            <w:r w:rsidRPr="00EB655C">
              <w:t>Flow</w:t>
            </w:r>
            <w:r>
              <w:noBreakHyphen/>
            </w:r>
            <w:r w:rsidRPr="00EB655C">
              <w:t xml:space="preserve">through </w:t>
            </w:r>
            <w:r>
              <w:t>E</w:t>
            </w:r>
            <w:r w:rsidRPr="00EB655C">
              <w:t xml:space="preserve">ntity </w:t>
            </w:r>
          </w:p>
        </w:tc>
        <w:tc>
          <w:tcPr>
            <w:tcW w:w="1746" w:type="dxa"/>
            <w:tcBorders>
              <w:top w:val="nil"/>
              <w:left w:val="nil"/>
              <w:bottom w:val="single" w:sz="4" w:space="0" w:color="auto"/>
              <w:right w:val="single" w:sz="4" w:space="0" w:color="auto"/>
            </w:tcBorders>
            <w:shd w:val="clear" w:color="auto" w:fill="auto"/>
            <w:noWrap/>
          </w:tcPr>
          <w:p w14:paraId="107E7DF0" w14:textId="77777777" w:rsidR="00722C88" w:rsidRPr="00CD218D" w:rsidRDefault="00722C88" w:rsidP="00722C88">
            <w:pPr>
              <w:pStyle w:val="Tabletext"/>
            </w:pPr>
            <w:r w:rsidRPr="00CD218D">
              <w:t>10.1.1</w:t>
            </w:r>
          </w:p>
        </w:tc>
      </w:tr>
      <w:tr w:rsidR="00722C88" w:rsidRPr="00CD218D" w14:paraId="798B81A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E3EABB4" w14:textId="2B7DD9CA" w:rsidR="00722C88" w:rsidRPr="00CD218D" w:rsidRDefault="00722C88" w:rsidP="00722C88">
            <w:pPr>
              <w:pStyle w:val="Tabletext"/>
            </w:pPr>
            <w:r>
              <w:t>10</w:t>
            </w:r>
            <w:r>
              <w:noBreakHyphen/>
              <w:t>10</w:t>
            </w:r>
          </w:p>
        </w:tc>
        <w:tc>
          <w:tcPr>
            <w:tcW w:w="3743" w:type="dxa"/>
            <w:tcBorders>
              <w:top w:val="nil"/>
              <w:left w:val="nil"/>
              <w:bottom w:val="single" w:sz="4" w:space="0" w:color="auto"/>
              <w:right w:val="single" w:sz="4" w:space="0" w:color="auto"/>
            </w:tcBorders>
            <w:shd w:val="clear" w:color="auto" w:fill="auto"/>
            <w:noWrap/>
            <w:vAlign w:val="bottom"/>
          </w:tcPr>
          <w:p w14:paraId="554E01AA" w14:textId="23B93948" w:rsidR="00722C88" w:rsidRPr="00CD218D" w:rsidRDefault="00722C88" w:rsidP="00722C88">
            <w:pPr>
              <w:pStyle w:val="Tabletext"/>
            </w:pPr>
            <w:r>
              <w:t>GloBE Implementation Framework</w:t>
            </w:r>
          </w:p>
        </w:tc>
        <w:tc>
          <w:tcPr>
            <w:tcW w:w="1746" w:type="dxa"/>
            <w:tcBorders>
              <w:top w:val="nil"/>
              <w:left w:val="nil"/>
              <w:bottom w:val="single" w:sz="4" w:space="0" w:color="auto"/>
              <w:right w:val="single" w:sz="4" w:space="0" w:color="auto"/>
            </w:tcBorders>
            <w:shd w:val="clear" w:color="auto" w:fill="auto"/>
            <w:noWrap/>
          </w:tcPr>
          <w:p w14:paraId="2CA2B877" w14:textId="77777777" w:rsidR="00722C88" w:rsidRPr="00CD218D" w:rsidRDefault="00722C88" w:rsidP="00722C88">
            <w:pPr>
              <w:pStyle w:val="Tabletext"/>
            </w:pPr>
            <w:r w:rsidRPr="00CD218D">
              <w:t>10.1.1</w:t>
            </w:r>
          </w:p>
        </w:tc>
      </w:tr>
      <w:tr w:rsidR="00722C88" w:rsidRPr="00CD218D" w14:paraId="1928F37B"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77FA9885" w14:textId="1618E983" w:rsidR="00722C88" w:rsidRPr="00CD218D" w:rsidRDefault="00722C88" w:rsidP="00722C88">
            <w:pPr>
              <w:pStyle w:val="Tabletext"/>
            </w:pPr>
            <w:r w:rsidRPr="00EB655C">
              <w:t>5-</w:t>
            </w:r>
            <w:r>
              <w:t>15</w:t>
            </w:r>
            <w:r w:rsidRPr="00EB655C">
              <w:t>(2)</w:t>
            </w:r>
          </w:p>
        </w:tc>
        <w:tc>
          <w:tcPr>
            <w:tcW w:w="3743" w:type="dxa"/>
            <w:tcBorders>
              <w:top w:val="nil"/>
              <w:left w:val="nil"/>
              <w:bottom w:val="single" w:sz="4" w:space="0" w:color="auto"/>
              <w:right w:val="single" w:sz="4" w:space="0" w:color="auto"/>
            </w:tcBorders>
            <w:shd w:val="clear" w:color="auto" w:fill="auto"/>
            <w:noWrap/>
            <w:vAlign w:val="bottom"/>
          </w:tcPr>
          <w:p w14:paraId="63BA1C07" w14:textId="13D75481" w:rsidR="00722C88" w:rsidRPr="00CD218D" w:rsidRDefault="00722C88" w:rsidP="00722C88">
            <w:pPr>
              <w:pStyle w:val="Tabletext"/>
            </w:pPr>
            <w:r w:rsidRPr="00EB655C">
              <w:t>GloBE Income of all Constituent Entities</w:t>
            </w:r>
          </w:p>
        </w:tc>
        <w:tc>
          <w:tcPr>
            <w:tcW w:w="1746" w:type="dxa"/>
            <w:tcBorders>
              <w:top w:val="nil"/>
              <w:left w:val="nil"/>
              <w:bottom w:val="single" w:sz="4" w:space="0" w:color="auto"/>
              <w:right w:val="single" w:sz="4" w:space="0" w:color="auto"/>
            </w:tcBorders>
            <w:shd w:val="clear" w:color="auto" w:fill="auto"/>
            <w:noWrap/>
          </w:tcPr>
          <w:p w14:paraId="75D2202A" w14:textId="77777777" w:rsidR="00722C88" w:rsidRPr="00CD218D" w:rsidRDefault="00722C88" w:rsidP="00722C88">
            <w:pPr>
              <w:pStyle w:val="Tabletext"/>
            </w:pPr>
            <w:r w:rsidRPr="00CD218D">
              <w:t>10.1.1</w:t>
            </w:r>
          </w:p>
        </w:tc>
      </w:tr>
      <w:tr w:rsidR="00722C88" w:rsidRPr="00CD218D" w14:paraId="270BA8E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31171DA" w14:textId="54C2F2DF" w:rsidR="00722C88" w:rsidRPr="00CD218D" w:rsidRDefault="00722C88" w:rsidP="00722C88">
            <w:pPr>
              <w:pStyle w:val="Tabletext"/>
            </w:pPr>
            <w:r w:rsidRPr="00EB655C">
              <w:lastRenderedPageBreak/>
              <w:t>3-5</w:t>
            </w:r>
          </w:p>
        </w:tc>
        <w:tc>
          <w:tcPr>
            <w:tcW w:w="3743" w:type="dxa"/>
            <w:tcBorders>
              <w:top w:val="nil"/>
              <w:left w:val="nil"/>
              <w:bottom w:val="single" w:sz="4" w:space="0" w:color="auto"/>
              <w:right w:val="single" w:sz="4" w:space="0" w:color="auto"/>
            </w:tcBorders>
            <w:shd w:val="clear" w:color="auto" w:fill="auto"/>
            <w:noWrap/>
            <w:vAlign w:val="bottom"/>
          </w:tcPr>
          <w:p w14:paraId="5F498C90" w14:textId="46D18811" w:rsidR="00722C88" w:rsidRPr="00CD218D" w:rsidRDefault="00722C88" w:rsidP="00722C88">
            <w:pPr>
              <w:pStyle w:val="Tabletext"/>
            </w:pPr>
            <w:r w:rsidRPr="00EB655C">
              <w:t>GloBE Income or Loss of a Constituent Entity</w:t>
            </w:r>
          </w:p>
        </w:tc>
        <w:tc>
          <w:tcPr>
            <w:tcW w:w="1746" w:type="dxa"/>
            <w:tcBorders>
              <w:top w:val="nil"/>
              <w:left w:val="nil"/>
              <w:bottom w:val="single" w:sz="4" w:space="0" w:color="auto"/>
              <w:right w:val="single" w:sz="4" w:space="0" w:color="auto"/>
            </w:tcBorders>
            <w:shd w:val="clear" w:color="auto" w:fill="auto"/>
            <w:noWrap/>
          </w:tcPr>
          <w:p w14:paraId="23A25E62" w14:textId="77777777" w:rsidR="00722C88" w:rsidRPr="00CD218D" w:rsidRDefault="00722C88" w:rsidP="00722C88">
            <w:pPr>
              <w:pStyle w:val="Tabletext"/>
            </w:pPr>
            <w:r w:rsidRPr="00CD218D">
              <w:t>10.1.1</w:t>
            </w:r>
          </w:p>
        </w:tc>
      </w:tr>
      <w:tr w:rsidR="00722C88" w:rsidRPr="00CD218D" w14:paraId="326BCFD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055C3EFA" w14:textId="55EC3C43" w:rsidR="00722C88" w:rsidRPr="00CD218D" w:rsidRDefault="00722C88" w:rsidP="00722C88">
            <w:pPr>
              <w:pStyle w:val="Tabletext"/>
            </w:pPr>
            <w:r>
              <w:t>10-5, 4</w:t>
            </w:r>
            <w:r>
              <w:noBreakHyphen/>
              <w:t>125 and 4</w:t>
            </w:r>
            <w:r>
              <w:noBreakHyphen/>
              <w:t>135</w:t>
            </w:r>
          </w:p>
        </w:tc>
        <w:tc>
          <w:tcPr>
            <w:tcW w:w="3743" w:type="dxa"/>
            <w:tcBorders>
              <w:top w:val="nil"/>
              <w:left w:val="nil"/>
              <w:bottom w:val="single" w:sz="4" w:space="0" w:color="auto"/>
              <w:right w:val="single" w:sz="4" w:space="0" w:color="auto"/>
            </w:tcBorders>
            <w:shd w:val="clear" w:color="auto" w:fill="auto"/>
            <w:noWrap/>
            <w:vAlign w:val="bottom"/>
          </w:tcPr>
          <w:p w14:paraId="3EE8BD1C" w14:textId="6F5DDEA5" w:rsidR="00722C88" w:rsidRPr="00CD218D" w:rsidRDefault="00722C88" w:rsidP="00722C88">
            <w:pPr>
              <w:pStyle w:val="Tabletext"/>
            </w:pPr>
            <w:r w:rsidRPr="00EB655C">
              <w:t>GloBE Loss Deferred Tax Asset</w:t>
            </w:r>
          </w:p>
        </w:tc>
        <w:tc>
          <w:tcPr>
            <w:tcW w:w="1746" w:type="dxa"/>
            <w:tcBorders>
              <w:top w:val="nil"/>
              <w:left w:val="nil"/>
              <w:bottom w:val="single" w:sz="4" w:space="0" w:color="auto"/>
              <w:right w:val="single" w:sz="4" w:space="0" w:color="auto"/>
            </w:tcBorders>
            <w:shd w:val="clear" w:color="auto" w:fill="auto"/>
            <w:noWrap/>
          </w:tcPr>
          <w:p w14:paraId="01ABAF2C" w14:textId="77777777" w:rsidR="00722C88" w:rsidRPr="00CD218D" w:rsidRDefault="00722C88" w:rsidP="00722C88">
            <w:pPr>
              <w:pStyle w:val="Tabletext"/>
            </w:pPr>
            <w:r w:rsidRPr="00CD218D">
              <w:t>10.1.1</w:t>
            </w:r>
          </w:p>
        </w:tc>
      </w:tr>
      <w:tr w:rsidR="00722C88" w:rsidRPr="00CD218D" w14:paraId="7C96366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D119FC2" w14:textId="62D0BBB7" w:rsidR="00722C88" w:rsidRPr="00CD218D" w:rsidRDefault="00722C88" w:rsidP="00722C88">
            <w:pPr>
              <w:pStyle w:val="Tabletext"/>
            </w:pPr>
            <w:r w:rsidRPr="00EB655C">
              <w:t>4-</w:t>
            </w:r>
            <w:r>
              <w:t>120</w:t>
            </w:r>
            <w:r w:rsidRPr="00EB655C">
              <w:t xml:space="preserve">(1) </w:t>
            </w:r>
          </w:p>
        </w:tc>
        <w:tc>
          <w:tcPr>
            <w:tcW w:w="3743" w:type="dxa"/>
            <w:tcBorders>
              <w:top w:val="nil"/>
              <w:left w:val="nil"/>
              <w:bottom w:val="single" w:sz="4" w:space="0" w:color="auto"/>
              <w:right w:val="single" w:sz="4" w:space="0" w:color="auto"/>
            </w:tcBorders>
            <w:shd w:val="clear" w:color="auto" w:fill="auto"/>
            <w:noWrap/>
            <w:vAlign w:val="bottom"/>
          </w:tcPr>
          <w:p w14:paraId="582AC3D8" w14:textId="7F336469" w:rsidR="00722C88" w:rsidRPr="00CD218D" w:rsidRDefault="00722C88" w:rsidP="00722C88">
            <w:pPr>
              <w:pStyle w:val="Tabletext"/>
            </w:pPr>
            <w:r w:rsidRPr="00EB655C">
              <w:t>GloBE Loss Election</w:t>
            </w:r>
          </w:p>
        </w:tc>
        <w:tc>
          <w:tcPr>
            <w:tcW w:w="1746" w:type="dxa"/>
            <w:tcBorders>
              <w:top w:val="nil"/>
              <w:left w:val="nil"/>
              <w:bottom w:val="single" w:sz="4" w:space="0" w:color="auto"/>
              <w:right w:val="single" w:sz="4" w:space="0" w:color="auto"/>
            </w:tcBorders>
            <w:shd w:val="clear" w:color="auto" w:fill="auto"/>
            <w:noWrap/>
          </w:tcPr>
          <w:p w14:paraId="7BA824BC" w14:textId="77777777" w:rsidR="00722C88" w:rsidRPr="00CD218D" w:rsidRDefault="00722C88" w:rsidP="00722C88">
            <w:pPr>
              <w:pStyle w:val="Tabletext"/>
            </w:pPr>
            <w:r w:rsidRPr="00CD218D">
              <w:t>10.1.1</w:t>
            </w:r>
          </w:p>
        </w:tc>
      </w:tr>
      <w:tr w:rsidR="00722C88" w:rsidRPr="00CD218D" w14:paraId="0A674E4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9B131A2" w14:textId="7CBE5277" w:rsidR="00722C88" w:rsidRPr="00CD218D" w:rsidRDefault="00722C88" w:rsidP="00722C88">
            <w:pPr>
              <w:pStyle w:val="Tabletext"/>
            </w:pPr>
            <w:r w:rsidRPr="00EB655C">
              <w:t>5-1</w:t>
            </w:r>
            <w:r>
              <w:t>5</w:t>
            </w:r>
            <w:r w:rsidRPr="00EB655C">
              <w:t>(2)</w:t>
            </w:r>
          </w:p>
        </w:tc>
        <w:tc>
          <w:tcPr>
            <w:tcW w:w="3743" w:type="dxa"/>
            <w:tcBorders>
              <w:top w:val="nil"/>
              <w:left w:val="nil"/>
              <w:bottom w:val="single" w:sz="4" w:space="0" w:color="auto"/>
              <w:right w:val="single" w:sz="4" w:space="0" w:color="auto"/>
            </w:tcBorders>
            <w:shd w:val="clear" w:color="auto" w:fill="auto"/>
            <w:noWrap/>
            <w:vAlign w:val="bottom"/>
          </w:tcPr>
          <w:p w14:paraId="0DC9DA36" w14:textId="71A015BD" w:rsidR="00722C88" w:rsidRPr="00CD218D" w:rsidRDefault="00722C88" w:rsidP="00722C88">
            <w:pPr>
              <w:pStyle w:val="Tabletext"/>
            </w:pPr>
            <w:r w:rsidRPr="00EB655C">
              <w:t>GloBE Losses of all Constituent Entities</w:t>
            </w:r>
          </w:p>
        </w:tc>
        <w:tc>
          <w:tcPr>
            <w:tcW w:w="1746" w:type="dxa"/>
            <w:tcBorders>
              <w:top w:val="nil"/>
              <w:left w:val="nil"/>
              <w:bottom w:val="single" w:sz="4" w:space="0" w:color="auto"/>
              <w:right w:val="single" w:sz="4" w:space="0" w:color="auto"/>
            </w:tcBorders>
            <w:shd w:val="clear" w:color="auto" w:fill="auto"/>
            <w:noWrap/>
          </w:tcPr>
          <w:p w14:paraId="13C5129A" w14:textId="77777777" w:rsidR="00722C88" w:rsidRPr="00CD218D" w:rsidRDefault="00722C88" w:rsidP="00722C88">
            <w:pPr>
              <w:pStyle w:val="Tabletext"/>
            </w:pPr>
            <w:r w:rsidRPr="00CD218D">
              <w:t>10.1.1</w:t>
            </w:r>
          </w:p>
        </w:tc>
      </w:tr>
      <w:tr w:rsidR="00722C88" w:rsidRPr="00CD218D" w14:paraId="1D8CE66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832B357" w14:textId="2C6E8A28" w:rsidR="00722C88" w:rsidRPr="00CD218D" w:rsidRDefault="00722C88" w:rsidP="00722C88">
            <w:pPr>
              <w:pStyle w:val="Tabletext"/>
            </w:pPr>
            <w:r w:rsidRPr="00EB655C">
              <w:t>6-</w:t>
            </w:r>
            <w:r>
              <w:t>65</w:t>
            </w:r>
            <w:r w:rsidRPr="00EB655C">
              <w:t>(2)</w:t>
            </w:r>
          </w:p>
        </w:tc>
        <w:tc>
          <w:tcPr>
            <w:tcW w:w="3743" w:type="dxa"/>
            <w:tcBorders>
              <w:top w:val="nil"/>
              <w:left w:val="nil"/>
              <w:bottom w:val="single" w:sz="4" w:space="0" w:color="auto"/>
              <w:right w:val="single" w:sz="4" w:space="0" w:color="auto"/>
            </w:tcBorders>
            <w:shd w:val="clear" w:color="auto" w:fill="auto"/>
            <w:noWrap/>
            <w:vAlign w:val="bottom"/>
          </w:tcPr>
          <w:p w14:paraId="0C16D744" w14:textId="256EEEC5" w:rsidR="00722C88" w:rsidRPr="00CD218D" w:rsidRDefault="00722C88" w:rsidP="00722C88">
            <w:pPr>
              <w:pStyle w:val="Tabletext"/>
            </w:pPr>
            <w:r w:rsidRPr="00EB655C">
              <w:t>GloBE Reorganisation</w:t>
            </w:r>
          </w:p>
        </w:tc>
        <w:tc>
          <w:tcPr>
            <w:tcW w:w="1746" w:type="dxa"/>
            <w:tcBorders>
              <w:top w:val="nil"/>
              <w:left w:val="nil"/>
              <w:bottom w:val="single" w:sz="4" w:space="0" w:color="auto"/>
              <w:right w:val="single" w:sz="4" w:space="0" w:color="auto"/>
            </w:tcBorders>
            <w:shd w:val="clear" w:color="auto" w:fill="auto"/>
            <w:noWrap/>
          </w:tcPr>
          <w:p w14:paraId="634D0A31" w14:textId="77777777" w:rsidR="00722C88" w:rsidRPr="00CD218D" w:rsidRDefault="00722C88" w:rsidP="00722C88">
            <w:pPr>
              <w:pStyle w:val="Tabletext"/>
            </w:pPr>
            <w:r w:rsidRPr="00CD218D">
              <w:t>10.1.1</w:t>
            </w:r>
          </w:p>
        </w:tc>
      </w:tr>
      <w:tr w:rsidR="00722C88" w:rsidRPr="00CD218D" w14:paraId="090665D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16EABEB" w14:textId="27B6DBCD" w:rsidR="00722C88" w:rsidRPr="00CD218D" w:rsidRDefault="00722C88" w:rsidP="00722C88">
            <w:pPr>
              <w:pStyle w:val="Tabletext"/>
            </w:pPr>
            <w:r w:rsidRPr="00EB655C">
              <w:t>5-</w:t>
            </w:r>
            <w:r>
              <w:t>110(3)</w:t>
            </w:r>
          </w:p>
        </w:tc>
        <w:tc>
          <w:tcPr>
            <w:tcW w:w="3743" w:type="dxa"/>
            <w:tcBorders>
              <w:top w:val="nil"/>
              <w:left w:val="nil"/>
              <w:bottom w:val="single" w:sz="4" w:space="0" w:color="auto"/>
              <w:right w:val="single" w:sz="4" w:space="0" w:color="auto"/>
            </w:tcBorders>
            <w:shd w:val="clear" w:color="auto" w:fill="auto"/>
            <w:noWrap/>
            <w:vAlign w:val="bottom"/>
          </w:tcPr>
          <w:p w14:paraId="4DC6354E" w14:textId="2BCABFD4" w:rsidR="00722C88" w:rsidRPr="00CD218D" w:rsidRDefault="00722C88" w:rsidP="00722C88">
            <w:pPr>
              <w:pStyle w:val="Tabletext"/>
            </w:pPr>
            <w:r w:rsidRPr="00EB655C">
              <w:t>GloBE Revenue</w:t>
            </w:r>
            <w:r>
              <w:t xml:space="preserve"> for the purpose of Art 5.5.2</w:t>
            </w:r>
          </w:p>
        </w:tc>
        <w:tc>
          <w:tcPr>
            <w:tcW w:w="1746" w:type="dxa"/>
            <w:tcBorders>
              <w:top w:val="nil"/>
              <w:left w:val="nil"/>
              <w:bottom w:val="single" w:sz="4" w:space="0" w:color="auto"/>
              <w:right w:val="single" w:sz="4" w:space="0" w:color="auto"/>
            </w:tcBorders>
            <w:shd w:val="clear" w:color="auto" w:fill="auto"/>
            <w:noWrap/>
          </w:tcPr>
          <w:p w14:paraId="47F7D07F" w14:textId="77777777" w:rsidR="00722C88" w:rsidRPr="00CD218D" w:rsidRDefault="00722C88" w:rsidP="00722C88">
            <w:pPr>
              <w:pStyle w:val="Tabletext"/>
            </w:pPr>
            <w:r w:rsidRPr="00CD218D">
              <w:t>10.1.1</w:t>
            </w:r>
          </w:p>
        </w:tc>
      </w:tr>
      <w:tr w:rsidR="00722C88" w:rsidRPr="00CD218D" w14:paraId="10EAA80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57DAA71" w14:textId="2D1B14F3" w:rsidR="00722C88" w:rsidRPr="00CD218D" w:rsidRDefault="00722C88" w:rsidP="00722C88">
            <w:pPr>
              <w:pStyle w:val="Tabletext"/>
            </w:pPr>
            <w:r w:rsidRPr="00EB655C">
              <w:t>3-1</w:t>
            </w:r>
            <w:r>
              <w:t>90</w:t>
            </w:r>
            <w:r w:rsidRPr="00EB655C">
              <w:t>(2) and 10-5</w:t>
            </w:r>
          </w:p>
        </w:tc>
        <w:tc>
          <w:tcPr>
            <w:tcW w:w="3743" w:type="dxa"/>
            <w:tcBorders>
              <w:top w:val="nil"/>
              <w:left w:val="nil"/>
              <w:bottom w:val="single" w:sz="4" w:space="0" w:color="auto"/>
              <w:right w:val="single" w:sz="4" w:space="0" w:color="auto"/>
            </w:tcBorders>
            <w:shd w:val="clear" w:color="auto" w:fill="auto"/>
            <w:noWrap/>
            <w:vAlign w:val="bottom"/>
          </w:tcPr>
          <w:p w14:paraId="510099E0" w14:textId="1C2DEDB4" w:rsidR="00722C88" w:rsidRPr="00CD218D" w:rsidRDefault="00722C88" w:rsidP="00722C88">
            <w:pPr>
              <w:pStyle w:val="Tabletext"/>
            </w:pPr>
            <w:r w:rsidRPr="00EB655C">
              <w:t>High-Tax Counterparty</w:t>
            </w:r>
          </w:p>
        </w:tc>
        <w:tc>
          <w:tcPr>
            <w:tcW w:w="1746" w:type="dxa"/>
            <w:tcBorders>
              <w:top w:val="nil"/>
              <w:left w:val="nil"/>
              <w:bottom w:val="single" w:sz="4" w:space="0" w:color="auto"/>
              <w:right w:val="single" w:sz="4" w:space="0" w:color="auto"/>
            </w:tcBorders>
            <w:shd w:val="clear" w:color="auto" w:fill="auto"/>
            <w:noWrap/>
          </w:tcPr>
          <w:p w14:paraId="1F1C04A3" w14:textId="77777777" w:rsidR="00722C88" w:rsidRPr="00CD218D" w:rsidRDefault="00722C88" w:rsidP="00722C88">
            <w:pPr>
              <w:pStyle w:val="Tabletext"/>
            </w:pPr>
            <w:r w:rsidRPr="00CD218D">
              <w:t>10.1.1</w:t>
            </w:r>
          </w:p>
        </w:tc>
      </w:tr>
      <w:tr w:rsidR="00722C88" w:rsidRPr="00CD218D" w14:paraId="0663F76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53CBA9C" w14:textId="02FF8114" w:rsidR="00722C88" w:rsidRPr="00CD218D" w:rsidRDefault="00722C88" w:rsidP="00722C88">
            <w:pPr>
              <w:pStyle w:val="Tabletext"/>
            </w:pPr>
            <w:r>
              <w:t>8-115</w:t>
            </w:r>
          </w:p>
        </w:tc>
        <w:tc>
          <w:tcPr>
            <w:tcW w:w="3743" w:type="dxa"/>
            <w:tcBorders>
              <w:top w:val="nil"/>
              <w:left w:val="nil"/>
              <w:bottom w:val="single" w:sz="4" w:space="0" w:color="auto"/>
              <w:right w:val="single" w:sz="4" w:space="0" w:color="auto"/>
            </w:tcBorders>
            <w:shd w:val="clear" w:color="auto" w:fill="auto"/>
            <w:noWrap/>
            <w:vAlign w:val="bottom"/>
          </w:tcPr>
          <w:p w14:paraId="55CFB0A3" w14:textId="2904C305" w:rsidR="00722C88" w:rsidRPr="00CD218D" w:rsidRDefault="00722C88" w:rsidP="00722C88">
            <w:pPr>
              <w:pStyle w:val="Tabletext"/>
            </w:pPr>
            <w:r>
              <w:t>Hybrid Arbitrage Arrangement</w:t>
            </w:r>
          </w:p>
        </w:tc>
        <w:tc>
          <w:tcPr>
            <w:tcW w:w="1746" w:type="dxa"/>
            <w:tcBorders>
              <w:top w:val="nil"/>
              <w:left w:val="nil"/>
              <w:bottom w:val="single" w:sz="4" w:space="0" w:color="auto"/>
              <w:right w:val="single" w:sz="4" w:space="0" w:color="auto"/>
            </w:tcBorders>
            <w:shd w:val="clear" w:color="auto" w:fill="auto"/>
            <w:noWrap/>
          </w:tcPr>
          <w:p w14:paraId="1BB83F60" w14:textId="77777777" w:rsidR="00722C88" w:rsidRPr="00CD218D" w:rsidRDefault="00722C88" w:rsidP="00722C88">
            <w:pPr>
              <w:pStyle w:val="Tabletext"/>
            </w:pPr>
            <w:r w:rsidRPr="00CD218D">
              <w:t>10.1.1</w:t>
            </w:r>
          </w:p>
        </w:tc>
      </w:tr>
      <w:tr w:rsidR="00722C88" w:rsidRPr="00CD218D" w14:paraId="2D30379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41706BB" w14:textId="1F0784BB" w:rsidR="00722C88" w:rsidRPr="00CD218D" w:rsidRDefault="00722C88" w:rsidP="00722C88">
            <w:pPr>
              <w:pStyle w:val="Tabletext"/>
            </w:pPr>
            <w:r w:rsidRPr="00EB655C">
              <w:t>10-5</w:t>
            </w:r>
            <w:r>
              <w:t>, and 2</w:t>
            </w:r>
            <w:r>
              <w:noBreakHyphen/>
              <w:t>5</w:t>
            </w:r>
          </w:p>
        </w:tc>
        <w:tc>
          <w:tcPr>
            <w:tcW w:w="3743" w:type="dxa"/>
            <w:tcBorders>
              <w:top w:val="nil"/>
              <w:left w:val="nil"/>
              <w:bottom w:val="single" w:sz="4" w:space="0" w:color="auto"/>
              <w:right w:val="single" w:sz="4" w:space="0" w:color="auto"/>
            </w:tcBorders>
            <w:shd w:val="clear" w:color="auto" w:fill="auto"/>
            <w:noWrap/>
            <w:vAlign w:val="bottom"/>
          </w:tcPr>
          <w:p w14:paraId="426A0561" w14:textId="36BA6C3C" w:rsidR="00722C88" w:rsidRPr="00CD218D" w:rsidRDefault="00722C88" w:rsidP="00722C88">
            <w:pPr>
              <w:pStyle w:val="Tabletext"/>
            </w:pPr>
            <w:r w:rsidRPr="00EB655C">
              <w:t>IIR</w:t>
            </w:r>
          </w:p>
        </w:tc>
        <w:tc>
          <w:tcPr>
            <w:tcW w:w="1746" w:type="dxa"/>
            <w:tcBorders>
              <w:top w:val="nil"/>
              <w:left w:val="nil"/>
              <w:bottom w:val="single" w:sz="4" w:space="0" w:color="auto"/>
              <w:right w:val="single" w:sz="4" w:space="0" w:color="auto"/>
            </w:tcBorders>
            <w:shd w:val="clear" w:color="auto" w:fill="auto"/>
            <w:noWrap/>
          </w:tcPr>
          <w:p w14:paraId="785D4515" w14:textId="77777777" w:rsidR="00722C88" w:rsidRPr="00CD218D" w:rsidRDefault="00722C88" w:rsidP="00722C88">
            <w:pPr>
              <w:pStyle w:val="Tabletext"/>
            </w:pPr>
            <w:r w:rsidRPr="00CD218D">
              <w:t>10.1.1</w:t>
            </w:r>
          </w:p>
        </w:tc>
      </w:tr>
      <w:tr w:rsidR="00722C88" w:rsidRPr="00CD218D" w14:paraId="6D757F7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DD119D5" w14:textId="7E7BB0B4" w:rsidR="00722C88" w:rsidRPr="00CD218D" w:rsidRDefault="00722C88" w:rsidP="00722C88">
            <w:pPr>
              <w:pStyle w:val="Tabletext"/>
            </w:pPr>
            <w:r w:rsidRPr="00EB655C">
              <w:t>3-</w:t>
            </w:r>
            <w:r>
              <w:t>50</w:t>
            </w:r>
            <w:r w:rsidRPr="00EB655C">
              <w:t xml:space="preserve">(1) </w:t>
            </w:r>
          </w:p>
        </w:tc>
        <w:tc>
          <w:tcPr>
            <w:tcW w:w="3743" w:type="dxa"/>
            <w:tcBorders>
              <w:top w:val="nil"/>
              <w:left w:val="nil"/>
              <w:bottom w:val="single" w:sz="4" w:space="0" w:color="auto"/>
              <w:right w:val="single" w:sz="4" w:space="0" w:color="auto"/>
            </w:tcBorders>
            <w:shd w:val="clear" w:color="auto" w:fill="auto"/>
            <w:noWrap/>
            <w:vAlign w:val="bottom"/>
          </w:tcPr>
          <w:p w14:paraId="49D8DDE4" w14:textId="28D71656" w:rsidR="00722C88" w:rsidRPr="00CD218D" w:rsidRDefault="00722C88" w:rsidP="00722C88">
            <w:pPr>
              <w:pStyle w:val="Tabletext"/>
            </w:pPr>
            <w:r w:rsidRPr="00EB655C">
              <w:t>Included Revaluation Method Gain or Loss</w:t>
            </w:r>
          </w:p>
        </w:tc>
        <w:tc>
          <w:tcPr>
            <w:tcW w:w="1746" w:type="dxa"/>
            <w:tcBorders>
              <w:top w:val="nil"/>
              <w:left w:val="nil"/>
              <w:bottom w:val="single" w:sz="4" w:space="0" w:color="auto"/>
              <w:right w:val="single" w:sz="4" w:space="0" w:color="auto"/>
            </w:tcBorders>
            <w:shd w:val="clear" w:color="auto" w:fill="auto"/>
            <w:noWrap/>
          </w:tcPr>
          <w:p w14:paraId="1FC541AE" w14:textId="77777777" w:rsidR="00722C88" w:rsidRPr="00CD218D" w:rsidRDefault="00722C88" w:rsidP="00722C88">
            <w:pPr>
              <w:pStyle w:val="Tabletext"/>
            </w:pPr>
            <w:r w:rsidRPr="00CD218D">
              <w:t>10.1.1</w:t>
            </w:r>
          </w:p>
        </w:tc>
      </w:tr>
      <w:tr w:rsidR="00722C88" w:rsidRPr="00CD218D" w14:paraId="0FA5092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FA898A1" w14:textId="77777777" w:rsidR="00722C88" w:rsidRPr="00CD218D" w:rsidRDefault="00722C88" w:rsidP="00722C88">
            <w:pPr>
              <w:pStyle w:val="Tabletext"/>
            </w:pPr>
            <w:r w:rsidRPr="00EB655C">
              <w:t>10-5</w:t>
            </w:r>
          </w:p>
        </w:tc>
        <w:tc>
          <w:tcPr>
            <w:tcW w:w="3743" w:type="dxa"/>
            <w:tcBorders>
              <w:top w:val="nil"/>
              <w:left w:val="nil"/>
              <w:bottom w:val="single" w:sz="4" w:space="0" w:color="auto"/>
              <w:right w:val="single" w:sz="4" w:space="0" w:color="auto"/>
            </w:tcBorders>
            <w:shd w:val="clear" w:color="auto" w:fill="auto"/>
            <w:noWrap/>
            <w:vAlign w:val="bottom"/>
          </w:tcPr>
          <w:p w14:paraId="11F43793" w14:textId="5E80A13B" w:rsidR="00722C88" w:rsidRPr="00CD218D" w:rsidRDefault="00722C88" w:rsidP="00722C88">
            <w:pPr>
              <w:pStyle w:val="Tabletext"/>
            </w:pPr>
            <w:r w:rsidRPr="00EB655C">
              <w:t>Insurance Investment Entity</w:t>
            </w:r>
          </w:p>
        </w:tc>
        <w:tc>
          <w:tcPr>
            <w:tcW w:w="1746" w:type="dxa"/>
            <w:tcBorders>
              <w:top w:val="nil"/>
              <w:left w:val="nil"/>
              <w:bottom w:val="single" w:sz="4" w:space="0" w:color="auto"/>
              <w:right w:val="single" w:sz="4" w:space="0" w:color="auto"/>
            </w:tcBorders>
            <w:shd w:val="clear" w:color="auto" w:fill="auto"/>
            <w:noWrap/>
          </w:tcPr>
          <w:p w14:paraId="6104C922" w14:textId="77777777" w:rsidR="00722C88" w:rsidRPr="00CD218D" w:rsidRDefault="00722C88" w:rsidP="00722C88">
            <w:pPr>
              <w:pStyle w:val="Tabletext"/>
            </w:pPr>
            <w:r w:rsidRPr="00CD218D">
              <w:t>10.1.1</w:t>
            </w:r>
          </w:p>
        </w:tc>
      </w:tr>
      <w:tr w:rsidR="00722C88" w:rsidRPr="00CD218D" w14:paraId="12E0BD44"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95DC56F" w14:textId="77777777" w:rsidR="00722C88" w:rsidRPr="00CD218D" w:rsidRDefault="00722C88" w:rsidP="00722C88">
            <w:pPr>
              <w:pStyle w:val="Tabletext"/>
            </w:pPr>
            <w:r w:rsidRPr="00EB655C">
              <w:t>10-5</w:t>
            </w:r>
          </w:p>
        </w:tc>
        <w:tc>
          <w:tcPr>
            <w:tcW w:w="3743" w:type="dxa"/>
            <w:tcBorders>
              <w:top w:val="nil"/>
              <w:left w:val="nil"/>
              <w:bottom w:val="single" w:sz="4" w:space="0" w:color="auto"/>
              <w:right w:val="single" w:sz="4" w:space="0" w:color="auto"/>
            </w:tcBorders>
            <w:shd w:val="clear" w:color="auto" w:fill="auto"/>
            <w:noWrap/>
            <w:vAlign w:val="bottom"/>
          </w:tcPr>
          <w:p w14:paraId="2D6C151B" w14:textId="07B632EC" w:rsidR="00722C88" w:rsidRPr="00CD218D" w:rsidRDefault="00722C88" w:rsidP="00722C88">
            <w:pPr>
              <w:pStyle w:val="Tabletext"/>
            </w:pPr>
            <w:r w:rsidRPr="00EB655C">
              <w:t>Intermediate Parent Entity</w:t>
            </w:r>
          </w:p>
        </w:tc>
        <w:tc>
          <w:tcPr>
            <w:tcW w:w="1746" w:type="dxa"/>
            <w:tcBorders>
              <w:top w:val="nil"/>
              <w:left w:val="nil"/>
              <w:bottom w:val="single" w:sz="4" w:space="0" w:color="auto"/>
              <w:right w:val="single" w:sz="4" w:space="0" w:color="auto"/>
            </w:tcBorders>
            <w:shd w:val="clear" w:color="auto" w:fill="auto"/>
            <w:noWrap/>
          </w:tcPr>
          <w:p w14:paraId="26728839" w14:textId="77777777" w:rsidR="00722C88" w:rsidRPr="00CD218D" w:rsidRDefault="00722C88" w:rsidP="00722C88">
            <w:pPr>
              <w:pStyle w:val="Tabletext"/>
            </w:pPr>
            <w:r w:rsidRPr="00CD218D">
              <w:t>10.1.1</w:t>
            </w:r>
          </w:p>
        </w:tc>
      </w:tr>
      <w:tr w:rsidR="00722C88" w:rsidRPr="00CD218D" w14:paraId="2B7C01B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2C982EA" w14:textId="172E4BE1" w:rsidR="00722C88" w:rsidRPr="00CD218D" w:rsidRDefault="00722C88" w:rsidP="00722C88">
            <w:pPr>
              <w:pStyle w:val="Tabletext"/>
            </w:pPr>
            <w:r w:rsidRPr="00EB655C">
              <w:t>3-2</w:t>
            </w:r>
            <w:r>
              <w:t>25</w:t>
            </w:r>
            <w:r w:rsidRPr="00EB655C">
              <w:t xml:space="preserve">(1) </w:t>
            </w:r>
          </w:p>
        </w:tc>
        <w:tc>
          <w:tcPr>
            <w:tcW w:w="3743" w:type="dxa"/>
            <w:tcBorders>
              <w:top w:val="nil"/>
              <w:left w:val="nil"/>
              <w:bottom w:val="single" w:sz="4" w:space="0" w:color="auto"/>
              <w:right w:val="single" w:sz="4" w:space="0" w:color="auto"/>
            </w:tcBorders>
            <w:shd w:val="clear" w:color="auto" w:fill="auto"/>
            <w:noWrap/>
            <w:vAlign w:val="bottom"/>
          </w:tcPr>
          <w:p w14:paraId="17B0211A" w14:textId="73CC3D15" w:rsidR="00722C88" w:rsidRPr="00CD218D" w:rsidRDefault="00722C88" w:rsidP="00722C88">
            <w:pPr>
              <w:pStyle w:val="Tabletext"/>
            </w:pPr>
            <w:r w:rsidRPr="00EB655C">
              <w:t>International Shipping Income</w:t>
            </w:r>
          </w:p>
        </w:tc>
        <w:tc>
          <w:tcPr>
            <w:tcW w:w="1746" w:type="dxa"/>
            <w:tcBorders>
              <w:top w:val="nil"/>
              <w:left w:val="nil"/>
              <w:bottom w:val="single" w:sz="4" w:space="0" w:color="auto"/>
              <w:right w:val="single" w:sz="4" w:space="0" w:color="auto"/>
            </w:tcBorders>
            <w:shd w:val="clear" w:color="auto" w:fill="auto"/>
            <w:noWrap/>
          </w:tcPr>
          <w:p w14:paraId="5AF2B0F8" w14:textId="77777777" w:rsidR="00722C88" w:rsidRPr="00CD218D" w:rsidRDefault="00722C88" w:rsidP="00722C88">
            <w:pPr>
              <w:pStyle w:val="Tabletext"/>
            </w:pPr>
            <w:r w:rsidRPr="00CD218D">
              <w:t>10.1.1</w:t>
            </w:r>
          </w:p>
        </w:tc>
      </w:tr>
      <w:tr w:rsidR="00722C88" w:rsidRPr="00CD218D" w14:paraId="20A669B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F5AD1B3" w14:textId="6621BCCB" w:rsidR="00722C88" w:rsidRPr="00CD218D" w:rsidRDefault="00722C88" w:rsidP="00722C88">
            <w:pPr>
              <w:pStyle w:val="Tabletext"/>
            </w:pPr>
            <w:r w:rsidRPr="00EB655C">
              <w:t>3-1</w:t>
            </w:r>
            <w:r>
              <w:t>85</w:t>
            </w:r>
            <w:r w:rsidRPr="00EB655C">
              <w:t xml:space="preserve"> </w:t>
            </w:r>
          </w:p>
        </w:tc>
        <w:tc>
          <w:tcPr>
            <w:tcW w:w="3743" w:type="dxa"/>
            <w:tcBorders>
              <w:top w:val="nil"/>
              <w:left w:val="nil"/>
              <w:bottom w:val="single" w:sz="4" w:space="0" w:color="auto"/>
              <w:right w:val="single" w:sz="4" w:space="0" w:color="auto"/>
            </w:tcBorders>
            <w:shd w:val="clear" w:color="auto" w:fill="auto"/>
            <w:noWrap/>
            <w:vAlign w:val="bottom"/>
          </w:tcPr>
          <w:p w14:paraId="6A2BA268" w14:textId="7D50350D" w:rsidR="00722C88" w:rsidRPr="00CD218D" w:rsidRDefault="00722C88" w:rsidP="00722C88">
            <w:pPr>
              <w:pStyle w:val="Tabletext"/>
            </w:pPr>
            <w:r w:rsidRPr="00EB655C">
              <w:t>Intragroup Financing Arrangement</w:t>
            </w:r>
          </w:p>
        </w:tc>
        <w:tc>
          <w:tcPr>
            <w:tcW w:w="1746" w:type="dxa"/>
            <w:tcBorders>
              <w:top w:val="nil"/>
              <w:left w:val="nil"/>
              <w:bottom w:val="single" w:sz="4" w:space="0" w:color="auto"/>
              <w:right w:val="single" w:sz="4" w:space="0" w:color="auto"/>
            </w:tcBorders>
            <w:shd w:val="clear" w:color="auto" w:fill="auto"/>
            <w:noWrap/>
          </w:tcPr>
          <w:p w14:paraId="27025C94" w14:textId="77777777" w:rsidR="00722C88" w:rsidRPr="00CD218D" w:rsidRDefault="00722C88" w:rsidP="00722C88">
            <w:pPr>
              <w:pStyle w:val="Tabletext"/>
            </w:pPr>
            <w:r w:rsidRPr="00CD218D">
              <w:t>10.1.1</w:t>
            </w:r>
          </w:p>
        </w:tc>
      </w:tr>
      <w:tr w:rsidR="00722C88" w:rsidRPr="00CD218D" w14:paraId="1EAD008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B32640E" w14:textId="3754B195" w:rsidR="00722C88" w:rsidRPr="00CD218D" w:rsidRDefault="00722C88" w:rsidP="00722C88">
            <w:pPr>
              <w:pStyle w:val="Tabletext"/>
            </w:pPr>
            <w:r w:rsidRPr="00EB655C">
              <w:t>10-5</w:t>
            </w:r>
          </w:p>
        </w:tc>
        <w:tc>
          <w:tcPr>
            <w:tcW w:w="3743" w:type="dxa"/>
            <w:tcBorders>
              <w:top w:val="nil"/>
              <w:left w:val="nil"/>
              <w:bottom w:val="single" w:sz="4" w:space="0" w:color="auto"/>
              <w:right w:val="single" w:sz="4" w:space="0" w:color="auto"/>
            </w:tcBorders>
            <w:shd w:val="clear" w:color="auto" w:fill="auto"/>
            <w:noWrap/>
            <w:vAlign w:val="bottom"/>
          </w:tcPr>
          <w:p w14:paraId="47352701" w14:textId="09103F9E" w:rsidR="00722C88" w:rsidRPr="00CD218D" w:rsidRDefault="00722C88" w:rsidP="00722C88">
            <w:pPr>
              <w:pStyle w:val="Tabletext"/>
            </w:pPr>
            <w:r w:rsidRPr="00EB655C">
              <w:t>Investment Entity</w:t>
            </w:r>
          </w:p>
        </w:tc>
        <w:tc>
          <w:tcPr>
            <w:tcW w:w="1746" w:type="dxa"/>
            <w:tcBorders>
              <w:top w:val="nil"/>
              <w:left w:val="nil"/>
              <w:bottom w:val="single" w:sz="4" w:space="0" w:color="auto"/>
              <w:right w:val="single" w:sz="4" w:space="0" w:color="auto"/>
            </w:tcBorders>
            <w:shd w:val="clear" w:color="auto" w:fill="auto"/>
            <w:noWrap/>
          </w:tcPr>
          <w:p w14:paraId="5D263ADC" w14:textId="77777777" w:rsidR="00722C88" w:rsidRPr="00CD218D" w:rsidRDefault="00722C88" w:rsidP="00722C88">
            <w:pPr>
              <w:pStyle w:val="Tabletext"/>
            </w:pPr>
            <w:r w:rsidRPr="00CD218D">
              <w:t>10.1.1</w:t>
            </w:r>
          </w:p>
        </w:tc>
      </w:tr>
      <w:tr w:rsidR="00722C88" w:rsidRPr="00CD218D" w14:paraId="4E43A37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DFA4FD9" w14:textId="472D61F1" w:rsidR="00722C88" w:rsidRPr="00CD218D" w:rsidRDefault="00722C88" w:rsidP="00722C88">
            <w:pPr>
              <w:pStyle w:val="Tabletext"/>
            </w:pPr>
            <w:r>
              <w:t>No equivalent</w:t>
            </w:r>
          </w:p>
        </w:tc>
        <w:tc>
          <w:tcPr>
            <w:tcW w:w="3743" w:type="dxa"/>
            <w:tcBorders>
              <w:top w:val="nil"/>
              <w:left w:val="nil"/>
              <w:bottom w:val="single" w:sz="4" w:space="0" w:color="auto"/>
              <w:right w:val="single" w:sz="4" w:space="0" w:color="auto"/>
            </w:tcBorders>
            <w:shd w:val="clear" w:color="auto" w:fill="auto"/>
            <w:noWrap/>
            <w:vAlign w:val="bottom"/>
          </w:tcPr>
          <w:p w14:paraId="36D62DFF" w14:textId="4F6548AB" w:rsidR="00722C88" w:rsidRPr="00CD218D" w:rsidRDefault="00722C88" w:rsidP="00722C88">
            <w:pPr>
              <w:pStyle w:val="Tabletext"/>
            </w:pPr>
            <w:r>
              <w:t>Liable Constituent Entity (or Entities)</w:t>
            </w:r>
          </w:p>
        </w:tc>
        <w:tc>
          <w:tcPr>
            <w:tcW w:w="1746" w:type="dxa"/>
            <w:tcBorders>
              <w:top w:val="nil"/>
              <w:left w:val="nil"/>
              <w:bottom w:val="single" w:sz="4" w:space="0" w:color="auto"/>
              <w:right w:val="single" w:sz="4" w:space="0" w:color="auto"/>
            </w:tcBorders>
            <w:shd w:val="clear" w:color="auto" w:fill="auto"/>
            <w:noWrap/>
          </w:tcPr>
          <w:p w14:paraId="51AF5458" w14:textId="77777777" w:rsidR="00722C88" w:rsidRPr="00CD218D" w:rsidRDefault="00722C88" w:rsidP="00722C88">
            <w:pPr>
              <w:pStyle w:val="Tabletext"/>
            </w:pPr>
            <w:r w:rsidRPr="00CD218D">
              <w:t>10.1.1</w:t>
            </w:r>
          </w:p>
        </w:tc>
      </w:tr>
      <w:tr w:rsidR="00722C88" w:rsidRPr="00CD218D" w14:paraId="387C7F6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3E2CA80" w14:textId="331338F6" w:rsidR="00722C88" w:rsidRPr="00CD218D" w:rsidRDefault="00722C88" w:rsidP="00722C88">
            <w:pPr>
              <w:pStyle w:val="Tabletext"/>
            </w:pPr>
            <w:r w:rsidRPr="00EB655C">
              <w:t>3-1</w:t>
            </w:r>
            <w:r>
              <w:t>70</w:t>
            </w:r>
            <w:r w:rsidRPr="00EB655C">
              <w:t xml:space="preserve"> </w:t>
            </w:r>
          </w:p>
        </w:tc>
        <w:tc>
          <w:tcPr>
            <w:tcW w:w="3743" w:type="dxa"/>
            <w:tcBorders>
              <w:top w:val="nil"/>
              <w:left w:val="nil"/>
              <w:bottom w:val="single" w:sz="4" w:space="0" w:color="auto"/>
              <w:right w:val="single" w:sz="4" w:space="0" w:color="auto"/>
            </w:tcBorders>
            <w:shd w:val="clear" w:color="auto" w:fill="auto"/>
            <w:noWrap/>
            <w:vAlign w:val="bottom"/>
          </w:tcPr>
          <w:p w14:paraId="7E7F41CD" w14:textId="7BA1B1C4" w:rsidR="00722C88" w:rsidRPr="00CD218D" w:rsidRDefault="00722C88" w:rsidP="00722C88">
            <w:pPr>
              <w:pStyle w:val="Tabletext"/>
            </w:pPr>
            <w:r w:rsidRPr="00EB655C">
              <w:t>Local Tangible Asset</w:t>
            </w:r>
          </w:p>
        </w:tc>
        <w:tc>
          <w:tcPr>
            <w:tcW w:w="1746" w:type="dxa"/>
            <w:tcBorders>
              <w:top w:val="nil"/>
              <w:left w:val="nil"/>
              <w:bottom w:val="single" w:sz="4" w:space="0" w:color="auto"/>
              <w:right w:val="single" w:sz="4" w:space="0" w:color="auto"/>
            </w:tcBorders>
            <w:shd w:val="clear" w:color="auto" w:fill="auto"/>
            <w:noWrap/>
          </w:tcPr>
          <w:p w14:paraId="730C433D" w14:textId="77777777" w:rsidR="00722C88" w:rsidRPr="00CD218D" w:rsidRDefault="00722C88" w:rsidP="00722C88">
            <w:pPr>
              <w:pStyle w:val="Tabletext"/>
            </w:pPr>
            <w:r w:rsidRPr="00CD218D">
              <w:t>10.1.1</w:t>
            </w:r>
          </w:p>
        </w:tc>
      </w:tr>
      <w:tr w:rsidR="00722C88" w:rsidRPr="00CD218D" w14:paraId="0EF12EC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B30A98D" w14:textId="037D0A1D" w:rsidR="00722C88" w:rsidRPr="00CD218D" w:rsidRDefault="00722C88" w:rsidP="00722C88">
            <w:pPr>
              <w:pStyle w:val="Tabletext"/>
            </w:pPr>
            <w:r>
              <w:t>Assessment Act</w:t>
            </w:r>
          </w:p>
        </w:tc>
        <w:tc>
          <w:tcPr>
            <w:tcW w:w="3743" w:type="dxa"/>
            <w:tcBorders>
              <w:top w:val="nil"/>
              <w:left w:val="nil"/>
              <w:bottom w:val="single" w:sz="4" w:space="0" w:color="auto"/>
              <w:right w:val="single" w:sz="4" w:space="0" w:color="auto"/>
            </w:tcBorders>
            <w:shd w:val="clear" w:color="auto" w:fill="auto"/>
            <w:noWrap/>
            <w:vAlign w:val="bottom"/>
          </w:tcPr>
          <w:p w14:paraId="34E547DC" w14:textId="052DB0C1" w:rsidR="00722C88" w:rsidRPr="00CD218D" w:rsidRDefault="00722C88" w:rsidP="00722C88">
            <w:pPr>
              <w:pStyle w:val="Tabletext"/>
            </w:pPr>
            <w:r w:rsidRPr="00EB655C">
              <w:t>Location of an Entity and a Permanent Establishment</w:t>
            </w:r>
          </w:p>
        </w:tc>
        <w:tc>
          <w:tcPr>
            <w:tcW w:w="1746" w:type="dxa"/>
            <w:tcBorders>
              <w:top w:val="nil"/>
              <w:left w:val="nil"/>
              <w:bottom w:val="single" w:sz="4" w:space="0" w:color="auto"/>
              <w:right w:val="single" w:sz="4" w:space="0" w:color="auto"/>
            </w:tcBorders>
            <w:shd w:val="clear" w:color="auto" w:fill="auto"/>
            <w:noWrap/>
          </w:tcPr>
          <w:p w14:paraId="5B02A141" w14:textId="77777777" w:rsidR="00722C88" w:rsidRPr="00CD218D" w:rsidRDefault="00722C88" w:rsidP="00722C88">
            <w:pPr>
              <w:pStyle w:val="Tabletext"/>
            </w:pPr>
            <w:r w:rsidRPr="00CD218D">
              <w:t>10.1.1</w:t>
            </w:r>
          </w:p>
        </w:tc>
      </w:tr>
      <w:tr w:rsidR="00722C88" w:rsidRPr="00CD218D" w14:paraId="1167F7E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59B6A6B" w14:textId="6EF9BEB8" w:rsidR="00722C88" w:rsidRPr="00CD218D" w:rsidRDefault="00722C88" w:rsidP="00722C88">
            <w:pPr>
              <w:pStyle w:val="Tabletext"/>
            </w:pPr>
            <w:r w:rsidRPr="00EB655C">
              <w:t>3-1</w:t>
            </w:r>
            <w:r>
              <w:t xml:space="preserve">75 </w:t>
            </w:r>
          </w:p>
        </w:tc>
        <w:tc>
          <w:tcPr>
            <w:tcW w:w="3743" w:type="dxa"/>
            <w:tcBorders>
              <w:top w:val="nil"/>
              <w:left w:val="nil"/>
              <w:bottom w:val="single" w:sz="4" w:space="0" w:color="auto"/>
              <w:right w:val="single" w:sz="4" w:space="0" w:color="auto"/>
            </w:tcBorders>
            <w:shd w:val="clear" w:color="auto" w:fill="auto"/>
            <w:noWrap/>
            <w:vAlign w:val="bottom"/>
          </w:tcPr>
          <w:p w14:paraId="464E6F93" w14:textId="44E29C07" w:rsidR="00722C88" w:rsidRPr="00CD218D" w:rsidRDefault="00722C88" w:rsidP="00722C88">
            <w:pPr>
              <w:pStyle w:val="Tabletext"/>
            </w:pPr>
            <w:r w:rsidRPr="00EB655C">
              <w:t>Look-back Period</w:t>
            </w:r>
          </w:p>
        </w:tc>
        <w:tc>
          <w:tcPr>
            <w:tcW w:w="1746" w:type="dxa"/>
            <w:tcBorders>
              <w:top w:val="nil"/>
              <w:left w:val="nil"/>
              <w:bottom w:val="single" w:sz="4" w:space="0" w:color="auto"/>
              <w:right w:val="single" w:sz="4" w:space="0" w:color="auto"/>
            </w:tcBorders>
            <w:shd w:val="clear" w:color="auto" w:fill="auto"/>
            <w:noWrap/>
          </w:tcPr>
          <w:p w14:paraId="4A1B3909" w14:textId="77777777" w:rsidR="00722C88" w:rsidRPr="00CD218D" w:rsidRDefault="00722C88" w:rsidP="00722C88">
            <w:pPr>
              <w:pStyle w:val="Tabletext"/>
            </w:pPr>
            <w:r w:rsidRPr="00CD218D">
              <w:t>10.1.1</w:t>
            </w:r>
          </w:p>
        </w:tc>
      </w:tr>
      <w:tr w:rsidR="00722C88" w:rsidRPr="00CD218D" w14:paraId="4C9D946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C9ED08E" w14:textId="7E167DEB" w:rsidR="00722C88" w:rsidRPr="00CD218D" w:rsidRDefault="00722C88" w:rsidP="00722C88">
            <w:pPr>
              <w:pStyle w:val="Tabletext"/>
            </w:pPr>
            <w:r w:rsidRPr="00EB655C">
              <w:t>3-1</w:t>
            </w:r>
            <w:r>
              <w:t>75</w:t>
            </w:r>
            <w:r w:rsidRPr="00EB655C">
              <w:t xml:space="preserve"> </w:t>
            </w:r>
          </w:p>
        </w:tc>
        <w:tc>
          <w:tcPr>
            <w:tcW w:w="3743" w:type="dxa"/>
            <w:tcBorders>
              <w:top w:val="nil"/>
              <w:left w:val="nil"/>
              <w:bottom w:val="single" w:sz="4" w:space="0" w:color="auto"/>
              <w:right w:val="single" w:sz="4" w:space="0" w:color="auto"/>
            </w:tcBorders>
            <w:shd w:val="clear" w:color="auto" w:fill="auto"/>
            <w:noWrap/>
            <w:vAlign w:val="bottom"/>
          </w:tcPr>
          <w:p w14:paraId="53B3BDCA" w14:textId="4488900F" w:rsidR="00722C88" w:rsidRPr="00CD218D" w:rsidRDefault="00722C88" w:rsidP="00722C88">
            <w:pPr>
              <w:pStyle w:val="Tabletext"/>
            </w:pPr>
            <w:r w:rsidRPr="00EB655C">
              <w:t xml:space="preserve">Loss Year </w:t>
            </w:r>
          </w:p>
        </w:tc>
        <w:tc>
          <w:tcPr>
            <w:tcW w:w="1746" w:type="dxa"/>
            <w:tcBorders>
              <w:top w:val="nil"/>
              <w:left w:val="nil"/>
              <w:bottom w:val="single" w:sz="4" w:space="0" w:color="auto"/>
              <w:right w:val="single" w:sz="4" w:space="0" w:color="auto"/>
            </w:tcBorders>
            <w:shd w:val="clear" w:color="auto" w:fill="auto"/>
            <w:noWrap/>
          </w:tcPr>
          <w:p w14:paraId="3184BEEF" w14:textId="77777777" w:rsidR="00722C88" w:rsidRPr="00CD218D" w:rsidRDefault="00722C88" w:rsidP="00722C88">
            <w:pPr>
              <w:pStyle w:val="Tabletext"/>
            </w:pPr>
            <w:r w:rsidRPr="00CD218D">
              <w:t>10.1.1</w:t>
            </w:r>
          </w:p>
        </w:tc>
      </w:tr>
      <w:tr w:rsidR="00722C88" w:rsidRPr="00CD218D" w14:paraId="3688C56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4538C2F" w14:textId="3FE9A1EC" w:rsidR="00722C88" w:rsidRPr="00CD218D" w:rsidRDefault="00722C88" w:rsidP="00722C88">
            <w:pPr>
              <w:pStyle w:val="Tabletext"/>
            </w:pPr>
            <w:r w:rsidRPr="00EB655C">
              <w:t>3-1</w:t>
            </w:r>
            <w:r>
              <w:t>90</w:t>
            </w:r>
            <w:r w:rsidRPr="00EB655C">
              <w:t xml:space="preserve"> </w:t>
            </w:r>
          </w:p>
        </w:tc>
        <w:tc>
          <w:tcPr>
            <w:tcW w:w="3743" w:type="dxa"/>
            <w:tcBorders>
              <w:top w:val="nil"/>
              <w:left w:val="nil"/>
              <w:bottom w:val="single" w:sz="4" w:space="0" w:color="auto"/>
              <w:right w:val="single" w:sz="4" w:space="0" w:color="auto"/>
            </w:tcBorders>
            <w:shd w:val="clear" w:color="auto" w:fill="auto"/>
            <w:noWrap/>
            <w:vAlign w:val="bottom"/>
          </w:tcPr>
          <w:p w14:paraId="2435D393" w14:textId="460B6F48" w:rsidR="00722C88" w:rsidRPr="00CD218D" w:rsidRDefault="00722C88" w:rsidP="00722C88">
            <w:pPr>
              <w:pStyle w:val="Tabletext"/>
            </w:pPr>
            <w:r w:rsidRPr="00EB655C">
              <w:t>Low-Tax Entity</w:t>
            </w:r>
          </w:p>
        </w:tc>
        <w:tc>
          <w:tcPr>
            <w:tcW w:w="1746" w:type="dxa"/>
            <w:tcBorders>
              <w:top w:val="nil"/>
              <w:left w:val="nil"/>
              <w:bottom w:val="single" w:sz="4" w:space="0" w:color="auto"/>
              <w:right w:val="single" w:sz="4" w:space="0" w:color="auto"/>
            </w:tcBorders>
            <w:shd w:val="clear" w:color="auto" w:fill="auto"/>
            <w:noWrap/>
          </w:tcPr>
          <w:p w14:paraId="4002627A" w14:textId="77777777" w:rsidR="00722C88" w:rsidRPr="00CD218D" w:rsidRDefault="00722C88" w:rsidP="00722C88">
            <w:pPr>
              <w:pStyle w:val="Tabletext"/>
            </w:pPr>
            <w:r w:rsidRPr="00CD218D">
              <w:t>10.1.1</w:t>
            </w:r>
          </w:p>
        </w:tc>
      </w:tr>
      <w:tr w:rsidR="00722C88" w:rsidRPr="00CD218D" w14:paraId="4A91E58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808D2A9" w14:textId="00F5B6D3" w:rsidR="00722C88" w:rsidRPr="00CD218D" w:rsidRDefault="00722C88" w:rsidP="00722C88">
            <w:pPr>
              <w:pStyle w:val="Tabletext"/>
            </w:pPr>
            <w:r w:rsidRPr="00EB655C">
              <w:t>3-1</w:t>
            </w:r>
            <w:r>
              <w:t>95</w:t>
            </w:r>
            <w:r w:rsidRPr="00EB655C">
              <w:t xml:space="preserve"> </w:t>
            </w:r>
          </w:p>
        </w:tc>
        <w:tc>
          <w:tcPr>
            <w:tcW w:w="3743" w:type="dxa"/>
            <w:tcBorders>
              <w:top w:val="nil"/>
              <w:left w:val="nil"/>
              <w:bottom w:val="single" w:sz="4" w:space="0" w:color="auto"/>
              <w:right w:val="single" w:sz="4" w:space="0" w:color="auto"/>
            </w:tcBorders>
            <w:shd w:val="clear" w:color="auto" w:fill="auto"/>
            <w:noWrap/>
            <w:vAlign w:val="bottom"/>
          </w:tcPr>
          <w:p w14:paraId="45866E9E" w14:textId="3FB90335" w:rsidR="00722C88" w:rsidRPr="00CD218D" w:rsidRDefault="00722C88" w:rsidP="00722C88">
            <w:pPr>
              <w:pStyle w:val="Tabletext"/>
            </w:pPr>
            <w:r w:rsidRPr="00EB655C">
              <w:t>Low-Tax Jurisdiction</w:t>
            </w:r>
          </w:p>
        </w:tc>
        <w:tc>
          <w:tcPr>
            <w:tcW w:w="1746" w:type="dxa"/>
            <w:tcBorders>
              <w:top w:val="nil"/>
              <w:left w:val="nil"/>
              <w:bottom w:val="single" w:sz="4" w:space="0" w:color="auto"/>
              <w:right w:val="single" w:sz="4" w:space="0" w:color="auto"/>
            </w:tcBorders>
            <w:shd w:val="clear" w:color="auto" w:fill="auto"/>
            <w:noWrap/>
          </w:tcPr>
          <w:p w14:paraId="514E7957" w14:textId="77777777" w:rsidR="00722C88" w:rsidRPr="00CD218D" w:rsidRDefault="00722C88" w:rsidP="00722C88">
            <w:pPr>
              <w:pStyle w:val="Tabletext"/>
            </w:pPr>
            <w:r w:rsidRPr="00CD218D">
              <w:t>10.1.1</w:t>
            </w:r>
          </w:p>
        </w:tc>
      </w:tr>
      <w:tr w:rsidR="00722C88" w:rsidRPr="00CD218D" w14:paraId="2EAF1B5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A206874" w14:textId="6D737931" w:rsidR="00722C88" w:rsidRPr="00CD218D" w:rsidRDefault="00722C88" w:rsidP="00722C88">
            <w:pPr>
              <w:pStyle w:val="Tabletext"/>
            </w:pPr>
            <w:r w:rsidRPr="00EB655C">
              <w:t>10-5</w:t>
            </w:r>
          </w:p>
        </w:tc>
        <w:tc>
          <w:tcPr>
            <w:tcW w:w="3743" w:type="dxa"/>
            <w:tcBorders>
              <w:top w:val="nil"/>
              <w:left w:val="nil"/>
              <w:bottom w:val="single" w:sz="4" w:space="0" w:color="auto"/>
              <w:right w:val="single" w:sz="4" w:space="0" w:color="auto"/>
            </w:tcBorders>
            <w:shd w:val="clear" w:color="auto" w:fill="auto"/>
            <w:noWrap/>
            <w:vAlign w:val="bottom"/>
          </w:tcPr>
          <w:p w14:paraId="28540B40" w14:textId="37BCF13B" w:rsidR="00722C88" w:rsidRPr="00CD218D" w:rsidRDefault="00722C88" w:rsidP="00722C88">
            <w:pPr>
              <w:pStyle w:val="Tabletext"/>
            </w:pPr>
            <w:r w:rsidRPr="00D65384">
              <w:t>Low-Taxed Constituent Entity</w:t>
            </w:r>
          </w:p>
        </w:tc>
        <w:tc>
          <w:tcPr>
            <w:tcW w:w="1746" w:type="dxa"/>
            <w:tcBorders>
              <w:top w:val="nil"/>
              <w:left w:val="nil"/>
              <w:bottom w:val="single" w:sz="4" w:space="0" w:color="auto"/>
              <w:right w:val="single" w:sz="4" w:space="0" w:color="auto"/>
            </w:tcBorders>
            <w:shd w:val="clear" w:color="auto" w:fill="auto"/>
            <w:noWrap/>
          </w:tcPr>
          <w:p w14:paraId="3B405950" w14:textId="77777777" w:rsidR="00722C88" w:rsidRPr="00CD218D" w:rsidRDefault="00722C88" w:rsidP="00722C88">
            <w:pPr>
              <w:pStyle w:val="Tabletext"/>
            </w:pPr>
            <w:r w:rsidRPr="00CD218D">
              <w:t>10.1.1</w:t>
            </w:r>
          </w:p>
        </w:tc>
      </w:tr>
      <w:tr w:rsidR="00722C88" w:rsidRPr="00CD218D" w14:paraId="17872AB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0EB8CB2D" w14:textId="01FD4404" w:rsidR="00722C88" w:rsidRPr="00CD218D" w:rsidRDefault="00722C88" w:rsidP="00722C88">
            <w:pPr>
              <w:pStyle w:val="Tabletext"/>
            </w:pPr>
            <w:r>
              <w:t>3-135(1)</w:t>
            </w:r>
          </w:p>
        </w:tc>
        <w:tc>
          <w:tcPr>
            <w:tcW w:w="3743" w:type="dxa"/>
            <w:tcBorders>
              <w:top w:val="nil"/>
              <w:left w:val="nil"/>
              <w:bottom w:val="single" w:sz="4" w:space="0" w:color="auto"/>
              <w:right w:val="single" w:sz="4" w:space="0" w:color="auto"/>
            </w:tcBorders>
            <w:shd w:val="clear" w:color="auto" w:fill="auto"/>
            <w:noWrap/>
            <w:vAlign w:val="bottom"/>
          </w:tcPr>
          <w:p w14:paraId="62572668" w14:textId="667F2A44" w:rsidR="00722C88" w:rsidRPr="00CD218D" w:rsidRDefault="00722C88" w:rsidP="00722C88">
            <w:pPr>
              <w:pStyle w:val="Tabletext"/>
            </w:pPr>
            <w:r>
              <w:t>Marketable Price Floor</w:t>
            </w:r>
          </w:p>
        </w:tc>
        <w:tc>
          <w:tcPr>
            <w:tcW w:w="1746" w:type="dxa"/>
            <w:tcBorders>
              <w:top w:val="nil"/>
              <w:left w:val="nil"/>
              <w:bottom w:val="single" w:sz="4" w:space="0" w:color="auto"/>
              <w:right w:val="single" w:sz="4" w:space="0" w:color="auto"/>
            </w:tcBorders>
            <w:shd w:val="clear" w:color="auto" w:fill="auto"/>
            <w:noWrap/>
          </w:tcPr>
          <w:p w14:paraId="4469524D" w14:textId="77777777" w:rsidR="00722C88" w:rsidRPr="00CD218D" w:rsidRDefault="00722C88" w:rsidP="00722C88">
            <w:pPr>
              <w:pStyle w:val="Tabletext"/>
            </w:pPr>
            <w:r w:rsidRPr="00CD218D">
              <w:t>10.1.1</w:t>
            </w:r>
          </w:p>
        </w:tc>
      </w:tr>
      <w:tr w:rsidR="00722C88" w:rsidRPr="00CD218D" w14:paraId="4B5CE762" w14:textId="77777777" w:rsidTr="00D103D2">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77F7B8A" w14:textId="6C270C2A" w:rsidR="00722C88" w:rsidRPr="00CD218D" w:rsidRDefault="00722C88" w:rsidP="00722C88">
            <w:pPr>
              <w:pStyle w:val="Tabletext"/>
            </w:pPr>
            <w:r>
              <w:t>3-130(1)</w:t>
            </w:r>
          </w:p>
        </w:tc>
        <w:tc>
          <w:tcPr>
            <w:tcW w:w="3743" w:type="dxa"/>
            <w:tcBorders>
              <w:top w:val="nil"/>
              <w:left w:val="nil"/>
              <w:bottom w:val="single" w:sz="4" w:space="0" w:color="auto"/>
              <w:right w:val="single" w:sz="4" w:space="0" w:color="auto"/>
            </w:tcBorders>
            <w:shd w:val="clear" w:color="auto" w:fill="auto"/>
            <w:noWrap/>
            <w:vAlign w:val="bottom"/>
          </w:tcPr>
          <w:p w14:paraId="30B31FAC" w14:textId="378557A2" w:rsidR="00722C88" w:rsidRPr="00CD218D" w:rsidRDefault="00722C88" w:rsidP="00722C88">
            <w:pPr>
              <w:pStyle w:val="Tabletext"/>
            </w:pPr>
            <w:r>
              <w:t>Marketable Transferable Tax Credit</w:t>
            </w:r>
          </w:p>
        </w:tc>
        <w:tc>
          <w:tcPr>
            <w:tcW w:w="1746" w:type="dxa"/>
            <w:tcBorders>
              <w:top w:val="nil"/>
              <w:left w:val="nil"/>
              <w:bottom w:val="single" w:sz="4" w:space="0" w:color="auto"/>
              <w:right w:val="single" w:sz="4" w:space="0" w:color="auto"/>
            </w:tcBorders>
            <w:shd w:val="clear" w:color="auto" w:fill="auto"/>
            <w:noWrap/>
            <w:vAlign w:val="bottom"/>
          </w:tcPr>
          <w:p w14:paraId="62D2C859" w14:textId="77777777" w:rsidR="00722C88" w:rsidRPr="00CD218D" w:rsidRDefault="00722C88" w:rsidP="00722C88">
            <w:pPr>
              <w:pStyle w:val="Tabletext"/>
            </w:pPr>
            <w:r w:rsidRPr="00CD218D">
              <w:t>6.1 of the June 2024 AG</w:t>
            </w:r>
          </w:p>
        </w:tc>
      </w:tr>
      <w:tr w:rsidR="00722C88" w:rsidRPr="00CD218D" w14:paraId="7F25468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6256767" w14:textId="310AA8BD" w:rsidR="00722C88" w:rsidRPr="00CD218D" w:rsidRDefault="00722C88" w:rsidP="00722C88">
            <w:pPr>
              <w:pStyle w:val="Tabletext"/>
            </w:pPr>
            <w:r>
              <w:t>10</w:t>
            </w:r>
            <w:r>
              <w:noBreakHyphen/>
              <w:t>5</w:t>
            </w:r>
          </w:p>
        </w:tc>
        <w:tc>
          <w:tcPr>
            <w:tcW w:w="3743" w:type="dxa"/>
            <w:tcBorders>
              <w:top w:val="nil"/>
              <w:left w:val="nil"/>
              <w:bottom w:val="single" w:sz="4" w:space="0" w:color="auto"/>
              <w:right w:val="single" w:sz="4" w:space="0" w:color="auto"/>
            </w:tcBorders>
            <w:shd w:val="clear" w:color="auto" w:fill="auto"/>
            <w:noWrap/>
            <w:vAlign w:val="bottom"/>
          </w:tcPr>
          <w:p w14:paraId="23FCBB3A" w14:textId="117FAF08" w:rsidR="00722C88" w:rsidRPr="00CD218D" w:rsidRDefault="00722C88" w:rsidP="00722C88">
            <w:pPr>
              <w:pStyle w:val="Tabletext"/>
            </w:pPr>
            <w:r>
              <w:t>Minimum Rate</w:t>
            </w:r>
          </w:p>
        </w:tc>
        <w:tc>
          <w:tcPr>
            <w:tcW w:w="1746" w:type="dxa"/>
            <w:tcBorders>
              <w:top w:val="nil"/>
              <w:left w:val="nil"/>
              <w:bottom w:val="single" w:sz="4" w:space="0" w:color="auto"/>
              <w:right w:val="single" w:sz="4" w:space="0" w:color="auto"/>
            </w:tcBorders>
            <w:shd w:val="clear" w:color="auto" w:fill="auto"/>
            <w:noWrap/>
          </w:tcPr>
          <w:p w14:paraId="31A76D9F" w14:textId="77777777" w:rsidR="00722C88" w:rsidRPr="00CD218D" w:rsidRDefault="00722C88" w:rsidP="00722C88">
            <w:pPr>
              <w:pStyle w:val="Tabletext"/>
            </w:pPr>
            <w:r w:rsidRPr="00CD218D">
              <w:t>10.1.1</w:t>
            </w:r>
          </w:p>
        </w:tc>
      </w:tr>
      <w:tr w:rsidR="00722C88" w:rsidRPr="00CD218D" w14:paraId="65107AF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40F73BF" w14:textId="00F8206C" w:rsidR="00722C88" w:rsidRPr="00CD218D" w:rsidRDefault="00722C88" w:rsidP="00722C88">
            <w:pPr>
              <w:pStyle w:val="Tabletext"/>
            </w:pPr>
            <w:r w:rsidRPr="00EB655C">
              <w:t>5</w:t>
            </w:r>
            <w:r>
              <w:noBreakHyphen/>
              <w:t>130(1)</w:t>
            </w:r>
          </w:p>
        </w:tc>
        <w:tc>
          <w:tcPr>
            <w:tcW w:w="3743" w:type="dxa"/>
            <w:tcBorders>
              <w:top w:val="nil"/>
              <w:left w:val="nil"/>
              <w:bottom w:val="single" w:sz="4" w:space="0" w:color="auto"/>
              <w:right w:val="single" w:sz="4" w:space="0" w:color="auto"/>
            </w:tcBorders>
            <w:shd w:val="clear" w:color="auto" w:fill="auto"/>
            <w:vAlign w:val="bottom"/>
          </w:tcPr>
          <w:p w14:paraId="6FD843F8" w14:textId="6A6A7CD4" w:rsidR="00722C88" w:rsidRPr="00CD218D" w:rsidRDefault="00722C88" w:rsidP="00722C88">
            <w:pPr>
              <w:pStyle w:val="Tabletext"/>
            </w:pPr>
            <w:r w:rsidRPr="00EB655C">
              <w:t>Minority-Owned Constituent Entity</w:t>
            </w:r>
          </w:p>
        </w:tc>
        <w:tc>
          <w:tcPr>
            <w:tcW w:w="1746" w:type="dxa"/>
            <w:tcBorders>
              <w:top w:val="nil"/>
              <w:left w:val="nil"/>
              <w:bottom w:val="single" w:sz="4" w:space="0" w:color="auto"/>
              <w:right w:val="single" w:sz="4" w:space="0" w:color="auto"/>
            </w:tcBorders>
            <w:shd w:val="clear" w:color="auto" w:fill="auto"/>
            <w:noWrap/>
            <w:hideMark/>
          </w:tcPr>
          <w:p w14:paraId="56B47C46" w14:textId="77777777" w:rsidR="00722C88" w:rsidRPr="00CD218D" w:rsidRDefault="00722C88" w:rsidP="00722C88">
            <w:pPr>
              <w:pStyle w:val="Tabletext"/>
            </w:pPr>
            <w:r w:rsidRPr="00CD218D">
              <w:t>10.2.3</w:t>
            </w:r>
          </w:p>
        </w:tc>
      </w:tr>
      <w:tr w:rsidR="00722C88" w:rsidRPr="00CD218D" w14:paraId="6C4FF5A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44976DF" w14:textId="4A0086D5" w:rsidR="00722C88" w:rsidRPr="00CD218D" w:rsidRDefault="00722C88" w:rsidP="00722C88">
            <w:pPr>
              <w:pStyle w:val="Tabletext"/>
            </w:pPr>
            <w:r w:rsidRPr="00EB655C">
              <w:t>5</w:t>
            </w:r>
            <w:r>
              <w:noBreakHyphen/>
              <w:t>130(2)</w:t>
            </w:r>
          </w:p>
        </w:tc>
        <w:tc>
          <w:tcPr>
            <w:tcW w:w="3743" w:type="dxa"/>
            <w:tcBorders>
              <w:top w:val="nil"/>
              <w:left w:val="nil"/>
              <w:bottom w:val="single" w:sz="4" w:space="0" w:color="auto"/>
              <w:right w:val="single" w:sz="4" w:space="0" w:color="auto"/>
            </w:tcBorders>
            <w:shd w:val="clear" w:color="auto" w:fill="auto"/>
            <w:noWrap/>
            <w:vAlign w:val="bottom"/>
          </w:tcPr>
          <w:p w14:paraId="51622480" w14:textId="1243B054" w:rsidR="00722C88" w:rsidRPr="00CD218D" w:rsidRDefault="00722C88" w:rsidP="00722C88">
            <w:pPr>
              <w:pStyle w:val="Tabletext"/>
            </w:pPr>
            <w:r w:rsidRPr="00EB655C">
              <w:t>Minority-Owned Parent Entity</w:t>
            </w:r>
          </w:p>
        </w:tc>
        <w:tc>
          <w:tcPr>
            <w:tcW w:w="1746" w:type="dxa"/>
            <w:tcBorders>
              <w:top w:val="nil"/>
              <w:left w:val="nil"/>
              <w:bottom w:val="single" w:sz="4" w:space="0" w:color="auto"/>
              <w:right w:val="single" w:sz="4" w:space="0" w:color="auto"/>
            </w:tcBorders>
            <w:shd w:val="clear" w:color="auto" w:fill="auto"/>
            <w:noWrap/>
          </w:tcPr>
          <w:p w14:paraId="3D1F1406" w14:textId="77777777" w:rsidR="00722C88" w:rsidRPr="00CD218D" w:rsidRDefault="00722C88" w:rsidP="00722C88">
            <w:pPr>
              <w:pStyle w:val="Tabletext"/>
            </w:pPr>
            <w:r w:rsidRPr="00CD218D">
              <w:t>10.1.1</w:t>
            </w:r>
          </w:p>
        </w:tc>
      </w:tr>
      <w:tr w:rsidR="00722C88" w:rsidRPr="00CD218D" w14:paraId="1E50E6B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28F1E51" w14:textId="11416AAE" w:rsidR="00722C88" w:rsidRPr="00CD218D" w:rsidRDefault="00722C88" w:rsidP="00722C88">
            <w:pPr>
              <w:pStyle w:val="Tabletext"/>
              <w:ind w:left="0"/>
            </w:pPr>
            <w:r>
              <w:lastRenderedPageBreak/>
              <w:t>5</w:t>
            </w:r>
            <w:r>
              <w:noBreakHyphen/>
              <w:t>135(2)</w:t>
            </w:r>
          </w:p>
        </w:tc>
        <w:tc>
          <w:tcPr>
            <w:tcW w:w="3743" w:type="dxa"/>
            <w:tcBorders>
              <w:top w:val="nil"/>
              <w:left w:val="nil"/>
              <w:bottom w:val="single" w:sz="4" w:space="0" w:color="auto"/>
              <w:right w:val="single" w:sz="4" w:space="0" w:color="auto"/>
            </w:tcBorders>
            <w:shd w:val="clear" w:color="auto" w:fill="auto"/>
            <w:vAlign w:val="bottom"/>
          </w:tcPr>
          <w:p w14:paraId="578AFAF1" w14:textId="49D03BCA" w:rsidR="00722C88" w:rsidRPr="00CD218D" w:rsidRDefault="00722C88" w:rsidP="00722C88">
            <w:pPr>
              <w:pStyle w:val="Tabletext"/>
            </w:pPr>
            <w:r w:rsidRPr="00EB655C">
              <w:t>Minority-Owned Subgroup</w:t>
            </w:r>
          </w:p>
        </w:tc>
        <w:tc>
          <w:tcPr>
            <w:tcW w:w="1746" w:type="dxa"/>
            <w:tcBorders>
              <w:top w:val="nil"/>
              <w:left w:val="nil"/>
              <w:bottom w:val="single" w:sz="4" w:space="0" w:color="auto"/>
              <w:right w:val="single" w:sz="4" w:space="0" w:color="auto"/>
            </w:tcBorders>
            <w:shd w:val="clear" w:color="auto" w:fill="auto"/>
            <w:noWrap/>
          </w:tcPr>
          <w:p w14:paraId="09C9D083" w14:textId="77777777" w:rsidR="00722C88" w:rsidRPr="00CD218D" w:rsidRDefault="00722C88" w:rsidP="00722C88">
            <w:pPr>
              <w:pStyle w:val="Tabletext"/>
            </w:pPr>
            <w:r w:rsidRPr="00CD218D">
              <w:t>10.1.1</w:t>
            </w:r>
          </w:p>
        </w:tc>
      </w:tr>
      <w:tr w:rsidR="00722C88" w:rsidRPr="00CD218D" w14:paraId="40FBAAB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0AFCC01" w14:textId="15A6573A" w:rsidR="00722C88" w:rsidRPr="00CD218D" w:rsidRDefault="00722C88" w:rsidP="00722C88">
            <w:pPr>
              <w:pStyle w:val="Tabletext"/>
            </w:pPr>
            <w:r>
              <w:t>5</w:t>
            </w:r>
            <w:r>
              <w:noBreakHyphen/>
              <w:t>135(1)</w:t>
            </w:r>
          </w:p>
        </w:tc>
        <w:tc>
          <w:tcPr>
            <w:tcW w:w="3743" w:type="dxa"/>
            <w:tcBorders>
              <w:top w:val="nil"/>
              <w:left w:val="nil"/>
              <w:bottom w:val="single" w:sz="4" w:space="0" w:color="auto"/>
              <w:right w:val="single" w:sz="4" w:space="0" w:color="auto"/>
            </w:tcBorders>
            <w:shd w:val="clear" w:color="auto" w:fill="auto"/>
            <w:noWrap/>
            <w:vAlign w:val="bottom"/>
          </w:tcPr>
          <w:p w14:paraId="13320DD2" w14:textId="549293D7" w:rsidR="00722C88" w:rsidRPr="00CD218D" w:rsidRDefault="00722C88" w:rsidP="00722C88">
            <w:pPr>
              <w:pStyle w:val="Tabletext"/>
            </w:pPr>
            <w:r w:rsidRPr="00EB655C">
              <w:t>Minority-Owned Subsidiary</w:t>
            </w:r>
          </w:p>
        </w:tc>
        <w:tc>
          <w:tcPr>
            <w:tcW w:w="1746" w:type="dxa"/>
            <w:tcBorders>
              <w:top w:val="nil"/>
              <w:left w:val="nil"/>
              <w:bottom w:val="single" w:sz="4" w:space="0" w:color="auto"/>
              <w:right w:val="single" w:sz="4" w:space="0" w:color="auto"/>
            </w:tcBorders>
            <w:shd w:val="clear" w:color="auto" w:fill="auto"/>
            <w:noWrap/>
          </w:tcPr>
          <w:p w14:paraId="0248E166" w14:textId="77777777" w:rsidR="00722C88" w:rsidRPr="00CD218D" w:rsidRDefault="00722C88" w:rsidP="00722C88">
            <w:pPr>
              <w:pStyle w:val="Tabletext"/>
            </w:pPr>
            <w:r w:rsidRPr="00CD218D">
              <w:t>10.1.1</w:t>
            </w:r>
          </w:p>
        </w:tc>
      </w:tr>
      <w:tr w:rsidR="00722C88" w:rsidRPr="00CD218D" w14:paraId="4886E82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1D041B1" w14:textId="296D0086" w:rsidR="00722C88" w:rsidRPr="00CD218D" w:rsidRDefault="00722C88" w:rsidP="00722C88">
            <w:pPr>
              <w:pStyle w:val="Tabletext"/>
            </w:pPr>
            <w:r w:rsidRPr="00EB655C">
              <w:t>7-100(1) and 10-5</w:t>
            </w:r>
          </w:p>
        </w:tc>
        <w:tc>
          <w:tcPr>
            <w:tcW w:w="3743" w:type="dxa"/>
            <w:tcBorders>
              <w:top w:val="nil"/>
              <w:left w:val="nil"/>
              <w:bottom w:val="single" w:sz="4" w:space="0" w:color="auto"/>
              <w:right w:val="single" w:sz="4" w:space="0" w:color="auto"/>
            </w:tcBorders>
            <w:shd w:val="clear" w:color="auto" w:fill="auto"/>
            <w:noWrap/>
            <w:vAlign w:val="bottom"/>
          </w:tcPr>
          <w:p w14:paraId="7D74D14E" w14:textId="163E88AF" w:rsidR="00722C88" w:rsidRPr="00CD218D" w:rsidRDefault="00722C88" w:rsidP="00722C88">
            <w:pPr>
              <w:pStyle w:val="Tabletext"/>
            </w:pPr>
            <w:r w:rsidRPr="00EB655C">
              <w:t>MNE Group’s Allocable Share of the Investment Entity’s GloBE Income</w:t>
            </w:r>
          </w:p>
        </w:tc>
        <w:tc>
          <w:tcPr>
            <w:tcW w:w="1746" w:type="dxa"/>
            <w:tcBorders>
              <w:top w:val="nil"/>
              <w:left w:val="nil"/>
              <w:bottom w:val="single" w:sz="4" w:space="0" w:color="auto"/>
              <w:right w:val="single" w:sz="4" w:space="0" w:color="auto"/>
            </w:tcBorders>
            <w:shd w:val="clear" w:color="auto" w:fill="auto"/>
            <w:noWrap/>
          </w:tcPr>
          <w:p w14:paraId="058E8B69" w14:textId="77777777" w:rsidR="00722C88" w:rsidRPr="00CD218D" w:rsidRDefault="00722C88" w:rsidP="00722C88">
            <w:pPr>
              <w:pStyle w:val="Tabletext"/>
            </w:pPr>
            <w:r w:rsidRPr="00CD218D">
              <w:t>10.1.1</w:t>
            </w:r>
          </w:p>
        </w:tc>
      </w:tr>
      <w:tr w:rsidR="00722C88" w:rsidRPr="00CD218D" w14:paraId="71D99DB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7A85E68D" w14:textId="55B9CDD9" w:rsidR="00722C88" w:rsidRPr="00CD218D" w:rsidRDefault="00722C88" w:rsidP="00722C88">
            <w:pPr>
              <w:pStyle w:val="Tabletext"/>
            </w:pPr>
            <w:r w:rsidRPr="00EB655C">
              <w:t>6-</w:t>
            </w:r>
            <w:r>
              <w:t>85</w:t>
            </w:r>
            <w:r w:rsidRPr="00EB655C">
              <w:t>(1)-(2)</w:t>
            </w:r>
          </w:p>
        </w:tc>
        <w:tc>
          <w:tcPr>
            <w:tcW w:w="3743" w:type="dxa"/>
            <w:tcBorders>
              <w:top w:val="nil"/>
              <w:left w:val="nil"/>
              <w:bottom w:val="single" w:sz="4" w:space="0" w:color="auto"/>
              <w:right w:val="single" w:sz="4" w:space="0" w:color="auto"/>
            </w:tcBorders>
            <w:shd w:val="clear" w:color="auto" w:fill="auto"/>
            <w:noWrap/>
            <w:vAlign w:val="bottom"/>
          </w:tcPr>
          <w:p w14:paraId="7DEAB81D" w14:textId="780E526D" w:rsidR="00722C88" w:rsidRPr="00CD218D" w:rsidRDefault="00722C88" w:rsidP="00722C88">
            <w:pPr>
              <w:pStyle w:val="Tabletext"/>
            </w:pPr>
            <w:r w:rsidRPr="00EB655C">
              <w:t>Multi-Parented MNE Group</w:t>
            </w:r>
          </w:p>
        </w:tc>
        <w:tc>
          <w:tcPr>
            <w:tcW w:w="1746" w:type="dxa"/>
            <w:tcBorders>
              <w:top w:val="nil"/>
              <w:left w:val="nil"/>
              <w:bottom w:val="single" w:sz="4" w:space="0" w:color="auto"/>
              <w:right w:val="single" w:sz="4" w:space="0" w:color="auto"/>
            </w:tcBorders>
            <w:shd w:val="clear" w:color="auto" w:fill="auto"/>
            <w:noWrap/>
          </w:tcPr>
          <w:p w14:paraId="30A62B58" w14:textId="77777777" w:rsidR="00722C88" w:rsidRPr="00CD218D" w:rsidRDefault="00722C88" w:rsidP="00722C88">
            <w:pPr>
              <w:pStyle w:val="Tabletext"/>
            </w:pPr>
            <w:r w:rsidRPr="00CD218D">
              <w:t>10.1.1</w:t>
            </w:r>
          </w:p>
        </w:tc>
      </w:tr>
      <w:tr w:rsidR="00722C88" w:rsidRPr="00CD218D" w14:paraId="16E2B9D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4847203" w14:textId="541AEE60" w:rsidR="00722C88" w:rsidRPr="00CD218D" w:rsidRDefault="00722C88" w:rsidP="00722C88">
            <w:pPr>
              <w:pStyle w:val="Tabletext"/>
            </w:pPr>
            <w:r w:rsidRPr="00EB655C">
              <w:t>3-1</w:t>
            </w:r>
            <w:r>
              <w:t>70</w:t>
            </w:r>
            <w:r w:rsidRPr="00EB655C">
              <w:t xml:space="preserve"> </w:t>
            </w:r>
          </w:p>
        </w:tc>
        <w:tc>
          <w:tcPr>
            <w:tcW w:w="3743" w:type="dxa"/>
            <w:tcBorders>
              <w:top w:val="nil"/>
              <w:left w:val="nil"/>
              <w:bottom w:val="single" w:sz="4" w:space="0" w:color="auto"/>
              <w:right w:val="single" w:sz="4" w:space="0" w:color="auto"/>
            </w:tcBorders>
            <w:shd w:val="clear" w:color="auto" w:fill="auto"/>
            <w:noWrap/>
            <w:vAlign w:val="bottom"/>
          </w:tcPr>
          <w:p w14:paraId="2816B2BC" w14:textId="587D09EB" w:rsidR="00722C88" w:rsidRPr="00CD218D" w:rsidRDefault="00722C88" w:rsidP="00722C88">
            <w:pPr>
              <w:pStyle w:val="Tabletext"/>
            </w:pPr>
            <w:r w:rsidRPr="00EB655C">
              <w:t>Net Asset Gain</w:t>
            </w:r>
          </w:p>
        </w:tc>
        <w:tc>
          <w:tcPr>
            <w:tcW w:w="1746" w:type="dxa"/>
            <w:tcBorders>
              <w:top w:val="nil"/>
              <w:left w:val="nil"/>
              <w:bottom w:val="single" w:sz="4" w:space="0" w:color="auto"/>
              <w:right w:val="single" w:sz="4" w:space="0" w:color="auto"/>
            </w:tcBorders>
            <w:shd w:val="clear" w:color="auto" w:fill="auto"/>
            <w:noWrap/>
          </w:tcPr>
          <w:p w14:paraId="09D3A161" w14:textId="77777777" w:rsidR="00722C88" w:rsidRPr="00CD218D" w:rsidRDefault="00722C88" w:rsidP="00722C88">
            <w:pPr>
              <w:pStyle w:val="Tabletext"/>
            </w:pPr>
            <w:r w:rsidRPr="00CD218D">
              <w:t>10.1.1</w:t>
            </w:r>
          </w:p>
        </w:tc>
      </w:tr>
      <w:tr w:rsidR="00722C88" w:rsidRPr="00CD218D" w14:paraId="4FC83CD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30132E6" w14:textId="2837ABF9" w:rsidR="00722C88" w:rsidRPr="00CD218D" w:rsidRDefault="00722C88" w:rsidP="00722C88">
            <w:pPr>
              <w:pStyle w:val="Tabletext"/>
            </w:pPr>
            <w:r w:rsidRPr="00EB655C">
              <w:t>3-1</w:t>
            </w:r>
            <w:r>
              <w:t>70</w:t>
            </w:r>
            <w:r w:rsidRPr="00EB655C">
              <w:t xml:space="preserve"> </w:t>
            </w:r>
          </w:p>
        </w:tc>
        <w:tc>
          <w:tcPr>
            <w:tcW w:w="3743" w:type="dxa"/>
            <w:tcBorders>
              <w:top w:val="nil"/>
              <w:left w:val="nil"/>
              <w:bottom w:val="single" w:sz="4" w:space="0" w:color="auto"/>
              <w:right w:val="single" w:sz="4" w:space="0" w:color="auto"/>
            </w:tcBorders>
            <w:shd w:val="clear" w:color="auto" w:fill="auto"/>
            <w:noWrap/>
            <w:vAlign w:val="bottom"/>
          </w:tcPr>
          <w:p w14:paraId="300A4C57" w14:textId="4FF272FB" w:rsidR="00722C88" w:rsidRPr="00CD218D" w:rsidRDefault="00722C88" w:rsidP="00722C88">
            <w:pPr>
              <w:pStyle w:val="Tabletext"/>
            </w:pPr>
            <w:r w:rsidRPr="00EB655C">
              <w:t>Net Asset Loss</w:t>
            </w:r>
          </w:p>
        </w:tc>
        <w:tc>
          <w:tcPr>
            <w:tcW w:w="1746" w:type="dxa"/>
            <w:tcBorders>
              <w:top w:val="nil"/>
              <w:left w:val="nil"/>
              <w:bottom w:val="single" w:sz="4" w:space="0" w:color="auto"/>
              <w:right w:val="single" w:sz="4" w:space="0" w:color="auto"/>
            </w:tcBorders>
            <w:shd w:val="clear" w:color="auto" w:fill="auto"/>
            <w:noWrap/>
          </w:tcPr>
          <w:p w14:paraId="161F7495" w14:textId="77777777" w:rsidR="00722C88" w:rsidRPr="00CD218D" w:rsidRDefault="00722C88" w:rsidP="00722C88">
            <w:pPr>
              <w:pStyle w:val="Tabletext"/>
            </w:pPr>
            <w:r w:rsidRPr="00CD218D">
              <w:t>10.1.1</w:t>
            </w:r>
          </w:p>
        </w:tc>
      </w:tr>
      <w:tr w:rsidR="00722C88" w:rsidRPr="00CD218D" w14:paraId="09ACC41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FD2CD3C" w14:textId="7ACD33CA" w:rsidR="00722C88" w:rsidRPr="00CD218D" w:rsidRDefault="00722C88" w:rsidP="00722C88">
            <w:pPr>
              <w:pStyle w:val="Tabletext"/>
            </w:pPr>
            <w:r>
              <w:t>2-80</w:t>
            </w:r>
          </w:p>
        </w:tc>
        <w:tc>
          <w:tcPr>
            <w:tcW w:w="3743" w:type="dxa"/>
            <w:tcBorders>
              <w:top w:val="nil"/>
              <w:left w:val="nil"/>
              <w:bottom w:val="single" w:sz="4" w:space="0" w:color="auto"/>
              <w:right w:val="single" w:sz="4" w:space="0" w:color="auto"/>
            </w:tcBorders>
            <w:shd w:val="clear" w:color="auto" w:fill="auto"/>
            <w:noWrap/>
            <w:vAlign w:val="bottom"/>
          </w:tcPr>
          <w:p w14:paraId="65185B6C" w14:textId="2331F5A1" w:rsidR="00722C88" w:rsidRPr="00CD218D" w:rsidRDefault="00722C88" w:rsidP="00722C88">
            <w:pPr>
              <w:pStyle w:val="Tabletext"/>
            </w:pPr>
            <w:r w:rsidRPr="00EB655C">
              <w:t>Net Book Value of Tangible Assets</w:t>
            </w:r>
          </w:p>
        </w:tc>
        <w:tc>
          <w:tcPr>
            <w:tcW w:w="1746" w:type="dxa"/>
            <w:tcBorders>
              <w:top w:val="nil"/>
              <w:left w:val="nil"/>
              <w:bottom w:val="single" w:sz="4" w:space="0" w:color="auto"/>
              <w:right w:val="single" w:sz="4" w:space="0" w:color="auto"/>
            </w:tcBorders>
            <w:shd w:val="clear" w:color="auto" w:fill="auto"/>
            <w:noWrap/>
          </w:tcPr>
          <w:p w14:paraId="72783C43" w14:textId="77777777" w:rsidR="00722C88" w:rsidRPr="00CD218D" w:rsidRDefault="00722C88" w:rsidP="00722C88">
            <w:pPr>
              <w:pStyle w:val="Tabletext"/>
            </w:pPr>
            <w:r w:rsidRPr="00CD218D">
              <w:t>10.1.1</w:t>
            </w:r>
          </w:p>
        </w:tc>
      </w:tr>
      <w:tr w:rsidR="00722C88" w:rsidRPr="00CD218D" w14:paraId="545EBE9B"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3EC440F" w14:textId="2D48BF66" w:rsidR="00722C88" w:rsidRPr="00CD218D" w:rsidRDefault="00722C88" w:rsidP="00722C88">
            <w:pPr>
              <w:pStyle w:val="Tabletext"/>
            </w:pPr>
            <w:r w:rsidRPr="00EB655C">
              <w:t>5-</w:t>
            </w:r>
            <w:r>
              <w:t>15</w:t>
            </w:r>
            <w:r w:rsidRPr="00EB655C">
              <w:t xml:space="preserve"> </w:t>
            </w:r>
          </w:p>
        </w:tc>
        <w:tc>
          <w:tcPr>
            <w:tcW w:w="3743" w:type="dxa"/>
            <w:tcBorders>
              <w:top w:val="nil"/>
              <w:left w:val="nil"/>
              <w:bottom w:val="single" w:sz="4" w:space="0" w:color="auto"/>
              <w:right w:val="single" w:sz="4" w:space="0" w:color="auto"/>
            </w:tcBorders>
            <w:shd w:val="clear" w:color="auto" w:fill="auto"/>
            <w:noWrap/>
            <w:vAlign w:val="bottom"/>
          </w:tcPr>
          <w:p w14:paraId="59FBBDC7" w14:textId="4EA8F149" w:rsidR="00722C88" w:rsidRPr="00CD218D" w:rsidRDefault="00722C88" w:rsidP="00722C88">
            <w:pPr>
              <w:pStyle w:val="Tabletext"/>
            </w:pPr>
            <w:r w:rsidRPr="00EB655C">
              <w:t>Net GloBE Income</w:t>
            </w:r>
          </w:p>
        </w:tc>
        <w:tc>
          <w:tcPr>
            <w:tcW w:w="1746" w:type="dxa"/>
            <w:tcBorders>
              <w:top w:val="nil"/>
              <w:left w:val="nil"/>
              <w:bottom w:val="single" w:sz="4" w:space="0" w:color="auto"/>
              <w:right w:val="single" w:sz="4" w:space="0" w:color="auto"/>
            </w:tcBorders>
            <w:shd w:val="clear" w:color="auto" w:fill="auto"/>
            <w:noWrap/>
          </w:tcPr>
          <w:p w14:paraId="29AC5C54" w14:textId="77777777" w:rsidR="00722C88" w:rsidRPr="00CD218D" w:rsidRDefault="00722C88" w:rsidP="00722C88">
            <w:pPr>
              <w:pStyle w:val="Tabletext"/>
            </w:pPr>
            <w:r w:rsidRPr="00CD218D">
              <w:t>10.1.1</w:t>
            </w:r>
          </w:p>
        </w:tc>
      </w:tr>
      <w:tr w:rsidR="00722C88" w:rsidRPr="00CD218D" w14:paraId="25E0D48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1C33412" w14:textId="5AE37F00" w:rsidR="00722C88" w:rsidRPr="00CD218D" w:rsidRDefault="00722C88" w:rsidP="00722C88">
            <w:pPr>
              <w:pStyle w:val="Tabletext"/>
            </w:pPr>
            <w:r w:rsidRPr="00EB655C">
              <w:t>5-</w:t>
            </w:r>
            <w:r>
              <w:t>15</w:t>
            </w:r>
            <w:r w:rsidRPr="00EB655C">
              <w:t xml:space="preserve"> </w:t>
            </w:r>
          </w:p>
        </w:tc>
        <w:tc>
          <w:tcPr>
            <w:tcW w:w="3743" w:type="dxa"/>
            <w:tcBorders>
              <w:top w:val="nil"/>
              <w:left w:val="nil"/>
              <w:bottom w:val="single" w:sz="4" w:space="0" w:color="auto"/>
              <w:right w:val="single" w:sz="4" w:space="0" w:color="auto"/>
            </w:tcBorders>
            <w:shd w:val="clear" w:color="auto" w:fill="auto"/>
            <w:noWrap/>
            <w:vAlign w:val="bottom"/>
          </w:tcPr>
          <w:p w14:paraId="48B188BB" w14:textId="423D6884" w:rsidR="00722C88" w:rsidRPr="00CD218D" w:rsidRDefault="00722C88" w:rsidP="00722C88">
            <w:pPr>
              <w:pStyle w:val="Tabletext"/>
            </w:pPr>
            <w:r w:rsidRPr="00EB655C">
              <w:t>Net GloBE Loss</w:t>
            </w:r>
          </w:p>
        </w:tc>
        <w:tc>
          <w:tcPr>
            <w:tcW w:w="1746" w:type="dxa"/>
            <w:tcBorders>
              <w:top w:val="nil"/>
              <w:left w:val="nil"/>
              <w:bottom w:val="single" w:sz="4" w:space="0" w:color="auto"/>
              <w:right w:val="single" w:sz="4" w:space="0" w:color="auto"/>
            </w:tcBorders>
            <w:shd w:val="clear" w:color="auto" w:fill="auto"/>
            <w:noWrap/>
          </w:tcPr>
          <w:p w14:paraId="5DD740E1" w14:textId="77777777" w:rsidR="00722C88" w:rsidRPr="00CD218D" w:rsidRDefault="00722C88" w:rsidP="00722C88">
            <w:pPr>
              <w:pStyle w:val="Tabletext"/>
            </w:pPr>
            <w:r w:rsidRPr="00CD218D">
              <w:t>10.1.1</w:t>
            </w:r>
          </w:p>
        </w:tc>
      </w:tr>
      <w:tr w:rsidR="00722C88" w:rsidRPr="00CD218D" w14:paraId="6032C3E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D450765" w14:textId="648BFFC2" w:rsidR="00722C88" w:rsidRPr="00CD218D" w:rsidRDefault="00722C88" w:rsidP="00722C88">
            <w:pPr>
              <w:pStyle w:val="Tabletext"/>
            </w:pPr>
            <w:r w:rsidRPr="00EB655C">
              <w:t>3-</w:t>
            </w:r>
            <w:r>
              <w:t>15</w:t>
            </w:r>
          </w:p>
        </w:tc>
        <w:tc>
          <w:tcPr>
            <w:tcW w:w="3743" w:type="dxa"/>
            <w:tcBorders>
              <w:top w:val="nil"/>
              <w:left w:val="nil"/>
              <w:bottom w:val="single" w:sz="4" w:space="0" w:color="auto"/>
              <w:right w:val="single" w:sz="4" w:space="0" w:color="auto"/>
            </w:tcBorders>
            <w:shd w:val="clear" w:color="auto" w:fill="auto"/>
            <w:noWrap/>
            <w:vAlign w:val="bottom"/>
          </w:tcPr>
          <w:p w14:paraId="1C397FD1" w14:textId="48DF787A" w:rsidR="00722C88" w:rsidRPr="00CD218D" w:rsidRDefault="00722C88" w:rsidP="00722C88">
            <w:pPr>
              <w:pStyle w:val="Tabletext"/>
            </w:pPr>
            <w:r w:rsidRPr="00EB655C">
              <w:t>Net Taxes Expense</w:t>
            </w:r>
          </w:p>
        </w:tc>
        <w:tc>
          <w:tcPr>
            <w:tcW w:w="1746" w:type="dxa"/>
            <w:tcBorders>
              <w:top w:val="nil"/>
              <w:left w:val="nil"/>
              <w:bottom w:val="single" w:sz="4" w:space="0" w:color="auto"/>
              <w:right w:val="single" w:sz="4" w:space="0" w:color="auto"/>
            </w:tcBorders>
            <w:shd w:val="clear" w:color="auto" w:fill="auto"/>
            <w:noWrap/>
          </w:tcPr>
          <w:p w14:paraId="64E92B66" w14:textId="77777777" w:rsidR="00722C88" w:rsidRPr="00CD218D" w:rsidRDefault="00722C88" w:rsidP="00722C88">
            <w:pPr>
              <w:pStyle w:val="Tabletext"/>
            </w:pPr>
            <w:r w:rsidRPr="00CD218D">
              <w:t>10.1.1</w:t>
            </w:r>
          </w:p>
        </w:tc>
      </w:tr>
      <w:tr w:rsidR="00722C88" w:rsidRPr="00CD218D" w14:paraId="6FDE749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692DC60" w14:textId="69DFB0BB" w:rsidR="00722C88" w:rsidRPr="00CD218D" w:rsidRDefault="00722C88" w:rsidP="00722C88">
            <w:pPr>
              <w:pStyle w:val="Tabletext"/>
            </w:pPr>
            <w:r>
              <w:t>8-100(2)</w:t>
            </w:r>
          </w:p>
        </w:tc>
        <w:tc>
          <w:tcPr>
            <w:tcW w:w="3743" w:type="dxa"/>
            <w:tcBorders>
              <w:top w:val="nil"/>
              <w:left w:val="nil"/>
              <w:bottom w:val="single" w:sz="4" w:space="0" w:color="auto"/>
              <w:right w:val="single" w:sz="4" w:space="0" w:color="auto"/>
            </w:tcBorders>
            <w:shd w:val="clear" w:color="auto" w:fill="auto"/>
            <w:noWrap/>
            <w:vAlign w:val="bottom"/>
          </w:tcPr>
          <w:p w14:paraId="1B1D05BA" w14:textId="401DC912" w:rsidR="00722C88" w:rsidRPr="00CD218D" w:rsidRDefault="00722C88" w:rsidP="00722C88">
            <w:pPr>
              <w:pStyle w:val="Tabletext"/>
            </w:pPr>
            <w:r>
              <w:t>Net Unrealised Fair Value Loss</w:t>
            </w:r>
          </w:p>
        </w:tc>
        <w:tc>
          <w:tcPr>
            <w:tcW w:w="1746" w:type="dxa"/>
            <w:tcBorders>
              <w:top w:val="nil"/>
              <w:left w:val="nil"/>
              <w:bottom w:val="single" w:sz="4" w:space="0" w:color="auto"/>
              <w:right w:val="single" w:sz="4" w:space="0" w:color="auto"/>
            </w:tcBorders>
            <w:shd w:val="clear" w:color="auto" w:fill="auto"/>
            <w:noWrap/>
          </w:tcPr>
          <w:p w14:paraId="4371628C" w14:textId="77777777" w:rsidR="00722C88" w:rsidRPr="00CD218D" w:rsidRDefault="00722C88" w:rsidP="00722C88">
            <w:pPr>
              <w:pStyle w:val="Tabletext"/>
            </w:pPr>
            <w:r w:rsidRPr="00CD218D">
              <w:t>10.1.1</w:t>
            </w:r>
          </w:p>
        </w:tc>
      </w:tr>
      <w:tr w:rsidR="00722C88" w:rsidRPr="00CD218D" w14:paraId="653F93E0" w14:textId="77777777">
        <w:trPr>
          <w:trHeight w:val="132"/>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42CB07C" w14:textId="458BEE6B" w:rsidR="00722C88" w:rsidRPr="00CD218D" w:rsidRDefault="00722C88" w:rsidP="00722C88">
            <w:pPr>
              <w:pStyle w:val="Tabletext"/>
            </w:pPr>
            <w:r>
              <w:t>3-140</w:t>
            </w:r>
          </w:p>
        </w:tc>
        <w:tc>
          <w:tcPr>
            <w:tcW w:w="3743" w:type="dxa"/>
            <w:tcBorders>
              <w:top w:val="nil"/>
              <w:left w:val="nil"/>
              <w:bottom w:val="single" w:sz="4" w:space="0" w:color="auto"/>
              <w:right w:val="single" w:sz="4" w:space="0" w:color="auto"/>
            </w:tcBorders>
            <w:shd w:val="clear" w:color="auto" w:fill="auto"/>
            <w:noWrap/>
            <w:vAlign w:val="bottom"/>
          </w:tcPr>
          <w:p w14:paraId="017B4BDC" w14:textId="51B78ED4" w:rsidR="00722C88" w:rsidRPr="00CD218D" w:rsidRDefault="00722C88" w:rsidP="00722C88">
            <w:pPr>
              <w:pStyle w:val="Tabletext"/>
            </w:pPr>
            <w:r>
              <w:t>Non-Marketable Transferable Tax Credit</w:t>
            </w:r>
          </w:p>
        </w:tc>
        <w:tc>
          <w:tcPr>
            <w:tcW w:w="1746" w:type="dxa"/>
            <w:tcBorders>
              <w:top w:val="nil"/>
              <w:left w:val="nil"/>
              <w:bottom w:val="single" w:sz="4" w:space="0" w:color="auto"/>
              <w:right w:val="single" w:sz="4" w:space="0" w:color="auto"/>
            </w:tcBorders>
            <w:shd w:val="clear" w:color="auto" w:fill="auto"/>
            <w:noWrap/>
          </w:tcPr>
          <w:p w14:paraId="7219DCFC" w14:textId="77777777" w:rsidR="00722C88" w:rsidRPr="00CD218D" w:rsidRDefault="00722C88" w:rsidP="00722C88">
            <w:pPr>
              <w:pStyle w:val="Tabletext"/>
            </w:pPr>
            <w:r w:rsidRPr="00CD218D">
              <w:t>10.1.1</w:t>
            </w:r>
          </w:p>
        </w:tc>
      </w:tr>
      <w:tr w:rsidR="00722C88" w:rsidRPr="00CD218D" w14:paraId="1E84A4B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318E625" w14:textId="24465BB6" w:rsidR="00722C88" w:rsidRPr="00CD218D" w:rsidRDefault="00722C88" w:rsidP="00722C88">
            <w:pPr>
              <w:pStyle w:val="Tabletext"/>
            </w:pPr>
            <w:r>
              <w:t>8-185</w:t>
            </w:r>
          </w:p>
        </w:tc>
        <w:tc>
          <w:tcPr>
            <w:tcW w:w="3743" w:type="dxa"/>
            <w:tcBorders>
              <w:top w:val="nil"/>
              <w:left w:val="nil"/>
              <w:bottom w:val="single" w:sz="4" w:space="0" w:color="auto"/>
              <w:right w:val="single" w:sz="4" w:space="0" w:color="auto"/>
            </w:tcBorders>
            <w:shd w:val="clear" w:color="auto" w:fill="auto"/>
            <w:noWrap/>
            <w:vAlign w:val="bottom"/>
          </w:tcPr>
          <w:p w14:paraId="7D41F740" w14:textId="09EF4C50" w:rsidR="00722C88" w:rsidRPr="00CD218D" w:rsidRDefault="00722C88" w:rsidP="00722C88">
            <w:pPr>
              <w:pStyle w:val="Tabletext"/>
            </w:pPr>
            <w:r>
              <w:t>Non-material Constituent Entity</w:t>
            </w:r>
          </w:p>
        </w:tc>
        <w:tc>
          <w:tcPr>
            <w:tcW w:w="1746" w:type="dxa"/>
            <w:tcBorders>
              <w:top w:val="nil"/>
              <w:left w:val="nil"/>
              <w:bottom w:val="single" w:sz="4" w:space="0" w:color="auto"/>
              <w:right w:val="single" w:sz="4" w:space="0" w:color="auto"/>
            </w:tcBorders>
            <w:shd w:val="clear" w:color="auto" w:fill="auto"/>
            <w:noWrap/>
          </w:tcPr>
          <w:p w14:paraId="66B73BF9" w14:textId="77777777" w:rsidR="00722C88" w:rsidRPr="00CD218D" w:rsidRDefault="00722C88" w:rsidP="00722C88">
            <w:pPr>
              <w:pStyle w:val="Tabletext"/>
            </w:pPr>
            <w:r w:rsidRPr="00CD218D">
              <w:t>10.1.1</w:t>
            </w:r>
          </w:p>
        </w:tc>
      </w:tr>
      <w:tr w:rsidR="00722C88" w:rsidRPr="00CD218D" w14:paraId="2C4805CE"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3F933EA" w14:textId="3A390A9E" w:rsidR="00722C88" w:rsidRPr="00CD218D" w:rsidRDefault="00722C88" w:rsidP="00722C88">
            <w:pPr>
              <w:pStyle w:val="Tabletext"/>
            </w:pPr>
            <w:r w:rsidRPr="00EB655C">
              <w:t>3-12</w:t>
            </w:r>
            <w:r>
              <w:t>5</w:t>
            </w:r>
            <w:r w:rsidRPr="00EB655C">
              <w:t>(</w:t>
            </w:r>
            <w:r>
              <w:t>3</w:t>
            </w:r>
            <w:r w:rsidRPr="00EB655C">
              <w:t>)</w:t>
            </w:r>
          </w:p>
        </w:tc>
        <w:tc>
          <w:tcPr>
            <w:tcW w:w="3743" w:type="dxa"/>
            <w:tcBorders>
              <w:top w:val="nil"/>
              <w:left w:val="nil"/>
              <w:bottom w:val="single" w:sz="4" w:space="0" w:color="auto"/>
              <w:right w:val="single" w:sz="4" w:space="0" w:color="auto"/>
            </w:tcBorders>
            <w:shd w:val="clear" w:color="auto" w:fill="auto"/>
            <w:noWrap/>
            <w:vAlign w:val="bottom"/>
          </w:tcPr>
          <w:p w14:paraId="6A497B10" w14:textId="3C4F3EC1" w:rsidR="00722C88" w:rsidRPr="00CD218D" w:rsidRDefault="00722C88" w:rsidP="00722C88">
            <w:pPr>
              <w:pStyle w:val="Tabletext"/>
            </w:pPr>
            <w:r w:rsidRPr="00EB655C">
              <w:t>Non-Qualified Refundable Tax Credit</w:t>
            </w:r>
          </w:p>
        </w:tc>
        <w:tc>
          <w:tcPr>
            <w:tcW w:w="1746" w:type="dxa"/>
            <w:tcBorders>
              <w:top w:val="nil"/>
              <w:left w:val="nil"/>
              <w:bottom w:val="single" w:sz="4" w:space="0" w:color="auto"/>
              <w:right w:val="single" w:sz="4" w:space="0" w:color="auto"/>
            </w:tcBorders>
            <w:shd w:val="clear" w:color="auto" w:fill="auto"/>
            <w:noWrap/>
          </w:tcPr>
          <w:p w14:paraId="2002F399" w14:textId="45E284BA" w:rsidR="00722C88" w:rsidRPr="00CD218D" w:rsidRDefault="00722C88" w:rsidP="00722C88">
            <w:pPr>
              <w:pStyle w:val="Tabletext"/>
            </w:pPr>
            <w:r w:rsidRPr="00CD218D">
              <w:t>10.1.1</w:t>
            </w:r>
          </w:p>
        </w:tc>
      </w:tr>
      <w:tr w:rsidR="00722C88" w:rsidRPr="00CD218D" w14:paraId="6E34C96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21385C7" w14:textId="39591D66" w:rsidR="00722C88" w:rsidRPr="00CD218D" w:rsidRDefault="00722C88" w:rsidP="00722C88">
            <w:pPr>
              <w:pStyle w:val="Tabletext"/>
            </w:pPr>
            <w:r w:rsidRPr="00EB655C">
              <w:t>6-</w:t>
            </w:r>
            <w:r>
              <w:t>65</w:t>
            </w:r>
            <w:r w:rsidRPr="00EB655C">
              <w:t>(4)</w:t>
            </w:r>
          </w:p>
        </w:tc>
        <w:tc>
          <w:tcPr>
            <w:tcW w:w="3743" w:type="dxa"/>
            <w:tcBorders>
              <w:top w:val="nil"/>
              <w:left w:val="nil"/>
              <w:bottom w:val="single" w:sz="4" w:space="0" w:color="auto"/>
              <w:right w:val="single" w:sz="4" w:space="0" w:color="auto"/>
            </w:tcBorders>
            <w:shd w:val="clear" w:color="auto" w:fill="auto"/>
            <w:noWrap/>
            <w:vAlign w:val="bottom"/>
          </w:tcPr>
          <w:p w14:paraId="22000A3F" w14:textId="4727339A" w:rsidR="00722C88" w:rsidRPr="00CD218D" w:rsidRDefault="00722C88" w:rsidP="00722C88">
            <w:pPr>
              <w:pStyle w:val="Tabletext"/>
            </w:pPr>
            <w:r w:rsidRPr="00EB655C">
              <w:t>Non-qualifying Gain or Loss</w:t>
            </w:r>
          </w:p>
        </w:tc>
        <w:tc>
          <w:tcPr>
            <w:tcW w:w="1746" w:type="dxa"/>
            <w:tcBorders>
              <w:top w:val="nil"/>
              <w:left w:val="nil"/>
              <w:bottom w:val="single" w:sz="4" w:space="0" w:color="auto"/>
              <w:right w:val="single" w:sz="4" w:space="0" w:color="auto"/>
            </w:tcBorders>
            <w:shd w:val="clear" w:color="auto" w:fill="auto"/>
            <w:noWrap/>
          </w:tcPr>
          <w:p w14:paraId="7695DC63" w14:textId="1CB96F27" w:rsidR="00722C88" w:rsidRPr="00CD218D" w:rsidRDefault="00722C88" w:rsidP="00722C88">
            <w:pPr>
              <w:pStyle w:val="Tabletext"/>
            </w:pPr>
            <w:r w:rsidRPr="00CD218D">
              <w:t>10.1.1</w:t>
            </w:r>
          </w:p>
        </w:tc>
      </w:tr>
      <w:tr w:rsidR="00722C88" w:rsidRPr="00CD218D" w14:paraId="6F120E29"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B50A021" w14:textId="2AC9AF44" w:rsidR="00722C88" w:rsidRPr="00CD218D" w:rsidRDefault="00722C88" w:rsidP="00722C88">
            <w:pPr>
              <w:pStyle w:val="Tabletext"/>
            </w:pPr>
            <w:r>
              <w:t>2-75</w:t>
            </w:r>
          </w:p>
        </w:tc>
        <w:tc>
          <w:tcPr>
            <w:tcW w:w="3743" w:type="dxa"/>
            <w:tcBorders>
              <w:top w:val="nil"/>
              <w:left w:val="nil"/>
              <w:bottom w:val="single" w:sz="4" w:space="0" w:color="auto"/>
              <w:right w:val="single" w:sz="4" w:space="0" w:color="auto"/>
            </w:tcBorders>
            <w:shd w:val="clear" w:color="auto" w:fill="auto"/>
            <w:noWrap/>
            <w:vAlign w:val="bottom"/>
          </w:tcPr>
          <w:p w14:paraId="7F1BDB7D" w14:textId="45F36B58" w:rsidR="00722C88" w:rsidRPr="00CD218D" w:rsidRDefault="00722C88" w:rsidP="00722C88">
            <w:pPr>
              <w:pStyle w:val="Tabletext"/>
            </w:pPr>
            <w:r>
              <w:t>Number of Employees for the purpose of UTPR Percentage</w:t>
            </w:r>
          </w:p>
        </w:tc>
        <w:tc>
          <w:tcPr>
            <w:tcW w:w="1746" w:type="dxa"/>
            <w:tcBorders>
              <w:top w:val="nil"/>
              <w:left w:val="nil"/>
              <w:bottom w:val="single" w:sz="4" w:space="0" w:color="auto"/>
              <w:right w:val="single" w:sz="4" w:space="0" w:color="auto"/>
            </w:tcBorders>
            <w:shd w:val="clear" w:color="auto" w:fill="auto"/>
            <w:noWrap/>
          </w:tcPr>
          <w:p w14:paraId="6AC051E1" w14:textId="78F4FBC1" w:rsidR="00722C88" w:rsidRPr="00CD218D" w:rsidRDefault="00722C88" w:rsidP="00722C88">
            <w:pPr>
              <w:pStyle w:val="Tabletext"/>
            </w:pPr>
            <w:r w:rsidRPr="00CD218D">
              <w:t>10.1.1</w:t>
            </w:r>
          </w:p>
        </w:tc>
      </w:tr>
      <w:tr w:rsidR="00722C88" w:rsidRPr="00CD218D" w14:paraId="472E820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2B62A8A" w14:textId="16559C0C" w:rsidR="00722C88" w:rsidRPr="00CD218D" w:rsidRDefault="00722C88" w:rsidP="00722C88">
            <w:pPr>
              <w:pStyle w:val="Tabletext"/>
            </w:pPr>
            <w:r w:rsidRPr="00EB655C">
              <w:t>10-5</w:t>
            </w:r>
          </w:p>
        </w:tc>
        <w:tc>
          <w:tcPr>
            <w:tcW w:w="3743" w:type="dxa"/>
            <w:tcBorders>
              <w:top w:val="nil"/>
              <w:left w:val="nil"/>
              <w:bottom w:val="single" w:sz="4" w:space="0" w:color="auto"/>
              <w:right w:val="single" w:sz="4" w:space="0" w:color="auto"/>
            </w:tcBorders>
            <w:shd w:val="clear" w:color="auto" w:fill="auto"/>
            <w:noWrap/>
            <w:vAlign w:val="bottom"/>
          </w:tcPr>
          <w:p w14:paraId="418ABC7C" w14:textId="2669E4FD" w:rsidR="00722C88" w:rsidRPr="00CD218D" w:rsidRDefault="00722C88" w:rsidP="00722C88">
            <w:pPr>
              <w:pStyle w:val="Tabletext"/>
            </w:pPr>
            <w:r w:rsidRPr="00EB655C">
              <w:t>OECD Model Tax Convention</w:t>
            </w:r>
          </w:p>
        </w:tc>
        <w:tc>
          <w:tcPr>
            <w:tcW w:w="1746" w:type="dxa"/>
            <w:tcBorders>
              <w:top w:val="nil"/>
              <w:left w:val="nil"/>
              <w:bottom w:val="single" w:sz="4" w:space="0" w:color="auto"/>
              <w:right w:val="single" w:sz="4" w:space="0" w:color="auto"/>
            </w:tcBorders>
            <w:shd w:val="clear" w:color="auto" w:fill="auto"/>
            <w:noWrap/>
          </w:tcPr>
          <w:p w14:paraId="026DBE69" w14:textId="4C0F6F3D" w:rsidR="00722C88" w:rsidRPr="00CD218D" w:rsidRDefault="00722C88" w:rsidP="00722C88">
            <w:pPr>
              <w:pStyle w:val="Tabletext"/>
            </w:pPr>
            <w:r w:rsidRPr="00CD218D">
              <w:t>10.1.1</w:t>
            </w:r>
          </w:p>
        </w:tc>
      </w:tr>
      <w:tr w:rsidR="00722C88" w:rsidRPr="00CD218D" w14:paraId="28C0C09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09E3FBE" w14:textId="6D5031C1" w:rsidR="00722C88" w:rsidRPr="00CD218D" w:rsidRDefault="00722C88" w:rsidP="00722C88">
            <w:pPr>
              <w:pStyle w:val="Tabletext"/>
            </w:pPr>
            <w:r>
              <w:t>8-215</w:t>
            </w:r>
          </w:p>
        </w:tc>
        <w:tc>
          <w:tcPr>
            <w:tcW w:w="3743" w:type="dxa"/>
            <w:tcBorders>
              <w:top w:val="nil"/>
              <w:left w:val="nil"/>
              <w:bottom w:val="single" w:sz="4" w:space="0" w:color="auto"/>
              <w:right w:val="single" w:sz="4" w:space="0" w:color="auto"/>
            </w:tcBorders>
            <w:shd w:val="clear" w:color="auto" w:fill="auto"/>
            <w:noWrap/>
            <w:vAlign w:val="bottom"/>
          </w:tcPr>
          <w:p w14:paraId="72001903" w14:textId="47828577" w:rsidR="00722C88" w:rsidRPr="00CD218D" w:rsidRDefault="00722C88" w:rsidP="00722C88">
            <w:pPr>
              <w:pStyle w:val="Tabletext"/>
            </w:pPr>
            <w:r>
              <w:t xml:space="preserve">OECD Securitisation Entity </w:t>
            </w:r>
          </w:p>
        </w:tc>
        <w:tc>
          <w:tcPr>
            <w:tcW w:w="1746" w:type="dxa"/>
            <w:tcBorders>
              <w:top w:val="nil"/>
              <w:left w:val="nil"/>
              <w:bottom w:val="single" w:sz="4" w:space="0" w:color="auto"/>
              <w:right w:val="single" w:sz="4" w:space="0" w:color="auto"/>
            </w:tcBorders>
            <w:shd w:val="clear" w:color="auto" w:fill="auto"/>
            <w:noWrap/>
            <w:vAlign w:val="bottom"/>
          </w:tcPr>
          <w:p w14:paraId="08CC82C0" w14:textId="04D5C638" w:rsidR="00722C88" w:rsidRPr="00CD218D" w:rsidRDefault="00722C88" w:rsidP="00722C88">
            <w:pPr>
              <w:pStyle w:val="Tabletext"/>
            </w:pPr>
            <w:r>
              <w:t>6.1 of the June 2024 AG</w:t>
            </w:r>
          </w:p>
        </w:tc>
      </w:tr>
      <w:tr w:rsidR="00722C88" w:rsidRPr="00CD218D" w14:paraId="7DD8B6B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05A832BA" w14:textId="38919833" w:rsidR="00722C88" w:rsidRPr="00CD218D" w:rsidRDefault="00722C88" w:rsidP="00722C88">
            <w:pPr>
              <w:pStyle w:val="Tabletext"/>
            </w:pPr>
            <w:r w:rsidRPr="00EB655C">
              <w:t>3-</w:t>
            </w:r>
            <w:r>
              <w:t>50</w:t>
            </w:r>
            <w:r w:rsidRPr="00EB655C">
              <w:t>(2)</w:t>
            </w:r>
          </w:p>
        </w:tc>
        <w:tc>
          <w:tcPr>
            <w:tcW w:w="3743" w:type="dxa"/>
            <w:tcBorders>
              <w:top w:val="nil"/>
              <w:left w:val="nil"/>
              <w:bottom w:val="single" w:sz="4" w:space="0" w:color="auto"/>
              <w:right w:val="single" w:sz="4" w:space="0" w:color="auto"/>
            </w:tcBorders>
            <w:shd w:val="clear" w:color="auto" w:fill="auto"/>
            <w:noWrap/>
            <w:vAlign w:val="bottom"/>
          </w:tcPr>
          <w:p w14:paraId="20AEB7F4" w14:textId="754711F9" w:rsidR="00722C88" w:rsidRPr="00CD218D" w:rsidRDefault="00722C88" w:rsidP="00722C88">
            <w:pPr>
              <w:pStyle w:val="Tabletext"/>
            </w:pPr>
            <w:r w:rsidRPr="00EB655C">
              <w:t>Other Comprehensive Income</w:t>
            </w:r>
          </w:p>
        </w:tc>
        <w:tc>
          <w:tcPr>
            <w:tcW w:w="1746" w:type="dxa"/>
            <w:tcBorders>
              <w:top w:val="nil"/>
              <w:left w:val="nil"/>
              <w:bottom w:val="single" w:sz="4" w:space="0" w:color="auto"/>
              <w:right w:val="single" w:sz="4" w:space="0" w:color="auto"/>
            </w:tcBorders>
            <w:shd w:val="clear" w:color="auto" w:fill="auto"/>
            <w:noWrap/>
            <w:vAlign w:val="bottom"/>
          </w:tcPr>
          <w:p w14:paraId="69D3CFD3" w14:textId="1821FE8E" w:rsidR="00722C88" w:rsidRPr="00CD218D" w:rsidRDefault="00722C88" w:rsidP="00722C88">
            <w:pPr>
              <w:pStyle w:val="Tabletext"/>
            </w:pPr>
            <w:r w:rsidRPr="00EB655C">
              <w:t>10.1.1</w:t>
            </w:r>
          </w:p>
        </w:tc>
      </w:tr>
      <w:tr w:rsidR="00722C88" w:rsidRPr="00CD218D" w14:paraId="4342E9D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1AEB69F" w14:textId="4488A356" w:rsidR="00722C88" w:rsidRPr="00CD218D" w:rsidRDefault="00722C88" w:rsidP="00722C88">
            <w:pPr>
              <w:pStyle w:val="Tabletext"/>
            </w:pPr>
            <w:r w:rsidRPr="00EB655C">
              <w:t>10-</w:t>
            </w:r>
            <w:r>
              <w:t>45</w:t>
            </w:r>
            <w:r w:rsidRPr="00EB655C">
              <w:t>(2)</w:t>
            </w:r>
          </w:p>
        </w:tc>
        <w:tc>
          <w:tcPr>
            <w:tcW w:w="3743" w:type="dxa"/>
            <w:tcBorders>
              <w:top w:val="nil"/>
              <w:left w:val="nil"/>
              <w:bottom w:val="single" w:sz="4" w:space="0" w:color="auto"/>
              <w:right w:val="single" w:sz="4" w:space="0" w:color="auto"/>
            </w:tcBorders>
            <w:shd w:val="clear" w:color="auto" w:fill="auto"/>
            <w:noWrap/>
            <w:vAlign w:val="bottom"/>
          </w:tcPr>
          <w:p w14:paraId="06A0E4EE" w14:textId="4289854D" w:rsidR="00722C88" w:rsidRPr="00CD218D" w:rsidRDefault="00722C88" w:rsidP="00722C88">
            <w:pPr>
              <w:pStyle w:val="Tabletext"/>
            </w:pPr>
            <w:r w:rsidRPr="00EB655C">
              <w:t xml:space="preserve">Ownership interest in a </w:t>
            </w:r>
            <w:r>
              <w:t>Constituent Entity</w:t>
            </w:r>
            <w:r w:rsidRPr="00EB655C">
              <w:t xml:space="preserve"> through a tax transparent structure </w:t>
            </w:r>
          </w:p>
        </w:tc>
        <w:tc>
          <w:tcPr>
            <w:tcW w:w="1746" w:type="dxa"/>
            <w:tcBorders>
              <w:top w:val="nil"/>
              <w:left w:val="nil"/>
              <w:bottom w:val="single" w:sz="4" w:space="0" w:color="auto"/>
              <w:right w:val="single" w:sz="4" w:space="0" w:color="auto"/>
            </w:tcBorders>
            <w:shd w:val="clear" w:color="auto" w:fill="auto"/>
            <w:noWrap/>
            <w:vAlign w:val="bottom"/>
          </w:tcPr>
          <w:p w14:paraId="657B38E7" w14:textId="6B2F4781" w:rsidR="00722C88" w:rsidRPr="00CD218D" w:rsidRDefault="00722C88" w:rsidP="00722C88">
            <w:pPr>
              <w:pStyle w:val="Tabletext"/>
            </w:pPr>
            <w:r w:rsidRPr="00EB655C">
              <w:t>10.2.3</w:t>
            </w:r>
          </w:p>
        </w:tc>
      </w:tr>
      <w:tr w:rsidR="00722C88" w:rsidRPr="00CD218D" w14:paraId="775E9E5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79116A24" w14:textId="48EEE6AB" w:rsidR="00722C88" w:rsidRPr="00CD218D" w:rsidRDefault="00722C88" w:rsidP="00722C88">
            <w:pPr>
              <w:pStyle w:val="Tabletext"/>
            </w:pPr>
            <w:r w:rsidRPr="00EB655C">
              <w:t>10-5</w:t>
            </w:r>
          </w:p>
        </w:tc>
        <w:tc>
          <w:tcPr>
            <w:tcW w:w="3743" w:type="dxa"/>
            <w:tcBorders>
              <w:top w:val="nil"/>
              <w:left w:val="nil"/>
              <w:bottom w:val="single" w:sz="4" w:space="0" w:color="auto"/>
              <w:right w:val="single" w:sz="4" w:space="0" w:color="auto"/>
            </w:tcBorders>
            <w:shd w:val="clear" w:color="auto" w:fill="auto"/>
            <w:noWrap/>
            <w:vAlign w:val="bottom"/>
          </w:tcPr>
          <w:p w14:paraId="2C21D825" w14:textId="30CBC0F4" w:rsidR="00722C88" w:rsidRPr="00CD218D" w:rsidRDefault="00722C88" w:rsidP="00722C88">
            <w:pPr>
              <w:pStyle w:val="Tabletext"/>
            </w:pPr>
            <w:r w:rsidRPr="00EB655C">
              <w:t>Parent Entity</w:t>
            </w:r>
          </w:p>
        </w:tc>
        <w:tc>
          <w:tcPr>
            <w:tcW w:w="1746" w:type="dxa"/>
            <w:tcBorders>
              <w:top w:val="nil"/>
              <w:left w:val="nil"/>
              <w:bottom w:val="single" w:sz="4" w:space="0" w:color="auto"/>
              <w:right w:val="single" w:sz="4" w:space="0" w:color="auto"/>
            </w:tcBorders>
            <w:shd w:val="clear" w:color="auto" w:fill="auto"/>
            <w:noWrap/>
            <w:vAlign w:val="bottom"/>
          </w:tcPr>
          <w:p w14:paraId="296DE107" w14:textId="77777777" w:rsidR="00722C88" w:rsidRPr="00CD218D" w:rsidRDefault="00722C88" w:rsidP="00722C88">
            <w:pPr>
              <w:pStyle w:val="Tabletext"/>
            </w:pPr>
            <w:r w:rsidRPr="00EB655C">
              <w:t>10.1.1</w:t>
            </w:r>
          </w:p>
        </w:tc>
      </w:tr>
      <w:tr w:rsidR="00722C88" w:rsidRPr="00CD218D" w14:paraId="27C22BE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03EE20F1" w14:textId="10141274" w:rsidR="00722C88" w:rsidRPr="00CD218D" w:rsidRDefault="00722C88" w:rsidP="00722C88">
            <w:pPr>
              <w:pStyle w:val="Tabletext"/>
            </w:pPr>
            <w:r w:rsidRPr="00EB655C">
              <w:t>2-15</w:t>
            </w:r>
          </w:p>
        </w:tc>
        <w:tc>
          <w:tcPr>
            <w:tcW w:w="3743" w:type="dxa"/>
            <w:tcBorders>
              <w:top w:val="nil"/>
              <w:left w:val="nil"/>
              <w:bottom w:val="single" w:sz="4" w:space="0" w:color="auto"/>
              <w:right w:val="single" w:sz="4" w:space="0" w:color="auto"/>
            </w:tcBorders>
            <w:shd w:val="clear" w:color="auto" w:fill="auto"/>
            <w:noWrap/>
            <w:vAlign w:val="bottom"/>
          </w:tcPr>
          <w:p w14:paraId="61727838" w14:textId="13B60C49" w:rsidR="00722C88" w:rsidRPr="00CD218D" w:rsidRDefault="00722C88" w:rsidP="00722C88">
            <w:pPr>
              <w:pStyle w:val="Tabletext"/>
            </w:pPr>
            <w:r w:rsidRPr="00EB655C">
              <w:t>Parent Entity’s Inclusion Ratio</w:t>
            </w:r>
          </w:p>
        </w:tc>
        <w:tc>
          <w:tcPr>
            <w:tcW w:w="1746" w:type="dxa"/>
            <w:tcBorders>
              <w:top w:val="nil"/>
              <w:left w:val="nil"/>
              <w:bottom w:val="single" w:sz="4" w:space="0" w:color="auto"/>
              <w:right w:val="single" w:sz="4" w:space="0" w:color="auto"/>
            </w:tcBorders>
            <w:shd w:val="clear" w:color="auto" w:fill="auto"/>
            <w:noWrap/>
            <w:vAlign w:val="bottom"/>
          </w:tcPr>
          <w:p w14:paraId="7F7ADECC" w14:textId="77777777" w:rsidR="00722C88" w:rsidRPr="00CD218D" w:rsidRDefault="00722C88" w:rsidP="00722C88">
            <w:pPr>
              <w:pStyle w:val="Tabletext"/>
            </w:pPr>
            <w:r w:rsidRPr="00EB655C">
              <w:t>10.1.1</w:t>
            </w:r>
          </w:p>
        </w:tc>
      </w:tr>
      <w:tr w:rsidR="00722C88" w:rsidRPr="00CD218D" w14:paraId="238D20F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F19FC47" w14:textId="6D14A7EE" w:rsidR="00722C88" w:rsidRPr="00CD218D" w:rsidRDefault="00722C88" w:rsidP="00722C88">
            <w:pPr>
              <w:pStyle w:val="Tabletext"/>
            </w:pPr>
            <w:r w:rsidRPr="00EB655C">
              <w:t>10-5</w:t>
            </w:r>
          </w:p>
        </w:tc>
        <w:tc>
          <w:tcPr>
            <w:tcW w:w="3743" w:type="dxa"/>
            <w:tcBorders>
              <w:top w:val="nil"/>
              <w:left w:val="nil"/>
              <w:bottom w:val="single" w:sz="4" w:space="0" w:color="auto"/>
              <w:right w:val="single" w:sz="4" w:space="0" w:color="auto"/>
            </w:tcBorders>
            <w:shd w:val="clear" w:color="auto" w:fill="auto"/>
            <w:noWrap/>
            <w:vAlign w:val="bottom"/>
          </w:tcPr>
          <w:p w14:paraId="02F009B6" w14:textId="4A021679" w:rsidR="00722C88" w:rsidRPr="00CD218D" w:rsidRDefault="00722C88" w:rsidP="00722C88">
            <w:pPr>
              <w:pStyle w:val="Tabletext"/>
            </w:pPr>
            <w:r w:rsidRPr="00EB655C">
              <w:t>Partially-Owned Parent Entity</w:t>
            </w:r>
          </w:p>
        </w:tc>
        <w:tc>
          <w:tcPr>
            <w:tcW w:w="1746" w:type="dxa"/>
            <w:tcBorders>
              <w:top w:val="nil"/>
              <w:left w:val="nil"/>
              <w:bottom w:val="single" w:sz="4" w:space="0" w:color="auto"/>
              <w:right w:val="single" w:sz="4" w:space="0" w:color="auto"/>
            </w:tcBorders>
            <w:shd w:val="clear" w:color="auto" w:fill="auto"/>
            <w:noWrap/>
            <w:vAlign w:val="bottom"/>
          </w:tcPr>
          <w:p w14:paraId="4DB13D65" w14:textId="77777777" w:rsidR="00722C88" w:rsidRPr="00CD218D" w:rsidRDefault="00722C88" w:rsidP="00722C88">
            <w:pPr>
              <w:pStyle w:val="Tabletext"/>
            </w:pPr>
            <w:r w:rsidRPr="00EB655C">
              <w:t>10.1.1</w:t>
            </w:r>
          </w:p>
        </w:tc>
      </w:tr>
      <w:tr w:rsidR="00722C88" w:rsidRPr="00CD218D" w14:paraId="56F88354"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05D24996" w14:textId="4C7B53B7" w:rsidR="00722C88" w:rsidRPr="00CD218D" w:rsidRDefault="00722C88" w:rsidP="00722C88">
            <w:pPr>
              <w:pStyle w:val="Tabletext"/>
            </w:pPr>
            <w:r w:rsidRPr="00EB655C">
              <w:t>10-5</w:t>
            </w:r>
          </w:p>
        </w:tc>
        <w:tc>
          <w:tcPr>
            <w:tcW w:w="3743" w:type="dxa"/>
            <w:tcBorders>
              <w:top w:val="nil"/>
              <w:left w:val="nil"/>
              <w:bottom w:val="single" w:sz="4" w:space="0" w:color="auto"/>
              <w:right w:val="single" w:sz="4" w:space="0" w:color="auto"/>
            </w:tcBorders>
            <w:shd w:val="clear" w:color="auto" w:fill="auto"/>
            <w:noWrap/>
            <w:vAlign w:val="bottom"/>
          </w:tcPr>
          <w:p w14:paraId="6F5DA002" w14:textId="16D31718" w:rsidR="00722C88" w:rsidRPr="00EB655C" w:rsidRDefault="00722C88" w:rsidP="00722C88">
            <w:pPr>
              <w:pStyle w:val="Tabletext"/>
            </w:pPr>
            <w:r w:rsidRPr="00EB655C">
              <w:t xml:space="preserve">Passive Income </w:t>
            </w:r>
          </w:p>
        </w:tc>
        <w:tc>
          <w:tcPr>
            <w:tcW w:w="1746" w:type="dxa"/>
            <w:tcBorders>
              <w:top w:val="nil"/>
              <w:left w:val="nil"/>
              <w:bottom w:val="single" w:sz="4" w:space="0" w:color="auto"/>
              <w:right w:val="single" w:sz="4" w:space="0" w:color="auto"/>
            </w:tcBorders>
            <w:shd w:val="clear" w:color="auto" w:fill="auto"/>
            <w:noWrap/>
            <w:vAlign w:val="bottom"/>
          </w:tcPr>
          <w:p w14:paraId="75D0667B" w14:textId="091E367F" w:rsidR="00722C88" w:rsidRPr="00CD218D" w:rsidRDefault="00722C88" w:rsidP="00722C88">
            <w:pPr>
              <w:pStyle w:val="Tabletext"/>
            </w:pPr>
            <w:r w:rsidRPr="00EB655C">
              <w:t>10.1.1</w:t>
            </w:r>
          </w:p>
        </w:tc>
      </w:tr>
      <w:tr w:rsidR="00722C88" w:rsidRPr="00CD218D" w14:paraId="2BE0B6C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B63987B" w14:textId="32476FDE" w:rsidR="00722C88" w:rsidRPr="00CD218D" w:rsidRDefault="00722C88" w:rsidP="00722C88">
            <w:pPr>
              <w:pStyle w:val="Tabletext"/>
            </w:pPr>
            <w:r w:rsidRPr="00EB655C">
              <w:t>3-</w:t>
            </w:r>
            <w:r>
              <w:t>25</w:t>
            </w:r>
            <w:r w:rsidRPr="00EB655C">
              <w:t>(</w:t>
            </w:r>
            <w:r>
              <w:t>4</w:t>
            </w:r>
            <w:r w:rsidRPr="00EB655C">
              <w:t>)</w:t>
            </w:r>
          </w:p>
        </w:tc>
        <w:tc>
          <w:tcPr>
            <w:tcW w:w="3743" w:type="dxa"/>
            <w:tcBorders>
              <w:top w:val="nil"/>
              <w:left w:val="nil"/>
              <w:bottom w:val="single" w:sz="4" w:space="0" w:color="auto"/>
              <w:right w:val="single" w:sz="4" w:space="0" w:color="auto"/>
            </w:tcBorders>
            <w:shd w:val="clear" w:color="auto" w:fill="auto"/>
            <w:noWrap/>
            <w:vAlign w:val="bottom"/>
          </w:tcPr>
          <w:p w14:paraId="76DD7A9A" w14:textId="66D18E11" w:rsidR="00722C88" w:rsidRPr="00EB655C" w:rsidRDefault="00722C88" w:rsidP="00722C88">
            <w:pPr>
              <w:pStyle w:val="Tabletext"/>
            </w:pPr>
            <w:r w:rsidRPr="00EB655C">
              <w:t>Portfolio Shareholding</w:t>
            </w:r>
          </w:p>
        </w:tc>
        <w:tc>
          <w:tcPr>
            <w:tcW w:w="1746" w:type="dxa"/>
            <w:tcBorders>
              <w:top w:val="nil"/>
              <w:left w:val="nil"/>
              <w:bottom w:val="single" w:sz="4" w:space="0" w:color="auto"/>
              <w:right w:val="single" w:sz="4" w:space="0" w:color="auto"/>
            </w:tcBorders>
            <w:shd w:val="clear" w:color="auto" w:fill="auto"/>
            <w:noWrap/>
            <w:vAlign w:val="bottom"/>
          </w:tcPr>
          <w:p w14:paraId="29B55092" w14:textId="671D6AC5" w:rsidR="00722C88" w:rsidRPr="00CD218D" w:rsidRDefault="00722C88" w:rsidP="00722C88">
            <w:pPr>
              <w:pStyle w:val="Tabletext"/>
            </w:pPr>
            <w:r w:rsidRPr="00EB655C">
              <w:t>10.1.1</w:t>
            </w:r>
          </w:p>
        </w:tc>
      </w:tr>
      <w:tr w:rsidR="00722C88" w:rsidRPr="00CD218D" w14:paraId="7790A21B"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C54F861" w14:textId="799B7010" w:rsidR="00722C88" w:rsidRPr="00CD218D" w:rsidRDefault="00722C88" w:rsidP="00722C88">
            <w:pPr>
              <w:pStyle w:val="Tabletext"/>
            </w:pPr>
            <w:r w:rsidRPr="00EB655C">
              <w:t>3-2</w:t>
            </w:r>
            <w:r>
              <w:t>30</w:t>
            </w:r>
            <w:r w:rsidRPr="00EB655C">
              <w:t>(1)</w:t>
            </w:r>
          </w:p>
        </w:tc>
        <w:tc>
          <w:tcPr>
            <w:tcW w:w="3743" w:type="dxa"/>
            <w:tcBorders>
              <w:top w:val="nil"/>
              <w:left w:val="nil"/>
              <w:bottom w:val="single" w:sz="4" w:space="0" w:color="auto"/>
              <w:right w:val="single" w:sz="4" w:space="0" w:color="auto"/>
            </w:tcBorders>
            <w:shd w:val="clear" w:color="auto" w:fill="auto"/>
            <w:noWrap/>
            <w:vAlign w:val="bottom"/>
          </w:tcPr>
          <w:p w14:paraId="72C97ED2" w14:textId="02A7ED22" w:rsidR="00722C88" w:rsidRPr="00EB655C" w:rsidRDefault="00722C88" w:rsidP="00722C88">
            <w:pPr>
              <w:pStyle w:val="Tabletext"/>
            </w:pPr>
            <w:r w:rsidRPr="00EB655C">
              <w:t>Qualified Ancillary International Shipping Income</w:t>
            </w:r>
          </w:p>
        </w:tc>
        <w:tc>
          <w:tcPr>
            <w:tcW w:w="1746" w:type="dxa"/>
            <w:tcBorders>
              <w:top w:val="nil"/>
              <w:left w:val="nil"/>
              <w:bottom w:val="single" w:sz="4" w:space="0" w:color="auto"/>
              <w:right w:val="single" w:sz="4" w:space="0" w:color="auto"/>
            </w:tcBorders>
            <w:shd w:val="clear" w:color="auto" w:fill="auto"/>
            <w:noWrap/>
            <w:vAlign w:val="bottom"/>
          </w:tcPr>
          <w:p w14:paraId="37133979" w14:textId="6E95F017" w:rsidR="00722C88" w:rsidRPr="00CD218D" w:rsidRDefault="00722C88" w:rsidP="00722C88">
            <w:pPr>
              <w:pStyle w:val="Tabletext"/>
            </w:pPr>
            <w:r w:rsidRPr="00EB655C">
              <w:t>10.1.1</w:t>
            </w:r>
          </w:p>
        </w:tc>
      </w:tr>
      <w:tr w:rsidR="00722C88" w:rsidRPr="00CD218D" w14:paraId="2BFB128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29030D9" w14:textId="5B26FC8A" w:rsidR="00722C88" w:rsidRPr="00CD218D" w:rsidRDefault="00722C88" w:rsidP="00722C88">
            <w:pPr>
              <w:pStyle w:val="Tabletext"/>
            </w:pPr>
            <w:r>
              <w:lastRenderedPageBreak/>
              <w:t>3-85(1)</w:t>
            </w:r>
          </w:p>
        </w:tc>
        <w:tc>
          <w:tcPr>
            <w:tcW w:w="3743" w:type="dxa"/>
            <w:tcBorders>
              <w:top w:val="nil"/>
              <w:left w:val="nil"/>
              <w:bottom w:val="single" w:sz="4" w:space="0" w:color="auto"/>
              <w:right w:val="single" w:sz="4" w:space="0" w:color="auto"/>
            </w:tcBorders>
            <w:shd w:val="clear" w:color="auto" w:fill="auto"/>
            <w:noWrap/>
            <w:vAlign w:val="bottom"/>
          </w:tcPr>
          <w:p w14:paraId="50AEE2D3" w14:textId="5A01EB81" w:rsidR="00722C88" w:rsidRPr="00EB655C" w:rsidRDefault="00722C88" w:rsidP="00722C88">
            <w:pPr>
              <w:pStyle w:val="Tabletext"/>
            </w:pPr>
            <w:r>
              <w:t xml:space="preserve">Qualified debt release amount </w:t>
            </w:r>
          </w:p>
        </w:tc>
        <w:tc>
          <w:tcPr>
            <w:tcW w:w="1746" w:type="dxa"/>
            <w:tcBorders>
              <w:top w:val="nil"/>
              <w:left w:val="nil"/>
              <w:bottom w:val="single" w:sz="4" w:space="0" w:color="auto"/>
              <w:right w:val="single" w:sz="4" w:space="0" w:color="auto"/>
            </w:tcBorders>
            <w:shd w:val="clear" w:color="auto" w:fill="auto"/>
            <w:noWrap/>
            <w:vAlign w:val="bottom"/>
          </w:tcPr>
          <w:p w14:paraId="6040AB5E" w14:textId="09288B1C" w:rsidR="00722C88" w:rsidRPr="00CD218D" w:rsidRDefault="00722C88" w:rsidP="00722C88">
            <w:pPr>
              <w:pStyle w:val="Tabletext"/>
            </w:pPr>
            <w:r>
              <w:t>2.4 of the February 2023 AG</w:t>
            </w:r>
          </w:p>
        </w:tc>
      </w:tr>
      <w:tr w:rsidR="00722C88" w:rsidRPr="00CD218D" w14:paraId="3D97DA1C"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B86E9D5" w14:textId="01B3152D" w:rsidR="00722C88" w:rsidRPr="00CD218D" w:rsidRDefault="00722C88" w:rsidP="00722C88">
            <w:pPr>
              <w:pStyle w:val="Tabletext"/>
            </w:pPr>
            <w:r w:rsidRPr="00EB655C">
              <w:t>10-5</w:t>
            </w:r>
          </w:p>
        </w:tc>
        <w:tc>
          <w:tcPr>
            <w:tcW w:w="3743" w:type="dxa"/>
            <w:tcBorders>
              <w:top w:val="nil"/>
              <w:left w:val="nil"/>
              <w:bottom w:val="single" w:sz="4" w:space="0" w:color="auto"/>
              <w:right w:val="single" w:sz="4" w:space="0" w:color="auto"/>
            </w:tcBorders>
            <w:shd w:val="clear" w:color="auto" w:fill="auto"/>
            <w:noWrap/>
            <w:vAlign w:val="bottom"/>
          </w:tcPr>
          <w:p w14:paraId="71C55636" w14:textId="0597486E" w:rsidR="00722C88" w:rsidRDefault="00722C88" w:rsidP="00722C88">
            <w:pPr>
              <w:pStyle w:val="Tabletext"/>
            </w:pPr>
            <w:r w:rsidRPr="00EB655C">
              <w:t>Qualified Domestic Minimum Top-up Tax</w:t>
            </w:r>
          </w:p>
        </w:tc>
        <w:tc>
          <w:tcPr>
            <w:tcW w:w="1746" w:type="dxa"/>
            <w:tcBorders>
              <w:top w:val="nil"/>
              <w:left w:val="nil"/>
              <w:bottom w:val="single" w:sz="4" w:space="0" w:color="auto"/>
              <w:right w:val="single" w:sz="4" w:space="0" w:color="auto"/>
            </w:tcBorders>
            <w:shd w:val="clear" w:color="auto" w:fill="auto"/>
            <w:noWrap/>
            <w:vAlign w:val="bottom"/>
          </w:tcPr>
          <w:p w14:paraId="3A893A8C" w14:textId="736D623F" w:rsidR="00722C88" w:rsidRPr="00CD218D" w:rsidRDefault="00722C88" w:rsidP="00722C88">
            <w:pPr>
              <w:pStyle w:val="Tabletext"/>
            </w:pPr>
            <w:r w:rsidRPr="00EB655C">
              <w:t>10.1.1</w:t>
            </w:r>
          </w:p>
        </w:tc>
      </w:tr>
      <w:tr w:rsidR="00722C88" w:rsidRPr="00CD218D" w14:paraId="397E14F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DF61470" w14:textId="4E40070F" w:rsidR="00722C88" w:rsidRPr="00CD218D" w:rsidRDefault="00722C88" w:rsidP="00722C88">
            <w:pPr>
              <w:pStyle w:val="Tabletext"/>
            </w:pPr>
            <w:r w:rsidRPr="00EB655C">
              <w:t>10-5</w:t>
            </w:r>
          </w:p>
        </w:tc>
        <w:tc>
          <w:tcPr>
            <w:tcW w:w="3743" w:type="dxa"/>
            <w:tcBorders>
              <w:top w:val="nil"/>
              <w:left w:val="nil"/>
              <w:bottom w:val="single" w:sz="4" w:space="0" w:color="auto"/>
              <w:right w:val="single" w:sz="4" w:space="0" w:color="auto"/>
            </w:tcBorders>
            <w:shd w:val="clear" w:color="auto" w:fill="auto"/>
            <w:noWrap/>
            <w:vAlign w:val="bottom"/>
          </w:tcPr>
          <w:p w14:paraId="547AE5C7" w14:textId="34F71236" w:rsidR="00722C88" w:rsidRPr="00EB655C" w:rsidRDefault="00722C88" w:rsidP="00722C88">
            <w:pPr>
              <w:pStyle w:val="Tabletext"/>
            </w:pPr>
            <w:r w:rsidRPr="00EB655C">
              <w:t xml:space="preserve">Qualified </w:t>
            </w:r>
            <w:r>
              <w:t>I</w:t>
            </w:r>
            <w:r w:rsidRPr="00EB655C">
              <w:t>IR</w:t>
            </w:r>
          </w:p>
        </w:tc>
        <w:tc>
          <w:tcPr>
            <w:tcW w:w="1746" w:type="dxa"/>
            <w:tcBorders>
              <w:top w:val="nil"/>
              <w:left w:val="nil"/>
              <w:bottom w:val="single" w:sz="4" w:space="0" w:color="auto"/>
              <w:right w:val="single" w:sz="4" w:space="0" w:color="auto"/>
            </w:tcBorders>
            <w:shd w:val="clear" w:color="auto" w:fill="auto"/>
            <w:noWrap/>
            <w:vAlign w:val="bottom"/>
          </w:tcPr>
          <w:p w14:paraId="09CDDC03" w14:textId="465F0A1D" w:rsidR="00722C88" w:rsidRPr="00CD218D" w:rsidRDefault="00722C88" w:rsidP="00722C88">
            <w:pPr>
              <w:pStyle w:val="Tabletext"/>
            </w:pPr>
            <w:r w:rsidRPr="00EB655C">
              <w:t>10.1.1</w:t>
            </w:r>
          </w:p>
        </w:tc>
      </w:tr>
      <w:tr w:rsidR="00722C88" w:rsidRPr="00CD218D" w14:paraId="0850D35A"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90BFE53" w14:textId="095BAEA2" w:rsidR="00722C88" w:rsidRPr="00CD218D" w:rsidRDefault="00722C88" w:rsidP="00722C88">
            <w:pPr>
              <w:pStyle w:val="Tabletext"/>
            </w:pPr>
            <w:r w:rsidRPr="00EB655C">
              <w:t>10-5</w:t>
            </w:r>
          </w:p>
        </w:tc>
        <w:tc>
          <w:tcPr>
            <w:tcW w:w="3743" w:type="dxa"/>
            <w:tcBorders>
              <w:top w:val="nil"/>
              <w:left w:val="nil"/>
              <w:bottom w:val="single" w:sz="4" w:space="0" w:color="auto"/>
              <w:right w:val="single" w:sz="4" w:space="0" w:color="auto"/>
            </w:tcBorders>
            <w:shd w:val="clear" w:color="auto" w:fill="auto"/>
            <w:noWrap/>
            <w:vAlign w:val="bottom"/>
          </w:tcPr>
          <w:p w14:paraId="4C288D38" w14:textId="1FC8E410" w:rsidR="00722C88" w:rsidRPr="00EB655C" w:rsidRDefault="00722C88" w:rsidP="00722C88">
            <w:pPr>
              <w:pStyle w:val="Tabletext"/>
            </w:pPr>
            <w:r w:rsidRPr="00EB655C">
              <w:t>Qualified Imputation Tax</w:t>
            </w:r>
          </w:p>
        </w:tc>
        <w:tc>
          <w:tcPr>
            <w:tcW w:w="1746" w:type="dxa"/>
            <w:tcBorders>
              <w:top w:val="nil"/>
              <w:left w:val="nil"/>
              <w:bottom w:val="single" w:sz="4" w:space="0" w:color="auto"/>
              <w:right w:val="single" w:sz="4" w:space="0" w:color="auto"/>
            </w:tcBorders>
            <w:shd w:val="clear" w:color="auto" w:fill="auto"/>
            <w:noWrap/>
            <w:vAlign w:val="bottom"/>
          </w:tcPr>
          <w:p w14:paraId="4ABE79BB" w14:textId="4713E4DC" w:rsidR="00722C88" w:rsidRPr="00CD218D" w:rsidRDefault="00722C88" w:rsidP="00722C88">
            <w:pPr>
              <w:pStyle w:val="Tabletext"/>
            </w:pPr>
            <w:r w:rsidRPr="00EB655C">
              <w:t>10.1.1</w:t>
            </w:r>
          </w:p>
        </w:tc>
      </w:tr>
      <w:tr w:rsidR="00722C88" w:rsidRPr="00CD218D" w14:paraId="06FC4E0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717240F4" w14:textId="1D4741B7" w:rsidR="00722C88" w:rsidRPr="00CD218D" w:rsidRDefault="00722C88" w:rsidP="00722C88">
            <w:pPr>
              <w:pStyle w:val="Tabletext"/>
            </w:pPr>
            <w:r w:rsidRPr="00EB655C">
              <w:t>3-1</w:t>
            </w:r>
            <w:r>
              <w:t>25</w:t>
            </w:r>
            <w:r w:rsidRPr="00EB655C">
              <w:t>(1)-(2)</w:t>
            </w:r>
          </w:p>
        </w:tc>
        <w:tc>
          <w:tcPr>
            <w:tcW w:w="3743" w:type="dxa"/>
            <w:tcBorders>
              <w:top w:val="nil"/>
              <w:left w:val="nil"/>
              <w:bottom w:val="single" w:sz="4" w:space="0" w:color="auto"/>
              <w:right w:val="single" w:sz="4" w:space="0" w:color="auto"/>
            </w:tcBorders>
            <w:shd w:val="clear" w:color="auto" w:fill="auto"/>
            <w:noWrap/>
            <w:vAlign w:val="bottom"/>
          </w:tcPr>
          <w:p w14:paraId="4732D68A" w14:textId="184A491F" w:rsidR="00722C88" w:rsidRPr="00EB655C" w:rsidRDefault="00722C88" w:rsidP="00722C88">
            <w:pPr>
              <w:pStyle w:val="Tabletext"/>
            </w:pPr>
            <w:r w:rsidRPr="00EB655C">
              <w:t>Qualified Refundable Tax Credit</w:t>
            </w:r>
          </w:p>
        </w:tc>
        <w:tc>
          <w:tcPr>
            <w:tcW w:w="1746" w:type="dxa"/>
            <w:tcBorders>
              <w:top w:val="nil"/>
              <w:left w:val="nil"/>
              <w:bottom w:val="single" w:sz="4" w:space="0" w:color="auto"/>
              <w:right w:val="single" w:sz="4" w:space="0" w:color="auto"/>
            </w:tcBorders>
            <w:shd w:val="clear" w:color="auto" w:fill="auto"/>
            <w:noWrap/>
            <w:vAlign w:val="bottom"/>
          </w:tcPr>
          <w:p w14:paraId="045D3664" w14:textId="613F9C18" w:rsidR="00722C88" w:rsidRPr="00CD218D" w:rsidRDefault="00722C88" w:rsidP="00722C88">
            <w:pPr>
              <w:pStyle w:val="Tabletext"/>
            </w:pPr>
            <w:r w:rsidRPr="00EB655C">
              <w:t>10.1.1</w:t>
            </w:r>
          </w:p>
        </w:tc>
      </w:tr>
      <w:tr w:rsidR="00722C88" w:rsidRPr="00CD218D" w14:paraId="02B30BB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74CED4F" w14:textId="51B0BA2F" w:rsidR="00722C88" w:rsidRPr="00CD218D" w:rsidRDefault="00722C88" w:rsidP="00722C88">
            <w:pPr>
              <w:pStyle w:val="Tabletext"/>
            </w:pPr>
            <w:r>
              <w:t xml:space="preserve">10-5 </w:t>
            </w:r>
          </w:p>
        </w:tc>
        <w:tc>
          <w:tcPr>
            <w:tcW w:w="3743" w:type="dxa"/>
            <w:tcBorders>
              <w:top w:val="nil"/>
              <w:left w:val="nil"/>
              <w:bottom w:val="single" w:sz="4" w:space="0" w:color="auto"/>
              <w:right w:val="single" w:sz="4" w:space="0" w:color="auto"/>
            </w:tcBorders>
            <w:shd w:val="clear" w:color="auto" w:fill="auto"/>
            <w:noWrap/>
            <w:vAlign w:val="bottom"/>
          </w:tcPr>
          <w:p w14:paraId="4D38ABB7" w14:textId="29D64A99" w:rsidR="00722C88" w:rsidRPr="00EB655C" w:rsidRDefault="00722C88" w:rsidP="00722C88">
            <w:pPr>
              <w:pStyle w:val="Tabletext"/>
            </w:pPr>
            <w:r>
              <w:t xml:space="preserve">Qualified UTPR </w:t>
            </w:r>
          </w:p>
        </w:tc>
        <w:tc>
          <w:tcPr>
            <w:tcW w:w="1746" w:type="dxa"/>
            <w:tcBorders>
              <w:top w:val="nil"/>
              <w:left w:val="nil"/>
              <w:bottom w:val="single" w:sz="4" w:space="0" w:color="auto"/>
              <w:right w:val="single" w:sz="4" w:space="0" w:color="auto"/>
            </w:tcBorders>
            <w:shd w:val="clear" w:color="auto" w:fill="auto"/>
            <w:noWrap/>
            <w:vAlign w:val="bottom"/>
          </w:tcPr>
          <w:p w14:paraId="12207848" w14:textId="60542C31" w:rsidR="00722C88" w:rsidRPr="00CD218D" w:rsidRDefault="00722C88" w:rsidP="00722C88">
            <w:pPr>
              <w:pStyle w:val="Tabletext"/>
            </w:pPr>
            <w:r>
              <w:t>10.1.1</w:t>
            </w:r>
          </w:p>
        </w:tc>
      </w:tr>
      <w:tr w:rsidR="00722C88" w:rsidRPr="00CD218D" w14:paraId="20F9CE4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0DC70C4" w14:textId="03E37977" w:rsidR="00722C88" w:rsidRPr="00CD218D" w:rsidRDefault="00722C88" w:rsidP="00722C88">
            <w:pPr>
              <w:pStyle w:val="Tabletext"/>
            </w:pPr>
            <w:r>
              <w:t>No equivalent</w:t>
            </w:r>
          </w:p>
        </w:tc>
        <w:tc>
          <w:tcPr>
            <w:tcW w:w="3743" w:type="dxa"/>
            <w:tcBorders>
              <w:top w:val="nil"/>
              <w:left w:val="nil"/>
              <w:bottom w:val="single" w:sz="4" w:space="0" w:color="auto"/>
              <w:right w:val="single" w:sz="4" w:space="0" w:color="auto"/>
            </w:tcBorders>
            <w:shd w:val="clear" w:color="auto" w:fill="auto"/>
            <w:noWrap/>
            <w:vAlign w:val="bottom"/>
          </w:tcPr>
          <w:p w14:paraId="43DEDEED" w14:textId="2A6B1571" w:rsidR="00722C88" w:rsidRDefault="00722C88" w:rsidP="00722C88">
            <w:pPr>
              <w:pStyle w:val="Tabletext"/>
            </w:pPr>
            <w:r>
              <w:t xml:space="preserve">Qualifying Competent Authority Agreement </w:t>
            </w:r>
          </w:p>
        </w:tc>
        <w:tc>
          <w:tcPr>
            <w:tcW w:w="1746" w:type="dxa"/>
            <w:tcBorders>
              <w:top w:val="nil"/>
              <w:left w:val="nil"/>
              <w:bottom w:val="single" w:sz="4" w:space="0" w:color="auto"/>
              <w:right w:val="single" w:sz="4" w:space="0" w:color="auto"/>
            </w:tcBorders>
            <w:shd w:val="clear" w:color="auto" w:fill="auto"/>
            <w:noWrap/>
            <w:vAlign w:val="bottom"/>
          </w:tcPr>
          <w:p w14:paraId="581B0E20" w14:textId="18304E16" w:rsidR="00722C88" w:rsidRPr="00CD218D" w:rsidRDefault="00722C88" w:rsidP="00722C88">
            <w:pPr>
              <w:pStyle w:val="Tabletext"/>
            </w:pPr>
            <w:r>
              <w:t>10.1.1</w:t>
            </w:r>
          </w:p>
        </w:tc>
      </w:tr>
      <w:tr w:rsidR="00722C88" w:rsidRPr="00CD218D" w14:paraId="59BA618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85F7FB0" w14:textId="48B77C48" w:rsidR="00722C88" w:rsidRPr="00CD218D" w:rsidRDefault="00722C88" w:rsidP="00722C88">
            <w:pPr>
              <w:pStyle w:val="Tabletext"/>
            </w:pPr>
            <w:r w:rsidRPr="00EB655C">
              <w:t>4-</w:t>
            </w:r>
            <w:r>
              <w:t>110</w:t>
            </w:r>
          </w:p>
        </w:tc>
        <w:tc>
          <w:tcPr>
            <w:tcW w:w="3743" w:type="dxa"/>
            <w:tcBorders>
              <w:top w:val="nil"/>
              <w:left w:val="nil"/>
              <w:bottom w:val="single" w:sz="4" w:space="0" w:color="auto"/>
              <w:right w:val="single" w:sz="4" w:space="0" w:color="auto"/>
            </w:tcBorders>
            <w:shd w:val="clear" w:color="auto" w:fill="auto"/>
            <w:noWrap/>
            <w:vAlign w:val="bottom"/>
          </w:tcPr>
          <w:p w14:paraId="32B26DA3" w14:textId="5E3C011C" w:rsidR="00722C88" w:rsidRDefault="00722C88" w:rsidP="00722C88">
            <w:pPr>
              <w:pStyle w:val="Tabletext"/>
            </w:pPr>
            <w:r w:rsidRPr="00EB655C">
              <w:t>Recapture Exception Accrual</w:t>
            </w:r>
          </w:p>
        </w:tc>
        <w:tc>
          <w:tcPr>
            <w:tcW w:w="1746" w:type="dxa"/>
            <w:tcBorders>
              <w:top w:val="nil"/>
              <w:left w:val="nil"/>
              <w:bottom w:val="single" w:sz="4" w:space="0" w:color="auto"/>
              <w:right w:val="single" w:sz="4" w:space="0" w:color="auto"/>
            </w:tcBorders>
            <w:shd w:val="clear" w:color="auto" w:fill="auto"/>
            <w:noWrap/>
            <w:vAlign w:val="bottom"/>
          </w:tcPr>
          <w:p w14:paraId="0224D2DF" w14:textId="10306641" w:rsidR="00722C88" w:rsidRPr="00CD218D" w:rsidRDefault="00722C88" w:rsidP="00722C88">
            <w:pPr>
              <w:pStyle w:val="Tabletext"/>
            </w:pPr>
            <w:r w:rsidRPr="00EB655C">
              <w:t>10.1.1</w:t>
            </w:r>
          </w:p>
        </w:tc>
      </w:tr>
      <w:tr w:rsidR="00722C88" w:rsidRPr="00CD218D" w14:paraId="5B07E742"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CFE5CAE" w14:textId="4227BCE2" w:rsidR="00722C88" w:rsidRPr="00CD218D" w:rsidRDefault="00722C88" w:rsidP="00722C88">
            <w:pPr>
              <w:pStyle w:val="Tabletext"/>
            </w:pPr>
            <w:r w:rsidRPr="00EB655C">
              <w:t>4-</w:t>
            </w:r>
            <w:r>
              <w:t>105</w:t>
            </w:r>
          </w:p>
        </w:tc>
        <w:tc>
          <w:tcPr>
            <w:tcW w:w="3743" w:type="dxa"/>
            <w:tcBorders>
              <w:top w:val="nil"/>
              <w:left w:val="nil"/>
              <w:bottom w:val="single" w:sz="4" w:space="0" w:color="auto"/>
              <w:right w:val="single" w:sz="4" w:space="0" w:color="auto"/>
            </w:tcBorders>
            <w:shd w:val="clear" w:color="auto" w:fill="auto"/>
            <w:noWrap/>
            <w:vAlign w:val="bottom"/>
          </w:tcPr>
          <w:p w14:paraId="05364460" w14:textId="593FA8E4" w:rsidR="00722C88" w:rsidRPr="00EB655C" w:rsidRDefault="00722C88" w:rsidP="00722C88">
            <w:pPr>
              <w:pStyle w:val="Tabletext"/>
            </w:pPr>
            <w:r w:rsidRPr="00EB655C">
              <w:t>Recaptured Deferred Tax Liability</w:t>
            </w:r>
          </w:p>
        </w:tc>
        <w:tc>
          <w:tcPr>
            <w:tcW w:w="1746" w:type="dxa"/>
            <w:tcBorders>
              <w:top w:val="nil"/>
              <w:left w:val="nil"/>
              <w:bottom w:val="single" w:sz="4" w:space="0" w:color="auto"/>
              <w:right w:val="single" w:sz="4" w:space="0" w:color="auto"/>
            </w:tcBorders>
            <w:shd w:val="clear" w:color="auto" w:fill="auto"/>
            <w:noWrap/>
            <w:vAlign w:val="bottom"/>
          </w:tcPr>
          <w:p w14:paraId="0DE9BD18" w14:textId="2BCF914C" w:rsidR="00722C88" w:rsidRPr="00CD218D" w:rsidRDefault="00722C88" w:rsidP="00722C88">
            <w:pPr>
              <w:pStyle w:val="Tabletext"/>
            </w:pPr>
            <w:r w:rsidRPr="00EB655C">
              <w:t>10.1.1</w:t>
            </w:r>
          </w:p>
        </w:tc>
      </w:tr>
      <w:tr w:rsidR="00722C88" w:rsidRPr="00CD218D" w14:paraId="0B12E13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B7FCF70" w14:textId="09860511" w:rsidR="00722C88" w:rsidRPr="00CD218D" w:rsidRDefault="00722C88" w:rsidP="00722C88">
            <w:pPr>
              <w:pStyle w:val="Tabletext"/>
            </w:pPr>
            <w:r w:rsidRPr="00EB655C">
              <w:t>4-20</w:t>
            </w:r>
          </w:p>
        </w:tc>
        <w:tc>
          <w:tcPr>
            <w:tcW w:w="3743" w:type="dxa"/>
            <w:tcBorders>
              <w:top w:val="nil"/>
              <w:left w:val="nil"/>
              <w:bottom w:val="single" w:sz="4" w:space="0" w:color="auto"/>
              <w:right w:val="single" w:sz="4" w:space="0" w:color="auto"/>
            </w:tcBorders>
            <w:shd w:val="clear" w:color="auto" w:fill="auto"/>
            <w:noWrap/>
            <w:vAlign w:val="bottom"/>
          </w:tcPr>
          <w:p w14:paraId="3145D12F" w14:textId="6E56B379" w:rsidR="00722C88" w:rsidRPr="00EB655C" w:rsidRDefault="00722C88" w:rsidP="00722C88">
            <w:pPr>
              <w:pStyle w:val="Tabletext"/>
            </w:pPr>
            <w:r w:rsidRPr="00EB655C">
              <w:t>Reductions to Covered Taxes</w:t>
            </w:r>
          </w:p>
        </w:tc>
        <w:tc>
          <w:tcPr>
            <w:tcW w:w="1746" w:type="dxa"/>
            <w:tcBorders>
              <w:top w:val="nil"/>
              <w:left w:val="nil"/>
              <w:bottom w:val="single" w:sz="4" w:space="0" w:color="auto"/>
              <w:right w:val="single" w:sz="4" w:space="0" w:color="auto"/>
            </w:tcBorders>
            <w:shd w:val="clear" w:color="auto" w:fill="auto"/>
            <w:noWrap/>
            <w:vAlign w:val="bottom"/>
          </w:tcPr>
          <w:p w14:paraId="5E76B537" w14:textId="5505E79A" w:rsidR="00722C88" w:rsidRPr="00CD218D" w:rsidRDefault="00722C88" w:rsidP="00722C88">
            <w:pPr>
              <w:pStyle w:val="Tabletext"/>
            </w:pPr>
            <w:r w:rsidRPr="00EB655C">
              <w:t>10.1.1</w:t>
            </w:r>
          </w:p>
        </w:tc>
      </w:tr>
      <w:tr w:rsidR="00722C88" w:rsidRPr="00CD218D" w14:paraId="0BE31CC3"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0C896D5" w14:textId="757D2448" w:rsidR="00722C88" w:rsidRPr="00CD218D" w:rsidRDefault="00722C88" w:rsidP="00722C88">
            <w:pPr>
              <w:pStyle w:val="Tabletext"/>
            </w:pPr>
            <w:r>
              <w:t>9-50</w:t>
            </w:r>
          </w:p>
        </w:tc>
        <w:tc>
          <w:tcPr>
            <w:tcW w:w="3743" w:type="dxa"/>
            <w:tcBorders>
              <w:top w:val="nil"/>
              <w:left w:val="nil"/>
              <w:bottom w:val="single" w:sz="4" w:space="0" w:color="auto"/>
              <w:right w:val="single" w:sz="4" w:space="0" w:color="auto"/>
            </w:tcBorders>
            <w:shd w:val="clear" w:color="auto" w:fill="auto"/>
            <w:noWrap/>
            <w:vAlign w:val="bottom"/>
          </w:tcPr>
          <w:p w14:paraId="6A4F3641" w14:textId="22D3189E" w:rsidR="00722C88" w:rsidRPr="00EB655C" w:rsidRDefault="00722C88" w:rsidP="00722C88">
            <w:pPr>
              <w:pStyle w:val="Tabletext"/>
            </w:pPr>
            <w:r>
              <w:t>Reference Jurisdiction</w:t>
            </w:r>
          </w:p>
        </w:tc>
        <w:tc>
          <w:tcPr>
            <w:tcW w:w="1746" w:type="dxa"/>
            <w:tcBorders>
              <w:top w:val="nil"/>
              <w:left w:val="nil"/>
              <w:bottom w:val="single" w:sz="4" w:space="0" w:color="auto"/>
              <w:right w:val="single" w:sz="4" w:space="0" w:color="auto"/>
            </w:tcBorders>
            <w:shd w:val="clear" w:color="auto" w:fill="auto"/>
            <w:noWrap/>
            <w:vAlign w:val="bottom"/>
          </w:tcPr>
          <w:p w14:paraId="7BE14363" w14:textId="5E92D45D" w:rsidR="00722C88" w:rsidRPr="00CD218D" w:rsidRDefault="00722C88" w:rsidP="00722C88">
            <w:pPr>
              <w:pStyle w:val="Tabletext"/>
            </w:pPr>
            <w:r>
              <w:t>10.1.1</w:t>
            </w:r>
          </w:p>
        </w:tc>
      </w:tr>
      <w:tr w:rsidR="00722C88" w:rsidRPr="00CD218D" w14:paraId="2780DEB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2971D4D" w14:textId="5CE5C674" w:rsidR="00722C88" w:rsidRPr="00CD218D" w:rsidRDefault="00722C88" w:rsidP="00722C88">
            <w:pPr>
              <w:pStyle w:val="Tabletext"/>
            </w:pPr>
            <w:r>
              <w:t>3-210</w:t>
            </w:r>
          </w:p>
        </w:tc>
        <w:tc>
          <w:tcPr>
            <w:tcW w:w="3743" w:type="dxa"/>
            <w:tcBorders>
              <w:top w:val="nil"/>
              <w:left w:val="nil"/>
              <w:bottom w:val="single" w:sz="4" w:space="0" w:color="auto"/>
              <w:right w:val="single" w:sz="4" w:space="0" w:color="auto"/>
            </w:tcBorders>
            <w:shd w:val="clear" w:color="auto" w:fill="auto"/>
            <w:noWrap/>
            <w:vAlign w:val="bottom"/>
          </w:tcPr>
          <w:p w14:paraId="5A4BFF9E" w14:textId="15EDFE8F" w:rsidR="00722C88" w:rsidRDefault="00722C88" w:rsidP="00722C88">
            <w:pPr>
              <w:pStyle w:val="Tabletext"/>
            </w:pPr>
            <w:r>
              <w:t xml:space="preserve">Restricted Tier One Capital </w:t>
            </w:r>
          </w:p>
        </w:tc>
        <w:tc>
          <w:tcPr>
            <w:tcW w:w="1746" w:type="dxa"/>
            <w:tcBorders>
              <w:top w:val="nil"/>
              <w:left w:val="nil"/>
              <w:bottom w:val="single" w:sz="4" w:space="0" w:color="auto"/>
              <w:right w:val="single" w:sz="4" w:space="0" w:color="auto"/>
            </w:tcBorders>
            <w:shd w:val="clear" w:color="auto" w:fill="auto"/>
            <w:noWrap/>
            <w:vAlign w:val="bottom"/>
          </w:tcPr>
          <w:p w14:paraId="309A38C6" w14:textId="41E9D052" w:rsidR="00722C88" w:rsidRPr="00CD218D" w:rsidRDefault="00722C88" w:rsidP="00722C88">
            <w:pPr>
              <w:pStyle w:val="Tabletext"/>
            </w:pPr>
            <w:r>
              <w:t>3.3 of the February 2023 AG</w:t>
            </w:r>
          </w:p>
        </w:tc>
      </w:tr>
      <w:tr w:rsidR="00722C88" w:rsidRPr="00CD218D" w14:paraId="32692C3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009D562C" w14:textId="75FB4A58" w:rsidR="00722C88" w:rsidRPr="00CD218D" w:rsidRDefault="00722C88" w:rsidP="00722C88">
            <w:pPr>
              <w:pStyle w:val="Tabletext"/>
            </w:pPr>
            <w:r w:rsidRPr="00EB655C">
              <w:t>3-</w:t>
            </w:r>
            <w:r>
              <w:t>25</w:t>
            </w:r>
            <w:r w:rsidRPr="00EB655C">
              <w:t>(</w:t>
            </w:r>
            <w:r>
              <w:t>3</w:t>
            </w:r>
            <w:r w:rsidRPr="00EB655C">
              <w:t>)</w:t>
            </w:r>
          </w:p>
        </w:tc>
        <w:tc>
          <w:tcPr>
            <w:tcW w:w="3743" w:type="dxa"/>
            <w:tcBorders>
              <w:top w:val="nil"/>
              <w:left w:val="nil"/>
              <w:bottom w:val="single" w:sz="4" w:space="0" w:color="auto"/>
              <w:right w:val="single" w:sz="4" w:space="0" w:color="auto"/>
            </w:tcBorders>
            <w:shd w:val="clear" w:color="auto" w:fill="auto"/>
            <w:noWrap/>
            <w:vAlign w:val="bottom"/>
          </w:tcPr>
          <w:p w14:paraId="2EFF827E" w14:textId="07D13433" w:rsidR="00722C88" w:rsidRDefault="00722C88" w:rsidP="00722C88">
            <w:pPr>
              <w:pStyle w:val="Tabletext"/>
            </w:pPr>
            <w:r w:rsidRPr="00EB655C">
              <w:t>Short-term Portfolio Shareholding</w:t>
            </w:r>
          </w:p>
        </w:tc>
        <w:tc>
          <w:tcPr>
            <w:tcW w:w="1746" w:type="dxa"/>
            <w:tcBorders>
              <w:top w:val="nil"/>
              <w:left w:val="nil"/>
              <w:bottom w:val="single" w:sz="4" w:space="0" w:color="auto"/>
              <w:right w:val="single" w:sz="4" w:space="0" w:color="auto"/>
            </w:tcBorders>
            <w:shd w:val="clear" w:color="auto" w:fill="auto"/>
            <w:noWrap/>
            <w:vAlign w:val="bottom"/>
          </w:tcPr>
          <w:p w14:paraId="1B3DF192" w14:textId="41E9C024" w:rsidR="00722C88" w:rsidRPr="00CD218D" w:rsidRDefault="00722C88" w:rsidP="00722C88">
            <w:pPr>
              <w:pStyle w:val="Tabletext"/>
            </w:pPr>
            <w:r w:rsidRPr="00EB655C">
              <w:t>10.1.1</w:t>
            </w:r>
          </w:p>
        </w:tc>
      </w:tr>
      <w:tr w:rsidR="00722C88" w:rsidRPr="00CD218D" w14:paraId="12FB65B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5F57A2E" w14:textId="44601BFD" w:rsidR="00722C88" w:rsidRPr="00CD218D" w:rsidRDefault="00722C88" w:rsidP="00722C88">
            <w:pPr>
              <w:pStyle w:val="Tabletext"/>
            </w:pPr>
            <w:r w:rsidRPr="00EB655C">
              <w:t>6-</w:t>
            </w:r>
            <w:r>
              <w:t>85(3)</w:t>
            </w:r>
          </w:p>
        </w:tc>
        <w:tc>
          <w:tcPr>
            <w:tcW w:w="3743" w:type="dxa"/>
            <w:tcBorders>
              <w:top w:val="nil"/>
              <w:left w:val="nil"/>
              <w:bottom w:val="single" w:sz="4" w:space="0" w:color="auto"/>
              <w:right w:val="single" w:sz="4" w:space="0" w:color="auto"/>
            </w:tcBorders>
            <w:shd w:val="clear" w:color="auto" w:fill="auto"/>
            <w:noWrap/>
            <w:vAlign w:val="bottom"/>
          </w:tcPr>
          <w:p w14:paraId="455D22FB" w14:textId="5178C83C" w:rsidR="00722C88" w:rsidRPr="00EB655C" w:rsidRDefault="00722C88" w:rsidP="00722C88">
            <w:pPr>
              <w:pStyle w:val="Tabletext"/>
            </w:pPr>
            <w:r w:rsidRPr="00EB655C">
              <w:t>Stapled Structure</w:t>
            </w:r>
          </w:p>
        </w:tc>
        <w:tc>
          <w:tcPr>
            <w:tcW w:w="1746" w:type="dxa"/>
            <w:tcBorders>
              <w:top w:val="nil"/>
              <w:left w:val="nil"/>
              <w:bottom w:val="single" w:sz="4" w:space="0" w:color="auto"/>
              <w:right w:val="single" w:sz="4" w:space="0" w:color="auto"/>
            </w:tcBorders>
            <w:shd w:val="clear" w:color="auto" w:fill="auto"/>
            <w:noWrap/>
            <w:vAlign w:val="bottom"/>
          </w:tcPr>
          <w:p w14:paraId="2113E315" w14:textId="3F7D0390" w:rsidR="00722C88" w:rsidRPr="00CD218D" w:rsidRDefault="00722C88" w:rsidP="00722C88">
            <w:pPr>
              <w:pStyle w:val="Tabletext"/>
            </w:pPr>
            <w:r w:rsidRPr="00EB655C">
              <w:t>10.1.1</w:t>
            </w:r>
          </w:p>
        </w:tc>
      </w:tr>
      <w:tr w:rsidR="00722C88" w:rsidRPr="00CD218D" w14:paraId="7094732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3F3E370E" w14:textId="361E82DE" w:rsidR="00722C88" w:rsidRPr="00CD218D" w:rsidRDefault="00722C88" w:rsidP="00722C88">
            <w:pPr>
              <w:pStyle w:val="Tabletext"/>
            </w:pPr>
            <w:r w:rsidRPr="00EB655C">
              <w:t>5-50</w:t>
            </w:r>
          </w:p>
        </w:tc>
        <w:tc>
          <w:tcPr>
            <w:tcW w:w="3743" w:type="dxa"/>
            <w:tcBorders>
              <w:top w:val="nil"/>
              <w:left w:val="nil"/>
              <w:bottom w:val="single" w:sz="4" w:space="0" w:color="auto"/>
              <w:right w:val="single" w:sz="4" w:space="0" w:color="auto"/>
            </w:tcBorders>
            <w:shd w:val="clear" w:color="auto" w:fill="auto"/>
            <w:noWrap/>
            <w:vAlign w:val="bottom"/>
          </w:tcPr>
          <w:p w14:paraId="50D2F75D" w14:textId="0A1382C8" w:rsidR="00722C88" w:rsidRPr="00EB655C" w:rsidRDefault="00722C88" w:rsidP="00722C88">
            <w:pPr>
              <w:pStyle w:val="Tabletext"/>
            </w:pPr>
            <w:r w:rsidRPr="00EB655C">
              <w:t>Substance-based Income Exclusion</w:t>
            </w:r>
          </w:p>
        </w:tc>
        <w:tc>
          <w:tcPr>
            <w:tcW w:w="1746" w:type="dxa"/>
            <w:tcBorders>
              <w:top w:val="nil"/>
              <w:left w:val="nil"/>
              <w:bottom w:val="single" w:sz="4" w:space="0" w:color="auto"/>
              <w:right w:val="single" w:sz="4" w:space="0" w:color="auto"/>
            </w:tcBorders>
            <w:shd w:val="clear" w:color="auto" w:fill="auto"/>
            <w:noWrap/>
            <w:vAlign w:val="bottom"/>
          </w:tcPr>
          <w:p w14:paraId="48689E79" w14:textId="39FE8707" w:rsidR="00722C88" w:rsidRPr="00CD218D" w:rsidRDefault="00722C88" w:rsidP="00722C88">
            <w:pPr>
              <w:pStyle w:val="Tabletext"/>
            </w:pPr>
            <w:r w:rsidRPr="00EB655C">
              <w:t>10.1.1</w:t>
            </w:r>
          </w:p>
        </w:tc>
      </w:tr>
      <w:tr w:rsidR="00722C88" w:rsidRPr="00CD218D" w14:paraId="2C290700"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76799190" w14:textId="4B8F3CD7" w:rsidR="00722C88" w:rsidRPr="00CD218D" w:rsidRDefault="00722C88" w:rsidP="00722C88">
            <w:pPr>
              <w:pStyle w:val="Tabletext"/>
            </w:pPr>
            <w:r w:rsidRPr="00EB655C">
              <w:t>10-5</w:t>
            </w:r>
          </w:p>
        </w:tc>
        <w:tc>
          <w:tcPr>
            <w:tcW w:w="3743" w:type="dxa"/>
            <w:tcBorders>
              <w:top w:val="nil"/>
              <w:left w:val="nil"/>
              <w:bottom w:val="single" w:sz="4" w:space="0" w:color="auto"/>
              <w:right w:val="single" w:sz="4" w:space="0" w:color="auto"/>
            </w:tcBorders>
            <w:shd w:val="clear" w:color="auto" w:fill="auto"/>
            <w:noWrap/>
            <w:vAlign w:val="bottom"/>
          </w:tcPr>
          <w:p w14:paraId="30D227BE" w14:textId="3CFE4751" w:rsidR="00722C88" w:rsidRPr="00EB655C" w:rsidRDefault="00722C88" w:rsidP="00722C88">
            <w:pPr>
              <w:pStyle w:val="Tabletext"/>
            </w:pPr>
            <w:r w:rsidRPr="00EB655C">
              <w:t>Tax</w:t>
            </w:r>
          </w:p>
        </w:tc>
        <w:tc>
          <w:tcPr>
            <w:tcW w:w="1746" w:type="dxa"/>
            <w:tcBorders>
              <w:top w:val="nil"/>
              <w:left w:val="nil"/>
              <w:bottom w:val="single" w:sz="4" w:space="0" w:color="auto"/>
              <w:right w:val="single" w:sz="4" w:space="0" w:color="auto"/>
            </w:tcBorders>
            <w:shd w:val="clear" w:color="auto" w:fill="auto"/>
            <w:noWrap/>
            <w:vAlign w:val="bottom"/>
          </w:tcPr>
          <w:p w14:paraId="094B6331" w14:textId="748ED79B" w:rsidR="00722C88" w:rsidRPr="00CD218D" w:rsidRDefault="00722C88" w:rsidP="00722C88">
            <w:pPr>
              <w:pStyle w:val="Tabletext"/>
            </w:pPr>
            <w:r w:rsidRPr="00EB655C">
              <w:t>10.1.1</w:t>
            </w:r>
          </w:p>
        </w:tc>
      </w:tr>
      <w:tr w:rsidR="00722C88" w:rsidRPr="00CD218D" w14:paraId="24D0D69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16BC2D8" w14:textId="511DD4CD" w:rsidR="00722C88" w:rsidRPr="00CD218D" w:rsidRDefault="00722C88" w:rsidP="00722C88">
            <w:pPr>
              <w:pStyle w:val="Tabletext"/>
            </w:pPr>
            <w:r>
              <w:t>7-145</w:t>
            </w:r>
          </w:p>
        </w:tc>
        <w:tc>
          <w:tcPr>
            <w:tcW w:w="3743" w:type="dxa"/>
            <w:tcBorders>
              <w:top w:val="nil"/>
              <w:left w:val="nil"/>
              <w:bottom w:val="single" w:sz="4" w:space="0" w:color="auto"/>
              <w:right w:val="single" w:sz="4" w:space="0" w:color="auto"/>
            </w:tcBorders>
            <w:shd w:val="clear" w:color="auto" w:fill="auto"/>
            <w:noWrap/>
            <w:vAlign w:val="bottom"/>
          </w:tcPr>
          <w:p w14:paraId="5E1EB335" w14:textId="7AC53193" w:rsidR="00722C88" w:rsidRPr="00EB655C" w:rsidRDefault="00722C88" w:rsidP="00722C88">
            <w:pPr>
              <w:pStyle w:val="Tabletext"/>
            </w:pPr>
            <w:r>
              <w:t>Taxable Distribution Method</w:t>
            </w:r>
          </w:p>
        </w:tc>
        <w:tc>
          <w:tcPr>
            <w:tcW w:w="1746" w:type="dxa"/>
            <w:tcBorders>
              <w:top w:val="nil"/>
              <w:left w:val="nil"/>
              <w:bottom w:val="single" w:sz="4" w:space="0" w:color="auto"/>
              <w:right w:val="single" w:sz="4" w:space="0" w:color="auto"/>
            </w:tcBorders>
            <w:shd w:val="clear" w:color="auto" w:fill="auto"/>
            <w:noWrap/>
            <w:vAlign w:val="bottom"/>
          </w:tcPr>
          <w:p w14:paraId="5ACDD0D1" w14:textId="26F23AC3" w:rsidR="00722C88" w:rsidRPr="00CD218D" w:rsidRDefault="00722C88" w:rsidP="00722C88">
            <w:pPr>
              <w:pStyle w:val="Tabletext"/>
            </w:pPr>
            <w:r>
              <w:t>10.1.1</w:t>
            </w:r>
          </w:p>
        </w:tc>
      </w:tr>
      <w:tr w:rsidR="00722C88" w:rsidRPr="00CD218D" w14:paraId="17D2B09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4D0093B9" w14:textId="106F7285" w:rsidR="00722C88" w:rsidRPr="00CD218D" w:rsidRDefault="00722C88" w:rsidP="00722C88">
            <w:pPr>
              <w:pStyle w:val="Tabletext"/>
            </w:pPr>
            <w:r w:rsidRPr="00EB655C">
              <w:t>7-1</w:t>
            </w:r>
            <w:r>
              <w:t>55</w:t>
            </w:r>
            <w:r w:rsidRPr="00EB655C">
              <w:t>(1)(a)(iii) and 7</w:t>
            </w:r>
            <w:r w:rsidR="00AF2431">
              <w:noBreakHyphen/>
            </w:r>
            <w:r w:rsidRPr="00EB655C">
              <w:t>1</w:t>
            </w:r>
            <w:r>
              <w:t>60</w:t>
            </w:r>
            <w:r w:rsidRPr="00EB655C">
              <w:t>(1)(a)(ii)</w:t>
            </w:r>
          </w:p>
        </w:tc>
        <w:tc>
          <w:tcPr>
            <w:tcW w:w="3743" w:type="dxa"/>
            <w:tcBorders>
              <w:top w:val="nil"/>
              <w:left w:val="nil"/>
              <w:bottom w:val="single" w:sz="4" w:space="0" w:color="auto"/>
              <w:right w:val="single" w:sz="4" w:space="0" w:color="auto"/>
            </w:tcBorders>
            <w:shd w:val="clear" w:color="auto" w:fill="auto"/>
            <w:noWrap/>
            <w:vAlign w:val="bottom"/>
          </w:tcPr>
          <w:p w14:paraId="2A300FC7" w14:textId="08CD58A4" w:rsidR="00722C88" w:rsidRDefault="00722C88" w:rsidP="00722C88">
            <w:pPr>
              <w:pStyle w:val="Tabletext"/>
            </w:pPr>
            <w:r w:rsidRPr="00EB655C">
              <w:t>Tested Year</w:t>
            </w:r>
          </w:p>
        </w:tc>
        <w:tc>
          <w:tcPr>
            <w:tcW w:w="1746" w:type="dxa"/>
            <w:tcBorders>
              <w:top w:val="nil"/>
              <w:left w:val="nil"/>
              <w:bottom w:val="single" w:sz="4" w:space="0" w:color="auto"/>
              <w:right w:val="single" w:sz="4" w:space="0" w:color="auto"/>
            </w:tcBorders>
            <w:shd w:val="clear" w:color="auto" w:fill="auto"/>
            <w:noWrap/>
            <w:vAlign w:val="bottom"/>
          </w:tcPr>
          <w:p w14:paraId="10DA0A88" w14:textId="35C52295" w:rsidR="00722C88" w:rsidRPr="00CD218D" w:rsidRDefault="00722C88" w:rsidP="00722C88">
            <w:pPr>
              <w:pStyle w:val="Tabletext"/>
            </w:pPr>
            <w:r w:rsidRPr="00EB655C">
              <w:t>10.1.1</w:t>
            </w:r>
          </w:p>
        </w:tc>
      </w:tr>
      <w:tr w:rsidR="00722C88" w:rsidRPr="00CD218D" w14:paraId="27F5118B"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17CB4818" w14:textId="57230338" w:rsidR="00722C88" w:rsidRPr="00CD218D" w:rsidRDefault="00722C88" w:rsidP="00722C88">
            <w:pPr>
              <w:pStyle w:val="Tabletext"/>
            </w:pPr>
            <w:r>
              <w:t>5-40</w:t>
            </w:r>
          </w:p>
        </w:tc>
        <w:tc>
          <w:tcPr>
            <w:tcW w:w="3743" w:type="dxa"/>
            <w:tcBorders>
              <w:top w:val="nil"/>
              <w:left w:val="nil"/>
              <w:bottom w:val="single" w:sz="4" w:space="0" w:color="auto"/>
              <w:right w:val="single" w:sz="4" w:space="0" w:color="auto"/>
            </w:tcBorders>
            <w:shd w:val="clear" w:color="auto" w:fill="auto"/>
            <w:noWrap/>
            <w:vAlign w:val="bottom"/>
          </w:tcPr>
          <w:p w14:paraId="6C997757" w14:textId="7FAEB917" w:rsidR="00722C88" w:rsidRPr="00EB655C" w:rsidRDefault="00722C88" w:rsidP="00722C88">
            <w:pPr>
              <w:pStyle w:val="Tabletext"/>
            </w:pPr>
            <w:r>
              <w:t>Top-up Tax</w:t>
            </w:r>
          </w:p>
        </w:tc>
        <w:tc>
          <w:tcPr>
            <w:tcW w:w="1746" w:type="dxa"/>
            <w:tcBorders>
              <w:top w:val="nil"/>
              <w:left w:val="nil"/>
              <w:bottom w:val="single" w:sz="4" w:space="0" w:color="auto"/>
              <w:right w:val="single" w:sz="4" w:space="0" w:color="auto"/>
            </w:tcBorders>
            <w:shd w:val="clear" w:color="auto" w:fill="auto"/>
            <w:noWrap/>
            <w:vAlign w:val="bottom"/>
          </w:tcPr>
          <w:p w14:paraId="56842E67" w14:textId="66CC7C80" w:rsidR="00722C88" w:rsidRPr="00CD218D" w:rsidRDefault="00722C88" w:rsidP="00722C88">
            <w:pPr>
              <w:pStyle w:val="Tabletext"/>
            </w:pPr>
            <w:r>
              <w:t>10.1.1</w:t>
            </w:r>
          </w:p>
        </w:tc>
      </w:tr>
      <w:tr w:rsidR="00722C88" w:rsidRPr="00CD218D" w14:paraId="0A05FDC1"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773DCC09" w14:textId="753F6896" w:rsidR="00722C88" w:rsidRPr="00CD218D" w:rsidRDefault="00722C88" w:rsidP="00722C88">
            <w:pPr>
              <w:pStyle w:val="Tabletext"/>
            </w:pPr>
            <w:r>
              <w:t>5-20</w:t>
            </w:r>
          </w:p>
        </w:tc>
        <w:tc>
          <w:tcPr>
            <w:tcW w:w="3743" w:type="dxa"/>
            <w:tcBorders>
              <w:top w:val="nil"/>
              <w:left w:val="nil"/>
              <w:bottom w:val="single" w:sz="4" w:space="0" w:color="auto"/>
              <w:right w:val="single" w:sz="4" w:space="0" w:color="auto"/>
            </w:tcBorders>
            <w:shd w:val="clear" w:color="auto" w:fill="auto"/>
            <w:noWrap/>
            <w:vAlign w:val="bottom"/>
          </w:tcPr>
          <w:p w14:paraId="18C97579" w14:textId="22E478DB" w:rsidR="00722C88" w:rsidRDefault="00722C88" w:rsidP="00722C88">
            <w:pPr>
              <w:pStyle w:val="Tabletext"/>
            </w:pPr>
            <w:r>
              <w:t>Top-up Tax Percentage</w:t>
            </w:r>
          </w:p>
        </w:tc>
        <w:tc>
          <w:tcPr>
            <w:tcW w:w="1746" w:type="dxa"/>
            <w:tcBorders>
              <w:top w:val="nil"/>
              <w:left w:val="nil"/>
              <w:bottom w:val="single" w:sz="4" w:space="0" w:color="auto"/>
              <w:right w:val="single" w:sz="4" w:space="0" w:color="auto"/>
            </w:tcBorders>
            <w:shd w:val="clear" w:color="auto" w:fill="auto"/>
            <w:noWrap/>
            <w:vAlign w:val="bottom"/>
          </w:tcPr>
          <w:p w14:paraId="03AC74B5" w14:textId="4DD13A8D" w:rsidR="00722C88" w:rsidRPr="00CD218D" w:rsidRDefault="00722C88" w:rsidP="00722C88">
            <w:pPr>
              <w:pStyle w:val="Tabletext"/>
            </w:pPr>
            <w:r>
              <w:t>10.1.1</w:t>
            </w:r>
          </w:p>
        </w:tc>
      </w:tr>
      <w:tr w:rsidR="00722C88" w:rsidRPr="00CD218D" w14:paraId="27EC993D"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64BE77D" w14:textId="1C9C47B8" w:rsidR="00722C88" w:rsidRPr="00CD218D" w:rsidRDefault="00722C88" w:rsidP="00722C88">
            <w:pPr>
              <w:pStyle w:val="Tabletext"/>
            </w:pPr>
            <w:r>
              <w:t>4-85</w:t>
            </w:r>
          </w:p>
        </w:tc>
        <w:tc>
          <w:tcPr>
            <w:tcW w:w="3743" w:type="dxa"/>
            <w:tcBorders>
              <w:top w:val="nil"/>
              <w:left w:val="nil"/>
              <w:bottom w:val="single" w:sz="4" w:space="0" w:color="auto"/>
              <w:right w:val="single" w:sz="4" w:space="0" w:color="auto"/>
            </w:tcBorders>
            <w:shd w:val="clear" w:color="auto" w:fill="auto"/>
            <w:noWrap/>
            <w:vAlign w:val="bottom"/>
          </w:tcPr>
          <w:p w14:paraId="48FC6A72" w14:textId="3ABF8E48" w:rsidR="00722C88" w:rsidRDefault="00722C88" w:rsidP="00722C88">
            <w:pPr>
              <w:pStyle w:val="Tabletext"/>
            </w:pPr>
            <w:r>
              <w:t>Total Deferred Tax Adjustment Amount</w:t>
            </w:r>
          </w:p>
        </w:tc>
        <w:tc>
          <w:tcPr>
            <w:tcW w:w="1746" w:type="dxa"/>
            <w:tcBorders>
              <w:top w:val="nil"/>
              <w:left w:val="nil"/>
              <w:bottom w:val="single" w:sz="4" w:space="0" w:color="auto"/>
              <w:right w:val="single" w:sz="4" w:space="0" w:color="auto"/>
            </w:tcBorders>
            <w:shd w:val="clear" w:color="auto" w:fill="auto"/>
            <w:noWrap/>
            <w:vAlign w:val="bottom"/>
          </w:tcPr>
          <w:p w14:paraId="168C8590" w14:textId="6EC01D52" w:rsidR="00722C88" w:rsidRPr="00CD218D" w:rsidRDefault="00722C88" w:rsidP="00722C88">
            <w:pPr>
              <w:pStyle w:val="Tabletext"/>
            </w:pPr>
            <w:r>
              <w:t>10.1.1</w:t>
            </w:r>
          </w:p>
        </w:tc>
      </w:tr>
      <w:tr w:rsidR="00722C88" w:rsidRPr="00CD218D" w14:paraId="42BB6858"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94B5186" w14:textId="32780FD2" w:rsidR="00722C88" w:rsidRPr="00CD218D" w:rsidRDefault="00722C88" w:rsidP="00722C88">
            <w:pPr>
              <w:pStyle w:val="Tabletext"/>
            </w:pPr>
            <w:r>
              <w:t>2-55</w:t>
            </w:r>
          </w:p>
        </w:tc>
        <w:tc>
          <w:tcPr>
            <w:tcW w:w="3743" w:type="dxa"/>
            <w:tcBorders>
              <w:top w:val="nil"/>
              <w:left w:val="nil"/>
              <w:bottom w:val="single" w:sz="4" w:space="0" w:color="auto"/>
              <w:right w:val="single" w:sz="4" w:space="0" w:color="auto"/>
            </w:tcBorders>
            <w:shd w:val="clear" w:color="auto" w:fill="auto"/>
            <w:noWrap/>
            <w:vAlign w:val="bottom"/>
          </w:tcPr>
          <w:p w14:paraId="098374D9" w14:textId="2A9ED1BC" w:rsidR="00722C88" w:rsidRDefault="00722C88" w:rsidP="00722C88">
            <w:pPr>
              <w:pStyle w:val="Tabletext"/>
            </w:pPr>
            <w:r>
              <w:t xml:space="preserve">Total UTPR Top up Tax Amount </w:t>
            </w:r>
          </w:p>
        </w:tc>
        <w:tc>
          <w:tcPr>
            <w:tcW w:w="1746" w:type="dxa"/>
            <w:tcBorders>
              <w:top w:val="nil"/>
              <w:left w:val="nil"/>
              <w:bottom w:val="single" w:sz="4" w:space="0" w:color="auto"/>
              <w:right w:val="single" w:sz="4" w:space="0" w:color="auto"/>
            </w:tcBorders>
            <w:shd w:val="clear" w:color="auto" w:fill="auto"/>
            <w:noWrap/>
            <w:vAlign w:val="bottom"/>
          </w:tcPr>
          <w:p w14:paraId="13266347" w14:textId="5B31B46B" w:rsidR="00722C88" w:rsidRPr="00CD218D" w:rsidRDefault="00722C88" w:rsidP="00722C88">
            <w:pPr>
              <w:pStyle w:val="Tabletext"/>
            </w:pPr>
            <w:r>
              <w:t>10.1.1</w:t>
            </w:r>
          </w:p>
        </w:tc>
      </w:tr>
      <w:tr w:rsidR="00722C88" w:rsidRPr="00CD218D" w14:paraId="1F26977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5270A53" w14:textId="4303CB0C" w:rsidR="00722C88" w:rsidRPr="00CD218D" w:rsidRDefault="00722C88" w:rsidP="00722C88">
            <w:pPr>
              <w:pStyle w:val="Tabletext"/>
            </w:pPr>
            <w:r>
              <w:t>9-20</w:t>
            </w:r>
          </w:p>
        </w:tc>
        <w:tc>
          <w:tcPr>
            <w:tcW w:w="3743" w:type="dxa"/>
            <w:tcBorders>
              <w:top w:val="nil"/>
              <w:left w:val="nil"/>
              <w:bottom w:val="single" w:sz="4" w:space="0" w:color="auto"/>
              <w:right w:val="single" w:sz="4" w:space="0" w:color="auto"/>
            </w:tcBorders>
            <w:shd w:val="clear" w:color="auto" w:fill="auto"/>
            <w:noWrap/>
            <w:vAlign w:val="bottom"/>
          </w:tcPr>
          <w:p w14:paraId="55C3F2BC" w14:textId="268D79D0" w:rsidR="00722C88" w:rsidRDefault="00722C88" w:rsidP="00722C88">
            <w:pPr>
              <w:pStyle w:val="Tabletext"/>
            </w:pPr>
            <w:r>
              <w:t>Transition Year</w:t>
            </w:r>
          </w:p>
        </w:tc>
        <w:tc>
          <w:tcPr>
            <w:tcW w:w="1746" w:type="dxa"/>
            <w:tcBorders>
              <w:top w:val="nil"/>
              <w:left w:val="nil"/>
              <w:bottom w:val="single" w:sz="4" w:space="0" w:color="auto"/>
              <w:right w:val="single" w:sz="4" w:space="0" w:color="auto"/>
            </w:tcBorders>
            <w:shd w:val="clear" w:color="auto" w:fill="auto"/>
            <w:noWrap/>
            <w:vAlign w:val="bottom"/>
          </w:tcPr>
          <w:p w14:paraId="5943F54E" w14:textId="1CE360CA" w:rsidR="00722C88" w:rsidRPr="00CD218D" w:rsidRDefault="00722C88" w:rsidP="00722C88">
            <w:pPr>
              <w:pStyle w:val="Tabletext"/>
            </w:pPr>
            <w:r>
              <w:t>10.1.1 and 118.49.1-2</w:t>
            </w:r>
          </w:p>
        </w:tc>
      </w:tr>
      <w:tr w:rsidR="00722C88" w:rsidRPr="00CD218D" w14:paraId="7F2ACAC5"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6958B665" w14:textId="03916A73" w:rsidR="00722C88" w:rsidRPr="00CD218D" w:rsidRDefault="00722C88" w:rsidP="00722C88">
            <w:pPr>
              <w:pStyle w:val="Tabletext"/>
            </w:pPr>
            <w:r>
              <w:t>No equivalent</w:t>
            </w:r>
          </w:p>
        </w:tc>
        <w:tc>
          <w:tcPr>
            <w:tcW w:w="3743" w:type="dxa"/>
            <w:tcBorders>
              <w:top w:val="nil"/>
              <w:left w:val="nil"/>
              <w:bottom w:val="single" w:sz="4" w:space="0" w:color="auto"/>
              <w:right w:val="single" w:sz="4" w:space="0" w:color="auto"/>
            </w:tcBorders>
            <w:shd w:val="clear" w:color="auto" w:fill="auto"/>
            <w:noWrap/>
            <w:vAlign w:val="bottom"/>
          </w:tcPr>
          <w:p w14:paraId="0B5A28D8" w14:textId="27B1D6FD" w:rsidR="00722C88" w:rsidRDefault="00722C88" w:rsidP="00722C88">
            <w:pPr>
              <w:pStyle w:val="Tabletext"/>
            </w:pPr>
            <w:r>
              <w:t>UPE Jurisdiction</w:t>
            </w:r>
          </w:p>
        </w:tc>
        <w:tc>
          <w:tcPr>
            <w:tcW w:w="1746" w:type="dxa"/>
            <w:tcBorders>
              <w:top w:val="nil"/>
              <w:left w:val="nil"/>
              <w:bottom w:val="single" w:sz="4" w:space="0" w:color="auto"/>
              <w:right w:val="single" w:sz="4" w:space="0" w:color="auto"/>
            </w:tcBorders>
            <w:shd w:val="clear" w:color="auto" w:fill="auto"/>
            <w:noWrap/>
            <w:vAlign w:val="bottom"/>
          </w:tcPr>
          <w:p w14:paraId="1CDDAC61" w14:textId="5A04D8C8" w:rsidR="00722C88" w:rsidRPr="00CD218D" w:rsidRDefault="00722C88" w:rsidP="00722C88">
            <w:pPr>
              <w:pStyle w:val="Tabletext"/>
            </w:pPr>
            <w:r>
              <w:t>10.1.1</w:t>
            </w:r>
          </w:p>
        </w:tc>
      </w:tr>
      <w:tr w:rsidR="00722C88" w:rsidRPr="00CD218D" w14:paraId="4C2D1BAF"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268866D2" w14:textId="7CAD5E25" w:rsidR="00722C88" w:rsidRPr="00CD218D" w:rsidRDefault="00722C88" w:rsidP="00722C88">
            <w:pPr>
              <w:pStyle w:val="Tabletext"/>
            </w:pPr>
            <w:r>
              <w:t>Parts 2</w:t>
            </w:r>
            <w:r>
              <w:noBreakHyphen/>
              <w:t>4 to 2</w:t>
            </w:r>
            <w:r>
              <w:noBreakHyphen/>
              <w:t>6</w:t>
            </w:r>
          </w:p>
        </w:tc>
        <w:tc>
          <w:tcPr>
            <w:tcW w:w="3743" w:type="dxa"/>
            <w:tcBorders>
              <w:top w:val="nil"/>
              <w:left w:val="nil"/>
              <w:bottom w:val="single" w:sz="4" w:space="0" w:color="auto"/>
              <w:right w:val="single" w:sz="4" w:space="0" w:color="auto"/>
            </w:tcBorders>
            <w:shd w:val="clear" w:color="auto" w:fill="auto"/>
            <w:noWrap/>
            <w:vAlign w:val="bottom"/>
          </w:tcPr>
          <w:p w14:paraId="59DD527D" w14:textId="798BDF57" w:rsidR="00722C88" w:rsidRDefault="00722C88" w:rsidP="00722C88">
            <w:pPr>
              <w:pStyle w:val="Tabletext"/>
            </w:pPr>
            <w:r>
              <w:t>UTPR</w:t>
            </w:r>
          </w:p>
        </w:tc>
        <w:tc>
          <w:tcPr>
            <w:tcW w:w="1746" w:type="dxa"/>
            <w:tcBorders>
              <w:top w:val="nil"/>
              <w:left w:val="nil"/>
              <w:bottom w:val="single" w:sz="4" w:space="0" w:color="auto"/>
              <w:right w:val="single" w:sz="4" w:space="0" w:color="auto"/>
            </w:tcBorders>
            <w:shd w:val="clear" w:color="auto" w:fill="auto"/>
            <w:noWrap/>
            <w:vAlign w:val="bottom"/>
          </w:tcPr>
          <w:p w14:paraId="1AB27B33" w14:textId="06FD61BA" w:rsidR="00722C88" w:rsidRPr="00CD218D" w:rsidRDefault="00722C88" w:rsidP="00722C88">
            <w:pPr>
              <w:pStyle w:val="Tabletext"/>
            </w:pPr>
            <w:r>
              <w:t>10.1.1</w:t>
            </w:r>
          </w:p>
        </w:tc>
      </w:tr>
      <w:tr w:rsidR="00722C88" w:rsidRPr="00CD218D" w14:paraId="6F31C6E6"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7464B8FF" w14:textId="22019D44" w:rsidR="00722C88" w:rsidRPr="00CD218D" w:rsidRDefault="00722C88" w:rsidP="00722C88">
            <w:pPr>
              <w:pStyle w:val="Tabletext"/>
            </w:pPr>
            <w:r>
              <w:t>No equivalent</w:t>
            </w:r>
          </w:p>
        </w:tc>
        <w:tc>
          <w:tcPr>
            <w:tcW w:w="3743" w:type="dxa"/>
            <w:tcBorders>
              <w:top w:val="nil"/>
              <w:left w:val="nil"/>
              <w:bottom w:val="single" w:sz="4" w:space="0" w:color="auto"/>
              <w:right w:val="single" w:sz="4" w:space="0" w:color="auto"/>
            </w:tcBorders>
            <w:shd w:val="clear" w:color="auto" w:fill="auto"/>
            <w:noWrap/>
            <w:vAlign w:val="bottom"/>
          </w:tcPr>
          <w:p w14:paraId="571A022D" w14:textId="63A85F50" w:rsidR="00722C88" w:rsidRDefault="00722C88" w:rsidP="00722C88">
            <w:pPr>
              <w:pStyle w:val="Tabletext"/>
            </w:pPr>
            <w:r>
              <w:t>UTPR Jurisdiction</w:t>
            </w:r>
          </w:p>
        </w:tc>
        <w:tc>
          <w:tcPr>
            <w:tcW w:w="1746" w:type="dxa"/>
            <w:tcBorders>
              <w:top w:val="nil"/>
              <w:left w:val="nil"/>
              <w:bottom w:val="single" w:sz="4" w:space="0" w:color="auto"/>
              <w:right w:val="single" w:sz="4" w:space="0" w:color="auto"/>
            </w:tcBorders>
            <w:shd w:val="clear" w:color="auto" w:fill="auto"/>
            <w:noWrap/>
            <w:vAlign w:val="bottom"/>
          </w:tcPr>
          <w:p w14:paraId="1BD255C9" w14:textId="419AD3B8" w:rsidR="00722C88" w:rsidRPr="00CD218D" w:rsidRDefault="00722C88" w:rsidP="00722C88">
            <w:pPr>
              <w:pStyle w:val="Tabletext"/>
            </w:pPr>
            <w:r>
              <w:t>10.1.1</w:t>
            </w:r>
          </w:p>
        </w:tc>
      </w:tr>
      <w:tr w:rsidR="00722C88" w:rsidRPr="00CD218D" w14:paraId="34F80D17" w14:textId="77777777">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tcPr>
          <w:p w14:paraId="5044668D" w14:textId="32FAFBDE" w:rsidR="00722C88" w:rsidRPr="00CD218D" w:rsidRDefault="00722C88" w:rsidP="00722C88">
            <w:pPr>
              <w:pStyle w:val="Tabletext"/>
            </w:pPr>
            <w:r>
              <w:lastRenderedPageBreak/>
              <w:t>2-75</w:t>
            </w:r>
          </w:p>
        </w:tc>
        <w:tc>
          <w:tcPr>
            <w:tcW w:w="3743" w:type="dxa"/>
            <w:tcBorders>
              <w:top w:val="nil"/>
              <w:left w:val="nil"/>
              <w:bottom w:val="single" w:sz="4" w:space="0" w:color="auto"/>
              <w:right w:val="single" w:sz="4" w:space="0" w:color="auto"/>
            </w:tcBorders>
            <w:shd w:val="clear" w:color="auto" w:fill="auto"/>
            <w:noWrap/>
            <w:vAlign w:val="bottom"/>
          </w:tcPr>
          <w:p w14:paraId="6B1EFF05" w14:textId="2B1AEDBE" w:rsidR="00722C88" w:rsidRDefault="00722C88" w:rsidP="00722C88">
            <w:pPr>
              <w:pStyle w:val="Tabletext"/>
            </w:pPr>
            <w:r>
              <w:t>UTPR Percentage</w:t>
            </w:r>
          </w:p>
        </w:tc>
        <w:tc>
          <w:tcPr>
            <w:tcW w:w="1746" w:type="dxa"/>
            <w:tcBorders>
              <w:top w:val="nil"/>
              <w:left w:val="nil"/>
              <w:bottom w:val="single" w:sz="4" w:space="0" w:color="auto"/>
              <w:right w:val="single" w:sz="4" w:space="0" w:color="auto"/>
            </w:tcBorders>
            <w:shd w:val="clear" w:color="auto" w:fill="auto"/>
            <w:noWrap/>
            <w:vAlign w:val="bottom"/>
          </w:tcPr>
          <w:p w14:paraId="1F2A4DD1" w14:textId="6BB907B1" w:rsidR="00722C88" w:rsidRPr="00CD218D" w:rsidRDefault="00722C88" w:rsidP="00722C88">
            <w:pPr>
              <w:pStyle w:val="Tabletext"/>
            </w:pPr>
            <w:r>
              <w:t>10.1.1</w:t>
            </w:r>
          </w:p>
        </w:tc>
      </w:tr>
    </w:tbl>
    <w:p w14:paraId="15067578" w14:textId="77777777" w:rsidR="00B77D03" w:rsidRDefault="00B77D03" w:rsidP="00873094"/>
    <w:sectPr w:rsidR="00B77D03" w:rsidSect="00000BFC">
      <w:headerReference w:type="even" r:id="rId129"/>
      <w:headerReference w:type="default" r:id="rId130"/>
      <w:headerReference w:type="first" r:id="rId13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A14EC" w14:textId="77777777" w:rsidR="00BE7116" w:rsidRDefault="00BE7116">
      <w:pPr>
        <w:spacing w:before="0" w:after="0"/>
      </w:pPr>
      <w:r>
        <w:separator/>
      </w:r>
    </w:p>
  </w:endnote>
  <w:endnote w:type="continuationSeparator" w:id="0">
    <w:p w14:paraId="2025D9CF" w14:textId="77777777" w:rsidR="00BE7116" w:rsidRDefault="00BE7116">
      <w:pPr>
        <w:spacing w:before="0" w:after="0"/>
      </w:pPr>
      <w:r>
        <w:continuationSeparator/>
      </w:r>
    </w:p>
  </w:endnote>
  <w:endnote w:type="continuationNotice" w:id="1">
    <w:p w14:paraId="12527D53" w14:textId="77777777" w:rsidR="00BE7116" w:rsidRDefault="00BE71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8BA2" w14:textId="77777777" w:rsidR="007A2DBD" w:rsidRDefault="007A2DBD" w:rsidP="002425D9">
    <w:pPr>
      <w:pStyle w:val="Footer"/>
      <w:ind w:right="360" w:firstLine="360"/>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0B43A" w14:textId="77777777" w:rsidR="0025163B" w:rsidRPr="006208CF" w:rsidRDefault="0025163B" w:rsidP="0025163B">
    <w:pPr>
      <w:pStyle w:val="leftfooter"/>
    </w:pPr>
    <w:r>
      <w:fldChar w:fldCharType="begin"/>
    </w:r>
    <w:r>
      <w:instrText xml:space="preserve"> PAGE   \* MERGEFORMAT </w:instrText>
    </w:r>
    <w:r>
      <w:fldChar w:fldCharType="separate"/>
    </w:r>
    <w:r>
      <w:rPr>
        <w:noProof/>
      </w:rPr>
      <w:t>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21A7" w14:textId="77777777" w:rsidR="0025163B"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152D" w14:textId="77777777" w:rsidR="0025163B" w:rsidRPr="00091474"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E34B6" w14:textId="77777777" w:rsidR="0025163B" w:rsidRPr="006208CF" w:rsidRDefault="0025163B" w:rsidP="0025163B">
    <w:pPr>
      <w:pStyle w:val="leftfooter"/>
    </w:pPr>
    <w:r>
      <w:fldChar w:fldCharType="begin"/>
    </w:r>
    <w:r>
      <w:instrText xml:space="preserve"> PAGE   \* MERGEFORMAT </w:instrText>
    </w:r>
    <w:r>
      <w:fldChar w:fldCharType="separate"/>
    </w:r>
    <w:r>
      <w:rPr>
        <w:noProof/>
      </w:rPr>
      <w:t>1</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DC307" w14:textId="77777777" w:rsidR="0025163B"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B1DF1" w14:textId="77777777" w:rsidR="0025163B" w:rsidRPr="00091474"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E0AA7" w14:textId="77777777" w:rsidR="0025163B" w:rsidRPr="006208CF" w:rsidRDefault="0025163B" w:rsidP="0025163B">
    <w:pPr>
      <w:pStyle w:val="leftfooter"/>
    </w:pPr>
    <w:r>
      <w:fldChar w:fldCharType="begin"/>
    </w:r>
    <w:r>
      <w:instrText xml:space="preserve"> PAGE   \* MERGEFORMAT </w:instrText>
    </w:r>
    <w:r>
      <w:fldChar w:fldCharType="separate"/>
    </w:r>
    <w:r>
      <w:rPr>
        <w:noProof/>
      </w:rPr>
      <w:t>1</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3B7B2" w14:textId="77777777" w:rsidR="0025163B"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F469" w14:textId="77777777" w:rsidR="0025163B" w:rsidRPr="00091474"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63F0C" w14:textId="77777777" w:rsidR="0025163B" w:rsidRPr="006208CF" w:rsidRDefault="0025163B" w:rsidP="0025163B">
    <w:pPr>
      <w:pStyle w:val="left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B2C1E" w14:textId="77777777" w:rsidR="007A2DBD" w:rsidRPr="004D61CF" w:rsidRDefault="007A2DBD" w:rsidP="002425D9">
    <w:pPr>
      <w:pStyle w:val="right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9C1DF" w14:textId="77777777" w:rsidR="0025163B"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F4831" w14:textId="77777777" w:rsidR="0025163B" w:rsidRPr="00091474"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FB36" w14:textId="77777777" w:rsidR="0025163B" w:rsidRPr="006208CF" w:rsidRDefault="0025163B" w:rsidP="0025163B">
    <w:pPr>
      <w:pStyle w:val="leftfooter"/>
    </w:pPr>
    <w:r>
      <w:fldChar w:fldCharType="begin"/>
    </w:r>
    <w:r>
      <w:instrText xml:space="preserve"> PAGE   \* MERGEFORMAT </w:instrText>
    </w:r>
    <w:r>
      <w:fldChar w:fldCharType="separate"/>
    </w:r>
    <w:r>
      <w:rPr>
        <w:noProof/>
      </w:rPr>
      <w:t>1</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BA838" w14:textId="77777777" w:rsidR="0025163B"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A8E89" w14:textId="77777777" w:rsidR="0025163B" w:rsidRPr="00091474"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6994" w14:textId="77777777" w:rsidR="0025163B" w:rsidRPr="006208CF" w:rsidRDefault="0025163B" w:rsidP="0025163B">
    <w:pPr>
      <w:pStyle w:val="leftfooter"/>
    </w:pPr>
    <w:r>
      <w:fldChar w:fldCharType="begin"/>
    </w:r>
    <w:r>
      <w:instrText xml:space="preserve"> PAGE   \* MERGEFORMAT </w:instrText>
    </w:r>
    <w:r>
      <w:fldChar w:fldCharType="separate"/>
    </w:r>
    <w:r>
      <w:rPr>
        <w:noProof/>
      </w:rPr>
      <w:t>1</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C4027" w14:textId="77777777" w:rsidR="0025163B"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01BB8" w14:textId="77777777" w:rsidR="0025163B" w:rsidRPr="00091474"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A79B5" w14:textId="77777777" w:rsidR="0025163B" w:rsidRPr="006208CF" w:rsidRDefault="0025163B" w:rsidP="0025163B">
    <w:pPr>
      <w:pStyle w:val="leftfooter"/>
    </w:pPr>
    <w:r>
      <w:fldChar w:fldCharType="begin"/>
    </w:r>
    <w:r>
      <w:instrText xml:space="preserve"> PAGE   \* MERGEFORMAT </w:instrText>
    </w:r>
    <w:r>
      <w:fldChar w:fldCharType="separate"/>
    </w:r>
    <w:r>
      <w:rPr>
        <w:noProof/>
      </w:rPr>
      <w:t>1</w:t>
    </w:r>
    <w:r>
      <w:rPr>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B706" w14:textId="77777777" w:rsidR="0025163B"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AA20E"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78C11" w14:textId="77777777" w:rsidR="0025163B" w:rsidRPr="00091474"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646C" w14:textId="77777777" w:rsidR="007A2DBD" w:rsidRPr="006208CF" w:rsidRDefault="007A2DBD" w:rsidP="0025163B">
    <w:pPr>
      <w:pStyle w:val="leftfooter"/>
    </w:pPr>
    <w:r>
      <w:fldChar w:fldCharType="begin"/>
    </w:r>
    <w:r>
      <w:instrText xml:space="preserve"> PAGE   \* MERGEFORMAT </w:instrText>
    </w:r>
    <w:r>
      <w:fldChar w:fldCharType="separate"/>
    </w:r>
    <w:r>
      <w:rPr>
        <w:noProof/>
      </w:rPr>
      <w:t>1</w:t>
    </w:r>
    <w:r>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F389A" w14:textId="77777777" w:rsidR="007A2DBD" w:rsidRDefault="007A2DBD"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40EF" w14:textId="77777777" w:rsidR="007A2DBD" w:rsidRPr="00091474" w:rsidRDefault="007A2DBD"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0F85" w14:textId="77777777" w:rsidR="0025163B" w:rsidRPr="006208CF" w:rsidRDefault="0025163B" w:rsidP="0025163B">
    <w:pPr>
      <w:pStyle w:val="leftfoo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1B983" w14:textId="77777777" w:rsidR="0025163B"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98EB" w14:textId="77777777" w:rsidR="0025163B" w:rsidRPr="00091474"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F215" w14:textId="77777777" w:rsidR="0025163B" w:rsidRPr="006208CF" w:rsidRDefault="0025163B" w:rsidP="0025163B">
    <w:pPr>
      <w:pStyle w:val="leftfooter"/>
    </w:pP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50F0" w14:textId="77777777" w:rsidR="0025163B"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5E995" w14:textId="77777777" w:rsidR="0025163B" w:rsidRPr="00091474" w:rsidRDefault="0025163B" w:rsidP="0025163B">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6DD36" w14:textId="77777777" w:rsidR="00BE7116" w:rsidRDefault="00BE7116">
      <w:pPr>
        <w:spacing w:before="0" w:after="0"/>
      </w:pPr>
      <w:r>
        <w:separator/>
      </w:r>
    </w:p>
  </w:footnote>
  <w:footnote w:type="continuationSeparator" w:id="0">
    <w:p w14:paraId="598B9486" w14:textId="77777777" w:rsidR="00BE7116" w:rsidRDefault="00BE7116">
      <w:pPr>
        <w:spacing w:before="0" w:after="0"/>
      </w:pPr>
      <w:r>
        <w:continuationSeparator/>
      </w:r>
    </w:p>
  </w:footnote>
  <w:footnote w:type="continuationNotice" w:id="1">
    <w:p w14:paraId="2331C85E" w14:textId="77777777" w:rsidR="00BE7116" w:rsidRDefault="00BE711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8DED" w14:textId="77777777" w:rsidR="007A2DBD" w:rsidRPr="009106AC" w:rsidRDefault="007A2DBD" w:rsidP="002425D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C3C85" w14:textId="36E29D8F" w:rsidR="0025163B" w:rsidRPr="0025163B" w:rsidRDefault="003842F9" w:rsidP="0025163B">
    <w:pPr>
      <w:pStyle w:val="leftheader"/>
    </w:pPr>
    <w:fldSimple w:instr=" STYLEREF &quot;Chapter heading&quot; \* MERGEFORMAT ">
      <w:r w:rsidR="0077013F">
        <w:rPr>
          <w:noProof/>
        </w:rPr>
        <w:t>Liability to Top-up Tax</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6DA8F" w14:textId="5E4DBF48" w:rsidR="0025163B" w:rsidRPr="001227A2" w:rsidRDefault="0052730D" w:rsidP="001227A2">
    <w:pPr>
      <w:pStyle w:val="rightheader"/>
    </w:pPr>
    <w:r w:rsidRPr="0052730D">
      <w:t>Taxation (Multinational – Global and Domestic Minimum Tax) Rules 2024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73685" w14:textId="42CB826E" w:rsidR="0025163B" w:rsidRPr="001227A2" w:rsidRDefault="0025163B" w:rsidP="002425D9">
    <w:pPr>
      <w:pStyle w:val="right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79A3" w14:textId="0BD18B6E" w:rsidR="0025163B" w:rsidRPr="0025163B" w:rsidRDefault="003842F9" w:rsidP="0025163B">
    <w:pPr>
      <w:pStyle w:val="leftheader"/>
    </w:pPr>
    <w:fldSimple w:instr=" STYLEREF &quot;Chapter heading&quot; \* MERGEFORMAT ">
      <w:r w:rsidR="0077013F">
        <w:rPr>
          <w:noProof/>
        </w:rPr>
        <w:t>GloBE Income or Loss</w:t>
      </w:r>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BF917" w14:textId="0AC8F010" w:rsidR="0025163B" w:rsidRPr="0052730D" w:rsidRDefault="0052730D" w:rsidP="001227A2">
    <w:pPr>
      <w:pStyle w:val="rightheader"/>
    </w:pPr>
    <w:r w:rsidRPr="0052730D">
      <w:t>Taxation (Multinational – Global and Domestic Minimum Tax) Rules 2024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E4F71" w14:textId="410E29A3" w:rsidR="0025163B" w:rsidRPr="001227A2" w:rsidRDefault="0025163B" w:rsidP="002425D9">
    <w:pPr>
      <w:pStyle w:val="right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C546A" w14:textId="3BDDBC9B" w:rsidR="0025163B" w:rsidRPr="0025163B" w:rsidRDefault="003842F9" w:rsidP="0025163B">
    <w:pPr>
      <w:pStyle w:val="leftheader"/>
    </w:pPr>
    <w:fldSimple w:instr=" STYLEREF &quot;Chapter heading&quot; \* MERGEFORMAT ">
      <w:r w:rsidR="0077013F">
        <w:rPr>
          <w:noProof/>
        </w:rPr>
        <w:t>Adjusted Covered Taxes</w:t>
      </w:r>
    </w:fldSimple>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6C5A" w14:textId="4DCE8D90" w:rsidR="0025163B" w:rsidRPr="001227A2" w:rsidRDefault="0052730D" w:rsidP="001227A2">
    <w:pPr>
      <w:pStyle w:val="rightheader"/>
    </w:pPr>
    <w:r w:rsidRPr="0052730D">
      <w:t>Taxation (Multinational – Global and Domestic Minimum Tax) Rules 2024</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A67B" w14:textId="566E99E4" w:rsidR="0025163B" w:rsidRPr="001227A2" w:rsidRDefault="0025163B" w:rsidP="002425D9">
    <w:pPr>
      <w:pStyle w:val="right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99D09" w14:textId="7C898031" w:rsidR="0025163B" w:rsidRPr="0025163B" w:rsidRDefault="003842F9" w:rsidP="0025163B">
    <w:pPr>
      <w:pStyle w:val="leftheader"/>
    </w:pPr>
    <w:fldSimple w:instr=" STYLEREF &quot;Chapter heading&quot; \* MERGEFORMAT ">
      <w:r w:rsidR="0077013F">
        <w:rPr>
          <w:noProof/>
        </w:rPr>
        <w:t>Computing Top-up Tax</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2322A" w14:textId="57101099"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9D6D0D">
      <w:rPr>
        <w:b/>
        <w:bCs/>
        <w:noProof/>
        <w:lang w:val="en-US"/>
      </w:rPr>
      <w:t>Error! Use the Home tab to apply ChapterNameOnly to the text that you want to appear here.</w:t>
    </w:r>
    <w:r>
      <w:rPr>
        <w:lang w:val="en-US"/>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4E4A" w14:textId="00D68882" w:rsidR="0025163B" w:rsidRPr="001227A2" w:rsidRDefault="0052730D" w:rsidP="001227A2">
    <w:pPr>
      <w:pStyle w:val="rightheader"/>
    </w:pPr>
    <w:r w:rsidRPr="0052730D">
      <w:t>Taxation (Multinational – Global and Domestic Minimum Tax) Rules 2024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9206" w14:textId="1831C0D4" w:rsidR="0025163B" w:rsidRPr="001227A2" w:rsidRDefault="0025163B" w:rsidP="002425D9">
    <w:pPr>
      <w:pStyle w:val="right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7C05" w14:textId="23D504FB" w:rsidR="0025163B" w:rsidRPr="0025163B" w:rsidRDefault="003842F9" w:rsidP="0025163B">
    <w:pPr>
      <w:pStyle w:val="leftheader"/>
    </w:pPr>
    <w:fldSimple w:instr=" STYLEREF &quot;Chapter heading&quot; \* MERGEFORMAT ">
      <w:r w:rsidR="0077013F">
        <w:rPr>
          <w:noProof/>
        </w:rPr>
        <w:t>Corporate structures</w:t>
      </w:r>
    </w:fldSimple>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63449" w14:textId="4BD20F3E" w:rsidR="0025163B" w:rsidRPr="001227A2" w:rsidRDefault="0052730D" w:rsidP="001227A2">
    <w:pPr>
      <w:pStyle w:val="rightheader"/>
    </w:pPr>
    <w:r w:rsidRPr="0052730D">
      <w:t>Taxation (Multinational – Global and Domestic Minimum Tax) Rules 2024</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814F9" w14:textId="5CA9D3FE" w:rsidR="0025163B" w:rsidRPr="001227A2" w:rsidRDefault="0025163B" w:rsidP="002425D9">
    <w:pPr>
      <w:pStyle w:val="right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3DC76" w14:textId="7BB5CF3D" w:rsidR="0025163B" w:rsidRPr="0025163B" w:rsidRDefault="003842F9" w:rsidP="0025163B">
    <w:pPr>
      <w:pStyle w:val="leftheader"/>
    </w:pPr>
    <w:fldSimple w:instr=" STYLEREF &quot;Chapter heading&quot; \* MERGEFORMAT ">
      <w:r w:rsidR="009D6D0D">
        <w:rPr>
          <w:noProof/>
        </w:rPr>
        <w:t>Investment Entities</w:t>
      </w:r>
    </w:fldSimple>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05CD1" w14:textId="27ECC670" w:rsidR="0025163B" w:rsidRPr="001227A2" w:rsidRDefault="0052730D" w:rsidP="001227A2">
    <w:pPr>
      <w:pStyle w:val="rightheader"/>
    </w:pPr>
    <w:r w:rsidRPr="0052730D">
      <w:t>Taxation (Multinational – Global and Domestic Minimum Tax) Rules 2024</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77D72" w14:textId="7AAE4750" w:rsidR="0025163B" w:rsidRPr="001227A2" w:rsidRDefault="0025163B" w:rsidP="002425D9">
    <w:pPr>
      <w:pStyle w:val="right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A312" w14:textId="5BDFE3E2" w:rsidR="0025163B" w:rsidRPr="0025163B" w:rsidRDefault="003842F9" w:rsidP="0025163B">
    <w:pPr>
      <w:pStyle w:val="leftheader"/>
    </w:pPr>
    <w:fldSimple w:instr=" STYLEREF &quot;Chapter heading&quot; \* MERGEFORMAT ">
      <w:r w:rsidR="0077013F">
        <w:rPr>
          <w:noProof/>
        </w:rPr>
        <w:t>Safe harbours</w:t>
      </w:r>
    </w:fldSimple>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2476" w14:textId="4F6A362E" w:rsidR="0025163B" w:rsidRPr="001227A2" w:rsidRDefault="0052730D" w:rsidP="001227A2">
    <w:pPr>
      <w:pStyle w:val="rightheader"/>
    </w:pPr>
    <w:r w:rsidRPr="0052730D">
      <w:t>Taxation (Multinational – Global and Domestic Minimum Tax) Rules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0CECD" w14:textId="77777777" w:rsidR="007A2DBD" w:rsidRDefault="007A2DB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ECD42" w14:textId="2999F2D3" w:rsidR="0025163B" w:rsidRPr="001227A2" w:rsidRDefault="0025163B" w:rsidP="002425D9">
    <w:pPr>
      <w:pStyle w:val="right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7CEF5" w14:textId="2196C6F6" w:rsidR="0025163B" w:rsidRPr="0025163B" w:rsidRDefault="003842F9" w:rsidP="0025163B">
    <w:pPr>
      <w:pStyle w:val="leftheader"/>
    </w:pPr>
    <w:fldSimple w:instr=" STYLEREF &quot;Chapter heading&quot; \* MERGEFORMAT ">
      <w:r w:rsidR="0077013F">
        <w:rPr>
          <w:noProof/>
        </w:rPr>
        <w:t>Transitional provisions</w:t>
      </w:r>
    </w:fldSimple>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7F60" w14:textId="693CBCBC" w:rsidR="0025163B" w:rsidRPr="001227A2" w:rsidRDefault="0052730D" w:rsidP="001227A2">
    <w:pPr>
      <w:pStyle w:val="rightheader"/>
    </w:pPr>
    <w:r w:rsidRPr="0052730D">
      <w:t>Taxation (Multinational – Global and Domestic Minimum Tax) Rules 2024</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0A851" w14:textId="7CD673D5" w:rsidR="0025163B" w:rsidRPr="001227A2" w:rsidRDefault="0025163B" w:rsidP="002425D9">
    <w:pPr>
      <w:pStyle w:val="right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E9521" w14:textId="6CF965E6" w:rsidR="007A2DBD" w:rsidRPr="0025163B" w:rsidRDefault="003842F9" w:rsidP="0025163B">
    <w:pPr>
      <w:pStyle w:val="leftheader"/>
    </w:pPr>
    <w:fldSimple w:instr=" STYLEREF &quot;Chapter heading&quot; \* MERGEFORMAT ">
      <w:r w:rsidR="009D6D0D">
        <w:rPr>
          <w:noProof/>
        </w:rPr>
        <w:t>Definitions</w:t>
      </w:r>
    </w:fldSimple>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52309" w14:textId="2BF926A9" w:rsidR="007A2DBD" w:rsidRPr="00A74B1A" w:rsidRDefault="0052730D" w:rsidP="00A74B1A">
    <w:pPr>
      <w:pStyle w:val="rightheader"/>
    </w:pPr>
    <w:r w:rsidRPr="0052730D">
      <w:t>Taxation (Multinational – Global and Domestic Minimum Tax) Rules 2024</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C16F" w14:textId="77777777" w:rsidR="007A2DBD" w:rsidRPr="00E50554" w:rsidRDefault="007A2DBD" w:rsidP="00E50554">
    <w:pPr>
      <w:pStyle w:val="right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5B1E7" w14:textId="45A8C3B7" w:rsidR="007A2DBD" w:rsidRPr="0025163B" w:rsidRDefault="003842F9" w:rsidP="0025163B">
    <w:pPr>
      <w:pStyle w:val="leftheader"/>
    </w:pPr>
    <w:fldSimple w:instr=" STYLEREF &quot;Chapter heading&quot; \* MERGEFORMAT ">
      <w:r w:rsidR="009D6D0D">
        <w:rPr>
          <w:noProof/>
        </w:rPr>
        <w:t>Statement of Compatibility with Human Rights</w:t>
      </w:r>
    </w:fldSimple>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547BD" w14:textId="64D34B11" w:rsidR="007A2DBD" w:rsidRPr="007D619C" w:rsidRDefault="007A2DBD" w:rsidP="002425D9">
    <w:pPr>
      <w:pStyle w:val="rightheader"/>
    </w:pPr>
    <w:r w:rsidRPr="009106AC">
      <w:rPr>
        <w:lang w:val="en-US"/>
      </w:rPr>
      <w:fldChar w:fldCharType="begin"/>
    </w:r>
    <w:r>
      <w:rPr>
        <w:lang w:val="en-US"/>
      </w:rPr>
      <w:instrText xml:space="preserve"> STYLEREF  "Bill Name"  \* MERGEFORMAT </w:instrText>
    </w:r>
    <w:r w:rsidRPr="009106AC">
      <w:rPr>
        <w:lang w:val="en-US"/>
      </w:rPr>
      <w:fldChar w:fldCharType="separate"/>
    </w:r>
    <w:r w:rsidR="009D6D0D">
      <w:rPr>
        <w:b/>
        <w:bCs/>
        <w:noProof/>
        <w:lang w:val="en-US"/>
      </w:rPr>
      <w:t>Error! No text of specified style in document.</w:t>
    </w:r>
    <w:r w:rsidRPr="009106AC">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F1883" w14:textId="77777777" w:rsidR="007A2DBD" w:rsidRPr="00373877" w:rsidRDefault="007A2DBD" w:rsidP="002425D9">
    <w:pPr>
      <w:pStyle w:val="right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08A28" w14:textId="3418645E" w:rsidR="007A2DBD" w:rsidRPr="00816825" w:rsidRDefault="003842F9" w:rsidP="002425D9">
    <w:pPr>
      <w:pStyle w:val="leftheader"/>
    </w:pPr>
    <w:fldSimple w:instr=" STYLEREF  &quot;Heading 1&quot;  \* MERGEFORMAT ">
      <w:r w:rsidR="009D6D0D" w:rsidRPr="009D6D0D">
        <w:rPr>
          <w:noProof/>
          <w:lang w:val="en-US"/>
        </w:rPr>
        <w:t>Glossary</w:t>
      </w:r>
    </w:fldSimple>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30772" w14:textId="2B99D277" w:rsidR="007A2DBD" w:rsidRPr="0025163B" w:rsidRDefault="003842F9" w:rsidP="0025163B">
    <w:pPr>
      <w:pStyle w:val="leftheader"/>
    </w:pPr>
    <w:fldSimple w:instr=" STYLEREF &quot;AttachmentHeading&quot; \* MERGEFORMAT ">
      <w:r w:rsidR="009D6D0D">
        <w:rPr>
          <w:noProof/>
        </w:rPr>
        <w:t>Conversion tables</w:t>
      </w:r>
    </w:fldSimple>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A216E" w14:textId="35561F6F" w:rsidR="007A2DBD" w:rsidRPr="0025163B" w:rsidRDefault="00614C69" w:rsidP="0025163B">
    <w:pPr>
      <w:pStyle w:val="rightheader"/>
    </w:pPr>
    <w:r>
      <w:t>Taxation (Multinational – Global and Domestic Minimum Tax) Rules 2024</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F024D" w14:textId="77777777" w:rsidR="007A2DBD" w:rsidRDefault="007A2DBD" w:rsidP="00622763">
    <w:pPr>
      <w:pStyle w:val="right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61416" w14:textId="77777777" w:rsidR="007A2DBD" w:rsidRPr="00091474" w:rsidRDefault="007A2DBD" w:rsidP="002425D9">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2C9A" w14:textId="77777777" w:rsidR="007A2DBD" w:rsidRDefault="007A2D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C52B1" w14:textId="747A7F38" w:rsidR="0025163B" w:rsidRPr="0025163B" w:rsidRDefault="003842F9" w:rsidP="0025163B">
    <w:pPr>
      <w:pStyle w:val="leftheader"/>
    </w:pPr>
    <w:fldSimple w:instr=" STYLEREF &quot;Chapter heading&quot; \* MERGEFORMAT ">
      <w:r w:rsidR="009D6D0D">
        <w:rPr>
          <w:noProof/>
        </w:rPr>
        <w:t>Scope of entities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B7FA" w14:textId="018CEF68" w:rsidR="0025163B" w:rsidRPr="001227A2" w:rsidRDefault="0052730D" w:rsidP="001227A2">
    <w:pPr>
      <w:pStyle w:val="rightheader"/>
    </w:pPr>
    <w:r>
      <w:t xml:space="preserve">Taxation (Multinational </w:t>
    </w:r>
    <w:r w:rsidR="00D20315">
      <w:t>–</w:t>
    </w:r>
    <w:r>
      <w:t xml:space="preserve"> Global and Domestic Minimum Tax) Rules 2024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C6C4E" w14:textId="14238FB7" w:rsidR="0025163B" w:rsidRPr="001227A2" w:rsidRDefault="0025163B" w:rsidP="002425D9">
    <w:pPr>
      <w:pStyle w:val="righ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1" w15:restartNumberingAfterBreak="0">
    <w:nsid w:val="01F414CA"/>
    <w:multiLevelType w:val="hybridMultilevel"/>
    <w:tmpl w:val="A148C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C46D4"/>
    <w:multiLevelType w:val="hybridMultilevel"/>
    <w:tmpl w:val="DDD4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7610B"/>
    <w:multiLevelType w:val="hybridMultilevel"/>
    <w:tmpl w:val="4F9C80B2"/>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5" w15:restartNumberingAfterBreak="0">
    <w:nsid w:val="12574502"/>
    <w:multiLevelType w:val="hybridMultilevel"/>
    <w:tmpl w:val="2342FF10"/>
    <w:lvl w:ilvl="0" w:tplc="BF1C3FEC">
      <w:start w:val="1"/>
      <w:numFmt w:val="decimal"/>
      <w:lvlText w:val="%1."/>
      <w:lvlJc w:val="left"/>
      <w:pPr>
        <w:ind w:left="1440" w:hanging="360"/>
      </w:pPr>
    </w:lvl>
    <w:lvl w:ilvl="1" w:tplc="B0ECCE40">
      <w:start w:val="1"/>
      <w:numFmt w:val="decimal"/>
      <w:lvlText w:val="%2."/>
      <w:lvlJc w:val="left"/>
      <w:pPr>
        <w:ind w:left="1440" w:hanging="360"/>
      </w:pPr>
    </w:lvl>
    <w:lvl w:ilvl="2" w:tplc="0636A4A6">
      <w:start w:val="1"/>
      <w:numFmt w:val="decimal"/>
      <w:lvlText w:val="%3."/>
      <w:lvlJc w:val="left"/>
      <w:pPr>
        <w:ind w:left="1440" w:hanging="360"/>
      </w:pPr>
    </w:lvl>
    <w:lvl w:ilvl="3" w:tplc="E97CF2E4">
      <w:start w:val="1"/>
      <w:numFmt w:val="decimal"/>
      <w:lvlText w:val="%4."/>
      <w:lvlJc w:val="left"/>
      <w:pPr>
        <w:ind w:left="1440" w:hanging="360"/>
      </w:pPr>
    </w:lvl>
    <w:lvl w:ilvl="4" w:tplc="CD5E3A02">
      <w:start w:val="1"/>
      <w:numFmt w:val="decimal"/>
      <w:lvlText w:val="%5."/>
      <w:lvlJc w:val="left"/>
      <w:pPr>
        <w:ind w:left="1440" w:hanging="360"/>
      </w:pPr>
    </w:lvl>
    <w:lvl w:ilvl="5" w:tplc="A97208AA">
      <w:start w:val="1"/>
      <w:numFmt w:val="decimal"/>
      <w:lvlText w:val="%6."/>
      <w:lvlJc w:val="left"/>
      <w:pPr>
        <w:ind w:left="1440" w:hanging="360"/>
      </w:pPr>
    </w:lvl>
    <w:lvl w:ilvl="6" w:tplc="B2F4D82A">
      <w:start w:val="1"/>
      <w:numFmt w:val="decimal"/>
      <w:lvlText w:val="%7."/>
      <w:lvlJc w:val="left"/>
      <w:pPr>
        <w:ind w:left="1440" w:hanging="360"/>
      </w:pPr>
    </w:lvl>
    <w:lvl w:ilvl="7" w:tplc="3F227026">
      <w:start w:val="1"/>
      <w:numFmt w:val="decimal"/>
      <w:lvlText w:val="%8."/>
      <w:lvlJc w:val="left"/>
      <w:pPr>
        <w:ind w:left="1440" w:hanging="360"/>
      </w:pPr>
    </w:lvl>
    <w:lvl w:ilvl="8" w:tplc="BB7C3C90">
      <w:start w:val="1"/>
      <w:numFmt w:val="decimal"/>
      <w:lvlText w:val="%9."/>
      <w:lvlJc w:val="left"/>
      <w:pPr>
        <w:ind w:left="1440" w:hanging="360"/>
      </w:pPr>
    </w:lvl>
  </w:abstractNum>
  <w:abstractNum w:abstractNumId="6" w15:restartNumberingAfterBreak="0">
    <w:nsid w:val="15452064"/>
    <w:multiLevelType w:val="hybridMultilevel"/>
    <w:tmpl w:val="B5867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8C3773"/>
    <w:multiLevelType w:val="hybridMultilevel"/>
    <w:tmpl w:val="0DCEFB16"/>
    <w:lvl w:ilvl="0" w:tplc="32A89E82">
      <w:start w:val="1"/>
      <w:numFmt w:val="bullet"/>
      <w:pStyle w:val="Bulletpoint1"/>
      <w:lvlText w:val=""/>
      <w:lvlJc w:val="left"/>
      <w:pPr>
        <w:ind w:left="360" w:hanging="360"/>
      </w:pPr>
      <w:rPr>
        <w:rFonts w:ascii="Symbol" w:hAnsi="Symbol" w:hint="default"/>
      </w:rPr>
    </w:lvl>
    <w:lvl w:ilvl="1" w:tplc="457E4576">
      <w:start w:val="1"/>
      <w:numFmt w:val="lowerLetter"/>
      <w:lvlText w:val="%2."/>
      <w:lvlJc w:val="left"/>
      <w:pPr>
        <w:ind w:left="1083" w:hanging="360"/>
      </w:pPr>
      <w:rPr>
        <w:b w:val="0"/>
        <w:bCs w:val="0"/>
      </w:rPr>
    </w:lvl>
    <w:lvl w:ilvl="2" w:tplc="0C09001B">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0" w15:restartNumberingAfterBreak="0">
    <w:nsid w:val="29170CA0"/>
    <w:multiLevelType w:val="multilevel"/>
    <w:tmpl w:val="21F6241C"/>
    <w:styleLink w:val="ArticleSection1"/>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6380" w:hanging="1701"/>
      </w:pPr>
      <w:rPr>
        <w:rFonts w:hint="default"/>
      </w:rPr>
    </w:lvl>
    <w:lvl w:ilvl="3">
      <w:start w:val="1"/>
      <w:numFmt w:val="decimal"/>
      <w:lvlRestart w:val="1"/>
      <w:pStyle w:val="ExampleHeading"/>
      <w:suff w:val="space"/>
      <w:lvlText w:val="Example %1.%4"/>
      <w:lvlJc w:val="left"/>
      <w:pPr>
        <w:ind w:left="5104"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6A2344"/>
    <w:multiLevelType w:val="multilevel"/>
    <w:tmpl w:val="33327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D2B7E2A"/>
    <w:multiLevelType w:val="hybridMultilevel"/>
    <w:tmpl w:val="1FAA20F6"/>
    <w:lvl w:ilvl="0" w:tplc="C32E4AE0">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836E0D"/>
    <w:multiLevelType w:val="multilevel"/>
    <w:tmpl w:val="542687A6"/>
    <w:name w:val="DotPointList"/>
    <w:lvl w:ilvl="0">
      <w:start w:val="1"/>
      <w:numFmt w:val="bullet"/>
      <w:lvlRestart w:val="0"/>
      <w:pStyle w:val="dotpoint"/>
      <w:lvlText w:val="•"/>
      <w:lvlJc w:val="left"/>
      <w:pPr>
        <w:tabs>
          <w:tab w:val="num" w:pos="1156"/>
        </w:tabs>
        <w:ind w:left="1156" w:hanging="284"/>
      </w:pPr>
      <w:rPr>
        <w:b w:val="0"/>
        <w:i w:val="0"/>
        <w:color w:val="000000"/>
      </w:rPr>
    </w:lvl>
    <w:lvl w:ilvl="1">
      <w:start w:val="1"/>
      <w:numFmt w:val="bullet"/>
      <w:pStyle w:val="dotpoint2"/>
      <w:lvlText w:val="–"/>
      <w:lvlJc w:val="left"/>
      <w:pPr>
        <w:tabs>
          <w:tab w:val="num" w:pos="1513"/>
        </w:tabs>
        <w:ind w:left="1513" w:hanging="357"/>
      </w:pPr>
      <w:rPr>
        <w:b w:val="0"/>
        <w:i w:val="0"/>
        <w:color w:val="000000"/>
      </w:rPr>
    </w:lvl>
    <w:lvl w:ilvl="2">
      <w:start w:val="1"/>
      <w:numFmt w:val="decimal"/>
      <w:lvlText w:val="%3"/>
      <w:lvlJc w:val="left"/>
      <w:pPr>
        <w:tabs>
          <w:tab w:val="num" w:pos="589"/>
        </w:tabs>
        <w:ind w:left="589" w:hanging="567"/>
      </w:pPr>
      <w:rPr>
        <w:b w:val="0"/>
        <w:i w:val="0"/>
        <w:color w:val="000000"/>
      </w:rPr>
    </w:lvl>
    <w:lvl w:ilvl="3">
      <w:start w:val="1"/>
      <w:numFmt w:val="decimal"/>
      <w:lvlText w:val="%4"/>
      <w:lvlJc w:val="left"/>
      <w:pPr>
        <w:tabs>
          <w:tab w:val="num" w:pos="1156"/>
        </w:tabs>
        <w:ind w:left="1156" w:hanging="567"/>
      </w:pPr>
      <w:rPr>
        <w:b w:val="0"/>
        <w:i w:val="0"/>
        <w:color w:val="000000"/>
      </w:rPr>
    </w:lvl>
    <w:lvl w:ilvl="4">
      <w:start w:val="1"/>
      <w:numFmt w:val="decimal"/>
      <w:lvlText w:val="%5"/>
      <w:lvlJc w:val="left"/>
      <w:pPr>
        <w:tabs>
          <w:tab w:val="num" w:pos="1723"/>
        </w:tabs>
        <w:ind w:left="1723" w:hanging="567"/>
      </w:pPr>
      <w:rPr>
        <w:b w:val="0"/>
        <w:i w:val="0"/>
        <w:color w:val="000000"/>
      </w:rPr>
    </w:lvl>
    <w:lvl w:ilvl="5">
      <w:start w:val="1"/>
      <w:numFmt w:val="decimal"/>
      <w:lvlText w:val="%6"/>
      <w:lvlJc w:val="left"/>
      <w:pPr>
        <w:tabs>
          <w:tab w:val="num" w:pos="2290"/>
        </w:tabs>
        <w:ind w:left="2290" w:hanging="567"/>
      </w:pPr>
      <w:rPr>
        <w:b w:val="0"/>
        <w:i w:val="0"/>
        <w:color w:val="000000"/>
      </w:rPr>
    </w:lvl>
    <w:lvl w:ilvl="6">
      <w:start w:val="1"/>
      <w:numFmt w:val="decimal"/>
      <w:lvlText w:val="%7"/>
      <w:lvlJc w:val="left"/>
      <w:pPr>
        <w:tabs>
          <w:tab w:val="num" w:pos="2857"/>
        </w:tabs>
        <w:ind w:left="2857" w:hanging="567"/>
      </w:pPr>
      <w:rPr>
        <w:b w:val="0"/>
        <w:i w:val="0"/>
        <w:color w:val="000000"/>
      </w:rPr>
    </w:lvl>
    <w:lvl w:ilvl="7">
      <w:start w:val="1"/>
      <w:numFmt w:val="decimal"/>
      <w:lvlText w:val="%8"/>
      <w:lvlJc w:val="left"/>
      <w:pPr>
        <w:tabs>
          <w:tab w:val="num" w:pos="3424"/>
        </w:tabs>
        <w:ind w:left="3424" w:hanging="567"/>
      </w:pPr>
      <w:rPr>
        <w:b w:val="0"/>
        <w:i w:val="0"/>
        <w:color w:val="000000"/>
      </w:rPr>
    </w:lvl>
    <w:lvl w:ilvl="8">
      <w:start w:val="1"/>
      <w:numFmt w:val="decimal"/>
      <w:lvlText w:val="%9"/>
      <w:lvlJc w:val="left"/>
      <w:pPr>
        <w:tabs>
          <w:tab w:val="num" w:pos="3991"/>
        </w:tabs>
        <w:ind w:left="3991" w:hanging="567"/>
      </w:pPr>
      <w:rPr>
        <w:b w:val="0"/>
        <w:i w:val="0"/>
        <w:color w:val="000000"/>
      </w:rPr>
    </w:lvl>
  </w:abstractNum>
  <w:abstractNum w:abstractNumId="14" w15:restartNumberingAfterBreak="0">
    <w:nsid w:val="3B5D2CC9"/>
    <w:multiLevelType w:val="multilevel"/>
    <w:tmpl w:val="EB40A84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7" w15:restartNumberingAfterBreak="0">
    <w:nsid w:val="44FE107A"/>
    <w:multiLevelType w:val="hybridMultilevel"/>
    <w:tmpl w:val="77742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C0084F"/>
    <w:multiLevelType w:val="multilevel"/>
    <w:tmpl w:val="F072FC86"/>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7CE728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0517C5A"/>
    <w:multiLevelType w:val="hybridMultilevel"/>
    <w:tmpl w:val="BEC87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7E5427"/>
    <w:multiLevelType w:val="multilevel"/>
    <w:tmpl w:val="5F883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4" w15:restartNumberingAfterBreak="0">
    <w:nsid w:val="5FBC7E8D"/>
    <w:multiLevelType w:val="multilevel"/>
    <w:tmpl w:val="41A84E40"/>
    <w:name w:val="BaseTextParagraphList"/>
    <w:lvl w:ilvl="0">
      <w:start w:val="1"/>
      <w:numFmt w:val="decimal"/>
      <w:lvlRestart w:val="0"/>
      <w:pStyle w:val="base-text-paragraph"/>
      <w:lvlText w:val="%1."/>
      <w:lvlJc w:val="left"/>
      <w:pPr>
        <w:tabs>
          <w:tab w:val="num" w:pos="1837"/>
        </w:tabs>
        <w:ind w:left="993" w:firstLine="0"/>
      </w:pPr>
      <w:rPr>
        <w:b w:val="0"/>
        <w:i w:val="0"/>
        <w:color w:val="000000"/>
      </w:rPr>
    </w:lvl>
    <w:lvl w:ilvl="1">
      <w:start w:val="1"/>
      <w:numFmt w:val="lowerLetter"/>
      <w:lvlText w:val="%2."/>
      <w:lvlJc w:val="left"/>
      <w:pPr>
        <w:ind w:left="2163" w:hanging="360"/>
      </w:pPr>
      <w:rPr>
        <w:b w:val="0"/>
        <w:bCs w:val="0"/>
      </w:rPr>
    </w:lvl>
    <w:lvl w:ilvl="2">
      <w:start w:val="1"/>
      <w:numFmt w:val="lowerRoman"/>
      <w:lvlText w:val="%3."/>
      <w:lvlJc w:val="right"/>
      <w:pPr>
        <w:ind w:left="2883" w:hanging="180"/>
      </w:pPr>
    </w:lvl>
    <w:lvl w:ilvl="3">
      <w:start w:val="1"/>
      <w:numFmt w:val="decimal"/>
      <w:lvlText w:val="%4."/>
      <w:lvlJc w:val="left"/>
      <w:pPr>
        <w:ind w:left="3603" w:hanging="360"/>
      </w:pPr>
    </w:lvl>
    <w:lvl w:ilvl="4">
      <w:start w:val="1"/>
      <w:numFmt w:val="lowerLetter"/>
      <w:lvlText w:val="(%5)"/>
      <w:lvlJc w:val="left"/>
      <w:pPr>
        <w:ind w:left="4323" w:hanging="360"/>
      </w:pPr>
      <w:rPr>
        <w:rFonts w:hint="default"/>
      </w:rPr>
    </w:lvl>
    <w:lvl w:ilvl="5">
      <w:start w:val="1"/>
      <w:numFmt w:val="upperLetter"/>
      <w:lvlText w:val="%6."/>
      <w:lvlJc w:val="left"/>
      <w:pPr>
        <w:ind w:left="5223" w:hanging="360"/>
      </w:pPr>
      <w:rPr>
        <w:rFonts w:hint="default"/>
      </w:rPr>
    </w:lvl>
    <w:lvl w:ilvl="6" w:tentative="1">
      <w:start w:val="1"/>
      <w:numFmt w:val="decimal"/>
      <w:lvlText w:val="%7."/>
      <w:lvlJc w:val="left"/>
      <w:pPr>
        <w:ind w:left="5763" w:hanging="360"/>
      </w:pPr>
    </w:lvl>
    <w:lvl w:ilvl="7" w:tentative="1">
      <w:start w:val="1"/>
      <w:numFmt w:val="lowerLetter"/>
      <w:lvlText w:val="%8."/>
      <w:lvlJc w:val="left"/>
      <w:pPr>
        <w:ind w:left="6483" w:hanging="360"/>
      </w:pPr>
    </w:lvl>
    <w:lvl w:ilvl="8" w:tentative="1">
      <w:start w:val="1"/>
      <w:numFmt w:val="lowerRoman"/>
      <w:lvlText w:val="%9."/>
      <w:lvlJc w:val="right"/>
      <w:pPr>
        <w:ind w:left="7203" w:hanging="180"/>
      </w:pPr>
    </w:lvl>
  </w:abstractNum>
  <w:abstractNum w:abstractNumId="25"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E66B5"/>
    <w:multiLevelType w:val="multilevel"/>
    <w:tmpl w:val="D54C85AC"/>
    <w:name w:val="ExampleDotPointList"/>
    <w:lvl w:ilvl="0">
      <w:start w:val="1"/>
      <w:numFmt w:val="bullet"/>
      <w:lvlRestart w:val="0"/>
      <w:pStyle w:val="exampledotpoint10"/>
      <w:lvlText w:val="•"/>
      <w:lvlJc w:val="left"/>
      <w:pPr>
        <w:tabs>
          <w:tab w:val="num" w:pos="2517"/>
        </w:tabs>
        <w:ind w:left="2517" w:hanging="357"/>
      </w:pPr>
      <w:rPr>
        <w:b w:val="0"/>
        <w:i w:val="0"/>
        <w:color w:val="000000"/>
      </w:rPr>
    </w:lvl>
    <w:lvl w:ilvl="1">
      <w:start w:val="1"/>
      <w:numFmt w:val="bullet"/>
      <w:pStyle w:val="exampledotpoint20"/>
      <w:lvlText w:val="–"/>
      <w:lvlJc w:val="left"/>
      <w:pPr>
        <w:tabs>
          <w:tab w:val="num" w:pos="3237"/>
        </w:tabs>
        <w:ind w:left="3237"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15:restartNumberingAfterBreak="0">
    <w:nsid w:val="658F725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A2603AA"/>
    <w:multiLevelType w:val="hybridMultilevel"/>
    <w:tmpl w:val="9AFE8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0B579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160441"/>
    <w:multiLevelType w:val="hybridMultilevel"/>
    <w:tmpl w:val="B03809FC"/>
    <w:lvl w:ilvl="0" w:tplc="73C6F922">
      <w:numFmt w:val="none"/>
      <w:lvlText w:val=""/>
      <w:lvlJc w:val="left"/>
      <w:pPr>
        <w:tabs>
          <w:tab w:val="num" w:pos="360"/>
        </w:tabs>
      </w:pPr>
    </w:lvl>
    <w:lvl w:ilvl="1" w:tplc="1D0A4F6C">
      <w:start w:val="1"/>
      <w:numFmt w:val="lowerLetter"/>
      <w:lvlText w:val="%2."/>
      <w:lvlJc w:val="left"/>
      <w:pPr>
        <w:ind w:left="1440" w:hanging="360"/>
      </w:pPr>
    </w:lvl>
    <w:lvl w:ilvl="2" w:tplc="6E9255C8">
      <w:start w:val="1"/>
      <w:numFmt w:val="lowerRoman"/>
      <w:lvlText w:val="%3."/>
      <w:lvlJc w:val="right"/>
      <w:pPr>
        <w:ind w:left="2160" w:hanging="180"/>
      </w:pPr>
    </w:lvl>
    <w:lvl w:ilvl="3" w:tplc="61A463FE">
      <w:start w:val="1"/>
      <w:numFmt w:val="decimal"/>
      <w:lvlText w:val="%4."/>
      <w:lvlJc w:val="left"/>
      <w:pPr>
        <w:ind w:left="2880" w:hanging="360"/>
      </w:pPr>
    </w:lvl>
    <w:lvl w:ilvl="4" w:tplc="7584AA28">
      <w:start w:val="1"/>
      <w:numFmt w:val="lowerLetter"/>
      <w:lvlText w:val="%5."/>
      <w:lvlJc w:val="left"/>
      <w:pPr>
        <w:ind w:left="3600" w:hanging="360"/>
      </w:pPr>
    </w:lvl>
    <w:lvl w:ilvl="5" w:tplc="316410AE">
      <w:start w:val="1"/>
      <w:numFmt w:val="lowerRoman"/>
      <w:lvlText w:val="%6."/>
      <w:lvlJc w:val="right"/>
      <w:pPr>
        <w:ind w:left="4320" w:hanging="180"/>
      </w:pPr>
    </w:lvl>
    <w:lvl w:ilvl="6" w:tplc="5D82CD42">
      <w:start w:val="1"/>
      <w:numFmt w:val="decimal"/>
      <w:lvlText w:val="%7."/>
      <w:lvlJc w:val="left"/>
      <w:pPr>
        <w:ind w:left="5040" w:hanging="360"/>
      </w:pPr>
    </w:lvl>
    <w:lvl w:ilvl="7" w:tplc="EC0038D8">
      <w:start w:val="1"/>
      <w:numFmt w:val="lowerLetter"/>
      <w:lvlText w:val="%8."/>
      <w:lvlJc w:val="left"/>
      <w:pPr>
        <w:ind w:left="5760" w:hanging="360"/>
      </w:pPr>
    </w:lvl>
    <w:lvl w:ilvl="8" w:tplc="425290A4">
      <w:start w:val="1"/>
      <w:numFmt w:val="lowerRoman"/>
      <w:lvlText w:val="%9."/>
      <w:lvlJc w:val="right"/>
      <w:pPr>
        <w:ind w:left="6480" w:hanging="180"/>
      </w:pPr>
    </w:lvl>
  </w:abstractNum>
  <w:abstractNum w:abstractNumId="32"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4" w15:restartNumberingAfterBreak="0">
    <w:nsid w:val="7B891783"/>
    <w:multiLevelType w:val="hybridMultilevel"/>
    <w:tmpl w:val="0CCE9FEC"/>
    <w:lvl w:ilvl="0" w:tplc="0B52848A">
      <w:start w:val="1"/>
      <w:numFmt w:val="bullet"/>
      <w:pStyle w:val="Dotpoint20"/>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0F038F"/>
    <w:multiLevelType w:val="multilevel"/>
    <w:tmpl w:val="1FB4B3BE"/>
    <w:name w:val="StandardNumberedList"/>
    <w:styleLink w:val="OPCBodyList2"/>
    <w:lvl w:ilvl="0">
      <w:start w:val="1"/>
      <w:numFmt w:val="decimal"/>
      <w:pStyle w:val="OutlineNumbered1"/>
      <w:lvlText w:val="%1."/>
      <w:lvlJc w:val="left"/>
      <w:pPr>
        <w:tabs>
          <w:tab w:val="num" w:pos="520"/>
        </w:tabs>
        <w:ind w:left="520" w:hanging="520"/>
      </w:pPr>
      <w:rPr>
        <w:rFonts w:hint="default"/>
      </w:rPr>
    </w:lvl>
    <w:lvl w:ilvl="1">
      <w:start w:val="1"/>
      <w:numFmt w:val="decimal"/>
      <w:pStyle w:val="OutlineNumbered2"/>
      <w:lvlText w:val="%1.%2."/>
      <w:lvlJc w:val="left"/>
      <w:pPr>
        <w:tabs>
          <w:tab w:val="num" w:pos="1040"/>
        </w:tabs>
        <w:ind w:left="1040" w:hanging="520"/>
      </w:pPr>
      <w:rPr>
        <w:rFonts w:hint="default"/>
      </w:rPr>
    </w:lvl>
    <w:lvl w:ilvl="2">
      <w:start w:val="1"/>
      <w:numFmt w:val="decimal"/>
      <w:pStyle w:val="OutlineNumbered3"/>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142F8A"/>
    <w:multiLevelType w:val="hybridMultilevel"/>
    <w:tmpl w:val="D5605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599739">
    <w:abstractNumId w:val="3"/>
  </w:num>
  <w:num w:numId="2" w16cid:durableId="1948731128">
    <w:abstractNumId w:val="32"/>
  </w:num>
  <w:num w:numId="3" w16cid:durableId="1829707682">
    <w:abstractNumId w:val="10"/>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34690233">
    <w:abstractNumId w:val="10"/>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lvlOverride w:ilvl="3">
      <w:lvl w:ilvl="3">
        <w:start w:val="1"/>
        <w:numFmt w:val="decimal"/>
        <w:lvlRestart w:val="1"/>
        <w:pStyle w:val="ExampleHeading"/>
        <w:suff w:val="space"/>
        <w:lvlText w:val="Example %1.%4"/>
        <w:lvlJc w:val="left"/>
        <w:pPr>
          <w:ind w:left="1701" w:hanging="1701"/>
        </w:pPr>
        <w:rPr>
          <w:rFonts w:ascii="Helvetica" w:hAnsi="Helvetica" w:cs="Helvetica" w:hint="default"/>
        </w:rPr>
      </w:lvl>
    </w:lvlOverride>
  </w:num>
  <w:num w:numId="5" w16cid:durableId="1142381951">
    <w:abstractNumId w:val="12"/>
  </w:num>
  <w:num w:numId="6" w16cid:durableId="911041120">
    <w:abstractNumId w:val="34"/>
  </w:num>
  <w:num w:numId="7" w16cid:durableId="2017876939">
    <w:abstractNumId w:val="22"/>
  </w:num>
  <w:num w:numId="8" w16cid:durableId="679544403">
    <w:abstractNumId w:val="16"/>
  </w:num>
  <w:num w:numId="9" w16cid:durableId="1648515472">
    <w:abstractNumId w:val="25"/>
  </w:num>
  <w:num w:numId="10" w16cid:durableId="407070147">
    <w:abstractNumId w:val="29"/>
  </w:num>
  <w:num w:numId="11" w16cid:durableId="1005204720">
    <w:abstractNumId w:val="12"/>
  </w:num>
  <w:num w:numId="12" w16cid:durableId="680205999">
    <w:abstractNumId w:val="7"/>
  </w:num>
  <w:num w:numId="13" w16cid:durableId="1491290959">
    <w:abstractNumId w:val="23"/>
  </w:num>
  <w:num w:numId="14" w16cid:durableId="1101536722">
    <w:abstractNumId w:val="33"/>
  </w:num>
  <w:num w:numId="15" w16cid:durableId="1399742980">
    <w:abstractNumId w:val="32"/>
  </w:num>
  <w:num w:numId="16" w16cid:durableId="697466083">
    <w:abstractNumId w:val="10"/>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17" w16cid:durableId="319501894">
    <w:abstractNumId w:val="10"/>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705788791">
    <w:abstractNumId w:val="10"/>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lvlOverride w:ilvl="3">
      <w:lvl w:ilvl="3">
        <w:start w:val="1"/>
        <w:numFmt w:val="decimal"/>
        <w:lvlRestart w:val="1"/>
        <w:pStyle w:val="ExampleHeading"/>
        <w:suff w:val="space"/>
        <w:lvlText w:val="Example %1.%4"/>
        <w:lvlJc w:val="left"/>
        <w:pPr>
          <w:ind w:left="1701" w:hanging="1701"/>
        </w:pPr>
        <w:rPr>
          <w:rFonts w:ascii="Helvetica" w:hAnsi="Helvetica" w:cs="Helvetica" w:hint="default"/>
        </w:rPr>
      </w:lvl>
    </w:lvlOverride>
  </w:num>
  <w:num w:numId="19" w16cid:durableId="827676583">
    <w:abstractNumId w:val="24"/>
  </w:num>
  <w:num w:numId="20" w16cid:durableId="1981618379">
    <w:abstractNumId w:val="13"/>
  </w:num>
  <w:num w:numId="21" w16cid:durableId="570771096">
    <w:abstractNumId w:val="26"/>
  </w:num>
  <w:num w:numId="22" w16cid:durableId="1822651326">
    <w:abstractNumId w:val="9"/>
  </w:num>
  <w:num w:numId="23" w16cid:durableId="1994333856">
    <w:abstractNumId w:val="35"/>
  </w:num>
  <w:num w:numId="24" w16cid:durableId="279915697">
    <w:abstractNumId w:val="8"/>
  </w:num>
  <w:num w:numId="25" w16cid:durableId="1479804881">
    <w:abstractNumId w:val="0"/>
  </w:num>
  <w:num w:numId="26" w16cid:durableId="1857691908">
    <w:abstractNumId w:val="15"/>
  </w:num>
  <w:num w:numId="27" w16cid:durableId="1443497727">
    <w:abstractNumId w:val="10"/>
    <w:lvlOverride w:ilvl="1">
      <w:lvl w:ilvl="1">
        <w:start w:val="1"/>
        <w:numFmt w:val="decimal"/>
        <w:pStyle w:val="Normalparatextwithnumbers"/>
        <w:lvlText w:val="%1.%2"/>
        <w:lvlJc w:val="left"/>
        <w:pPr>
          <w:tabs>
            <w:tab w:val="num" w:pos="709"/>
          </w:tabs>
          <w:ind w:left="709" w:hanging="709"/>
        </w:pPr>
        <w:rPr>
          <w:rFonts w:hint="default"/>
          <w:i w:val="0"/>
          <w:iCs/>
        </w:rPr>
      </w:lvl>
    </w:lvlOverride>
  </w:num>
  <w:num w:numId="28" w16cid:durableId="14007099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5973110">
    <w:abstractNumId w:val="1"/>
  </w:num>
  <w:num w:numId="30" w16cid:durableId="939217421">
    <w:abstractNumId w:val="2"/>
  </w:num>
  <w:num w:numId="31" w16cid:durableId="266473308">
    <w:abstractNumId w:val="28"/>
  </w:num>
  <w:num w:numId="32" w16cid:durableId="475530667">
    <w:abstractNumId w:val="6"/>
  </w:num>
  <w:num w:numId="33" w16cid:durableId="594441909">
    <w:abstractNumId w:val="20"/>
  </w:num>
  <w:num w:numId="34" w16cid:durableId="758671862">
    <w:abstractNumId w:val="17"/>
  </w:num>
  <w:num w:numId="35" w16cid:durableId="1460954001">
    <w:abstractNumId w:val="36"/>
  </w:num>
  <w:num w:numId="36" w16cid:durableId="1933705617">
    <w:abstractNumId w:val="11"/>
  </w:num>
  <w:num w:numId="37" w16cid:durableId="1903442704">
    <w:abstractNumId w:val="21"/>
  </w:num>
  <w:num w:numId="38" w16cid:durableId="1820032787">
    <w:abstractNumId w:val="27"/>
  </w:num>
  <w:num w:numId="39" w16cid:durableId="1983386273">
    <w:abstractNumId w:val="5"/>
  </w:num>
  <w:num w:numId="40" w16cid:durableId="415514161">
    <w:abstractNumId w:val="4"/>
  </w:num>
  <w:num w:numId="41" w16cid:durableId="771433190">
    <w:abstractNumId w:val="10"/>
    <w:lvlOverride w:ilvl="0">
      <w:startOverride w:val="1"/>
      <w:lvl w:ilvl="0">
        <w:start w:val="1"/>
        <w:numFmt w:val="decimal"/>
        <w:pStyle w:val="Chapterheading"/>
        <w:lvlText w:val="Chapter %1:"/>
        <w:lvlJc w:val="left"/>
        <w:pPr>
          <w:tabs>
            <w:tab w:val="num" w:pos="2977"/>
          </w:tabs>
          <w:ind w:left="0" w:firstLine="0"/>
        </w:pPr>
        <w:rPr>
          <w:rFonts w:ascii="Helvitica" w:hAnsi="Helvitica"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Normalparatextwithnumbers"/>
        <w:lvlText w:val=""/>
        <w:lvlJc w:val="left"/>
      </w:lvl>
    </w:lvlOverride>
    <w:lvlOverride w:ilvl="2">
      <w:startOverride w:val="1"/>
      <w:lvl w:ilvl="2">
        <w:start w:val="1"/>
        <w:numFmt w:val="decimal"/>
        <w:pStyle w:val="DiagramHeading"/>
        <w:lvlText w:val=""/>
        <w:lvlJc w:val="left"/>
      </w:lvl>
    </w:lvlOverride>
    <w:lvlOverride w:ilvl="3">
      <w:startOverride w:val="1"/>
      <w:lvl w:ilvl="3">
        <w:start w:val="1"/>
        <w:numFmt w:val="decimal"/>
        <w:pStyle w:val="ExampleHeading"/>
        <w:lvlText w:val=""/>
        <w:lvlJc w:val="left"/>
      </w:lvl>
    </w:lvlOverride>
    <w:lvlOverride w:ilvl="4">
      <w:startOverride w:val="1"/>
      <w:lvl w:ilvl="4">
        <w:start w:val="1"/>
        <w:numFmt w:val="decimal"/>
        <w:pStyle w:val="TableHeading"/>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16cid:durableId="1289363209">
    <w:abstractNumId w:val="10"/>
    <w:lvlOverride w:ilvl="0">
      <w:startOverride w:val="1"/>
      <w:lvl w:ilvl="0">
        <w:start w:val="1"/>
        <w:numFmt w:val="decimal"/>
        <w:pStyle w:val="Chapterheading"/>
        <w:lvlText w:val="Chapter %1:"/>
        <w:lvlJc w:val="left"/>
        <w:pPr>
          <w:tabs>
            <w:tab w:val="num" w:pos="2977"/>
          </w:tabs>
          <w:ind w:left="0" w:firstLine="0"/>
        </w:pPr>
        <w:rPr>
          <w:rFonts w:ascii="Helvitica" w:hAnsi="Helvitica"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Normalparatextwithnumbers"/>
        <w:lvlText w:val=""/>
        <w:lvlJc w:val="left"/>
      </w:lvl>
    </w:lvlOverride>
    <w:lvlOverride w:ilvl="2">
      <w:startOverride w:val="1"/>
      <w:lvl w:ilvl="2">
        <w:start w:val="1"/>
        <w:numFmt w:val="decimal"/>
        <w:pStyle w:val="DiagramHeading"/>
        <w:lvlText w:val=""/>
        <w:lvlJc w:val="left"/>
      </w:lvl>
    </w:lvlOverride>
    <w:lvlOverride w:ilvl="3">
      <w:startOverride w:val="1"/>
      <w:lvl w:ilvl="3">
        <w:start w:val="1"/>
        <w:numFmt w:val="decimal"/>
        <w:pStyle w:val="ExampleHeading"/>
        <w:lvlText w:val=""/>
        <w:lvlJc w:val="left"/>
      </w:lvl>
    </w:lvlOverride>
    <w:lvlOverride w:ilvl="4">
      <w:startOverride w:val="1"/>
      <w:lvl w:ilvl="4">
        <w:start w:val="1"/>
        <w:numFmt w:val="decimal"/>
        <w:pStyle w:val="TableHeading"/>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16cid:durableId="1514879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7232776">
    <w:abstractNumId w:val="31"/>
  </w:num>
  <w:num w:numId="45" w16cid:durableId="2074308049">
    <w:abstractNumId w:val="19"/>
  </w:num>
  <w:num w:numId="46" w16cid:durableId="922764558">
    <w:abstractNumId w:val="18"/>
  </w:num>
  <w:num w:numId="47" w16cid:durableId="1638027566">
    <w:abstractNumId w:val="10"/>
  </w:num>
  <w:num w:numId="48" w16cid:durableId="1335575335">
    <w:abstractNumId w:val="30"/>
  </w:num>
  <w:num w:numId="49" w16cid:durableId="2045205682">
    <w:abstractNumId w:val="10"/>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lvlOverride w:ilvl="3">
      <w:lvl w:ilvl="3">
        <w:start w:val="1"/>
        <w:numFmt w:val="decimal"/>
        <w:lvlRestart w:val="1"/>
        <w:pStyle w:val="ExampleHeading"/>
        <w:suff w:val="space"/>
        <w:lvlText w:val="Example %1.%4"/>
        <w:lvlJc w:val="left"/>
        <w:pPr>
          <w:ind w:left="1701" w:hanging="1701"/>
        </w:pPr>
        <w:rPr>
          <w:rFonts w:ascii="Helvetica" w:hAnsi="Helvetica" w:cs="Helvetica" w:hint="default"/>
        </w:rPr>
      </w:lvl>
    </w:lvlOverride>
  </w:num>
  <w:num w:numId="50" w16cid:durableId="1406606242">
    <w:abstractNumId w:val="13"/>
  </w:num>
  <w:num w:numId="51" w16cid:durableId="1019694903">
    <w:abstractNumId w:val="13"/>
  </w:num>
  <w:num w:numId="52" w16cid:durableId="1278098843">
    <w:abstractNumId w:val="13"/>
  </w:num>
  <w:num w:numId="53" w16cid:durableId="34814851">
    <w:abstractNumId w:val="33"/>
  </w:num>
  <w:num w:numId="54" w16cid:durableId="1593053651">
    <w:abstractNumId w:val="33"/>
  </w:num>
  <w:num w:numId="55" w16cid:durableId="242841934">
    <w:abstractNumId w:val="33"/>
  </w:num>
  <w:num w:numId="56" w16cid:durableId="295454855">
    <w:abstractNumId w:val="33"/>
  </w:num>
  <w:num w:numId="57" w16cid:durableId="1698382851">
    <w:abstractNumId w:val="33"/>
  </w:num>
  <w:num w:numId="58" w16cid:durableId="32735219">
    <w:abstractNumId w:val="33"/>
  </w:num>
  <w:num w:numId="59" w16cid:durableId="1012494670">
    <w:abstractNumId w:val="33"/>
  </w:num>
  <w:num w:numId="60" w16cid:durableId="269818916">
    <w:abstractNumId w:val="33"/>
  </w:num>
  <w:num w:numId="61" w16cid:durableId="1256674124">
    <w:abstractNumId w:val="33"/>
  </w:num>
  <w:num w:numId="62" w16cid:durableId="843402130">
    <w:abstractNumId w:val="33"/>
  </w:num>
  <w:num w:numId="63" w16cid:durableId="449512039">
    <w:abstractNumId w:val="33"/>
  </w:num>
  <w:num w:numId="64" w16cid:durableId="907690724">
    <w:abstractNumId w:val="33"/>
  </w:num>
  <w:num w:numId="65" w16cid:durableId="973676500">
    <w:abstractNumId w:val="33"/>
  </w:num>
  <w:num w:numId="66" w16cid:durableId="799765239">
    <w:abstractNumId w:val="33"/>
  </w:num>
  <w:num w:numId="67" w16cid:durableId="47385715">
    <w:abstractNumId w:val="33"/>
  </w:num>
  <w:num w:numId="68" w16cid:durableId="1118791854">
    <w:abstractNumId w:val="33"/>
  </w:num>
  <w:num w:numId="69" w16cid:durableId="912932253">
    <w:abstractNumId w:val="33"/>
  </w:num>
  <w:num w:numId="70" w16cid:durableId="156041587">
    <w:abstractNumId w:val="33"/>
  </w:num>
  <w:num w:numId="71" w16cid:durableId="546456323">
    <w:abstractNumId w:val="33"/>
  </w:num>
  <w:num w:numId="72" w16cid:durableId="929123619">
    <w:abstractNumId w:val="33"/>
  </w:num>
  <w:num w:numId="73" w16cid:durableId="1224223022">
    <w:abstractNumId w:val="33"/>
  </w:num>
  <w:num w:numId="74" w16cid:durableId="1978487740">
    <w:abstractNumId w:val="33"/>
  </w:num>
  <w:num w:numId="75" w16cid:durableId="897126240">
    <w:abstractNumId w:val="33"/>
  </w:num>
  <w:num w:numId="76" w16cid:durableId="1582526909">
    <w:abstractNumId w:val="33"/>
  </w:num>
  <w:num w:numId="77" w16cid:durableId="17897813">
    <w:abstractNumId w:val="33"/>
  </w:num>
  <w:num w:numId="78" w16cid:durableId="1040671529">
    <w:abstractNumId w:val="33"/>
  </w:num>
  <w:num w:numId="79" w16cid:durableId="672299265">
    <w:abstractNumId w:val="33"/>
  </w:num>
  <w:num w:numId="80" w16cid:durableId="103355540">
    <w:abstractNumId w:val="33"/>
  </w:num>
  <w:num w:numId="81" w16cid:durableId="826476431">
    <w:abstractNumId w:val="33"/>
  </w:num>
  <w:num w:numId="82" w16cid:durableId="1754858515">
    <w:abstractNumId w:val="33"/>
  </w:num>
  <w:num w:numId="83" w16cid:durableId="26030563">
    <w:abstractNumId w:val="33"/>
  </w:num>
  <w:num w:numId="84" w16cid:durableId="913515090">
    <w:abstractNumId w:val="33"/>
  </w:num>
  <w:num w:numId="85" w16cid:durableId="1503426595">
    <w:abstractNumId w:val="33"/>
  </w:num>
  <w:num w:numId="86" w16cid:durableId="509635907">
    <w:abstractNumId w:val="33"/>
  </w:num>
  <w:num w:numId="87" w16cid:durableId="913852842">
    <w:abstractNumId w:val="33"/>
  </w:num>
  <w:num w:numId="88" w16cid:durableId="316804829">
    <w:abstractNumId w:val="33"/>
  </w:num>
  <w:num w:numId="89" w16cid:durableId="174274769">
    <w:abstractNumId w:val="33"/>
  </w:num>
  <w:num w:numId="90" w16cid:durableId="433744829">
    <w:abstractNumId w:val="33"/>
  </w:num>
  <w:num w:numId="91" w16cid:durableId="1297299461">
    <w:abstractNumId w:val="33"/>
  </w:num>
  <w:num w:numId="92" w16cid:durableId="852769623">
    <w:abstractNumId w:val="33"/>
  </w:num>
  <w:num w:numId="93" w16cid:durableId="876090308">
    <w:abstractNumId w:val="33"/>
  </w:num>
  <w:num w:numId="94" w16cid:durableId="1189568637">
    <w:abstractNumId w:val="33"/>
  </w:num>
  <w:num w:numId="95" w16cid:durableId="937719419">
    <w:abstractNumId w:val="33"/>
  </w:num>
  <w:num w:numId="96" w16cid:durableId="187330622">
    <w:abstractNumId w:val="33"/>
  </w:num>
  <w:num w:numId="97" w16cid:durableId="1870602648">
    <w:abstractNumId w:val="33"/>
  </w:num>
  <w:num w:numId="98" w16cid:durableId="969096982">
    <w:abstractNumId w:val="33"/>
  </w:num>
  <w:num w:numId="99" w16cid:durableId="1829521220">
    <w:abstractNumId w:val="33"/>
  </w:num>
  <w:num w:numId="100" w16cid:durableId="1168600171">
    <w:abstractNumId w:val="33"/>
  </w:num>
  <w:num w:numId="101" w16cid:durableId="417950163">
    <w:abstractNumId w:val="33"/>
  </w:num>
  <w:num w:numId="102" w16cid:durableId="1026637272">
    <w:abstractNumId w:val="33"/>
  </w:num>
  <w:num w:numId="103" w16cid:durableId="1706952113">
    <w:abstractNumId w:val="33"/>
  </w:num>
  <w:num w:numId="104" w16cid:durableId="201289783">
    <w:abstractNumId w:val="33"/>
  </w:num>
  <w:num w:numId="105" w16cid:durableId="1819032367">
    <w:abstractNumId w:val="33"/>
  </w:num>
  <w:num w:numId="106" w16cid:durableId="1581256817">
    <w:abstractNumId w:val="33"/>
  </w:num>
  <w:num w:numId="107" w16cid:durableId="598295247">
    <w:abstractNumId w:val="33"/>
  </w:num>
  <w:num w:numId="108" w16cid:durableId="595014889">
    <w:abstractNumId w:val="33"/>
  </w:num>
  <w:num w:numId="109" w16cid:durableId="296376243">
    <w:abstractNumId w:val="33"/>
  </w:num>
  <w:num w:numId="110" w16cid:durableId="888804913">
    <w:abstractNumId w:val="33"/>
  </w:num>
  <w:num w:numId="111" w16cid:durableId="1413354814">
    <w:abstractNumId w:val="33"/>
  </w:num>
  <w:num w:numId="112" w16cid:durableId="1773698654">
    <w:abstractNumId w:val="33"/>
  </w:num>
  <w:num w:numId="113" w16cid:durableId="589584706">
    <w:abstractNumId w:val="33"/>
  </w:num>
  <w:num w:numId="114" w16cid:durableId="1592200344">
    <w:abstractNumId w:val="12"/>
  </w:num>
  <w:num w:numId="115" w16cid:durableId="1875998277">
    <w:abstractNumId w:val="12"/>
  </w:num>
  <w:num w:numId="116" w16cid:durableId="301081205">
    <w:abstractNumId w:val="12"/>
  </w:num>
  <w:num w:numId="117" w16cid:durableId="1628926100">
    <w:abstractNumId w:val="12"/>
  </w:num>
  <w:num w:numId="118" w16cid:durableId="381486201">
    <w:abstractNumId w:val="13"/>
  </w:num>
  <w:num w:numId="119" w16cid:durableId="1126704502">
    <w:abstractNumId w:val="12"/>
  </w:num>
  <w:num w:numId="120" w16cid:durableId="103118054">
    <w:abstractNumId w:val="12"/>
  </w:num>
  <w:num w:numId="121" w16cid:durableId="1928031581">
    <w:abstractNumId w:val="12"/>
  </w:num>
  <w:num w:numId="122" w16cid:durableId="1989240517">
    <w:abstractNumId w:val="12"/>
  </w:num>
  <w:num w:numId="123" w16cid:durableId="1849906697">
    <w:abstractNumId w:val="12"/>
  </w:num>
  <w:num w:numId="124" w16cid:durableId="604650174">
    <w:abstractNumId w:val="12"/>
  </w:num>
  <w:num w:numId="125" w16cid:durableId="1731075592">
    <w:abstractNumId w:val="12"/>
  </w:num>
  <w:num w:numId="126" w16cid:durableId="1268658549">
    <w:abstractNumId w:val="12"/>
  </w:num>
  <w:num w:numId="127" w16cid:durableId="2074153624">
    <w:abstractNumId w:val="12"/>
  </w:num>
  <w:num w:numId="128" w16cid:durableId="1112240132">
    <w:abstractNumId w:val="12"/>
  </w:num>
  <w:num w:numId="129" w16cid:durableId="1329092975">
    <w:abstractNumId w:val="12"/>
  </w:num>
  <w:num w:numId="130" w16cid:durableId="644239157">
    <w:abstractNumId w:val="12"/>
  </w:num>
  <w:num w:numId="131" w16cid:durableId="737170435">
    <w:abstractNumId w:val="12"/>
  </w:num>
  <w:num w:numId="132" w16cid:durableId="1952131595">
    <w:abstractNumId w:val="12"/>
  </w:num>
  <w:num w:numId="133" w16cid:durableId="1914586260">
    <w:abstractNumId w:val="12"/>
  </w:num>
  <w:num w:numId="134" w16cid:durableId="1524202641">
    <w:abstractNumId w:val="12"/>
  </w:num>
  <w:num w:numId="135" w16cid:durableId="992609948">
    <w:abstractNumId w:val="12"/>
  </w:num>
  <w:num w:numId="136" w16cid:durableId="1045912763">
    <w:abstractNumId w:val="12"/>
  </w:num>
  <w:num w:numId="137" w16cid:durableId="844589685">
    <w:abstractNumId w:val="12"/>
  </w:num>
  <w:num w:numId="138" w16cid:durableId="676735225">
    <w:abstractNumId w:val="12"/>
  </w:num>
  <w:num w:numId="139" w16cid:durableId="1435513668">
    <w:abstractNumId w:val="12"/>
  </w:num>
  <w:num w:numId="140" w16cid:durableId="535050443">
    <w:abstractNumId w:val="12"/>
  </w:num>
  <w:num w:numId="141" w16cid:durableId="1226448381">
    <w:abstractNumId w:val="12"/>
  </w:num>
  <w:num w:numId="142" w16cid:durableId="60372095">
    <w:abstractNumId w:val="12"/>
  </w:num>
  <w:num w:numId="143" w16cid:durableId="626861184">
    <w:abstractNumId w:val="12"/>
  </w:num>
  <w:num w:numId="144" w16cid:durableId="651560881">
    <w:abstractNumId w:val="12"/>
  </w:num>
  <w:num w:numId="145" w16cid:durableId="1491747600">
    <w:abstractNumId w:val="12"/>
  </w:num>
  <w:num w:numId="146" w16cid:durableId="780220771">
    <w:abstractNumId w:val="12"/>
  </w:num>
  <w:num w:numId="147" w16cid:durableId="1065642365">
    <w:abstractNumId w:val="12"/>
  </w:num>
  <w:num w:numId="148" w16cid:durableId="766269416">
    <w:abstractNumId w:val="1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3B"/>
    <w:rsid w:val="000006DC"/>
    <w:rsid w:val="00000767"/>
    <w:rsid w:val="00000880"/>
    <w:rsid w:val="00000BFC"/>
    <w:rsid w:val="00000E2B"/>
    <w:rsid w:val="00000EFE"/>
    <w:rsid w:val="00000FBF"/>
    <w:rsid w:val="00001128"/>
    <w:rsid w:val="00001C67"/>
    <w:rsid w:val="00001E11"/>
    <w:rsid w:val="00001ECE"/>
    <w:rsid w:val="00001F2B"/>
    <w:rsid w:val="000023E6"/>
    <w:rsid w:val="00002F2F"/>
    <w:rsid w:val="0000331A"/>
    <w:rsid w:val="0000337C"/>
    <w:rsid w:val="00003808"/>
    <w:rsid w:val="00003A00"/>
    <w:rsid w:val="00003EF6"/>
    <w:rsid w:val="000040D6"/>
    <w:rsid w:val="00004117"/>
    <w:rsid w:val="00004585"/>
    <w:rsid w:val="000053B1"/>
    <w:rsid w:val="0000584F"/>
    <w:rsid w:val="00005B7E"/>
    <w:rsid w:val="00005C54"/>
    <w:rsid w:val="00005E04"/>
    <w:rsid w:val="000061DF"/>
    <w:rsid w:val="0000663E"/>
    <w:rsid w:val="000068A2"/>
    <w:rsid w:val="00006B89"/>
    <w:rsid w:val="00006E86"/>
    <w:rsid w:val="0000711C"/>
    <w:rsid w:val="00007262"/>
    <w:rsid w:val="000079D5"/>
    <w:rsid w:val="00007CEC"/>
    <w:rsid w:val="00010064"/>
    <w:rsid w:val="00010087"/>
    <w:rsid w:val="00010ACD"/>
    <w:rsid w:val="00010C5F"/>
    <w:rsid w:val="00010D89"/>
    <w:rsid w:val="00011416"/>
    <w:rsid w:val="0001147F"/>
    <w:rsid w:val="00011BC3"/>
    <w:rsid w:val="00012296"/>
    <w:rsid w:val="00012299"/>
    <w:rsid w:val="00012611"/>
    <w:rsid w:val="00012699"/>
    <w:rsid w:val="000126F6"/>
    <w:rsid w:val="00012A46"/>
    <w:rsid w:val="00013384"/>
    <w:rsid w:val="00013486"/>
    <w:rsid w:val="000136FF"/>
    <w:rsid w:val="00013826"/>
    <w:rsid w:val="000138DB"/>
    <w:rsid w:val="00013904"/>
    <w:rsid w:val="00013AB9"/>
    <w:rsid w:val="00013B7E"/>
    <w:rsid w:val="00013CF5"/>
    <w:rsid w:val="000144F6"/>
    <w:rsid w:val="00014685"/>
    <w:rsid w:val="0001472F"/>
    <w:rsid w:val="00014A70"/>
    <w:rsid w:val="000150A5"/>
    <w:rsid w:val="00015392"/>
    <w:rsid w:val="000153DE"/>
    <w:rsid w:val="00015413"/>
    <w:rsid w:val="000155B2"/>
    <w:rsid w:val="000157B4"/>
    <w:rsid w:val="000159E2"/>
    <w:rsid w:val="00015A04"/>
    <w:rsid w:val="00015B9C"/>
    <w:rsid w:val="00015F22"/>
    <w:rsid w:val="000161BD"/>
    <w:rsid w:val="000162F9"/>
    <w:rsid w:val="000164A6"/>
    <w:rsid w:val="000166CB"/>
    <w:rsid w:val="0001673D"/>
    <w:rsid w:val="0001681E"/>
    <w:rsid w:val="0001699F"/>
    <w:rsid w:val="00016BDF"/>
    <w:rsid w:val="0001704D"/>
    <w:rsid w:val="000176F4"/>
    <w:rsid w:val="000177F6"/>
    <w:rsid w:val="0001787F"/>
    <w:rsid w:val="000178CF"/>
    <w:rsid w:val="0001793D"/>
    <w:rsid w:val="00017968"/>
    <w:rsid w:val="00017B8A"/>
    <w:rsid w:val="00020057"/>
    <w:rsid w:val="000201AA"/>
    <w:rsid w:val="00020289"/>
    <w:rsid w:val="00020910"/>
    <w:rsid w:val="00020FF9"/>
    <w:rsid w:val="00021268"/>
    <w:rsid w:val="000213EA"/>
    <w:rsid w:val="00021544"/>
    <w:rsid w:val="000218FC"/>
    <w:rsid w:val="00021974"/>
    <w:rsid w:val="00021DAA"/>
    <w:rsid w:val="00021DC7"/>
    <w:rsid w:val="00021E68"/>
    <w:rsid w:val="00021EDC"/>
    <w:rsid w:val="00022308"/>
    <w:rsid w:val="000223B5"/>
    <w:rsid w:val="000224BB"/>
    <w:rsid w:val="000225A9"/>
    <w:rsid w:val="000228A1"/>
    <w:rsid w:val="00022A43"/>
    <w:rsid w:val="00022AF8"/>
    <w:rsid w:val="00022E00"/>
    <w:rsid w:val="00022E28"/>
    <w:rsid w:val="00023011"/>
    <w:rsid w:val="00023352"/>
    <w:rsid w:val="0002347F"/>
    <w:rsid w:val="00023572"/>
    <w:rsid w:val="00023B88"/>
    <w:rsid w:val="00023C5F"/>
    <w:rsid w:val="0002416A"/>
    <w:rsid w:val="000241DD"/>
    <w:rsid w:val="000245E2"/>
    <w:rsid w:val="00024CA2"/>
    <w:rsid w:val="000252A4"/>
    <w:rsid w:val="000253FE"/>
    <w:rsid w:val="00025E27"/>
    <w:rsid w:val="0002612A"/>
    <w:rsid w:val="000265D2"/>
    <w:rsid w:val="00026B9C"/>
    <w:rsid w:val="00026CF3"/>
    <w:rsid w:val="00026D05"/>
    <w:rsid w:val="00026D30"/>
    <w:rsid w:val="00026F21"/>
    <w:rsid w:val="000271DE"/>
    <w:rsid w:val="000278B6"/>
    <w:rsid w:val="000279E8"/>
    <w:rsid w:val="00027AE6"/>
    <w:rsid w:val="00027BAE"/>
    <w:rsid w:val="00027ED8"/>
    <w:rsid w:val="00027F13"/>
    <w:rsid w:val="000304B2"/>
    <w:rsid w:val="00030F48"/>
    <w:rsid w:val="0003172A"/>
    <w:rsid w:val="00031753"/>
    <w:rsid w:val="00031985"/>
    <w:rsid w:val="00031F97"/>
    <w:rsid w:val="00032174"/>
    <w:rsid w:val="00032203"/>
    <w:rsid w:val="000322F9"/>
    <w:rsid w:val="00032497"/>
    <w:rsid w:val="000328CE"/>
    <w:rsid w:val="000329CF"/>
    <w:rsid w:val="00032D0A"/>
    <w:rsid w:val="0003300F"/>
    <w:rsid w:val="00033025"/>
    <w:rsid w:val="000330FE"/>
    <w:rsid w:val="0003333D"/>
    <w:rsid w:val="00033457"/>
    <w:rsid w:val="00033C66"/>
    <w:rsid w:val="00033E4C"/>
    <w:rsid w:val="00033E93"/>
    <w:rsid w:val="00033EBD"/>
    <w:rsid w:val="0003438A"/>
    <w:rsid w:val="000344A1"/>
    <w:rsid w:val="000346A0"/>
    <w:rsid w:val="000346C9"/>
    <w:rsid w:val="000348EE"/>
    <w:rsid w:val="00034A08"/>
    <w:rsid w:val="00034ACA"/>
    <w:rsid w:val="00034F0B"/>
    <w:rsid w:val="000350A9"/>
    <w:rsid w:val="0003529C"/>
    <w:rsid w:val="000356A0"/>
    <w:rsid w:val="00035719"/>
    <w:rsid w:val="00035965"/>
    <w:rsid w:val="0003600B"/>
    <w:rsid w:val="00036160"/>
    <w:rsid w:val="0003639C"/>
    <w:rsid w:val="000369C0"/>
    <w:rsid w:val="00036D93"/>
    <w:rsid w:val="00037007"/>
    <w:rsid w:val="0003719E"/>
    <w:rsid w:val="000371F8"/>
    <w:rsid w:val="0003725E"/>
    <w:rsid w:val="00037291"/>
    <w:rsid w:val="000372F2"/>
    <w:rsid w:val="00037319"/>
    <w:rsid w:val="00037369"/>
    <w:rsid w:val="0003737F"/>
    <w:rsid w:val="00037776"/>
    <w:rsid w:val="000379C0"/>
    <w:rsid w:val="00037A5A"/>
    <w:rsid w:val="00037B1F"/>
    <w:rsid w:val="00037F37"/>
    <w:rsid w:val="00040058"/>
    <w:rsid w:val="00040134"/>
    <w:rsid w:val="000403FD"/>
    <w:rsid w:val="000404F8"/>
    <w:rsid w:val="00040842"/>
    <w:rsid w:val="0004091A"/>
    <w:rsid w:val="00040B70"/>
    <w:rsid w:val="00040DC8"/>
    <w:rsid w:val="00041000"/>
    <w:rsid w:val="0004124E"/>
    <w:rsid w:val="00041348"/>
    <w:rsid w:val="00041566"/>
    <w:rsid w:val="00041988"/>
    <w:rsid w:val="00041B20"/>
    <w:rsid w:val="00042449"/>
    <w:rsid w:val="000427BB"/>
    <w:rsid w:val="000429C8"/>
    <w:rsid w:val="00042BF7"/>
    <w:rsid w:val="00042C91"/>
    <w:rsid w:val="00042DD5"/>
    <w:rsid w:val="0004368C"/>
    <w:rsid w:val="000436F2"/>
    <w:rsid w:val="000438EC"/>
    <w:rsid w:val="00043ADC"/>
    <w:rsid w:val="00043C41"/>
    <w:rsid w:val="00043CB2"/>
    <w:rsid w:val="00043DBB"/>
    <w:rsid w:val="00043E51"/>
    <w:rsid w:val="00043E8E"/>
    <w:rsid w:val="0004462E"/>
    <w:rsid w:val="000449EF"/>
    <w:rsid w:val="00044FFA"/>
    <w:rsid w:val="000453D3"/>
    <w:rsid w:val="00045807"/>
    <w:rsid w:val="00045AA6"/>
    <w:rsid w:val="00045AD2"/>
    <w:rsid w:val="00045FDD"/>
    <w:rsid w:val="0004632B"/>
    <w:rsid w:val="00046365"/>
    <w:rsid w:val="00046399"/>
    <w:rsid w:val="000464FC"/>
    <w:rsid w:val="00046CD7"/>
    <w:rsid w:val="0004729C"/>
    <w:rsid w:val="0004754A"/>
    <w:rsid w:val="0004789F"/>
    <w:rsid w:val="000479E1"/>
    <w:rsid w:val="000479FB"/>
    <w:rsid w:val="00047DC5"/>
    <w:rsid w:val="00047E92"/>
    <w:rsid w:val="00047FF2"/>
    <w:rsid w:val="0005004C"/>
    <w:rsid w:val="0005011C"/>
    <w:rsid w:val="00050407"/>
    <w:rsid w:val="00050462"/>
    <w:rsid w:val="00050575"/>
    <w:rsid w:val="00050840"/>
    <w:rsid w:val="0005084F"/>
    <w:rsid w:val="00050983"/>
    <w:rsid w:val="00051978"/>
    <w:rsid w:val="00051B1E"/>
    <w:rsid w:val="00051B31"/>
    <w:rsid w:val="00051DB4"/>
    <w:rsid w:val="00051EE8"/>
    <w:rsid w:val="00051EFD"/>
    <w:rsid w:val="000525AA"/>
    <w:rsid w:val="000525B6"/>
    <w:rsid w:val="00052684"/>
    <w:rsid w:val="00052B84"/>
    <w:rsid w:val="00052CEB"/>
    <w:rsid w:val="00052E50"/>
    <w:rsid w:val="0005301F"/>
    <w:rsid w:val="00053075"/>
    <w:rsid w:val="000530C4"/>
    <w:rsid w:val="00053136"/>
    <w:rsid w:val="00053386"/>
    <w:rsid w:val="00053AC4"/>
    <w:rsid w:val="00053C54"/>
    <w:rsid w:val="00053C95"/>
    <w:rsid w:val="00053F3D"/>
    <w:rsid w:val="0005407E"/>
    <w:rsid w:val="000541E9"/>
    <w:rsid w:val="000542EC"/>
    <w:rsid w:val="00054425"/>
    <w:rsid w:val="000545F1"/>
    <w:rsid w:val="0005488A"/>
    <w:rsid w:val="000549AF"/>
    <w:rsid w:val="00054FB4"/>
    <w:rsid w:val="00055A25"/>
    <w:rsid w:val="00055C2D"/>
    <w:rsid w:val="00055C5F"/>
    <w:rsid w:val="00055F81"/>
    <w:rsid w:val="00056173"/>
    <w:rsid w:val="0005629D"/>
    <w:rsid w:val="0005645F"/>
    <w:rsid w:val="00056556"/>
    <w:rsid w:val="0005659D"/>
    <w:rsid w:val="000565A7"/>
    <w:rsid w:val="000567D7"/>
    <w:rsid w:val="00056BC9"/>
    <w:rsid w:val="00056DEB"/>
    <w:rsid w:val="0005710F"/>
    <w:rsid w:val="0005736D"/>
    <w:rsid w:val="000573AE"/>
    <w:rsid w:val="000573C9"/>
    <w:rsid w:val="00057450"/>
    <w:rsid w:val="0005757F"/>
    <w:rsid w:val="00057625"/>
    <w:rsid w:val="000579B1"/>
    <w:rsid w:val="00057BDD"/>
    <w:rsid w:val="00057D34"/>
    <w:rsid w:val="000606EB"/>
    <w:rsid w:val="00060A45"/>
    <w:rsid w:val="00060D25"/>
    <w:rsid w:val="00060F08"/>
    <w:rsid w:val="0006123E"/>
    <w:rsid w:val="000612BB"/>
    <w:rsid w:val="000616C2"/>
    <w:rsid w:val="000616CC"/>
    <w:rsid w:val="00061828"/>
    <w:rsid w:val="000619D8"/>
    <w:rsid w:val="0006216A"/>
    <w:rsid w:val="000621C4"/>
    <w:rsid w:val="000622D7"/>
    <w:rsid w:val="00062478"/>
    <w:rsid w:val="0006259E"/>
    <w:rsid w:val="00062636"/>
    <w:rsid w:val="0006265A"/>
    <w:rsid w:val="00062E29"/>
    <w:rsid w:val="0006317E"/>
    <w:rsid w:val="00063261"/>
    <w:rsid w:val="000634DB"/>
    <w:rsid w:val="00063824"/>
    <w:rsid w:val="000638F3"/>
    <w:rsid w:val="0006390D"/>
    <w:rsid w:val="0006392E"/>
    <w:rsid w:val="00063C57"/>
    <w:rsid w:val="00063DA6"/>
    <w:rsid w:val="00063F96"/>
    <w:rsid w:val="000640AF"/>
    <w:rsid w:val="00064124"/>
    <w:rsid w:val="00064A67"/>
    <w:rsid w:val="00064B9B"/>
    <w:rsid w:val="00064DE8"/>
    <w:rsid w:val="00065319"/>
    <w:rsid w:val="0006573B"/>
    <w:rsid w:val="00065F42"/>
    <w:rsid w:val="00065FE9"/>
    <w:rsid w:val="00066A4E"/>
    <w:rsid w:val="00066E4D"/>
    <w:rsid w:val="00066EAD"/>
    <w:rsid w:val="00066EB3"/>
    <w:rsid w:val="000671AB"/>
    <w:rsid w:val="000674CA"/>
    <w:rsid w:val="00067521"/>
    <w:rsid w:val="000678E1"/>
    <w:rsid w:val="00067A87"/>
    <w:rsid w:val="00067C69"/>
    <w:rsid w:val="00067D99"/>
    <w:rsid w:val="00067E10"/>
    <w:rsid w:val="000700EC"/>
    <w:rsid w:val="000705FE"/>
    <w:rsid w:val="00070FFF"/>
    <w:rsid w:val="00071445"/>
    <w:rsid w:val="00071604"/>
    <w:rsid w:val="00071D22"/>
    <w:rsid w:val="00071D82"/>
    <w:rsid w:val="00071DEF"/>
    <w:rsid w:val="00071EF2"/>
    <w:rsid w:val="00072361"/>
    <w:rsid w:val="0007260A"/>
    <w:rsid w:val="0007278A"/>
    <w:rsid w:val="000729AC"/>
    <w:rsid w:val="00072ED6"/>
    <w:rsid w:val="0007300C"/>
    <w:rsid w:val="00073221"/>
    <w:rsid w:val="0007322D"/>
    <w:rsid w:val="00073356"/>
    <w:rsid w:val="00073430"/>
    <w:rsid w:val="00073EFC"/>
    <w:rsid w:val="00074240"/>
    <w:rsid w:val="0007471A"/>
    <w:rsid w:val="0007471D"/>
    <w:rsid w:val="00074970"/>
    <w:rsid w:val="00074B02"/>
    <w:rsid w:val="00074C97"/>
    <w:rsid w:val="00074D5D"/>
    <w:rsid w:val="0007523E"/>
    <w:rsid w:val="00075535"/>
    <w:rsid w:val="0007564C"/>
    <w:rsid w:val="00075652"/>
    <w:rsid w:val="00075726"/>
    <w:rsid w:val="000759EE"/>
    <w:rsid w:val="00075A64"/>
    <w:rsid w:val="00076096"/>
    <w:rsid w:val="00076445"/>
    <w:rsid w:val="000764B5"/>
    <w:rsid w:val="000765B8"/>
    <w:rsid w:val="000769CA"/>
    <w:rsid w:val="00076BCC"/>
    <w:rsid w:val="00076DFC"/>
    <w:rsid w:val="0007712C"/>
    <w:rsid w:val="000772E6"/>
    <w:rsid w:val="0007732C"/>
    <w:rsid w:val="00077651"/>
    <w:rsid w:val="00077A57"/>
    <w:rsid w:val="00077A9C"/>
    <w:rsid w:val="000800B9"/>
    <w:rsid w:val="00080200"/>
    <w:rsid w:val="0008059C"/>
    <w:rsid w:val="000806B5"/>
    <w:rsid w:val="0008087C"/>
    <w:rsid w:val="000809DC"/>
    <w:rsid w:val="00080BD7"/>
    <w:rsid w:val="0008137D"/>
    <w:rsid w:val="000815CF"/>
    <w:rsid w:val="00081C63"/>
    <w:rsid w:val="000824FA"/>
    <w:rsid w:val="000828C9"/>
    <w:rsid w:val="00082A1F"/>
    <w:rsid w:val="00082C25"/>
    <w:rsid w:val="00082D58"/>
    <w:rsid w:val="00082D78"/>
    <w:rsid w:val="00082F22"/>
    <w:rsid w:val="00083022"/>
    <w:rsid w:val="0008314A"/>
    <w:rsid w:val="00083C4D"/>
    <w:rsid w:val="0008411A"/>
    <w:rsid w:val="000844C4"/>
    <w:rsid w:val="00084785"/>
    <w:rsid w:val="00084B89"/>
    <w:rsid w:val="00084CE5"/>
    <w:rsid w:val="00084EFB"/>
    <w:rsid w:val="000853FB"/>
    <w:rsid w:val="00085568"/>
    <w:rsid w:val="00085B7F"/>
    <w:rsid w:val="0008606E"/>
    <w:rsid w:val="00086076"/>
    <w:rsid w:val="00086187"/>
    <w:rsid w:val="000861EC"/>
    <w:rsid w:val="00086484"/>
    <w:rsid w:val="000864B8"/>
    <w:rsid w:val="00086854"/>
    <w:rsid w:val="00086E67"/>
    <w:rsid w:val="0008704D"/>
    <w:rsid w:val="0008757D"/>
    <w:rsid w:val="00087E7C"/>
    <w:rsid w:val="00087F17"/>
    <w:rsid w:val="00087F47"/>
    <w:rsid w:val="00087FBE"/>
    <w:rsid w:val="00087FE9"/>
    <w:rsid w:val="00090222"/>
    <w:rsid w:val="000903DD"/>
    <w:rsid w:val="00090A2C"/>
    <w:rsid w:val="00090B5D"/>
    <w:rsid w:val="00091309"/>
    <w:rsid w:val="0009180C"/>
    <w:rsid w:val="00091BE4"/>
    <w:rsid w:val="00092049"/>
    <w:rsid w:val="000924C3"/>
    <w:rsid w:val="000924E0"/>
    <w:rsid w:val="00092A1D"/>
    <w:rsid w:val="00092DDF"/>
    <w:rsid w:val="00093492"/>
    <w:rsid w:val="00093670"/>
    <w:rsid w:val="00093728"/>
    <w:rsid w:val="00093A28"/>
    <w:rsid w:val="00093FDC"/>
    <w:rsid w:val="000943F7"/>
    <w:rsid w:val="00094A9C"/>
    <w:rsid w:val="00094C98"/>
    <w:rsid w:val="000958B8"/>
    <w:rsid w:val="00095B1A"/>
    <w:rsid w:val="00095DA6"/>
    <w:rsid w:val="00095EA0"/>
    <w:rsid w:val="0009657D"/>
    <w:rsid w:val="000966BE"/>
    <w:rsid w:val="000967BA"/>
    <w:rsid w:val="00096E98"/>
    <w:rsid w:val="00097103"/>
    <w:rsid w:val="0009723E"/>
    <w:rsid w:val="000972E9"/>
    <w:rsid w:val="000973A6"/>
    <w:rsid w:val="000978F9"/>
    <w:rsid w:val="00097D2B"/>
    <w:rsid w:val="00097E4B"/>
    <w:rsid w:val="000A02FE"/>
    <w:rsid w:val="000A030D"/>
    <w:rsid w:val="000A0BD7"/>
    <w:rsid w:val="000A0C4E"/>
    <w:rsid w:val="000A0CCF"/>
    <w:rsid w:val="000A0F08"/>
    <w:rsid w:val="000A0FA2"/>
    <w:rsid w:val="000A1075"/>
    <w:rsid w:val="000A113E"/>
    <w:rsid w:val="000A1386"/>
    <w:rsid w:val="000A155E"/>
    <w:rsid w:val="000A1670"/>
    <w:rsid w:val="000A22B0"/>
    <w:rsid w:val="000A25F5"/>
    <w:rsid w:val="000A26DC"/>
    <w:rsid w:val="000A2E54"/>
    <w:rsid w:val="000A3230"/>
    <w:rsid w:val="000A347B"/>
    <w:rsid w:val="000A3ABD"/>
    <w:rsid w:val="000A3DC9"/>
    <w:rsid w:val="000A4106"/>
    <w:rsid w:val="000A427C"/>
    <w:rsid w:val="000A4771"/>
    <w:rsid w:val="000A47A2"/>
    <w:rsid w:val="000A47AD"/>
    <w:rsid w:val="000A4865"/>
    <w:rsid w:val="000A491B"/>
    <w:rsid w:val="000A4A21"/>
    <w:rsid w:val="000A4CA2"/>
    <w:rsid w:val="000A4EB2"/>
    <w:rsid w:val="000A5130"/>
    <w:rsid w:val="000A51E5"/>
    <w:rsid w:val="000A52AC"/>
    <w:rsid w:val="000A52D9"/>
    <w:rsid w:val="000A5D42"/>
    <w:rsid w:val="000A5DF6"/>
    <w:rsid w:val="000A60ED"/>
    <w:rsid w:val="000A62F4"/>
    <w:rsid w:val="000A696D"/>
    <w:rsid w:val="000A698C"/>
    <w:rsid w:val="000A6D53"/>
    <w:rsid w:val="000A6FD5"/>
    <w:rsid w:val="000A7154"/>
    <w:rsid w:val="000A73F4"/>
    <w:rsid w:val="000A74B8"/>
    <w:rsid w:val="000A75C5"/>
    <w:rsid w:val="000A785D"/>
    <w:rsid w:val="000A7A94"/>
    <w:rsid w:val="000A7AAF"/>
    <w:rsid w:val="000A7AEB"/>
    <w:rsid w:val="000A7E0D"/>
    <w:rsid w:val="000A7F06"/>
    <w:rsid w:val="000B0331"/>
    <w:rsid w:val="000B0897"/>
    <w:rsid w:val="000B0C9C"/>
    <w:rsid w:val="000B0D1A"/>
    <w:rsid w:val="000B141D"/>
    <w:rsid w:val="000B186F"/>
    <w:rsid w:val="000B1ADB"/>
    <w:rsid w:val="000B1B70"/>
    <w:rsid w:val="000B1D9C"/>
    <w:rsid w:val="000B1DAE"/>
    <w:rsid w:val="000B2071"/>
    <w:rsid w:val="000B2230"/>
    <w:rsid w:val="000B22DA"/>
    <w:rsid w:val="000B232C"/>
    <w:rsid w:val="000B2A3A"/>
    <w:rsid w:val="000B2A67"/>
    <w:rsid w:val="000B2C61"/>
    <w:rsid w:val="000B2E71"/>
    <w:rsid w:val="000B2E91"/>
    <w:rsid w:val="000B31D7"/>
    <w:rsid w:val="000B32F3"/>
    <w:rsid w:val="000B3402"/>
    <w:rsid w:val="000B36B5"/>
    <w:rsid w:val="000B3864"/>
    <w:rsid w:val="000B3866"/>
    <w:rsid w:val="000B396D"/>
    <w:rsid w:val="000B3980"/>
    <w:rsid w:val="000B3D76"/>
    <w:rsid w:val="000B3F6F"/>
    <w:rsid w:val="000B41B3"/>
    <w:rsid w:val="000B4256"/>
    <w:rsid w:val="000B435E"/>
    <w:rsid w:val="000B4370"/>
    <w:rsid w:val="000B49F7"/>
    <w:rsid w:val="000B4B2B"/>
    <w:rsid w:val="000B4C29"/>
    <w:rsid w:val="000B4CF0"/>
    <w:rsid w:val="000B4CF6"/>
    <w:rsid w:val="000B5290"/>
    <w:rsid w:val="000B5372"/>
    <w:rsid w:val="000B5405"/>
    <w:rsid w:val="000B5413"/>
    <w:rsid w:val="000B54F9"/>
    <w:rsid w:val="000B55DF"/>
    <w:rsid w:val="000B5A5A"/>
    <w:rsid w:val="000B5A85"/>
    <w:rsid w:val="000B5C53"/>
    <w:rsid w:val="000B61C8"/>
    <w:rsid w:val="000B6219"/>
    <w:rsid w:val="000B63DF"/>
    <w:rsid w:val="000B63F9"/>
    <w:rsid w:val="000B64A9"/>
    <w:rsid w:val="000B6755"/>
    <w:rsid w:val="000B6790"/>
    <w:rsid w:val="000B6B3E"/>
    <w:rsid w:val="000B7014"/>
    <w:rsid w:val="000B7411"/>
    <w:rsid w:val="000B764E"/>
    <w:rsid w:val="000B7C19"/>
    <w:rsid w:val="000B7C92"/>
    <w:rsid w:val="000B7D6E"/>
    <w:rsid w:val="000B7F08"/>
    <w:rsid w:val="000C0782"/>
    <w:rsid w:val="000C08F0"/>
    <w:rsid w:val="000C09DD"/>
    <w:rsid w:val="000C0C0E"/>
    <w:rsid w:val="000C0C61"/>
    <w:rsid w:val="000C0E3D"/>
    <w:rsid w:val="000C11A1"/>
    <w:rsid w:val="000C121C"/>
    <w:rsid w:val="000C1245"/>
    <w:rsid w:val="000C1246"/>
    <w:rsid w:val="000C12C5"/>
    <w:rsid w:val="000C17D4"/>
    <w:rsid w:val="000C1D9F"/>
    <w:rsid w:val="000C1F26"/>
    <w:rsid w:val="000C1F2E"/>
    <w:rsid w:val="000C2111"/>
    <w:rsid w:val="000C2284"/>
    <w:rsid w:val="000C2394"/>
    <w:rsid w:val="000C23B6"/>
    <w:rsid w:val="000C266A"/>
    <w:rsid w:val="000C29D3"/>
    <w:rsid w:val="000C2C96"/>
    <w:rsid w:val="000C3255"/>
    <w:rsid w:val="000C3CE4"/>
    <w:rsid w:val="000C3D17"/>
    <w:rsid w:val="000C3ECD"/>
    <w:rsid w:val="000C3F41"/>
    <w:rsid w:val="000C40A1"/>
    <w:rsid w:val="000C40C5"/>
    <w:rsid w:val="000C4156"/>
    <w:rsid w:val="000C422C"/>
    <w:rsid w:val="000C4906"/>
    <w:rsid w:val="000C4B2D"/>
    <w:rsid w:val="000C4B30"/>
    <w:rsid w:val="000C4E84"/>
    <w:rsid w:val="000C591E"/>
    <w:rsid w:val="000C5A0B"/>
    <w:rsid w:val="000C5CD1"/>
    <w:rsid w:val="000C5D77"/>
    <w:rsid w:val="000C6284"/>
    <w:rsid w:val="000C64D2"/>
    <w:rsid w:val="000C6856"/>
    <w:rsid w:val="000C6B07"/>
    <w:rsid w:val="000C6EEC"/>
    <w:rsid w:val="000C7237"/>
    <w:rsid w:val="000C7A58"/>
    <w:rsid w:val="000C7A71"/>
    <w:rsid w:val="000C7E64"/>
    <w:rsid w:val="000D004C"/>
    <w:rsid w:val="000D054C"/>
    <w:rsid w:val="000D0985"/>
    <w:rsid w:val="000D0BC5"/>
    <w:rsid w:val="000D0E57"/>
    <w:rsid w:val="000D1086"/>
    <w:rsid w:val="000D11C6"/>
    <w:rsid w:val="000D1643"/>
    <w:rsid w:val="000D16A1"/>
    <w:rsid w:val="000D1C27"/>
    <w:rsid w:val="000D1C6F"/>
    <w:rsid w:val="000D20BA"/>
    <w:rsid w:val="000D20FF"/>
    <w:rsid w:val="000D22C0"/>
    <w:rsid w:val="000D24FD"/>
    <w:rsid w:val="000D2684"/>
    <w:rsid w:val="000D3283"/>
    <w:rsid w:val="000D3321"/>
    <w:rsid w:val="000D3A97"/>
    <w:rsid w:val="000D3BD1"/>
    <w:rsid w:val="000D3CFF"/>
    <w:rsid w:val="000D4184"/>
    <w:rsid w:val="000D45C8"/>
    <w:rsid w:val="000D46D6"/>
    <w:rsid w:val="000D484E"/>
    <w:rsid w:val="000D4CA2"/>
    <w:rsid w:val="000D4CC3"/>
    <w:rsid w:val="000D5486"/>
    <w:rsid w:val="000D5532"/>
    <w:rsid w:val="000D59C9"/>
    <w:rsid w:val="000D5BD0"/>
    <w:rsid w:val="000D63FB"/>
    <w:rsid w:val="000D6663"/>
    <w:rsid w:val="000D666A"/>
    <w:rsid w:val="000D6B88"/>
    <w:rsid w:val="000D6C08"/>
    <w:rsid w:val="000D6C2A"/>
    <w:rsid w:val="000D6F82"/>
    <w:rsid w:val="000D70B8"/>
    <w:rsid w:val="000D7152"/>
    <w:rsid w:val="000D7301"/>
    <w:rsid w:val="000D750E"/>
    <w:rsid w:val="000D7578"/>
    <w:rsid w:val="000D757A"/>
    <w:rsid w:val="000D7995"/>
    <w:rsid w:val="000D7F71"/>
    <w:rsid w:val="000D7FCB"/>
    <w:rsid w:val="000E024E"/>
    <w:rsid w:val="000E10DB"/>
    <w:rsid w:val="000E121A"/>
    <w:rsid w:val="000E12B4"/>
    <w:rsid w:val="000E1C17"/>
    <w:rsid w:val="000E1CC5"/>
    <w:rsid w:val="000E1D71"/>
    <w:rsid w:val="000E1F57"/>
    <w:rsid w:val="000E2128"/>
    <w:rsid w:val="000E23AD"/>
    <w:rsid w:val="000E262E"/>
    <w:rsid w:val="000E2A84"/>
    <w:rsid w:val="000E2C23"/>
    <w:rsid w:val="000E2D6E"/>
    <w:rsid w:val="000E2F74"/>
    <w:rsid w:val="000E32B1"/>
    <w:rsid w:val="000E36CD"/>
    <w:rsid w:val="000E3977"/>
    <w:rsid w:val="000E4064"/>
    <w:rsid w:val="000E413C"/>
    <w:rsid w:val="000E4212"/>
    <w:rsid w:val="000E441D"/>
    <w:rsid w:val="000E4506"/>
    <w:rsid w:val="000E46C8"/>
    <w:rsid w:val="000E489D"/>
    <w:rsid w:val="000E48F4"/>
    <w:rsid w:val="000E4D39"/>
    <w:rsid w:val="000E521B"/>
    <w:rsid w:val="000E541B"/>
    <w:rsid w:val="000E564D"/>
    <w:rsid w:val="000E5820"/>
    <w:rsid w:val="000E5861"/>
    <w:rsid w:val="000E5922"/>
    <w:rsid w:val="000E5985"/>
    <w:rsid w:val="000E599C"/>
    <w:rsid w:val="000E59B1"/>
    <w:rsid w:val="000E5CFB"/>
    <w:rsid w:val="000E5EC8"/>
    <w:rsid w:val="000E5ED0"/>
    <w:rsid w:val="000E6385"/>
    <w:rsid w:val="000E6900"/>
    <w:rsid w:val="000E6A02"/>
    <w:rsid w:val="000E6D76"/>
    <w:rsid w:val="000E6F3F"/>
    <w:rsid w:val="000E6F58"/>
    <w:rsid w:val="000E725D"/>
    <w:rsid w:val="000E75AD"/>
    <w:rsid w:val="000E7B1C"/>
    <w:rsid w:val="000E7D4E"/>
    <w:rsid w:val="000E7FB7"/>
    <w:rsid w:val="000F0113"/>
    <w:rsid w:val="000F0242"/>
    <w:rsid w:val="000F1140"/>
    <w:rsid w:val="000F1471"/>
    <w:rsid w:val="000F1A9C"/>
    <w:rsid w:val="000F1AD4"/>
    <w:rsid w:val="000F20FE"/>
    <w:rsid w:val="000F229C"/>
    <w:rsid w:val="000F25E1"/>
    <w:rsid w:val="000F26EB"/>
    <w:rsid w:val="000F2B55"/>
    <w:rsid w:val="000F3093"/>
    <w:rsid w:val="000F32A8"/>
    <w:rsid w:val="000F355E"/>
    <w:rsid w:val="000F35B3"/>
    <w:rsid w:val="000F3608"/>
    <w:rsid w:val="000F388D"/>
    <w:rsid w:val="000F4718"/>
    <w:rsid w:val="000F4744"/>
    <w:rsid w:val="000F4754"/>
    <w:rsid w:val="000F48E0"/>
    <w:rsid w:val="000F534A"/>
    <w:rsid w:val="000F5556"/>
    <w:rsid w:val="000F564E"/>
    <w:rsid w:val="000F5BFB"/>
    <w:rsid w:val="000F5F21"/>
    <w:rsid w:val="000F6044"/>
    <w:rsid w:val="000F61B8"/>
    <w:rsid w:val="000F6202"/>
    <w:rsid w:val="000F6323"/>
    <w:rsid w:val="000F6F98"/>
    <w:rsid w:val="000F720A"/>
    <w:rsid w:val="000F7378"/>
    <w:rsid w:val="000F7430"/>
    <w:rsid w:val="000F7C90"/>
    <w:rsid w:val="000F7ED7"/>
    <w:rsid w:val="001007A4"/>
    <w:rsid w:val="0010110A"/>
    <w:rsid w:val="00101149"/>
    <w:rsid w:val="0010127D"/>
    <w:rsid w:val="00101374"/>
    <w:rsid w:val="001014AE"/>
    <w:rsid w:val="00101533"/>
    <w:rsid w:val="0010177C"/>
    <w:rsid w:val="00101F1B"/>
    <w:rsid w:val="00102128"/>
    <w:rsid w:val="00102391"/>
    <w:rsid w:val="001025F4"/>
    <w:rsid w:val="00102605"/>
    <w:rsid w:val="00102931"/>
    <w:rsid w:val="0010295A"/>
    <w:rsid w:val="00102F3E"/>
    <w:rsid w:val="00103386"/>
    <w:rsid w:val="001033AD"/>
    <w:rsid w:val="00103469"/>
    <w:rsid w:val="001034F4"/>
    <w:rsid w:val="00103632"/>
    <w:rsid w:val="001036BF"/>
    <w:rsid w:val="001036DE"/>
    <w:rsid w:val="001037C2"/>
    <w:rsid w:val="00103CD2"/>
    <w:rsid w:val="00103E82"/>
    <w:rsid w:val="00104378"/>
    <w:rsid w:val="00104638"/>
    <w:rsid w:val="0010497E"/>
    <w:rsid w:val="00104DFD"/>
    <w:rsid w:val="00105515"/>
    <w:rsid w:val="001056EA"/>
    <w:rsid w:val="001057E0"/>
    <w:rsid w:val="00105AB4"/>
    <w:rsid w:val="00105B67"/>
    <w:rsid w:val="00105C13"/>
    <w:rsid w:val="00105E85"/>
    <w:rsid w:val="001064C7"/>
    <w:rsid w:val="001066FA"/>
    <w:rsid w:val="00106891"/>
    <w:rsid w:val="00106DC4"/>
    <w:rsid w:val="00106DF9"/>
    <w:rsid w:val="00106FB8"/>
    <w:rsid w:val="00106FDC"/>
    <w:rsid w:val="00107524"/>
    <w:rsid w:val="00107741"/>
    <w:rsid w:val="0010796C"/>
    <w:rsid w:val="00107A14"/>
    <w:rsid w:val="0011012F"/>
    <w:rsid w:val="001102A9"/>
    <w:rsid w:val="00110315"/>
    <w:rsid w:val="00110B83"/>
    <w:rsid w:val="00110E73"/>
    <w:rsid w:val="0011116D"/>
    <w:rsid w:val="00111507"/>
    <w:rsid w:val="00111B36"/>
    <w:rsid w:val="00111C30"/>
    <w:rsid w:val="00111F45"/>
    <w:rsid w:val="00112406"/>
    <w:rsid w:val="00112456"/>
    <w:rsid w:val="001125A6"/>
    <w:rsid w:val="00112790"/>
    <w:rsid w:val="001127A5"/>
    <w:rsid w:val="0011289C"/>
    <w:rsid w:val="001130E5"/>
    <w:rsid w:val="0011319A"/>
    <w:rsid w:val="0011344B"/>
    <w:rsid w:val="00113584"/>
    <w:rsid w:val="00113C92"/>
    <w:rsid w:val="0011404F"/>
    <w:rsid w:val="001140C2"/>
    <w:rsid w:val="001142AD"/>
    <w:rsid w:val="00114343"/>
    <w:rsid w:val="0011491C"/>
    <w:rsid w:val="0011497A"/>
    <w:rsid w:val="00114AAB"/>
    <w:rsid w:val="00114D8F"/>
    <w:rsid w:val="00114FC5"/>
    <w:rsid w:val="00114FC8"/>
    <w:rsid w:val="00115509"/>
    <w:rsid w:val="00115683"/>
    <w:rsid w:val="001156A8"/>
    <w:rsid w:val="00115751"/>
    <w:rsid w:val="001157FF"/>
    <w:rsid w:val="00115811"/>
    <w:rsid w:val="001158E6"/>
    <w:rsid w:val="00115BD3"/>
    <w:rsid w:val="00116009"/>
    <w:rsid w:val="0011667E"/>
    <w:rsid w:val="001168A4"/>
    <w:rsid w:val="00116B29"/>
    <w:rsid w:val="00116E7B"/>
    <w:rsid w:val="00116EAC"/>
    <w:rsid w:val="00116F62"/>
    <w:rsid w:val="00117786"/>
    <w:rsid w:val="0012039E"/>
    <w:rsid w:val="00120738"/>
    <w:rsid w:val="00120855"/>
    <w:rsid w:val="00120B5E"/>
    <w:rsid w:val="00121605"/>
    <w:rsid w:val="00121958"/>
    <w:rsid w:val="00121AB7"/>
    <w:rsid w:val="00121B34"/>
    <w:rsid w:val="00121D9D"/>
    <w:rsid w:val="00122138"/>
    <w:rsid w:val="00122217"/>
    <w:rsid w:val="00122456"/>
    <w:rsid w:val="00122581"/>
    <w:rsid w:val="001227A2"/>
    <w:rsid w:val="00122A7E"/>
    <w:rsid w:val="00122A91"/>
    <w:rsid w:val="00122B2D"/>
    <w:rsid w:val="00122BBB"/>
    <w:rsid w:val="00122CF0"/>
    <w:rsid w:val="0012354E"/>
    <w:rsid w:val="001235EB"/>
    <w:rsid w:val="00123722"/>
    <w:rsid w:val="00123A48"/>
    <w:rsid w:val="00123AFD"/>
    <w:rsid w:val="001243A6"/>
    <w:rsid w:val="00124416"/>
    <w:rsid w:val="001249B8"/>
    <w:rsid w:val="00124CC8"/>
    <w:rsid w:val="00124D08"/>
    <w:rsid w:val="001251EA"/>
    <w:rsid w:val="0012528C"/>
    <w:rsid w:val="001252C7"/>
    <w:rsid w:val="001252E9"/>
    <w:rsid w:val="00125352"/>
    <w:rsid w:val="0012567D"/>
    <w:rsid w:val="00125CD2"/>
    <w:rsid w:val="00125D0E"/>
    <w:rsid w:val="00125D46"/>
    <w:rsid w:val="001265C6"/>
    <w:rsid w:val="0012678A"/>
    <w:rsid w:val="001269A5"/>
    <w:rsid w:val="00126D0E"/>
    <w:rsid w:val="00126DB7"/>
    <w:rsid w:val="001273D5"/>
    <w:rsid w:val="00127607"/>
    <w:rsid w:val="0012775F"/>
    <w:rsid w:val="00127868"/>
    <w:rsid w:val="0012793B"/>
    <w:rsid w:val="001302BC"/>
    <w:rsid w:val="001304AB"/>
    <w:rsid w:val="00130907"/>
    <w:rsid w:val="00130CD5"/>
    <w:rsid w:val="00131367"/>
    <w:rsid w:val="0013153A"/>
    <w:rsid w:val="00131589"/>
    <w:rsid w:val="001315D8"/>
    <w:rsid w:val="00131603"/>
    <w:rsid w:val="00131D08"/>
    <w:rsid w:val="00132022"/>
    <w:rsid w:val="0013223E"/>
    <w:rsid w:val="00132521"/>
    <w:rsid w:val="00132D0A"/>
    <w:rsid w:val="00132D71"/>
    <w:rsid w:val="001342BA"/>
    <w:rsid w:val="00134532"/>
    <w:rsid w:val="001346AA"/>
    <w:rsid w:val="00134E2B"/>
    <w:rsid w:val="00134F81"/>
    <w:rsid w:val="0013536C"/>
    <w:rsid w:val="001355F8"/>
    <w:rsid w:val="0013567E"/>
    <w:rsid w:val="0013616C"/>
    <w:rsid w:val="00136172"/>
    <w:rsid w:val="001362ED"/>
    <w:rsid w:val="00136946"/>
    <w:rsid w:val="00136EB3"/>
    <w:rsid w:val="0013719B"/>
    <w:rsid w:val="00137294"/>
    <w:rsid w:val="001372E7"/>
    <w:rsid w:val="00137F30"/>
    <w:rsid w:val="001400E6"/>
    <w:rsid w:val="00140347"/>
    <w:rsid w:val="0014060B"/>
    <w:rsid w:val="00140B04"/>
    <w:rsid w:val="00140D1A"/>
    <w:rsid w:val="00140D67"/>
    <w:rsid w:val="00140E39"/>
    <w:rsid w:val="001411FC"/>
    <w:rsid w:val="00141430"/>
    <w:rsid w:val="00141458"/>
    <w:rsid w:val="00141701"/>
    <w:rsid w:val="00141987"/>
    <w:rsid w:val="00141B64"/>
    <w:rsid w:val="00142080"/>
    <w:rsid w:val="001424D5"/>
    <w:rsid w:val="00142908"/>
    <w:rsid w:val="00143031"/>
    <w:rsid w:val="001435CC"/>
    <w:rsid w:val="00143607"/>
    <w:rsid w:val="00143703"/>
    <w:rsid w:val="00143749"/>
    <w:rsid w:val="001437F5"/>
    <w:rsid w:val="00143B4B"/>
    <w:rsid w:val="0014470E"/>
    <w:rsid w:val="00144910"/>
    <w:rsid w:val="00144C3E"/>
    <w:rsid w:val="00144E7E"/>
    <w:rsid w:val="00144FEF"/>
    <w:rsid w:val="0014508B"/>
    <w:rsid w:val="001450D7"/>
    <w:rsid w:val="0014598E"/>
    <w:rsid w:val="00145C77"/>
    <w:rsid w:val="00145E3C"/>
    <w:rsid w:val="001460BC"/>
    <w:rsid w:val="00146622"/>
    <w:rsid w:val="001468F9"/>
    <w:rsid w:val="0014698B"/>
    <w:rsid w:val="001469BC"/>
    <w:rsid w:val="00146BF4"/>
    <w:rsid w:val="0014707A"/>
    <w:rsid w:val="0014745A"/>
    <w:rsid w:val="0014758F"/>
    <w:rsid w:val="0014778B"/>
    <w:rsid w:val="001477DE"/>
    <w:rsid w:val="00147A5D"/>
    <w:rsid w:val="00147B6D"/>
    <w:rsid w:val="00147F0D"/>
    <w:rsid w:val="00150093"/>
    <w:rsid w:val="00150355"/>
    <w:rsid w:val="00150824"/>
    <w:rsid w:val="00151447"/>
    <w:rsid w:val="001515CD"/>
    <w:rsid w:val="00151AF8"/>
    <w:rsid w:val="00151BF9"/>
    <w:rsid w:val="00151CAE"/>
    <w:rsid w:val="00151D40"/>
    <w:rsid w:val="00151E6F"/>
    <w:rsid w:val="00151F41"/>
    <w:rsid w:val="001524E0"/>
    <w:rsid w:val="00152AD8"/>
    <w:rsid w:val="00152C87"/>
    <w:rsid w:val="00152F99"/>
    <w:rsid w:val="00152FAC"/>
    <w:rsid w:val="00152FAE"/>
    <w:rsid w:val="001530C2"/>
    <w:rsid w:val="001530F6"/>
    <w:rsid w:val="00153193"/>
    <w:rsid w:val="001534E0"/>
    <w:rsid w:val="001536B8"/>
    <w:rsid w:val="00153934"/>
    <w:rsid w:val="001539EE"/>
    <w:rsid w:val="00153B55"/>
    <w:rsid w:val="00153D9F"/>
    <w:rsid w:val="00153E38"/>
    <w:rsid w:val="00154385"/>
    <w:rsid w:val="00154499"/>
    <w:rsid w:val="00154628"/>
    <w:rsid w:val="00154A73"/>
    <w:rsid w:val="00154E77"/>
    <w:rsid w:val="00154E80"/>
    <w:rsid w:val="0015501D"/>
    <w:rsid w:val="00155190"/>
    <w:rsid w:val="00155229"/>
    <w:rsid w:val="00155294"/>
    <w:rsid w:val="001552AC"/>
    <w:rsid w:val="00155425"/>
    <w:rsid w:val="001556EE"/>
    <w:rsid w:val="00155D73"/>
    <w:rsid w:val="001560F1"/>
    <w:rsid w:val="001563DD"/>
    <w:rsid w:val="00156672"/>
    <w:rsid w:val="0015686A"/>
    <w:rsid w:val="00156A3E"/>
    <w:rsid w:val="00156BF7"/>
    <w:rsid w:val="001572DA"/>
    <w:rsid w:val="0015751D"/>
    <w:rsid w:val="00157CA6"/>
    <w:rsid w:val="00157D90"/>
    <w:rsid w:val="00157ECC"/>
    <w:rsid w:val="00157FCF"/>
    <w:rsid w:val="00160028"/>
    <w:rsid w:val="001600B2"/>
    <w:rsid w:val="001601EF"/>
    <w:rsid w:val="00160459"/>
    <w:rsid w:val="0016062F"/>
    <w:rsid w:val="00160986"/>
    <w:rsid w:val="00160BC0"/>
    <w:rsid w:val="00160BCC"/>
    <w:rsid w:val="00160C63"/>
    <w:rsid w:val="00160C67"/>
    <w:rsid w:val="00160F05"/>
    <w:rsid w:val="001610BE"/>
    <w:rsid w:val="0016111C"/>
    <w:rsid w:val="001616A8"/>
    <w:rsid w:val="001616E7"/>
    <w:rsid w:val="00161852"/>
    <w:rsid w:val="00161969"/>
    <w:rsid w:val="001619E3"/>
    <w:rsid w:val="00161D73"/>
    <w:rsid w:val="00161EA5"/>
    <w:rsid w:val="001620F7"/>
    <w:rsid w:val="0016226C"/>
    <w:rsid w:val="0016232F"/>
    <w:rsid w:val="00162AC6"/>
    <w:rsid w:val="00162ED0"/>
    <w:rsid w:val="00163457"/>
    <w:rsid w:val="001635C2"/>
    <w:rsid w:val="001636B9"/>
    <w:rsid w:val="00163856"/>
    <w:rsid w:val="00163922"/>
    <w:rsid w:val="00163C78"/>
    <w:rsid w:val="00163CB0"/>
    <w:rsid w:val="00163E03"/>
    <w:rsid w:val="001641AB"/>
    <w:rsid w:val="0016471F"/>
    <w:rsid w:val="0016472B"/>
    <w:rsid w:val="00164B0B"/>
    <w:rsid w:val="001652B2"/>
    <w:rsid w:val="001657E5"/>
    <w:rsid w:val="0016591A"/>
    <w:rsid w:val="00165BDA"/>
    <w:rsid w:val="001667F6"/>
    <w:rsid w:val="00166944"/>
    <w:rsid w:val="00166BA0"/>
    <w:rsid w:val="00166CE7"/>
    <w:rsid w:val="001670A4"/>
    <w:rsid w:val="0016743B"/>
    <w:rsid w:val="001674F7"/>
    <w:rsid w:val="00167920"/>
    <w:rsid w:val="00167B7E"/>
    <w:rsid w:val="00167EEF"/>
    <w:rsid w:val="00170007"/>
    <w:rsid w:val="00170044"/>
    <w:rsid w:val="0017056E"/>
    <w:rsid w:val="001706A3"/>
    <w:rsid w:val="00170940"/>
    <w:rsid w:val="00170AC2"/>
    <w:rsid w:val="00170C78"/>
    <w:rsid w:val="00170D2B"/>
    <w:rsid w:val="0017100B"/>
    <w:rsid w:val="00171198"/>
    <w:rsid w:val="00171935"/>
    <w:rsid w:val="00171B34"/>
    <w:rsid w:val="00171DE6"/>
    <w:rsid w:val="00172003"/>
    <w:rsid w:val="001720CC"/>
    <w:rsid w:val="001720D8"/>
    <w:rsid w:val="00172B77"/>
    <w:rsid w:val="001730BB"/>
    <w:rsid w:val="0017363A"/>
    <w:rsid w:val="00173C73"/>
    <w:rsid w:val="00173E5E"/>
    <w:rsid w:val="001741A2"/>
    <w:rsid w:val="00174373"/>
    <w:rsid w:val="001743AB"/>
    <w:rsid w:val="001746C1"/>
    <w:rsid w:val="0017479B"/>
    <w:rsid w:val="00174AB2"/>
    <w:rsid w:val="00174E07"/>
    <w:rsid w:val="00174F37"/>
    <w:rsid w:val="001750B2"/>
    <w:rsid w:val="001753A3"/>
    <w:rsid w:val="001759C1"/>
    <w:rsid w:val="00175B7C"/>
    <w:rsid w:val="00175C9B"/>
    <w:rsid w:val="00175CDE"/>
    <w:rsid w:val="00175EF4"/>
    <w:rsid w:val="00175F3B"/>
    <w:rsid w:val="00175F5F"/>
    <w:rsid w:val="001760A7"/>
    <w:rsid w:val="00176845"/>
    <w:rsid w:val="001768FB"/>
    <w:rsid w:val="00176F43"/>
    <w:rsid w:val="00177281"/>
    <w:rsid w:val="001772DB"/>
    <w:rsid w:val="001773AD"/>
    <w:rsid w:val="001773F9"/>
    <w:rsid w:val="001777B5"/>
    <w:rsid w:val="00177841"/>
    <w:rsid w:val="001778F4"/>
    <w:rsid w:val="00177932"/>
    <w:rsid w:val="00177AD6"/>
    <w:rsid w:val="00177D64"/>
    <w:rsid w:val="00177F9F"/>
    <w:rsid w:val="00177FC2"/>
    <w:rsid w:val="001801C5"/>
    <w:rsid w:val="001802A2"/>
    <w:rsid w:val="001804F0"/>
    <w:rsid w:val="00180D83"/>
    <w:rsid w:val="00180E40"/>
    <w:rsid w:val="00180F41"/>
    <w:rsid w:val="0018103D"/>
    <w:rsid w:val="00181101"/>
    <w:rsid w:val="0018126B"/>
    <w:rsid w:val="001814D2"/>
    <w:rsid w:val="0018182D"/>
    <w:rsid w:val="00181C72"/>
    <w:rsid w:val="00181C90"/>
    <w:rsid w:val="00182042"/>
    <w:rsid w:val="00182101"/>
    <w:rsid w:val="00182328"/>
    <w:rsid w:val="001825F8"/>
    <w:rsid w:val="00182A7F"/>
    <w:rsid w:val="00182CD7"/>
    <w:rsid w:val="001831EE"/>
    <w:rsid w:val="00183203"/>
    <w:rsid w:val="00183285"/>
    <w:rsid w:val="00183768"/>
    <w:rsid w:val="0018379D"/>
    <w:rsid w:val="00183A9A"/>
    <w:rsid w:val="00183B53"/>
    <w:rsid w:val="00183D59"/>
    <w:rsid w:val="00184209"/>
    <w:rsid w:val="0018426E"/>
    <w:rsid w:val="00184294"/>
    <w:rsid w:val="001844B8"/>
    <w:rsid w:val="0018456B"/>
    <w:rsid w:val="00184C7D"/>
    <w:rsid w:val="00184C8B"/>
    <w:rsid w:val="001855B5"/>
    <w:rsid w:val="00185B30"/>
    <w:rsid w:val="00185D62"/>
    <w:rsid w:val="00185F8F"/>
    <w:rsid w:val="00186055"/>
    <w:rsid w:val="0018606E"/>
    <w:rsid w:val="001860DD"/>
    <w:rsid w:val="0018641D"/>
    <w:rsid w:val="00186765"/>
    <w:rsid w:val="001868E8"/>
    <w:rsid w:val="00186969"/>
    <w:rsid w:val="00186B51"/>
    <w:rsid w:val="001870B5"/>
    <w:rsid w:val="001871F9"/>
    <w:rsid w:val="00187B0D"/>
    <w:rsid w:val="00190163"/>
    <w:rsid w:val="00190D85"/>
    <w:rsid w:val="00190E14"/>
    <w:rsid w:val="00190E4A"/>
    <w:rsid w:val="001910E2"/>
    <w:rsid w:val="00191273"/>
    <w:rsid w:val="001913A8"/>
    <w:rsid w:val="001913C1"/>
    <w:rsid w:val="001913E9"/>
    <w:rsid w:val="00191705"/>
    <w:rsid w:val="00191BD4"/>
    <w:rsid w:val="00192454"/>
    <w:rsid w:val="00192689"/>
    <w:rsid w:val="00192811"/>
    <w:rsid w:val="00192BB0"/>
    <w:rsid w:val="001933CC"/>
    <w:rsid w:val="00193AFC"/>
    <w:rsid w:val="00193C3F"/>
    <w:rsid w:val="0019419E"/>
    <w:rsid w:val="0019426F"/>
    <w:rsid w:val="001944D3"/>
    <w:rsid w:val="00195075"/>
    <w:rsid w:val="00195559"/>
    <w:rsid w:val="001959B1"/>
    <w:rsid w:val="00195D1C"/>
    <w:rsid w:val="00195DE0"/>
    <w:rsid w:val="001960AF"/>
    <w:rsid w:val="0019617C"/>
    <w:rsid w:val="00196274"/>
    <w:rsid w:val="0019641A"/>
    <w:rsid w:val="00196479"/>
    <w:rsid w:val="001967EE"/>
    <w:rsid w:val="0019689D"/>
    <w:rsid w:val="00196C6D"/>
    <w:rsid w:val="00196EE5"/>
    <w:rsid w:val="00196FFD"/>
    <w:rsid w:val="0019758C"/>
    <w:rsid w:val="001976CA"/>
    <w:rsid w:val="00197BB1"/>
    <w:rsid w:val="00197F74"/>
    <w:rsid w:val="001A0579"/>
    <w:rsid w:val="001A05E4"/>
    <w:rsid w:val="001A1694"/>
    <w:rsid w:val="001A193A"/>
    <w:rsid w:val="001A1C79"/>
    <w:rsid w:val="001A1D29"/>
    <w:rsid w:val="001A1DBF"/>
    <w:rsid w:val="001A1F22"/>
    <w:rsid w:val="001A2128"/>
    <w:rsid w:val="001A2214"/>
    <w:rsid w:val="001A28DB"/>
    <w:rsid w:val="001A2EE1"/>
    <w:rsid w:val="001A30E4"/>
    <w:rsid w:val="001A345D"/>
    <w:rsid w:val="001A3541"/>
    <w:rsid w:val="001A3D48"/>
    <w:rsid w:val="001A3FCE"/>
    <w:rsid w:val="001A3FE3"/>
    <w:rsid w:val="001A434F"/>
    <w:rsid w:val="001A4369"/>
    <w:rsid w:val="001A4475"/>
    <w:rsid w:val="001A45CD"/>
    <w:rsid w:val="001A49A5"/>
    <w:rsid w:val="001A4E1D"/>
    <w:rsid w:val="001A4E7A"/>
    <w:rsid w:val="001A4F55"/>
    <w:rsid w:val="001A4FFE"/>
    <w:rsid w:val="001A57BB"/>
    <w:rsid w:val="001A5933"/>
    <w:rsid w:val="001A5A35"/>
    <w:rsid w:val="001A5A49"/>
    <w:rsid w:val="001A5CCF"/>
    <w:rsid w:val="001A5CE1"/>
    <w:rsid w:val="001A62A3"/>
    <w:rsid w:val="001A62E4"/>
    <w:rsid w:val="001A64D2"/>
    <w:rsid w:val="001A673B"/>
    <w:rsid w:val="001A675E"/>
    <w:rsid w:val="001A69E6"/>
    <w:rsid w:val="001A6BC0"/>
    <w:rsid w:val="001A773E"/>
    <w:rsid w:val="001A77BF"/>
    <w:rsid w:val="001A7825"/>
    <w:rsid w:val="001A7A52"/>
    <w:rsid w:val="001A7C12"/>
    <w:rsid w:val="001A7F4C"/>
    <w:rsid w:val="001B0033"/>
    <w:rsid w:val="001B07FA"/>
    <w:rsid w:val="001B0847"/>
    <w:rsid w:val="001B084F"/>
    <w:rsid w:val="001B0E09"/>
    <w:rsid w:val="001B1239"/>
    <w:rsid w:val="001B1306"/>
    <w:rsid w:val="001B1413"/>
    <w:rsid w:val="001B1455"/>
    <w:rsid w:val="001B16E6"/>
    <w:rsid w:val="001B1945"/>
    <w:rsid w:val="001B1A57"/>
    <w:rsid w:val="001B1ECF"/>
    <w:rsid w:val="001B2287"/>
    <w:rsid w:val="001B2749"/>
    <w:rsid w:val="001B2899"/>
    <w:rsid w:val="001B2BA3"/>
    <w:rsid w:val="001B2BB2"/>
    <w:rsid w:val="001B2C71"/>
    <w:rsid w:val="001B2C7D"/>
    <w:rsid w:val="001B2EC1"/>
    <w:rsid w:val="001B3004"/>
    <w:rsid w:val="001B3676"/>
    <w:rsid w:val="001B3863"/>
    <w:rsid w:val="001B38B2"/>
    <w:rsid w:val="001B39E0"/>
    <w:rsid w:val="001B4256"/>
    <w:rsid w:val="001B4393"/>
    <w:rsid w:val="001B47EA"/>
    <w:rsid w:val="001B48FD"/>
    <w:rsid w:val="001B4A30"/>
    <w:rsid w:val="001B50E0"/>
    <w:rsid w:val="001B52DF"/>
    <w:rsid w:val="001B53AA"/>
    <w:rsid w:val="001B5629"/>
    <w:rsid w:val="001B58B0"/>
    <w:rsid w:val="001B5902"/>
    <w:rsid w:val="001B5956"/>
    <w:rsid w:val="001B600B"/>
    <w:rsid w:val="001B64A7"/>
    <w:rsid w:val="001B676C"/>
    <w:rsid w:val="001B687D"/>
    <w:rsid w:val="001B6944"/>
    <w:rsid w:val="001B69FF"/>
    <w:rsid w:val="001B6A35"/>
    <w:rsid w:val="001B6DAD"/>
    <w:rsid w:val="001B6EFD"/>
    <w:rsid w:val="001B6F98"/>
    <w:rsid w:val="001B71D6"/>
    <w:rsid w:val="001B7439"/>
    <w:rsid w:val="001B760C"/>
    <w:rsid w:val="001B77F0"/>
    <w:rsid w:val="001B798C"/>
    <w:rsid w:val="001B7D5E"/>
    <w:rsid w:val="001B7E82"/>
    <w:rsid w:val="001B7F81"/>
    <w:rsid w:val="001C0080"/>
    <w:rsid w:val="001C05E7"/>
    <w:rsid w:val="001C0B4F"/>
    <w:rsid w:val="001C0CD7"/>
    <w:rsid w:val="001C0DDD"/>
    <w:rsid w:val="001C0FBE"/>
    <w:rsid w:val="001C10B1"/>
    <w:rsid w:val="001C1508"/>
    <w:rsid w:val="001C1648"/>
    <w:rsid w:val="001C1B6B"/>
    <w:rsid w:val="001C1CD7"/>
    <w:rsid w:val="001C1F43"/>
    <w:rsid w:val="001C2050"/>
    <w:rsid w:val="001C21A1"/>
    <w:rsid w:val="001C23B2"/>
    <w:rsid w:val="001C2A7A"/>
    <w:rsid w:val="001C2B71"/>
    <w:rsid w:val="001C2BD3"/>
    <w:rsid w:val="001C300D"/>
    <w:rsid w:val="001C3A9A"/>
    <w:rsid w:val="001C3F44"/>
    <w:rsid w:val="001C3F59"/>
    <w:rsid w:val="001C40FE"/>
    <w:rsid w:val="001C44E7"/>
    <w:rsid w:val="001C4770"/>
    <w:rsid w:val="001C487D"/>
    <w:rsid w:val="001C4968"/>
    <w:rsid w:val="001C49A6"/>
    <w:rsid w:val="001C505A"/>
    <w:rsid w:val="001C509D"/>
    <w:rsid w:val="001C533A"/>
    <w:rsid w:val="001C54A7"/>
    <w:rsid w:val="001C57A1"/>
    <w:rsid w:val="001C59C7"/>
    <w:rsid w:val="001C5A24"/>
    <w:rsid w:val="001C5BDA"/>
    <w:rsid w:val="001C5CBF"/>
    <w:rsid w:val="001C6945"/>
    <w:rsid w:val="001C6AAC"/>
    <w:rsid w:val="001C6AD7"/>
    <w:rsid w:val="001C6DC2"/>
    <w:rsid w:val="001C71E0"/>
    <w:rsid w:val="001D00EB"/>
    <w:rsid w:val="001D0170"/>
    <w:rsid w:val="001D03EF"/>
    <w:rsid w:val="001D09B3"/>
    <w:rsid w:val="001D09DA"/>
    <w:rsid w:val="001D0A5C"/>
    <w:rsid w:val="001D0A84"/>
    <w:rsid w:val="001D1407"/>
    <w:rsid w:val="001D14A1"/>
    <w:rsid w:val="001D160A"/>
    <w:rsid w:val="001D1612"/>
    <w:rsid w:val="001D1897"/>
    <w:rsid w:val="001D1CFB"/>
    <w:rsid w:val="001D1F3C"/>
    <w:rsid w:val="001D201F"/>
    <w:rsid w:val="001D20EA"/>
    <w:rsid w:val="001D303D"/>
    <w:rsid w:val="001D351F"/>
    <w:rsid w:val="001D3587"/>
    <w:rsid w:val="001D39C9"/>
    <w:rsid w:val="001D40E1"/>
    <w:rsid w:val="001D4986"/>
    <w:rsid w:val="001D4C95"/>
    <w:rsid w:val="001D4E1E"/>
    <w:rsid w:val="001D5032"/>
    <w:rsid w:val="001D5A90"/>
    <w:rsid w:val="001D5B01"/>
    <w:rsid w:val="001D5D40"/>
    <w:rsid w:val="001D6251"/>
    <w:rsid w:val="001D65C6"/>
    <w:rsid w:val="001D687B"/>
    <w:rsid w:val="001D6E29"/>
    <w:rsid w:val="001D6EC8"/>
    <w:rsid w:val="001D6F4B"/>
    <w:rsid w:val="001D7009"/>
    <w:rsid w:val="001D7501"/>
    <w:rsid w:val="001D75A0"/>
    <w:rsid w:val="001D7BCF"/>
    <w:rsid w:val="001E01BF"/>
    <w:rsid w:val="001E08B6"/>
    <w:rsid w:val="001E08F7"/>
    <w:rsid w:val="001E1325"/>
    <w:rsid w:val="001E1A74"/>
    <w:rsid w:val="001E1AE3"/>
    <w:rsid w:val="001E1CB7"/>
    <w:rsid w:val="001E1CD5"/>
    <w:rsid w:val="001E1D73"/>
    <w:rsid w:val="001E1DE2"/>
    <w:rsid w:val="001E1FD0"/>
    <w:rsid w:val="001E20BA"/>
    <w:rsid w:val="001E20FB"/>
    <w:rsid w:val="001E21DD"/>
    <w:rsid w:val="001E223C"/>
    <w:rsid w:val="001E24E0"/>
    <w:rsid w:val="001E2A40"/>
    <w:rsid w:val="001E2EA6"/>
    <w:rsid w:val="001E2EF4"/>
    <w:rsid w:val="001E31FD"/>
    <w:rsid w:val="001E32A5"/>
    <w:rsid w:val="001E33D9"/>
    <w:rsid w:val="001E38E1"/>
    <w:rsid w:val="001E3FB4"/>
    <w:rsid w:val="001E4337"/>
    <w:rsid w:val="001E4413"/>
    <w:rsid w:val="001E4449"/>
    <w:rsid w:val="001E45FE"/>
    <w:rsid w:val="001E487B"/>
    <w:rsid w:val="001E4E29"/>
    <w:rsid w:val="001E4FB9"/>
    <w:rsid w:val="001E567D"/>
    <w:rsid w:val="001E5903"/>
    <w:rsid w:val="001E5F4E"/>
    <w:rsid w:val="001E62AB"/>
    <w:rsid w:val="001E637A"/>
    <w:rsid w:val="001E6455"/>
    <w:rsid w:val="001E6942"/>
    <w:rsid w:val="001E69F5"/>
    <w:rsid w:val="001E6B7F"/>
    <w:rsid w:val="001E6C5E"/>
    <w:rsid w:val="001E6D27"/>
    <w:rsid w:val="001E6EA5"/>
    <w:rsid w:val="001E7265"/>
    <w:rsid w:val="001E7332"/>
    <w:rsid w:val="001E7407"/>
    <w:rsid w:val="001E7A23"/>
    <w:rsid w:val="001E7F7B"/>
    <w:rsid w:val="001E7FC8"/>
    <w:rsid w:val="001F04F1"/>
    <w:rsid w:val="001F055F"/>
    <w:rsid w:val="001F0B40"/>
    <w:rsid w:val="001F0C30"/>
    <w:rsid w:val="001F0E12"/>
    <w:rsid w:val="001F11A8"/>
    <w:rsid w:val="001F11D2"/>
    <w:rsid w:val="001F11FE"/>
    <w:rsid w:val="001F1366"/>
    <w:rsid w:val="001F13CC"/>
    <w:rsid w:val="001F16CD"/>
    <w:rsid w:val="001F190F"/>
    <w:rsid w:val="001F1F27"/>
    <w:rsid w:val="001F1FEF"/>
    <w:rsid w:val="001F202C"/>
    <w:rsid w:val="001F2569"/>
    <w:rsid w:val="001F2705"/>
    <w:rsid w:val="001F294E"/>
    <w:rsid w:val="001F2AD6"/>
    <w:rsid w:val="001F2B7B"/>
    <w:rsid w:val="001F2E59"/>
    <w:rsid w:val="001F345A"/>
    <w:rsid w:val="001F3476"/>
    <w:rsid w:val="001F35E5"/>
    <w:rsid w:val="001F3925"/>
    <w:rsid w:val="001F3A51"/>
    <w:rsid w:val="001F3B14"/>
    <w:rsid w:val="001F3CF9"/>
    <w:rsid w:val="001F3DC0"/>
    <w:rsid w:val="001F4BDC"/>
    <w:rsid w:val="001F4C56"/>
    <w:rsid w:val="001F4E31"/>
    <w:rsid w:val="001F4FD0"/>
    <w:rsid w:val="001F5124"/>
    <w:rsid w:val="001F5220"/>
    <w:rsid w:val="001F5299"/>
    <w:rsid w:val="001F54B3"/>
    <w:rsid w:val="001F57B5"/>
    <w:rsid w:val="001F58AA"/>
    <w:rsid w:val="001F5A84"/>
    <w:rsid w:val="001F5CA0"/>
    <w:rsid w:val="001F5DC7"/>
    <w:rsid w:val="001F5FF8"/>
    <w:rsid w:val="001F61E0"/>
    <w:rsid w:val="001F62B8"/>
    <w:rsid w:val="001F64D9"/>
    <w:rsid w:val="001F670B"/>
    <w:rsid w:val="001F6BF6"/>
    <w:rsid w:val="001F7129"/>
    <w:rsid w:val="001F71E3"/>
    <w:rsid w:val="001F723B"/>
    <w:rsid w:val="001F7260"/>
    <w:rsid w:val="001F7685"/>
    <w:rsid w:val="001F76B5"/>
    <w:rsid w:val="001F7C93"/>
    <w:rsid w:val="001F7E0A"/>
    <w:rsid w:val="0020003D"/>
    <w:rsid w:val="0020030B"/>
    <w:rsid w:val="00200481"/>
    <w:rsid w:val="00200DF5"/>
    <w:rsid w:val="00200F33"/>
    <w:rsid w:val="00200F95"/>
    <w:rsid w:val="0020129C"/>
    <w:rsid w:val="002016DB"/>
    <w:rsid w:val="00201846"/>
    <w:rsid w:val="002019D9"/>
    <w:rsid w:val="00201A77"/>
    <w:rsid w:val="00201AD2"/>
    <w:rsid w:val="00201CDC"/>
    <w:rsid w:val="00201D25"/>
    <w:rsid w:val="00201DBF"/>
    <w:rsid w:val="00201FA6"/>
    <w:rsid w:val="0020211D"/>
    <w:rsid w:val="0020221C"/>
    <w:rsid w:val="002023CB"/>
    <w:rsid w:val="00202AF8"/>
    <w:rsid w:val="00202D19"/>
    <w:rsid w:val="00202EBA"/>
    <w:rsid w:val="00203075"/>
    <w:rsid w:val="00203500"/>
    <w:rsid w:val="0020387E"/>
    <w:rsid w:val="00203A60"/>
    <w:rsid w:val="00203C22"/>
    <w:rsid w:val="00203DEB"/>
    <w:rsid w:val="00204AD6"/>
    <w:rsid w:val="00205366"/>
    <w:rsid w:val="0020585F"/>
    <w:rsid w:val="002059B8"/>
    <w:rsid w:val="00205CB1"/>
    <w:rsid w:val="00205D48"/>
    <w:rsid w:val="00205E97"/>
    <w:rsid w:val="00206099"/>
    <w:rsid w:val="002064AA"/>
    <w:rsid w:val="00206610"/>
    <w:rsid w:val="00206BBD"/>
    <w:rsid w:val="00206ECE"/>
    <w:rsid w:val="00207127"/>
    <w:rsid w:val="002072B8"/>
    <w:rsid w:val="00207891"/>
    <w:rsid w:val="00207C39"/>
    <w:rsid w:val="00207E27"/>
    <w:rsid w:val="0021050B"/>
    <w:rsid w:val="00210798"/>
    <w:rsid w:val="00210935"/>
    <w:rsid w:val="00210A9C"/>
    <w:rsid w:val="00210DA3"/>
    <w:rsid w:val="0021192E"/>
    <w:rsid w:val="002119B2"/>
    <w:rsid w:val="002119EE"/>
    <w:rsid w:val="00211BE8"/>
    <w:rsid w:val="002120C8"/>
    <w:rsid w:val="00212566"/>
    <w:rsid w:val="002126BA"/>
    <w:rsid w:val="0021285D"/>
    <w:rsid w:val="00212ABF"/>
    <w:rsid w:val="00212AD2"/>
    <w:rsid w:val="00212C96"/>
    <w:rsid w:val="00212D29"/>
    <w:rsid w:val="00212E17"/>
    <w:rsid w:val="00212EEC"/>
    <w:rsid w:val="00213087"/>
    <w:rsid w:val="002130BE"/>
    <w:rsid w:val="002132D5"/>
    <w:rsid w:val="002134B4"/>
    <w:rsid w:val="002135F7"/>
    <w:rsid w:val="00213C15"/>
    <w:rsid w:val="00215052"/>
    <w:rsid w:val="00215176"/>
    <w:rsid w:val="002153A3"/>
    <w:rsid w:val="00215652"/>
    <w:rsid w:val="00215671"/>
    <w:rsid w:val="00215A2E"/>
    <w:rsid w:val="00215DF2"/>
    <w:rsid w:val="00215E3A"/>
    <w:rsid w:val="0021611E"/>
    <w:rsid w:val="00216129"/>
    <w:rsid w:val="00216157"/>
    <w:rsid w:val="00216291"/>
    <w:rsid w:val="00216697"/>
    <w:rsid w:val="002166EE"/>
    <w:rsid w:val="00216837"/>
    <w:rsid w:val="00216849"/>
    <w:rsid w:val="00216B6B"/>
    <w:rsid w:val="00217092"/>
    <w:rsid w:val="002171E5"/>
    <w:rsid w:val="00217384"/>
    <w:rsid w:val="00217ADA"/>
    <w:rsid w:val="00217B0E"/>
    <w:rsid w:val="00217BCC"/>
    <w:rsid w:val="00217F6E"/>
    <w:rsid w:val="0022006C"/>
    <w:rsid w:val="002202FE"/>
    <w:rsid w:val="0022038B"/>
    <w:rsid w:val="002206CB"/>
    <w:rsid w:val="0022085D"/>
    <w:rsid w:val="00220902"/>
    <w:rsid w:val="002209F7"/>
    <w:rsid w:val="00220A24"/>
    <w:rsid w:val="00220C6A"/>
    <w:rsid w:val="00220D10"/>
    <w:rsid w:val="00220E3F"/>
    <w:rsid w:val="00220EDE"/>
    <w:rsid w:val="00221AB9"/>
    <w:rsid w:val="00221C49"/>
    <w:rsid w:val="00221EAA"/>
    <w:rsid w:val="00222545"/>
    <w:rsid w:val="002226BD"/>
    <w:rsid w:val="00222B95"/>
    <w:rsid w:val="00222E34"/>
    <w:rsid w:val="00222FEE"/>
    <w:rsid w:val="0022328B"/>
    <w:rsid w:val="00223552"/>
    <w:rsid w:val="002235E1"/>
    <w:rsid w:val="002238B7"/>
    <w:rsid w:val="0022399D"/>
    <w:rsid w:val="00223C13"/>
    <w:rsid w:val="00223CD6"/>
    <w:rsid w:val="00223DE1"/>
    <w:rsid w:val="0022452C"/>
    <w:rsid w:val="00224AF0"/>
    <w:rsid w:val="00224BE0"/>
    <w:rsid w:val="002253FA"/>
    <w:rsid w:val="002254B1"/>
    <w:rsid w:val="00225CA8"/>
    <w:rsid w:val="002261AD"/>
    <w:rsid w:val="002263B4"/>
    <w:rsid w:val="00226745"/>
    <w:rsid w:val="00226BE6"/>
    <w:rsid w:val="00226EF8"/>
    <w:rsid w:val="002272CB"/>
    <w:rsid w:val="0022738F"/>
    <w:rsid w:val="002276E9"/>
    <w:rsid w:val="002277AF"/>
    <w:rsid w:val="00227FCB"/>
    <w:rsid w:val="00227FEC"/>
    <w:rsid w:val="0023052C"/>
    <w:rsid w:val="002308F4"/>
    <w:rsid w:val="00230B74"/>
    <w:rsid w:val="00230C17"/>
    <w:rsid w:val="00230F07"/>
    <w:rsid w:val="00230FB8"/>
    <w:rsid w:val="00230FE3"/>
    <w:rsid w:val="00231513"/>
    <w:rsid w:val="00231725"/>
    <w:rsid w:val="00231776"/>
    <w:rsid w:val="00231C47"/>
    <w:rsid w:val="00231FEB"/>
    <w:rsid w:val="002322E6"/>
    <w:rsid w:val="002324A4"/>
    <w:rsid w:val="002324B5"/>
    <w:rsid w:val="0023252C"/>
    <w:rsid w:val="0023286E"/>
    <w:rsid w:val="0023296F"/>
    <w:rsid w:val="00232BEA"/>
    <w:rsid w:val="00232D51"/>
    <w:rsid w:val="00232F4C"/>
    <w:rsid w:val="0023309C"/>
    <w:rsid w:val="002330EF"/>
    <w:rsid w:val="002331A4"/>
    <w:rsid w:val="00233577"/>
    <w:rsid w:val="00233CA5"/>
    <w:rsid w:val="0023409D"/>
    <w:rsid w:val="002340ED"/>
    <w:rsid w:val="00234317"/>
    <w:rsid w:val="00234556"/>
    <w:rsid w:val="00234656"/>
    <w:rsid w:val="002347E1"/>
    <w:rsid w:val="00234DD9"/>
    <w:rsid w:val="002351CD"/>
    <w:rsid w:val="00235277"/>
    <w:rsid w:val="00235654"/>
    <w:rsid w:val="002359E2"/>
    <w:rsid w:val="00235A86"/>
    <w:rsid w:val="00235BB2"/>
    <w:rsid w:val="00235F82"/>
    <w:rsid w:val="00236062"/>
    <w:rsid w:val="002360A4"/>
    <w:rsid w:val="002365C7"/>
    <w:rsid w:val="00236819"/>
    <w:rsid w:val="002369F4"/>
    <w:rsid w:val="00236AA9"/>
    <w:rsid w:val="00237161"/>
    <w:rsid w:val="0023726E"/>
    <w:rsid w:val="0023737A"/>
    <w:rsid w:val="00237526"/>
    <w:rsid w:val="00237773"/>
    <w:rsid w:val="002377BD"/>
    <w:rsid w:val="002377FC"/>
    <w:rsid w:val="00237886"/>
    <w:rsid w:val="00237B44"/>
    <w:rsid w:val="00237F76"/>
    <w:rsid w:val="00237FB8"/>
    <w:rsid w:val="0024004F"/>
    <w:rsid w:val="002404A9"/>
    <w:rsid w:val="00240760"/>
    <w:rsid w:val="00240C88"/>
    <w:rsid w:val="00240D91"/>
    <w:rsid w:val="00241193"/>
    <w:rsid w:val="0024140A"/>
    <w:rsid w:val="0024157F"/>
    <w:rsid w:val="00241A93"/>
    <w:rsid w:val="00241AE2"/>
    <w:rsid w:val="0024259E"/>
    <w:rsid w:val="002425D9"/>
    <w:rsid w:val="00242B2A"/>
    <w:rsid w:val="00242C7C"/>
    <w:rsid w:val="00242EEE"/>
    <w:rsid w:val="00242FDD"/>
    <w:rsid w:val="002431FB"/>
    <w:rsid w:val="00243215"/>
    <w:rsid w:val="00243561"/>
    <w:rsid w:val="00243688"/>
    <w:rsid w:val="002437FD"/>
    <w:rsid w:val="0024398B"/>
    <w:rsid w:val="00243B5F"/>
    <w:rsid w:val="00243C98"/>
    <w:rsid w:val="00244507"/>
    <w:rsid w:val="00244D38"/>
    <w:rsid w:val="00244E2F"/>
    <w:rsid w:val="00244E6D"/>
    <w:rsid w:val="002450E8"/>
    <w:rsid w:val="00245131"/>
    <w:rsid w:val="00245305"/>
    <w:rsid w:val="002453B5"/>
    <w:rsid w:val="002453B9"/>
    <w:rsid w:val="002455C6"/>
    <w:rsid w:val="00245FA8"/>
    <w:rsid w:val="00246E75"/>
    <w:rsid w:val="00247233"/>
    <w:rsid w:val="002472EC"/>
    <w:rsid w:val="002473C2"/>
    <w:rsid w:val="0024784F"/>
    <w:rsid w:val="00247BB5"/>
    <w:rsid w:val="00247CAF"/>
    <w:rsid w:val="00247E66"/>
    <w:rsid w:val="00247FD7"/>
    <w:rsid w:val="0025016C"/>
    <w:rsid w:val="00250448"/>
    <w:rsid w:val="00250489"/>
    <w:rsid w:val="002504B9"/>
    <w:rsid w:val="002505EB"/>
    <w:rsid w:val="002506CF"/>
    <w:rsid w:val="0025073B"/>
    <w:rsid w:val="002507D3"/>
    <w:rsid w:val="00250844"/>
    <w:rsid w:val="00250FDD"/>
    <w:rsid w:val="002510FA"/>
    <w:rsid w:val="002514AF"/>
    <w:rsid w:val="0025163B"/>
    <w:rsid w:val="00251936"/>
    <w:rsid w:val="00251AAA"/>
    <w:rsid w:val="00251DE2"/>
    <w:rsid w:val="00251E88"/>
    <w:rsid w:val="00251EEA"/>
    <w:rsid w:val="002520F7"/>
    <w:rsid w:val="00252230"/>
    <w:rsid w:val="00252615"/>
    <w:rsid w:val="0025287E"/>
    <w:rsid w:val="00252BBD"/>
    <w:rsid w:val="00252BDD"/>
    <w:rsid w:val="00252F2A"/>
    <w:rsid w:val="00253995"/>
    <w:rsid w:val="00253F57"/>
    <w:rsid w:val="00253F62"/>
    <w:rsid w:val="00254288"/>
    <w:rsid w:val="002544A8"/>
    <w:rsid w:val="002544FD"/>
    <w:rsid w:val="0025465F"/>
    <w:rsid w:val="00254B62"/>
    <w:rsid w:val="0025510F"/>
    <w:rsid w:val="0025526C"/>
    <w:rsid w:val="00255587"/>
    <w:rsid w:val="00255896"/>
    <w:rsid w:val="00255DAF"/>
    <w:rsid w:val="0025602A"/>
    <w:rsid w:val="00256053"/>
    <w:rsid w:val="00256160"/>
    <w:rsid w:val="00256502"/>
    <w:rsid w:val="00256533"/>
    <w:rsid w:val="0025660D"/>
    <w:rsid w:val="00256732"/>
    <w:rsid w:val="00256ECC"/>
    <w:rsid w:val="00257847"/>
    <w:rsid w:val="00257868"/>
    <w:rsid w:val="00257901"/>
    <w:rsid w:val="00260159"/>
    <w:rsid w:val="00260837"/>
    <w:rsid w:val="00260B8B"/>
    <w:rsid w:val="00260C6D"/>
    <w:rsid w:val="00260DCA"/>
    <w:rsid w:val="002610E5"/>
    <w:rsid w:val="0026118A"/>
    <w:rsid w:val="002613B3"/>
    <w:rsid w:val="002616C0"/>
    <w:rsid w:val="002619A5"/>
    <w:rsid w:val="00261B85"/>
    <w:rsid w:val="00261C47"/>
    <w:rsid w:val="00261ECB"/>
    <w:rsid w:val="00261F71"/>
    <w:rsid w:val="002620D9"/>
    <w:rsid w:val="002625E9"/>
    <w:rsid w:val="0026269E"/>
    <w:rsid w:val="0026291A"/>
    <w:rsid w:val="00262B25"/>
    <w:rsid w:val="00262C78"/>
    <w:rsid w:val="00262C86"/>
    <w:rsid w:val="00263228"/>
    <w:rsid w:val="0026330F"/>
    <w:rsid w:val="00263E0D"/>
    <w:rsid w:val="0026417C"/>
    <w:rsid w:val="002642F2"/>
    <w:rsid w:val="00264477"/>
    <w:rsid w:val="002645EB"/>
    <w:rsid w:val="00264642"/>
    <w:rsid w:val="00264960"/>
    <w:rsid w:val="002654E3"/>
    <w:rsid w:val="00265944"/>
    <w:rsid w:val="0026596C"/>
    <w:rsid w:val="00265A13"/>
    <w:rsid w:val="00265C33"/>
    <w:rsid w:val="00265D70"/>
    <w:rsid w:val="00265DCC"/>
    <w:rsid w:val="00266062"/>
    <w:rsid w:val="00266090"/>
    <w:rsid w:val="002662FE"/>
    <w:rsid w:val="00266359"/>
    <w:rsid w:val="002667F9"/>
    <w:rsid w:val="00266993"/>
    <w:rsid w:val="00266A98"/>
    <w:rsid w:val="002670DD"/>
    <w:rsid w:val="002670F2"/>
    <w:rsid w:val="00267308"/>
    <w:rsid w:val="0026775A"/>
    <w:rsid w:val="00267BA0"/>
    <w:rsid w:val="0027000D"/>
    <w:rsid w:val="0027005E"/>
    <w:rsid w:val="002701B6"/>
    <w:rsid w:val="00270210"/>
    <w:rsid w:val="0027023E"/>
    <w:rsid w:val="0027037A"/>
    <w:rsid w:val="002704BC"/>
    <w:rsid w:val="00270700"/>
    <w:rsid w:val="00270BA4"/>
    <w:rsid w:val="00270BAA"/>
    <w:rsid w:val="00270C5B"/>
    <w:rsid w:val="00270ECD"/>
    <w:rsid w:val="00270FD0"/>
    <w:rsid w:val="002710D9"/>
    <w:rsid w:val="00271777"/>
    <w:rsid w:val="002719DE"/>
    <w:rsid w:val="00271C1D"/>
    <w:rsid w:val="00272840"/>
    <w:rsid w:val="0027284B"/>
    <w:rsid w:val="00272877"/>
    <w:rsid w:val="00272A44"/>
    <w:rsid w:val="00272A69"/>
    <w:rsid w:val="002731D2"/>
    <w:rsid w:val="0027322A"/>
    <w:rsid w:val="002732E5"/>
    <w:rsid w:val="00273525"/>
    <w:rsid w:val="00273562"/>
    <w:rsid w:val="00273A29"/>
    <w:rsid w:val="00274024"/>
    <w:rsid w:val="002742AC"/>
    <w:rsid w:val="002743A9"/>
    <w:rsid w:val="002744D2"/>
    <w:rsid w:val="0027484B"/>
    <w:rsid w:val="00274874"/>
    <w:rsid w:val="002749B1"/>
    <w:rsid w:val="00274A86"/>
    <w:rsid w:val="00274D5C"/>
    <w:rsid w:val="00274F0D"/>
    <w:rsid w:val="002750AE"/>
    <w:rsid w:val="00275373"/>
    <w:rsid w:val="002755E1"/>
    <w:rsid w:val="00275600"/>
    <w:rsid w:val="002756B0"/>
    <w:rsid w:val="00275A98"/>
    <w:rsid w:val="00275CE3"/>
    <w:rsid w:val="00275D4E"/>
    <w:rsid w:val="00275F08"/>
    <w:rsid w:val="00276005"/>
    <w:rsid w:val="0027615C"/>
    <w:rsid w:val="00276352"/>
    <w:rsid w:val="00276753"/>
    <w:rsid w:val="00276879"/>
    <w:rsid w:val="00276A35"/>
    <w:rsid w:val="00276C1E"/>
    <w:rsid w:val="00276D9D"/>
    <w:rsid w:val="00276EB4"/>
    <w:rsid w:val="00276F86"/>
    <w:rsid w:val="00277053"/>
    <w:rsid w:val="002770EE"/>
    <w:rsid w:val="00277425"/>
    <w:rsid w:val="0027750D"/>
    <w:rsid w:val="00277844"/>
    <w:rsid w:val="00277AA8"/>
    <w:rsid w:val="00277D50"/>
    <w:rsid w:val="00277D5C"/>
    <w:rsid w:val="00277ECD"/>
    <w:rsid w:val="00280201"/>
    <w:rsid w:val="002803A6"/>
    <w:rsid w:val="002804ED"/>
    <w:rsid w:val="002804F6"/>
    <w:rsid w:val="002804FB"/>
    <w:rsid w:val="002805D5"/>
    <w:rsid w:val="00280635"/>
    <w:rsid w:val="00280A76"/>
    <w:rsid w:val="00280BC5"/>
    <w:rsid w:val="00280FA9"/>
    <w:rsid w:val="002819BC"/>
    <w:rsid w:val="002819F2"/>
    <w:rsid w:val="00281ADF"/>
    <w:rsid w:val="00281B46"/>
    <w:rsid w:val="00281C6F"/>
    <w:rsid w:val="002820E5"/>
    <w:rsid w:val="002821F8"/>
    <w:rsid w:val="00282555"/>
    <w:rsid w:val="002825B4"/>
    <w:rsid w:val="0028262C"/>
    <w:rsid w:val="00282639"/>
    <w:rsid w:val="002826E2"/>
    <w:rsid w:val="00282F64"/>
    <w:rsid w:val="0028359C"/>
    <w:rsid w:val="00283604"/>
    <w:rsid w:val="00283E9A"/>
    <w:rsid w:val="00283F1B"/>
    <w:rsid w:val="002841AB"/>
    <w:rsid w:val="00284296"/>
    <w:rsid w:val="00284325"/>
    <w:rsid w:val="002844DE"/>
    <w:rsid w:val="002845AB"/>
    <w:rsid w:val="002848E4"/>
    <w:rsid w:val="00284CD3"/>
    <w:rsid w:val="00284D79"/>
    <w:rsid w:val="00284E09"/>
    <w:rsid w:val="002855AF"/>
    <w:rsid w:val="00285A6A"/>
    <w:rsid w:val="00285BFC"/>
    <w:rsid w:val="00285D80"/>
    <w:rsid w:val="00285DA9"/>
    <w:rsid w:val="00285DCC"/>
    <w:rsid w:val="00285FB7"/>
    <w:rsid w:val="00285FC0"/>
    <w:rsid w:val="00286243"/>
    <w:rsid w:val="00286481"/>
    <w:rsid w:val="00287063"/>
    <w:rsid w:val="0028707A"/>
    <w:rsid w:val="002872A6"/>
    <w:rsid w:val="002872AB"/>
    <w:rsid w:val="002872BE"/>
    <w:rsid w:val="00287716"/>
    <w:rsid w:val="00287775"/>
    <w:rsid w:val="0028790C"/>
    <w:rsid w:val="00287948"/>
    <w:rsid w:val="00287E28"/>
    <w:rsid w:val="00287EBA"/>
    <w:rsid w:val="00290636"/>
    <w:rsid w:val="00290F65"/>
    <w:rsid w:val="0029133A"/>
    <w:rsid w:val="002914B1"/>
    <w:rsid w:val="0029162F"/>
    <w:rsid w:val="00291692"/>
    <w:rsid w:val="002916B5"/>
    <w:rsid w:val="00291DCF"/>
    <w:rsid w:val="0029213B"/>
    <w:rsid w:val="00292415"/>
    <w:rsid w:val="002929A5"/>
    <w:rsid w:val="00292BAE"/>
    <w:rsid w:val="00292D85"/>
    <w:rsid w:val="00292F4B"/>
    <w:rsid w:val="0029316C"/>
    <w:rsid w:val="002935AC"/>
    <w:rsid w:val="0029374D"/>
    <w:rsid w:val="002937DC"/>
    <w:rsid w:val="00294955"/>
    <w:rsid w:val="00294A01"/>
    <w:rsid w:val="00294A26"/>
    <w:rsid w:val="00294DFA"/>
    <w:rsid w:val="00294E17"/>
    <w:rsid w:val="00294E8B"/>
    <w:rsid w:val="00295279"/>
    <w:rsid w:val="00295297"/>
    <w:rsid w:val="002955FE"/>
    <w:rsid w:val="00295922"/>
    <w:rsid w:val="00295A41"/>
    <w:rsid w:val="00295D73"/>
    <w:rsid w:val="002960BA"/>
    <w:rsid w:val="00296223"/>
    <w:rsid w:val="00296285"/>
    <w:rsid w:val="002963B8"/>
    <w:rsid w:val="00296505"/>
    <w:rsid w:val="0029653C"/>
    <w:rsid w:val="002965DD"/>
    <w:rsid w:val="002967CF"/>
    <w:rsid w:val="00296A6F"/>
    <w:rsid w:val="00296AD8"/>
    <w:rsid w:val="00296AE5"/>
    <w:rsid w:val="00297081"/>
    <w:rsid w:val="0029744E"/>
    <w:rsid w:val="00297A80"/>
    <w:rsid w:val="00297BEE"/>
    <w:rsid w:val="00297C19"/>
    <w:rsid w:val="00297FBA"/>
    <w:rsid w:val="002A053C"/>
    <w:rsid w:val="002A095E"/>
    <w:rsid w:val="002A09CC"/>
    <w:rsid w:val="002A0E8F"/>
    <w:rsid w:val="002A1289"/>
    <w:rsid w:val="002A16D9"/>
    <w:rsid w:val="002A1EA7"/>
    <w:rsid w:val="002A1EC7"/>
    <w:rsid w:val="002A1F23"/>
    <w:rsid w:val="002A203F"/>
    <w:rsid w:val="002A2137"/>
    <w:rsid w:val="002A2241"/>
    <w:rsid w:val="002A23E8"/>
    <w:rsid w:val="002A245E"/>
    <w:rsid w:val="002A25EF"/>
    <w:rsid w:val="002A2950"/>
    <w:rsid w:val="002A2BEF"/>
    <w:rsid w:val="002A2ED4"/>
    <w:rsid w:val="002A2EDC"/>
    <w:rsid w:val="002A30A1"/>
    <w:rsid w:val="002A3549"/>
    <w:rsid w:val="002A3671"/>
    <w:rsid w:val="002A3845"/>
    <w:rsid w:val="002A3CE3"/>
    <w:rsid w:val="002A3F1F"/>
    <w:rsid w:val="002A3FCF"/>
    <w:rsid w:val="002A41AB"/>
    <w:rsid w:val="002A4344"/>
    <w:rsid w:val="002A4481"/>
    <w:rsid w:val="002A44F4"/>
    <w:rsid w:val="002A481B"/>
    <w:rsid w:val="002A48E3"/>
    <w:rsid w:val="002A49ED"/>
    <w:rsid w:val="002A4B9A"/>
    <w:rsid w:val="002A4CB5"/>
    <w:rsid w:val="002A4D4C"/>
    <w:rsid w:val="002A502C"/>
    <w:rsid w:val="002A52E5"/>
    <w:rsid w:val="002A54E7"/>
    <w:rsid w:val="002A5580"/>
    <w:rsid w:val="002A5582"/>
    <w:rsid w:val="002A55B0"/>
    <w:rsid w:val="002A59D9"/>
    <w:rsid w:val="002A5AFF"/>
    <w:rsid w:val="002A5B97"/>
    <w:rsid w:val="002A5C4F"/>
    <w:rsid w:val="002A5DA4"/>
    <w:rsid w:val="002A610A"/>
    <w:rsid w:val="002A61DA"/>
    <w:rsid w:val="002A6326"/>
    <w:rsid w:val="002A67B2"/>
    <w:rsid w:val="002A69D0"/>
    <w:rsid w:val="002A6AE9"/>
    <w:rsid w:val="002A6B60"/>
    <w:rsid w:val="002A72D9"/>
    <w:rsid w:val="002A7665"/>
    <w:rsid w:val="002A787C"/>
    <w:rsid w:val="002B0A25"/>
    <w:rsid w:val="002B0A3F"/>
    <w:rsid w:val="002B0B67"/>
    <w:rsid w:val="002B0BC8"/>
    <w:rsid w:val="002B10AE"/>
    <w:rsid w:val="002B1175"/>
    <w:rsid w:val="002B135E"/>
    <w:rsid w:val="002B13DC"/>
    <w:rsid w:val="002B1A69"/>
    <w:rsid w:val="002B1D9E"/>
    <w:rsid w:val="002B1F54"/>
    <w:rsid w:val="002B1FA1"/>
    <w:rsid w:val="002B2232"/>
    <w:rsid w:val="002B226E"/>
    <w:rsid w:val="002B2332"/>
    <w:rsid w:val="002B268B"/>
    <w:rsid w:val="002B2712"/>
    <w:rsid w:val="002B2CE2"/>
    <w:rsid w:val="002B2E49"/>
    <w:rsid w:val="002B310A"/>
    <w:rsid w:val="002B368A"/>
    <w:rsid w:val="002B37E3"/>
    <w:rsid w:val="002B38A1"/>
    <w:rsid w:val="002B3DED"/>
    <w:rsid w:val="002B3F58"/>
    <w:rsid w:val="002B4064"/>
    <w:rsid w:val="002B41AE"/>
    <w:rsid w:val="002B423D"/>
    <w:rsid w:val="002B4251"/>
    <w:rsid w:val="002B4650"/>
    <w:rsid w:val="002B489B"/>
    <w:rsid w:val="002B4AF3"/>
    <w:rsid w:val="002B4D3D"/>
    <w:rsid w:val="002B4E0B"/>
    <w:rsid w:val="002B4FA5"/>
    <w:rsid w:val="002B531C"/>
    <w:rsid w:val="002B53CA"/>
    <w:rsid w:val="002B543E"/>
    <w:rsid w:val="002B54AF"/>
    <w:rsid w:val="002B5AF6"/>
    <w:rsid w:val="002B5F9F"/>
    <w:rsid w:val="002B623C"/>
    <w:rsid w:val="002B66C0"/>
    <w:rsid w:val="002B675F"/>
    <w:rsid w:val="002B6940"/>
    <w:rsid w:val="002B6F60"/>
    <w:rsid w:val="002B719B"/>
    <w:rsid w:val="002B74F8"/>
    <w:rsid w:val="002B7927"/>
    <w:rsid w:val="002B7AC9"/>
    <w:rsid w:val="002B7B6B"/>
    <w:rsid w:val="002B7C2D"/>
    <w:rsid w:val="002B7C3A"/>
    <w:rsid w:val="002C03D9"/>
    <w:rsid w:val="002C06C9"/>
    <w:rsid w:val="002C06E5"/>
    <w:rsid w:val="002C08F9"/>
    <w:rsid w:val="002C09AF"/>
    <w:rsid w:val="002C0D69"/>
    <w:rsid w:val="002C138B"/>
    <w:rsid w:val="002C15D4"/>
    <w:rsid w:val="002C16D9"/>
    <w:rsid w:val="002C17EF"/>
    <w:rsid w:val="002C1D5E"/>
    <w:rsid w:val="002C1E7F"/>
    <w:rsid w:val="002C244D"/>
    <w:rsid w:val="002C2474"/>
    <w:rsid w:val="002C2776"/>
    <w:rsid w:val="002C2E90"/>
    <w:rsid w:val="002C32F2"/>
    <w:rsid w:val="002C3B47"/>
    <w:rsid w:val="002C3C67"/>
    <w:rsid w:val="002C3C6E"/>
    <w:rsid w:val="002C40AD"/>
    <w:rsid w:val="002C415D"/>
    <w:rsid w:val="002C4404"/>
    <w:rsid w:val="002C48A3"/>
    <w:rsid w:val="002C4C88"/>
    <w:rsid w:val="002C4EC7"/>
    <w:rsid w:val="002C511C"/>
    <w:rsid w:val="002C51FE"/>
    <w:rsid w:val="002C52EF"/>
    <w:rsid w:val="002C5364"/>
    <w:rsid w:val="002C53D9"/>
    <w:rsid w:val="002C593C"/>
    <w:rsid w:val="002C5AF4"/>
    <w:rsid w:val="002C5BCC"/>
    <w:rsid w:val="002C5D05"/>
    <w:rsid w:val="002C6127"/>
    <w:rsid w:val="002C6505"/>
    <w:rsid w:val="002C65B9"/>
    <w:rsid w:val="002C669E"/>
    <w:rsid w:val="002C7239"/>
    <w:rsid w:val="002C72B2"/>
    <w:rsid w:val="002C73A7"/>
    <w:rsid w:val="002C758B"/>
    <w:rsid w:val="002C7611"/>
    <w:rsid w:val="002C78D6"/>
    <w:rsid w:val="002C7936"/>
    <w:rsid w:val="002D0096"/>
    <w:rsid w:val="002D0194"/>
    <w:rsid w:val="002D0302"/>
    <w:rsid w:val="002D04F0"/>
    <w:rsid w:val="002D080A"/>
    <w:rsid w:val="002D0A8B"/>
    <w:rsid w:val="002D0E6E"/>
    <w:rsid w:val="002D1577"/>
    <w:rsid w:val="002D1872"/>
    <w:rsid w:val="002D193F"/>
    <w:rsid w:val="002D195F"/>
    <w:rsid w:val="002D1E46"/>
    <w:rsid w:val="002D2455"/>
    <w:rsid w:val="002D255E"/>
    <w:rsid w:val="002D25DF"/>
    <w:rsid w:val="002D2665"/>
    <w:rsid w:val="002D26BF"/>
    <w:rsid w:val="002D26E5"/>
    <w:rsid w:val="002D2DE9"/>
    <w:rsid w:val="002D2F84"/>
    <w:rsid w:val="002D2FB2"/>
    <w:rsid w:val="002D2FDB"/>
    <w:rsid w:val="002D3097"/>
    <w:rsid w:val="002D32DE"/>
    <w:rsid w:val="002D338B"/>
    <w:rsid w:val="002D34BE"/>
    <w:rsid w:val="002D35CE"/>
    <w:rsid w:val="002D3792"/>
    <w:rsid w:val="002D3D7A"/>
    <w:rsid w:val="002D408D"/>
    <w:rsid w:val="002D4391"/>
    <w:rsid w:val="002D476D"/>
    <w:rsid w:val="002D4AC3"/>
    <w:rsid w:val="002D4C24"/>
    <w:rsid w:val="002D4E0A"/>
    <w:rsid w:val="002D50BE"/>
    <w:rsid w:val="002D5365"/>
    <w:rsid w:val="002D548D"/>
    <w:rsid w:val="002D558A"/>
    <w:rsid w:val="002D56D5"/>
    <w:rsid w:val="002D5C83"/>
    <w:rsid w:val="002D5E0B"/>
    <w:rsid w:val="002D5EB6"/>
    <w:rsid w:val="002D6391"/>
    <w:rsid w:val="002D675E"/>
    <w:rsid w:val="002D6DA9"/>
    <w:rsid w:val="002D6DE2"/>
    <w:rsid w:val="002D6FD9"/>
    <w:rsid w:val="002D71A3"/>
    <w:rsid w:val="002D7291"/>
    <w:rsid w:val="002D72DE"/>
    <w:rsid w:val="002D73FD"/>
    <w:rsid w:val="002D7479"/>
    <w:rsid w:val="002D7B5E"/>
    <w:rsid w:val="002D7CFF"/>
    <w:rsid w:val="002D7E06"/>
    <w:rsid w:val="002D7FD3"/>
    <w:rsid w:val="002E039A"/>
    <w:rsid w:val="002E08CE"/>
    <w:rsid w:val="002E08D4"/>
    <w:rsid w:val="002E0DEF"/>
    <w:rsid w:val="002E0E1C"/>
    <w:rsid w:val="002E0FEB"/>
    <w:rsid w:val="002E1069"/>
    <w:rsid w:val="002E1243"/>
    <w:rsid w:val="002E1400"/>
    <w:rsid w:val="002E15EF"/>
    <w:rsid w:val="002E15F6"/>
    <w:rsid w:val="002E166E"/>
    <w:rsid w:val="002E1784"/>
    <w:rsid w:val="002E182E"/>
    <w:rsid w:val="002E1863"/>
    <w:rsid w:val="002E1946"/>
    <w:rsid w:val="002E1A3D"/>
    <w:rsid w:val="002E1A85"/>
    <w:rsid w:val="002E1BC4"/>
    <w:rsid w:val="002E2066"/>
    <w:rsid w:val="002E25EE"/>
    <w:rsid w:val="002E278C"/>
    <w:rsid w:val="002E27C7"/>
    <w:rsid w:val="002E28F0"/>
    <w:rsid w:val="002E2CA5"/>
    <w:rsid w:val="002E2D98"/>
    <w:rsid w:val="002E2E25"/>
    <w:rsid w:val="002E309F"/>
    <w:rsid w:val="002E315B"/>
    <w:rsid w:val="002E353B"/>
    <w:rsid w:val="002E3806"/>
    <w:rsid w:val="002E3944"/>
    <w:rsid w:val="002E3979"/>
    <w:rsid w:val="002E3B49"/>
    <w:rsid w:val="002E3B8A"/>
    <w:rsid w:val="002E3EC9"/>
    <w:rsid w:val="002E40BF"/>
    <w:rsid w:val="002E4299"/>
    <w:rsid w:val="002E4723"/>
    <w:rsid w:val="002E474C"/>
    <w:rsid w:val="002E4F59"/>
    <w:rsid w:val="002E51BF"/>
    <w:rsid w:val="002E51C3"/>
    <w:rsid w:val="002E5539"/>
    <w:rsid w:val="002E570D"/>
    <w:rsid w:val="002E5B92"/>
    <w:rsid w:val="002E5FA7"/>
    <w:rsid w:val="002E6173"/>
    <w:rsid w:val="002E6326"/>
    <w:rsid w:val="002E656C"/>
    <w:rsid w:val="002E6937"/>
    <w:rsid w:val="002E6BD8"/>
    <w:rsid w:val="002E7302"/>
    <w:rsid w:val="002E7429"/>
    <w:rsid w:val="002E78E4"/>
    <w:rsid w:val="002E792A"/>
    <w:rsid w:val="002E7C0B"/>
    <w:rsid w:val="002F0386"/>
    <w:rsid w:val="002F06F3"/>
    <w:rsid w:val="002F0B6C"/>
    <w:rsid w:val="002F0CB4"/>
    <w:rsid w:val="002F0CF9"/>
    <w:rsid w:val="002F10F0"/>
    <w:rsid w:val="002F120D"/>
    <w:rsid w:val="002F131E"/>
    <w:rsid w:val="002F1451"/>
    <w:rsid w:val="002F1B32"/>
    <w:rsid w:val="002F1CB0"/>
    <w:rsid w:val="002F1CCE"/>
    <w:rsid w:val="002F1F34"/>
    <w:rsid w:val="002F261C"/>
    <w:rsid w:val="002F27B9"/>
    <w:rsid w:val="002F2A8F"/>
    <w:rsid w:val="002F3000"/>
    <w:rsid w:val="002F3037"/>
    <w:rsid w:val="002F304B"/>
    <w:rsid w:val="002F3407"/>
    <w:rsid w:val="002F37C7"/>
    <w:rsid w:val="002F3FED"/>
    <w:rsid w:val="002F471E"/>
    <w:rsid w:val="002F49AF"/>
    <w:rsid w:val="002F4B60"/>
    <w:rsid w:val="002F4CF8"/>
    <w:rsid w:val="002F4E6E"/>
    <w:rsid w:val="002F51F1"/>
    <w:rsid w:val="002F5302"/>
    <w:rsid w:val="002F5335"/>
    <w:rsid w:val="002F5B7C"/>
    <w:rsid w:val="002F5C3F"/>
    <w:rsid w:val="002F616A"/>
    <w:rsid w:val="002F6258"/>
    <w:rsid w:val="002F659A"/>
    <w:rsid w:val="002F66B2"/>
    <w:rsid w:val="002F6A38"/>
    <w:rsid w:val="002F6D0B"/>
    <w:rsid w:val="002F6D19"/>
    <w:rsid w:val="002F6D8F"/>
    <w:rsid w:val="002F7051"/>
    <w:rsid w:val="002F780B"/>
    <w:rsid w:val="002F781E"/>
    <w:rsid w:val="002F7C3C"/>
    <w:rsid w:val="002F7CFC"/>
    <w:rsid w:val="002F7D18"/>
    <w:rsid w:val="002F7D3D"/>
    <w:rsid w:val="00300018"/>
    <w:rsid w:val="00300114"/>
    <w:rsid w:val="00300159"/>
    <w:rsid w:val="003004C1"/>
    <w:rsid w:val="003007D8"/>
    <w:rsid w:val="003009D7"/>
    <w:rsid w:val="00300A28"/>
    <w:rsid w:val="00300DD4"/>
    <w:rsid w:val="00301007"/>
    <w:rsid w:val="003012F9"/>
    <w:rsid w:val="00301374"/>
    <w:rsid w:val="003017B6"/>
    <w:rsid w:val="00301EB7"/>
    <w:rsid w:val="00302905"/>
    <w:rsid w:val="00302B1A"/>
    <w:rsid w:val="00302BE8"/>
    <w:rsid w:val="00302C1F"/>
    <w:rsid w:val="003033AE"/>
    <w:rsid w:val="003033D2"/>
    <w:rsid w:val="00303E30"/>
    <w:rsid w:val="00303F81"/>
    <w:rsid w:val="003040C2"/>
    <w:rsid w:val="00304441"/>
    <w:rsid w:val="0030466C"/>
    <w:rsid w:val="00304A75"/>
    <w:rsid w:val="00304F1B"/>
    <w:rsid w:val="0030500A"/>
    <w:rsid w:val="003050EF"/>
    <w:rsid w:val="00305259"/>
    <w:rsid w:val="0030580A"/>
    <w:rsid w:val="003060AF"/>
    <w:rsid w:val="00306212"/>
    <w:rsid w:val="0030647D"/>
    <w:rsid w:val="003066A5"/>
    <w:rsid w:val="00306748"/>
    <w:rsid w:val="003067B6"/>
    <w:rsid w:val="00306A92"/>
    <w:rsid w:val="00306BA3"/>
    <w:rsid w:val="00306DB7"/>
    <w:rsid w:val="00306DD9"/>
    <w:rsid w:val="00306FF7"/>
    <w:rsid w:val="00307F71"/>
    <w:rsid w:val="0031025C"/>
    <w:rsid w:val="00310265"/>
    <w:rsid w:val="00310A17"/>
    <w:rsid w:val="00310C34"/>
    <w:rsid w:val="00310C5F"/>
    <w:rsid w:val="0031108F"/>
    <w:rsid w:val="0031110E"/>
    <w:rsid w:val="003112FF"/>
    <w:rsid w:val="003113DC"/>
    <w:rsid w:val="00311482"/>
    <w:rsid w:val="003116D2"/>
    <w:rsid w:val="003117D8"/>
    <w:rsid w:val="00311937"/>
    <w:rsid w:val="00311ABA"/>
    <w:rsid w:val="00311B7C"/>
    <w:rsid w:val="00311C0C"/>
    <w:rsid w:val="00311D3C"/>
    <w:rsid w:val="0031237B"/>
    <w:rsid w:val="003127B6"/>
    <w:rsid w:val="00312AC5"/>
    <w:rsid w:val="00312BFF"/>
    <w:rsid w:val="00312E41"/>
    <w:rsid w:val="00313554"/>
    <w:rsid w:val="0031391B"/>
    <w:rsid w:val="00313D01"/>
    <w:rsid w:val="00313E6E"/>
    <w:rsid w:val="0031406B"/>
    <w:rsid w:val="00314232"/>
    <w:rsid w:val="003142CC"/>
    <w:rsid w:val="003146FF"/>
    <w:rsid w:val="003147FE"/>
    <w:rsid w:val="0031494D"/>
    <w:rsid w:val="003149D8"/>
    <w:rsid w:val="00314BF2"/>
    <w:rsid w:val="00314CBC"/>
    <w:rsid w:val="00314E1F"/>
    <w:rsid w:val="0031531C"/>
    <w:rsid w:val="003156B5"/>
    <w:rsid w:val="00315901"/>
    <w:rsid w:val="00315912"/>
    <w:rsid w:val="00315A26"/>
    <w:rsid w:val="00315D2B"/>
    <w:rsid w:val="00315D81"/>
    <w:rsid w:val="00316791"/>
    <w:rsid w:val="003168B3"/>
    <w:rsid w:val="0031698F"/>
    <w:rsid w:val="00316BF7"/>
    <w:rsid w:val="0031710D"/>
    <w:rsid w:val="003172AF"/>
    <w:rsid w:val="003175DC"/>
    <w:rsid w:val="00317810"/>
    <w:rsid w:val="00317CCD"/>
    <w:rsid w:val="00317CFB"/>
    <w:rsid w:val="00320276"/>
    <w:rsid w:val="0032027F"/>
    <w:rsid w:val="003203E2"/>
    <w:rsid w:val="00320BCF"/>
    <w:rsid w:val="003213C2"/>
    <w:rsid w:val="003218E0"/>
    <w:rsid w:val="00321B7F"/>
    <w:rsid w:val="003221FE"/>
    <w:rsid w:val="003225C6"/>
    <w:rsid w:val="0032261E"/>
    <w:rsid w:val="003229DD"/>
    <w:rsid w:val="00322B4C"/>
    <w:rsid w:val="00322CE6"/>
    <w:rsid w:val="00322D02"/>
    <w:rsid w:val="00322E36"/>
    <w:rsid w:val="00322E5D"/>
    <w:rsid w:val="003231B7"/>
    <w:rsid w:val="00323808"/>
    <w:rsid w:val="00323FB8"/>
    <w:rsid w:val="00324366"/>
    <w:rsid w:val="003244B6"/>
    <w:rsid w:val="0032453E"/>
    <w:rsid w:val="003248A7"/>
    <w:rsid w:val="0032511E"/>
    <w:rsid w:val="00325375"/>
    <w:rsid w:val="003254A5"/>
    <w:rsid w:val="003256FB"/>
    <w:rsid w:val="0032596E"/>
    <w:rsid w:val="00326255"/>
    <w:rsid w:val="003266BF"/>
    <w:rsid w:val="0032686B"/>
    <w:rsid w:val="00326C07"/>
    <w:rsid w:val="00326E1D"/>
    <w:rsid w:val="00326F34"/>
    <w:rsid w:val="0032718A"/>
    <w:rsid w:val="00327211"/>
    <w:rsid w:val="0032729A"/>
    <w:rsid w:val="0032771C"/>
    <w:rsid w:val="00327B40"/>
    <w:rsid w:val="00327CB8"/>
    <w:rsid w:val="00327DC5"/>
    <w:rsid w:val="00327FD7"/>
    <w:rsid w:val="003304DA"/>
    <w:rsid w:val="00330727"/>
    <w:rsid w:val="00330761"/>
    <w:rsid w:val="0033090E"/>
    <w:rsid w:val="00330A8B"/>
    <w:rsid w:val="00330B89"/>
    <w:rsid w:val="00330D3C"/>
    <w:rsid w:val="00331510"/>
    <w:rsid w:val="003317BD"/>
    <w:rsid w:val="00331926"/>
    <w:rsid w:val="00331E2D"/>
    <w:rsid w:val="00332131"/>
    <w:rsid w:val="00332478"/>
    <w:rsid w:val="00332832"/>
    <w:rsid w:val="00332BBA"/>
    <w:rsid w:val="00332BF7"/>
    <w:rsid w:val="00332E13"/>
    <w:rsid w:val="003331B2"/>
    <w:rsid w:val="00333284"/>
    <w:rsid w:val="003332C5"/>
    <w:rsid w:val="0033334B"/>
    <w:rsid w:val="00333554"/>
    <w:rsid w:val="003335BF"/>
    <w:rsid w:val="00333B00"/>
    <w:rsid w:val="00333CD0"/>
    <w:rsid w:val="00333E30"/>
    <w:rsid w:val="003349D1"/>
    <w:rsid w:val="00334B24"/>
    <w:rsid w:val="00335B0D"/>
    <w:rsid w:val="00335D88"/>
    <w:rsid w:val="00335EC7"/>
    <w:rsid w:val="003361B1"/>
    <w:rsid w:val="00336321"/>
    <w:rsid w:val="003365EE"/>
    <w:rsid w:val="00336C89"/>
    <w:rsid w:val="00336E14"/>
    <w:rsid w:val="00336E64"/>
    <w:rsid w:val="00336F27"/>
    <w:rsid w:val="00337029"/>
    <w:rsid w:val="003371D5"/>
    <w:rsid w:val="003371F6"/>
    <w:rsid w:val="00337CE6"/>
    <w:rsid w:val="00337F93"/>
    <w:rsid w:val="00340182"/>
    <w:rsid w:val="00340252"/>
    <w:rsid w:val="003404A5"/>
    <w:rsid w:val="003407B1"/>
    <w:rsid w:val="00340998"/>
    <w:rsid w:val="00340AA2"/>
    <w:rsid w:val="00340E23"/>
    <w:rsid w:val="00340EEE"/>
    <w:rsid w:val="0034102A"/>
    <w:rsid w:val="00341047"/>
    <w:rsid w:val="00341692"/>
    <w:rsid w:val="0034172B"/>
    <w:rsid w:val="00341AFE"/>
    <w:rsid w:val="00341D89"/>
    <w:rsid w:val="00341F28"/>
    <w:rsid w:val="00342235"/>
    <w:rsid w:val="003424A7"/>
    <w:rsid w:val="003426FC"/>
    <w:rsid w:val="003427CC"/>
    <w:rsid w:val="003429EF"/>
    <w:rsid w:val="00342F4A"/>
    <w:rsid w:val="00342FD2"/>
    <w:rsid w:val="0034305D"/>
    <w:rsid w:val="00343250"/>
    <w:rsid w:val="003432E7"/>
    <w:rsid w:val="003437D1"/>
    <w:rsid w:val="00343939"/>
    <w:rsid w:val="00343B3D"/>
    <w:rsid w:val="00343B4D"/>
    <w:rsid w:val="00343C57"/>
    <w:rsid w:val="00343D9E"/>
    <w:rsid w:val="00343E70"/>
    <w:rsid w:val="00343E72"/>
    <w:rsid w:val="00344397"/>
    <w:rsid w:val="00344A63"/>
    <w:rsid w:val="00344CAB"/>
    <w:rsid w:val="003453D1"/>
    <w:rsid w:val="00345C96"/>
    <w:rsid w:val="00346208"/>
    <w:rsid w:val="0034641B"/>
    <w:rsid w:val="0034656D"/>
    <w:rsid w:val="003466A0"/>
    <w:rsid w:val="00346A27"/>
    <w:rsid w:val="00346B6A"/>
    <w:rsid w:val="003470BA"/>
    <w:rsid w:val="00347100"/>
    <w:rsid w:val="00347280"/>
    <w:rsid w:val="00350616"/>
    <w:rsid w:val="003508BC"/>
    <w:rsid w:val="00350DF6"/>
    <w:rsid w:val="00350E54"/>
    <w:rsid w:val="00350F4C"/>
    <w:rsid w:val="00350FE2"/>
    <w:rsid w:val="003510A8"/>
    <w:rsid w:val="00351170"/>
    <w:rsid w:val="003511D1"/>
    <w:rsid w:val="00351274"/>
    <w:rsid w:val="0035131A"/>
    <w:rsid w:val="00351379"/>
    <w:rsid w:val="00351C55"/>
    <w:rsid w:val="00351C80"/>
    <w:rsid w:val="00351D4D"/>
    <w:rsid w:val="00351F4D"/>
    <w:rsid w:val="00351F8C"/>
    <w:rsid w:val="003521A6"/>
    <w:rsid w:val="003523EB"/>
    <w:rsid w:val="003527BC"/>
    <w:rsid w:val="00352846"/>
    <w:rsid w:val="00353018"/>
    <w:rsid w:val="00353033"/>
    <w:rsid w:val="00353152"/>
    <w:rsid w:val="003536D5"/>
    <w:rsid w:val="00353AF9"/>
    <w:rsid w:val="00353DDD"/>
    <w:rsid w:val="00353E41"/>
    <w:rsid w:val="003541B3"/>
    <w:rsid w:val="003542BD"/>
    <w:rsid w:val="003544F1"/>
    <w:rsid w:val="00354530"/>
    <w:rsid w:val="00354583"/>
    <w:rsid w:val="00354637"/>
    <w:rsid w:val="00354765"/>
    <w:rsid w:val="00354D03"/>
    <w:rsid w:val="00354DBF"/>
    <w:rsid w:val="00354DE9"/>
    <w:rsid w:val="00354E70"/>
    <w:rsid w:val="00354F58"/>
    <w:rsid w:val="003555EC"/>
    <w:rsid w:val="003556BF"/>
    <w:rsid w:val="0035621C"/>
    <w:rsid w:val="0035625E"/>
    <w:rsid w:val="00356481"/>
    <w:rsid w:val="0035657B"/>
    <w:rsid w:val="003569B2"/>
    <w:rsid w:val="00356F70"/>
    <w:rsid w:val="00357442"/>
    <w:rsid w:val="00357543"/>
    <w:rsid w:val="00357601"/>
    <w:rsid w:val="003578FD"/>
    <w:rsid w:val="0035799C"/>
    <w:rsid w:val="003579C5"/>
    <w:rsid w:val="00357E9A"/>
    <w:rsid w:val="00360185"/>
    <w:rsid w:val="003605B8"/>
    <w:rsid w:val="00360A2E"/>
    <w:rsid w:val="00360A42"/>
    <w:rsid w:val="00360A6B"/>
    <w:rsid w:val="00360BEE"/>
    <w:rsid w:val="00360C05"/>
    <w:rsid w:val="00360CC9"/>
    <w:rsid w:val="00360E2F"/>
    <w:rsid w:val="003614D0"/>
    <w:rsid w:val="00361665"/>
    <w:rsid w:val="00361676"/>
    <w:rsid w:val="003616CD"/>
    <w:rsid w:val="0036179E"/>
    <w:rsid w:val="003618C1"/>
    <w:rsid w:val="00361A5C"/>
    <w:rsid w:val="00361C17"/>
    <w:rsid w:val="00361DAC"/>
    <w:rsid w:val="00361DC2"/>
    <w:rsid w:val="00361E11"/>
    <w:rsid w:val="0036207B"/>
    <w:rsid w:val="00362308"/>
    <w:rsid w:val="003623BA"/>
    <w:rsid w:val="0036287A"/>
    <w:rsid w:val="003628FC"/>
    <w:rsid w:val="00362C58"/>
    <w:rsid w:val="00362D8C"/>
    <w:rsid w:val="00362DF0"/>
    <w:rsid w:val="00363005"/>
    <w:rsid w:val="003630A8"/>
    <w:rsid w:val="0036317F"/>
    <w:rsid w:val="003635D8"/>
    <w:rsid w:val="00363A34"/>
    <w:rsid w:val="00363B7F"/>
    <w:rsid w:val="00363C58"/>
    <w:rsid w:val="00363C89"/>
    <w:rsid w:val="00363F3C"/>
    <w:rsid w:val="003646A0"/>
    <w:rsid w:val="00364955"/>
    <w:rsid w:val="00364A9D"/>
    <w:rsid w:val="00364C8C"/>
    <w:rsid w:val="00364E1C"/>
    <w:rsid w:val="00364E1F"/>
    <w:rsid w:val="00364E52"/>
    <w:rsid w:val="00364F21"/>
    <w:rsid w:val="0036504F"/>
    <w:rsid w:val="00365063"/>
    <w:rsid w:val="0036510A"/>
    <w:rsid w:val="003652DF"/>
    <w:rsid w:val="003652E0"/>
    <w:rsid w:val="00365474"/>
    <w:rsid w:val="003654D4"/>
    <w:rsid w:val="0036563D"/>
    <w:rsid w:val="00365714"/>
    <w:rsid w:val="00365890"/>
    <w:rsid w:val="003659AE"/>
    <w:rsid w:val="003659D8"/>
    <w:rsid w:val="00365F79"/>
    <w:rsid w:val="003661DA"/>
    <w:rsid w:val="00366532"/>
    <w:rsid w:val="00366C85"/>
    <w:rsid w:val="00366E69"/>
    <w:rsid w:val="00367002"/>
    <w:rsid w:val="00367039"/>
    <w:rsid w:val="0036727C"/>
    <w:rsid w:val="003675B2"/>
    <w:rsid w:val="003675B5"/>
    <w:rsid w:val="003675EC"/>
    <w:rsid w:val="003676F7"/>
    <w:rsid w:val="003677BD"/>
    <w:rsid w:val="0036790F"/>
    <w:rsid w:val="00367B50"/>
    <w:rsid w:val="00367DDA"/>
    <w:rsid w:val="00367F42"/>
    <w:rsid w:val="00367F75"/>
    <w:rsid w:val="00370050"/>
    <w:rsid w:val="0037011E"/>
    <w:rsid w:val="00370275"/>
    <w:rsid w:val="00370871"/>
    <w:rsid w:val="00370DA7"/>
    <w:rsid w:val="00370DB9"/>
    <w:rsid w:val="00370F1E"/>
    <w:rsid w:val="00370F28"/>
    <w:rsid w:val="003712B0"/>
    <w:rsid w:val="003713C3"/>
    <w:rsid w:val="0037141C"/>
    <w:rsid w:val="003714B5"/>
    <w:rsid w:val="0037151F"/>
    <w:rsid w:val="003717C4"/>
    <w:rsid w:val="003717EF"/>
    <w:rsid w:val="003718DF"/>
    <w:rsid w:val="003718F5"/>
    <w:rsid w:val="00371937"/>
    <w:rsid w:val="00371B1B"/>
    <w:rsid w:val="00371C55"/>
    <w:rsid w:val="00371D21"/>
    <w:rsid w:val="00371DDC"/>
    <w:rsid w:val="00371E97"/>
    <w:rsid w:val="003720F8"/>
    <w:rsid w:val="003722AB"/>
    <w:rsid w:val="003728FA"/>
    <w:rsid w:val="00372E04"/>
    <w:rsid w:val="00372EFB"/>
    <w:rsid w:val="00373057"/>
    <w:rsid w:val="003731F1"/>
    <w:rsid w:val="00373960"/>
    <w:rsid w:val="003739A4"/>
    <w:rsid w:val="003739C9"/>
    <w:rsid w:val="00374457"/>
    <w:rsid w:val="0037452D"/>
    <w:rsid w:val="003746AE"/>
    <w:rsid w:val="00374A4F"/>
    <w:rsid w:val="00374E20"/>
    <w:rsid w:val="00374F02"/>
    <w:rsid w:val="00374F25"/>
    <w:rsid w:val="003751EF"/>
    <w:rsid w:val="0037531F"/>
    <w:rsid w:val="00375706"/>
    <w:rsid w:val="00375849"/>
    <w:rsid w:val="00375B0B"/>
    <w:rsid w:val="00375D3B"/>
    <w:rsid w:val="003761D2"/>
    <w:rsid w:val="003767D8"/>
    <w:rsid w:val="00376828"/>
    <w:rsid w:val="00376950"/>
    <w:rsid w:val="0037696E"/>
    <w:rsid w:val="00376C9E"/>
    <w:rsid w:val="00377129"/>
    <w:rsid w:val="00377287"/>
    <w:rsid w:val="003774FE"/>
    <w:rsid w:val="00377858"/>
    <w:rsid w:val="00377CFA"/>
    <w:rsid w:val="00377D7D"/>
    <w:rsid w:val="00377D97"/>
    <w:rsid w:val="00377DC1"/>
    <w:rsid w:val="00377E0A"/>
    <w:rsid w:val="00377F70"/>
    <w:rsid w:val="003805B3"/>
    <w:rsid w:val="003807C7"/>
    <w:rsid w:val="003819AD"/>
    <w:rsid w:val="00381A4B"/>
    <w:rsid w:val="00381ABE"/>
    <w:rsid w:val="00381E2A"/>
    <w:rsid w:val="0038212F"/>
    <w:rsid w:val="0038227B"/>
    <w:rsid w:val="00382421"/>
    <w:rsid w:val="00382B50"/>
    <w:rsid w:val="003830EB"/>
    <w:rsid w:val="0038355D"/>
    <w:rsid w:val="00383648"/>
    <w:rsid w:val="003838A5"/>
    <w:rsid w:val="00383AB7"/>
    <w:rsid w:val="00383FF9"/>
    <w:rsid w:val="003842F9"/>
    <w:rsid w:val="00384A63"/>
    <w:rsid w:val="00384D23"/>
    <w:rsid w:val="00384DE9"/>
    <w:rsid w:val="00384E72"/>
    <w:rsid w:val="00384FAA"/>
    <w:rsid w:val="00385241"/>
    <w:rsid w:val="00385443"/>
    <w:rsid w:val="003855AD"/>
    <w:rsid w:val="0038566B"/>
    <w:rsid w:val="00385FFD"/>
    <w:rsid w:val="00386045"/>
    <w:rsid w:val="00386AC0"/>
    <w:rsid w:val="00386C69"/>
    <w:rsid w:val="00386C91"/>
    <w:rsid w:val="00386D18"/>
    <w:rsid w:val="00387402"/>
    <w:rsid w:val="003874AF"/>
    <w:rsid w:val="003875BC"/>
    <w:rsid w:val="00387637"/>
    <w:rsid w:val="003876EE"/>
    <w:rsid w:val="003877C3"/>
    <w:rsid w:val="003877F9"/>
    <w:rsid w:val="003879BA"/>
    <w:rsid w:val="00387A85"/>
    <w:rsid w:val="00387E13"/>
    <w:rsid w:val="00387E5C"/>
    <w:rsid w:val="00387E8B"/>
    <w:rsid w:val="00387EC7"/>
    <w:rsid w:val="003901D3"/>
    <w:rsid w:val="003905DF"/>
    <w:rsid w:val="00390B3D"/>
    <w:rsid w:val="00390B66"/>
    <w:rsid w:val="00390DA8"/>
    <w:rsid w:val="00390FB3"/>
    <w:rsid w:val="00391367"/>
    <w:rsid w:val="0039155E"/>
    <w:rsid w:val="00391583"/>
    <w:rsid w:val="003917FE"/>
    <w:rsid w:val="0039181E"/>
    <w:rsid w:val="00391883"/>
    <w:rsid w:val="00391B11"/>
    <w:rsid w:val="00392301"/>
    <w:rsid w:val="00392348"/>
    <w:rsid w:val="003925FB"/>
    <w:rsid w:val="0039299C"/>
    <w:rsid w:val="00393394"/>
    <w:rsid w:val="00393697"/>
    <w:rsid w:val="00393850"/>
    <w:rsid w:val="003938B6"/>
    <w:rsid w:val="0039391C"/>
    <w:rsid w:val="0039397B"/>
    <w:rsid w:val="0039397D"/>
    <w:rsid w:val="00393B65"/>
    <w:rsid w:val="00393E04"/>
    <w:rsid w:val="003941F0"/>
    <w:rsid w:val="003941FD"/>
    <w:rsid w:val="003943B9"/>
    <w:rsid w:val="0039462E"/>
    <w:rsid w:val="00394705"/>
    <w:rsid w:val="00394915"/>
    <w:rsid w:val="0039491B"/>
    <w:rsid w:val="00394B13"/>
    <w:rsid w:val="00394B93"/>
    <w:rsid w:val="00394BD6"/>
    <w:rsid w:val="00394D8D"/>
    <w:rsid w:val="00394DF3"/>
    <w:rsid w:val="00395135"/>
    <w:rsid w:val="00395513"/>
    <w:rsid w:val="00395794"/>
    <w:rsid w:val="003961C7"/>
    <w:rsid w:val="00396432"/>
    <w:rsid w:val="00396472"/>
    <w:rsid w:val="003964D4"/>
    <w:rsid w:val="003965AF"/>
    <w:rsid w:val="003965FA"/>
    <w:rsid w:val="00396B6C"/>
    <w:rsid w:val="00396FBF"/>
    <w:rsid w:val="0039708A"/>
    <w:rsid w:val="003970C9"/>
    <w:rsid w:val="00397163"/>
    <w:rsid w:val="003971A1"/>
    <w:rsid w:val="003971ED"/>
    <w:rsid w:val="0039763E"/>
    <w:rsid w:val="00397A80"/>
    <w:rsid w:val="00397E3F"/>
    <w:rsid w:val="00397FEB"/>
    <w:rsid w:val="003A01D3"/>
    <w:rsid w:val="003A0372"/>
    <w:rsid w:val="003A0558"/>
    <w:rsid w:val="003A06F2"/>
    <w:rsid w:val="003A0A6C"/>
    <w:rsid w:val="003A0B57"/>
    <w:rsid w:val="003A1074"/>
    <w:rsid w:val="003A1320"/>
    <w:rsid w:val="003A1498"/>
    <w:rsid w:val="003A1A8D"/>
    <w:rsid w:val="003A1AAF"/>
    <w:rsid w:val="003A1DA3"/>
    <w:rsid w:val="003A1EA3"/>
    <w:rsid w:val="003A2146"/>
    <w:rsid w:val="003A2395"/>
    <w:rsid w:val="003A23CF"/>
    <w:rsid w:val="003A2556"/>
    <w:rsid w:val="003A2987"/>
    <w:rsid w:val="003A2C0C"/>
    <w:rsid w:val="003A2DBC"/>
    <w:rsid w:val="003A2E9A"/>
    <w:rsid w:val="003A3210"/>
    <w:rsid w:val="003A34BE"/>
    <w:rsid w:val="003A35A2"/>
    <w:rsid w:val="003A35ED"/>
    <w:rsid w:val="003A3899"/>
    <w:rsid w:val="003A3904"/>
    <w:rsid w:val="003A3C01"/>
    <w:rsid w:val="003A40A6"/>
    <w:rsid w:val="003A4938"/>
    <w:rsid w:val="003A497D"/>
    <w:rsid w:val="003A4A89"/>
    <w:rsid w:val="003A4BDB"/>
    <w:rsid w:val="003A4F6C"/>
    <w:rsid w:val="003A5129"/>
    <w:rsid w:val="003A52D3"/>
    <w:rsid w:val="003A53BC"/>
    <w:rsid w:val="003A558C"/>
    <w:rsid w:val="003A579C"/>
    <w:rsid w:val="003A591C"/>
    <w:rsid w:val="003A5AAF"/>
    <w:rsid w:val="003A5C5D"/>
    <w:rsid w:val="003A608C"/>
    <w:rsid w:val="003A6106"/>
    <w:rsid w:val="003A6394"/>
    <w:rsid w:val="003A6467"/>
    <w:rsid w:val="003A6780"/>
    <w:rsid w:val="003A6D19"/>
    <w:rsid w:val="003A6D2B"/>
    <w:rsid w:val="003A7557"/>
    <w:rsid w:val="003A7AAA"/>
    <w:rsid w:val="003A7CC0"/>
    <w:rsid w:val="003B00F5"/>
    <w:rsid w:val="003B0271"/>
    <w:rsid w:val="003B06ED"/>
    <w:rsid w:val="003B09C9"/>
    <w:rsid w:val="003B0ADF"/>
    <w:rsid w:val="003B0B4D"/>
    <w:rsid w:val="003B0D87"/>
    <w:rsid w:val="003B1112"/>
    <w:rsid w:val="003B16C6"/>
    <w:rsid w:val="003B1829"/>
    <w:rsid w:val="003B233C"/>
    <w:rsid w:val="003B271C"/>
    <w:rsid w:val="003B2B82"/>
    <w:rsid w:val="003B2C7F"/>
    <w:rsid w:val="003B2D1E"/>
    <w:rsid w:val="003B2F11"/>
    <w:rsid w:val="003B32A2"/>
    <w:rsid w:val="003B34AE"/>
    <w:rsid w:val="003B36AC"/>
    <w:rsid w:val="003B372D"/>
    <w:rsid w:val="003B3D4B"/>
    <w:rsid w:val="003B48B0"/>
    <w:rsid w:val="003B4B14"/>
    <w:rsid w:val="003B4BD7"/>
    <w:rsid w:val="003B4CF8"/>
    <w:rsid w:val="003B4E96"/>
    <w:rsid w:val="003B50C1"/>
    <w:rsid w:val="003B5270"/>
    <w:rsid w:val="003B53CF"/>
    <w:rsid w:val="003B5C4F"/>
    <w:rsid w:val="003B5D0A"/>
    <w:rsid w:val="003B6152"/>
    <w:rsid w:val="003B615D"/>
    <w:rsid w:val="003B61B9"/>
    <w:rsid w:val="003B6484"/>
    <w:rsid w:val="003B65B4"/>
    <w:rsid w:val="003B6770"/>
    <w:rsid w:val="003B6A30"/>
    <w:rsid w:val="003B6C51"/>
    <w:rsid w:val="003B6CBD"/>
    <w:rsid w:val="003B6EF0"/>
    <w:rsid w:val="003B70C7"/>
    <w:rsid w:val="003B765C"/>
    <w:rsid w:val="003B7794"/>
    <w:rsid w:val="003B78A5"/>
    <w:rsid w:val="003B7ADE"/>
    <w:rsid w:val="003B7EA3"/>
    <w:rsid w:val="003C00BE"/>
    <w:rsid w:val="003C00DA"/>
    <w:rsid w:val="003C0212"/>
    <w:rsid w:val="003C0282"/>
    <w:rsid w:val="003C0397"/>
    <w:rsid w:val="003C03C8"/>
    <w:rsid w:val="003C0987"/>
    <w:rsid w:val="003C09AF"/>
    <w:rsid w:val="003C10B8"/>
    <w:rsid w:val="003C1544"/>
    <w:rsid w:val="003C15F0"/>
    <w:rsid w:val="003C1817"/>
    <w:rsid w:val="003C1A4A"/>
    <w:rsid w:val="003C1A82"/>
    <w:rsid w:val="003C1E4A"/>
    <w:rsid w:val="003C2009"/>
    <w:rsid w:val="003C2157"/>
    <w:rsid w:val="003C22A5"/>
    <w:rsid w:val="003C2430"/>
    <w:rsid w:val="003C2879"/>
    <w:rsid w:val="003C31B9"/>
    <w:rsid w:val="003C31CE"/>
    <w:rsid w:val="003C31EE"/>
    <w:rsid w:val="003C3244"/>
    <w:rsid w:val="003C361B"/>
    <w:rsid w:val="003C37B3"/>
    <w:rsid w:val="003C381D"/>
    <w:rsid w:val="003C3BA5"/>
    <w:rsid w:val="003C3E04"/>
    <w:rsid w:val="003C3F51"/>
    <w:rsid w:val="003C4099"/>
    <w:rsid w:val="003C458C"/>
    <w:rsid w:val="003C45C8"/>
    <w:rsid w:val="003C4AA4"/>
    <w:rsid w:val="003C4B18"/>
    <w:rsid w:val="003C54F1"/>
    <w:rsid w:val="003C570F"/>
    <w:rsid w:val="003C57DF"/>
    <w:rsid w:val="003C5807"/>
    <w:rsid w:val="003C5979"/>
    <w:rsid w:val="003C5FE8"/>
    <w:rsid w:val="003C68B8"/>
    <w:rsid w:val="003C69AF"/>
    <w:rsid w:val="003C69DA"/>
    <w:rsid w:val="003C6D4E"/>
    <w:rsid w:val="003C6FDA"/>
    <w:rsid w:val="003C70A3"/>
    <w:rsid w:val="003C763C"/>
    <w:rsid w:val="003C7705"/>
    <w:rsid w:val="003C7B92"/>
    <w:rsid w:val="003D01B1"/>
    <w:rsid w:val="003D058B"/>
    <w:rsid w:val="003D0704"/>
    <w:rsid w:val="003D0789"/>
    <w:rsid w:val="003D0791"/>
    <w:rsid w:val="003D0916"/>
    <w:rsid w:val="003D0B9F"/>
    <w:rsid w:val="003D1161"/>
    <w:rsid w:val="003D126F"/>
    <w:rsid w:val="003D131B"/>
    <w:rsid w:val="003D13D4"/>
    <w:rsid w:val="003D13FB"/>
    <w:rsid w:val="003D165E"/>
    <w:rsid w:val="003D1691"/>
    <w:rsid w:val="003D1835"/>
    <w:rsid w:val="003D1838"/>
    <w:rsid w:val="003D1C4B"/>
    <w:rsid w:val="003D222D"/>
    <w:rsid w:val="003D24BA"/>
    <w:rsid w:val="003D252A"/>
    <w:rsid w:val="003D2A0F"/>
    <w:rsid w:val="003D2A7D"/>
    <w:rsid w:val="003D2F9C"/>
    <w:rsid w:val="003D3283"/>
    <w:rsid w:val="003D32E0"/>
    <w:rsid w:val="003D35BB"/>
    <w:rsid w:val="003D3902"/>
    <w:rsid w:val="003D3AB8"/>
    <w:rsid w:val="003D3D38"/>
    <w:rsid w:val="003D3E36"/>
    <w:rsid w:val="003D3FDA"/>
    <w:rsid w:val="003D41FD"/>
    <w:rsid w:val="003D43F4"/>
    <w:rsid w:val="003D4495"/>
    <w:rsid w:val="003D49B2"/>
    <w:rsid w:val="003D4B62"/>
    <w:rsid w:val="003D4B7D"/>
    <w:rsid w:val="003D4C3D"/>
    <w:rsid w:val="003D4C58"/>
    <w:rsid w:val="003D52F9"/>
    <w:rsid w:val="003D55BE"/>
    <w:rsid w:val="003D5E49"/>
    <w:rsid w:val="003D5E8B"/>
    <w:rsid w:val="003D5EBD"/>
    <w:rsid w:val="003D605B"/>
    <w:rsid w:val="003D638B"/>
    <w:rsid w:val="003D6430"/>
    <w:rsid w:val="003D6488"/>
    <w:rsid w:val="003D6604"/>
    <w:rsid w:val="003D70C0"/>
    <w:rsid w:val="003D7708"/>
    <w:rsid w:val="003D7940"/>
    <w:rsid w:val="003D7E32"/>
    <w:rsid w:val="003D7E5C"/>
    <w:rsid w:val="003E03EE"/>
    <w:rsid w:val="003E056D"/>
    <w:rsid w:val="003E05C0"/>
    <w:rsid w:val="003E09B8"/>
    <w:rsid w:val="003E09C5"/>
    <w:rsid w:val="003E0A76"/>
    <w:rsid w:val="003E0C8A"/>
    <w:rsid w:val="003E1429"/>
    <w:rsid w:val="003E1675"/>
    <w:rsid w:val="003E16A9"/>
    <w:rsid w:val="003E1A73"/>
    <w:rsid w:val="003E2227"/>
    <w:rsid w:val="003E2426"/>
    <w:rsid w:val="003E24E9"/>
    <w:rsid w:val="003E2643"/>
    <w:rsid w:val="003E2A8F"/>
    <w:rsid w:val="003E31B3"/>
    <w:rsid w:val="003E346A"/>
    <w:rsid w:val="003E377A"/>
    <w:rsid w:val="003E3EF0"/>
    <w:rsid w:val="003E4014"/>
    <w:rsid w:val="003E4082"/>
    <w:rsid w:val="003E49F1"/>
    <w:rsid w:val="003E4DC9"/>
    <w:rsid w:val="003E4E91"/>
    <w:rsid w:val="003E4EA1"/>
    <w:rsid w:val="003E5083"/>
    <w:rsid w:val="003E50CF"/>
    <w:rsid w:val="003E51B3"/>
    <w:rsid w:val="003E5222"/>
    <w:rsid w:val="003E52D2"/>
    <w:rsid w:val="003E541B"/>
    <w:rsid w:val="003E550E"/>
    <w:rsid w:val="003E57D0"/>
    <w:rsid w:val="003E5B20"/>
    <w:rsid w:val="003E5C2C"/>
    <w:rsid w:val="003E5E6A"/>
    <w:rsid w:val="003E5F35"/>
    <w:rsid w:val="003E5F47"/>
    <w:rsid w:val="003E6709"/>
    <w:rsid w:val="003E684C"/>
    <w:rsid w:val="003E70E2"/>
    <w:rsid w:val="003E71D5"/>
    <w:rsid w:val="003E739F"/>
    <w:rsid w:val="003E73B9"/>
    <w:rsid w:val="003E75C4"/>
    <w:rsid w:val="003E762D"/>
    <w:rsid w:val="003E770D"/>
    <w:rsid w:val="003E7ABF"/>
    <w:rsid w:val="003E7B38"/>
    <w:rsid w:val="003E7F62"/>
    <w:rsid w:val="003F0748"/>
    <w:rsid w:val="003F0B4C"/>
    <w:rsid w:val="003F0B4D"/>
    <w:rsid w:val="003F0BF5"/>
    <w:rsid w:val="003F0D46"/>
    <w:rsid w:val="003F0EC3"/>
    <w:rsid w:val="003F0F67"/>
    <w:rsid w:val="003F103F"/>
    <w:rsid w:val="003F10B9"/>
    <w:rsid w:val="003F150C"/>
    <w:rsid w:val="003F1AD7"/>
    <w:rsid w:val="003F1D94"/>
    <w:rsid w:val="003F1DD7"/>
    <w:rsid w:val="003F20D9"/>
    <w:rsid w:val="003F2172"/>
    <w:rsid w:val="003F26A6"/>
    <w:rsid w:val="003F2C77"/>
    <w:rsid w:val="003F2CF3"/>
    <w:rsid w:val="003F3338"/>
    <w:rsid w:val="003F357E"/>
    <w:rsid w:val="003F38B6"/>
    <w:rsid w:val="003F3FBF"/>
    <w:rsid w:val="003F402C"/>
    <w:rsid w:val="003F4459"/>
    <w:rsid w:val="003F452F"/>
    <w:rsid w:val="003F4711"/>
    <w:rsid w:val="003F49C1"/>
    <w:rsid w:val="003F4D10"/>
    <w:rsid w:val="003F5825"/>
    <w:rsid w:val="003F5B70"/>
    <w:rsid w:val="003F5B88"/>
    <w:rsid w:val="003F5BD6"/>
    <w:rsid w:val="003F5F98"/>
    <w:rsid w:val="003F6FA8"/>
    <w:rsid w:val="003F716F"/>
    <w:rsid w:val="003F721D"/>
    <w:rsid w:val="003F756B"/>
    <w:rsid w:val="003F7DFE"/>
    <w:rsid w:val="003F7F04"/>
    <w:rsid w:val="00400181"/>
    <w:rsid w:val="00400255"/>
    <w:rsid w:val="004004F2"/>
    <w:rsid w:val="00400741"/>
    <w:rsid w:val="00400957"/>
    <w:rsid w:val="00400F04"/>
    <w:rsid w:val="004011A3"/>
    <w:rsid w:val="00401303"/>
    <w:rsid w:val="004015A3"/>
    <w:rsid w:val="00401891"/>
    <w:rsid w:val="00401BF9"/>
    <w:rsid w:val="00401D9D"/>
    <w:rsid w:val="00401F5B"/>
    <w:rsid w:val="00401FC4"/>
    <w:rsid w:val="00402137"/>
    <w:rsid w:val="004022D6"/>
    <w:rsid w:val="00402493"/>
    <w:rsid w:val="00402615"/>
    <w:rsid w:val="0040272B"/>
    <w:rsid w:val="004027A4"/>
    <w:rsid w:val="004027B1"/>
    <w:rsid w:val="00402854"/>
    <w:rsid w:val="0040337B"/>
    <w:rsid w:val="00403682"/>
    <w:rsid w:val="004036B0"/>
    <w:rsid w:val="0040370A"/>
    <w:rsid w:val="004038CF"/>
    <w:rsid w:val="00403D29"/>
    <w:rsid w:val="00403D87"/>
    <w:rsid w:val="00403F80"/>
    <w:rsid w:val="00404019"/>
    <w:rsid w:val="00404060"/>
    <w:rsid w:val="004040CD"/>
    <w:rsid w:val="00404146"/>
    <w:rsid w:val="004042BB"/>
    <w:rsid w:val="004048D6"/>
    <w:rsid w:val="00404C79"/>
    <w:rsid w:val="00404C87"/>
    <w:rsid w:val="0040517B"/>
    <w:rsid w:val="004052D1"/>
    <w:rsid w:val="004053CE"/>
    <w:rsid w:val="0040569B"/>
    <w:rsid w:val="0040597C"/>
    <w:rsid w:val="00406140"/>
    <w:rsid w:val="004069B5"/>
    <w:rsid w:val="00406A3A"/>
    <w:rsid w:val="00406C4D"/>
    <w:rsid w:val="00406CD0"/>
    <w:rsid w:val="004070BF"/>
    <w:rsid w:val="00407570"/>
    <w:rsid w:val="004075A3"/>
    <w:rsid w:val="00407634"/>
    <w:rsid w:val="0040792A"/>
    <w:rsid w:val="0040792E"/>
    <w:rsid w:val="00407A6A"/>
    <w:rsid w:val="00407ED1"/>
    <w:rsid w:val="0041009F"/>
    <w:rsid w:val="004103B9"/>
    <w:rsid w:val="0041043C"/>
    <w:rsid w:val="00410680"/>
    <w:rsid w:val="00410A04"/>
    <w:rsid w:val="00410BC3"/>
    <w:rsid w:val="00410D44"/>
    <w:rsid w:val="0041166B"/>
    <w:rsid w:val="004117BB"/>
    <w:rsid w:val="004118EB"/>
    <w:rsid w:val="00411DC6"/>
    <w:rsid w:val="004120A8"/>
    <w:rsid w:val="0041214C"/>
    <w:rsid w:val="004125AA"/>
    <w:rsid w:val="004126EB"/>
    <w:rsid w:val="0041275E"/>
    <w:rsid w:val="004129AE"/>
    <w:rsid w:val="00412A39"/>
    <w:rsid w:val="00412B3F"/>
    <w:rsid w:val="00412F05"/>
    <w:rsid w:val="004131B4"/>
    <w:rsid w:val="004131EC"/>
    <w:rsid w:val="004132DE"/>
    <w:rsid w:val="00413361"/>
    <w:rsid w:val="004137D3"/>
    <w:rsid w:val="00413840"/>
    <w:rsid w:val="0041384B"/>
    <w:rsid w:val="00413910"/>
    <w:rsid w:val="00413B7F"/>
    <w:rsid w:val="00413BE1"/>
    <w:rsid w:val="00413C2F"/>
    <w:rsid w:val="00413D82"/>
    <w:rsid w:val="00413E66"/>
    <w:rsid w:val="00414006"/>
    <w:rsid w:val="00414017"/>
    <w:rsid w:val="00414109"/>
    <w:rsid w:val="004141F5"/>
    <w:rsid w:val="00414570"/>
    <w:rsid w:val="0041467B"/>
    <w:rsid w:val="00414AE9"/>
    <w:rsid w:val="00414B8A"/>
    <w:rsid w:val="0041506C"/>
    <w:rsid w:val="00415AD6"/>
    <w:rsid w:val="00415D75"/>
    <w:rsid w:val="00415E54"/>
    <w:rsid w:val="00415E5A"/>
    <w:rsid w:val="00415FFF"/>
    <w:rsid w:val="00416384"/>
    <w:rsid w:val="0041651B"/>
    <w:rsid w:val="00416553"/>
    <w:rsid w:val="0041664A"/>
    <w:rsid w:val="004167F2"/>
    <w:rsid w:val="00416C5C"/>
    <w:rsid w:val="00416DBF"/>
    <w:rsid w:val="00416F7F"/>
    <w:rsid w:val="004173FF"/>
    <w:rsid w:val="0041746A"/>
    <w:rsid w:val="00417473"/>
    <w:rsid w:val="004175D3"/>
    <w:rsid w:val="00417736"/>
    <w:rsid w:val="00417B90"/>
    <w:rsid w:val="00417F45"/>
    <w:rsid w:val="00420760"/>
    <w:rsid w:val="00420E45"/>
    <w:rsid w:val="00421330"/>
    <w:rsid w:val="004215B9"/>
    <w:rsid w:val="0042195E"/>
    <w:rsid w:val="00421A13"/>
    <w:rsid w:val="00422030"/>
    <w:rsid w:val="00422356"/>
    <w:rsid w:val="004227B6"/>
    <w:rsid w:val="00422851"/>
    <w:rsid w:val="00422A3F"/>
    <w:rsid w:val="004234DD"/>
    <w:rsid w:val="00423A0C"/>
    <w:rsid w:val="00423C55"/>
    <w:rsid w:val="00423E9D"/>
    <w:rsid w:val="004243AC"/>
    <w:rsid w:val="004245E9"/>
    <w:rsid w:val="004247AC"/>
    <w:rsid w:val="00424990"/>
    <w:rsid w:val="00424CF0"/>
    <w:rsid w:val="00424F18"/>
    <w:rsid w:val="0042500E"/>
    <w:rsid w:val="0042520E"/>
    <w:rsid w:val="004252E3"/>
    <w:rsid w:val="00425305"/>
    <w:rsid w:val="00425EDB"/>
    <w:rsid w:val="0042680E"/>
    <w:rsid w:val="004268F6"/>
    <w:rsid w:val="00426949"/>
    <w:rsid w:val="004269F2"/>
    <w:rsid w:val="004272DF"/>
    <w:rsid w:val="004274FB"/>
    <w:rsid w:val="004275D9"/>
    <w:rsid w:val="00427EDF"/>
    <w:rsid w:val="004304A8"/>
    <w:rsid w:val="00430993"/>
    <w:rsid w:val="00430A32"/>
    <w:rsid w:val="00430E8C"/>
    <w:rsid w:val="00430ECB"/>
    <w:rsid w:val="004311D8"/>
    <w:rsid w:val="00431251"/>
    <w:rsid w:val="00431316"/>
    <w:rsid w:val="00431622"/>
    <w:rsid w:val="004318AF"/>
    <w:rsid w:val="00431986"/>
    <w:rsid w:val="0043198C"/>
    <w:rsid w:val="00431ACE"/>
    <w:rsid w:val="00431AFF"/>
    <w:rsid w:val="00431D86"/>
    <w:rsid w:val="00431F73"/>
    <w:rsid w:val="00432150"/>
    <w:rsid w:val="004327FA"/>
    <w:rsid w:val="00432B53"/>
    <w:rsid w:val="00432B58"/>
    <w:rsid w:val="00432D01"/>
    <w:rsid w:val="00433054"/>
    <w:rsid w:val="00433511"/>
    <w:rsid w:val="004335FB"/>
    <w:rsid w:val="004336CF"/>
    <w:rsid w:val="004337D0"/>
    <w:rsid w:val="00433C42"/>
    <w:rsid w:val="00433F44"/>
    <w:rsid w:val="00434150"/>
    <w:rsid w:val="0043419B"/>
    <w:rsid w:val="00434241"/>
    <w:rsid w:val="004342DF"/>
    <w:rsid w:val="0043464F"/>
    <w:rsid w:val="00434AC9"/>
    <w:rsid w:val="00434D56"/>
    <w:rsid w:val="00434F0C"/>
    <w:rsid w:val="00434F3E"/>
    <w:rsid w:val="00434F4A"/>
    <w:rsid w:val="00434F9C"/>
    <w:rsid w:val="004351A0"/>
    <w:rsid w:val="004354DB"/>
    <w:rsid w:val="004355AF"/>
    <w:rsid w:val="0043634E"/>
    <w:rsid w:val="00436446"/>
    <w:rsid w:val="00436642"/>
    <w:rsid w:val="004369FE"/>
    <w:rsid w:val="00436BAE"/>
    <w:rsid w:val="004372C1"/>
    <w:rsid w:val="0043795A"/>
    <w:rsid w:val="00437961"/>
    <w:rsid w:val="0043798D"/>
    <w:rsid w:val="00440230"/>
    <w:rsid w:val="0044057A"/>
    <w:rsid w:val="004405A7"/>
    <w:rsid w:val="004405BA"/>
    <w:rsid w:val="00440AE6"/>
    <w:rsid w:val="00440DBA"/>
    <w:rsid w:val="00441098"/>
    <w:rsid w:val="004411F1"/>
    <w:rsid w:val="00441547"/>
    <w:rsid w:val="00441676"/>
    <w:rsid w:val="00441AEC"/>
    <w:rsid w:val="00441BBD"/>
    <w:rsid w:val="00442026"/>
    <w:rsid w:val="00442794"/>
    <w:rsid w:val="00442A64"/>
    <w:rsid w:val="00442C05"/>
    <w:rsid w:val="00442D2D"/>
    <w:rsid w:val="00442F64"/>
    <w:rsid w:val="00443528"/>
    <w:rsid w:val="00443896"/>
    <w:rsid w:val="004441D9"/>
    <w:rsid w:val="0044466F"/>
    <w:rsid w:val="00444A5B"/>
    <w:rsid w:val="00444C50"/>
    <w:rsid w:val="00444DE4"/>
    <w:rsid w:val="00444FC2"/>
    <w:rsid w:val="0044535D"/>
    <w:rsid w:val="0044564F"/>
    <w:rsid w:val="00445B58"/>
    <w:rsid w:val="00445E29"/>
    <w:rsid w:val="00447041"/>
    <w:rsid w:val="004473DE"/>
    <w:rsid w:val="004474BE"/>
    <w:rsid w:val="00447C34"/>
    <w:rsid w:val="00447CC8"/>
    <w:rsid w:val="00447E1F"/>
    <w:rsid w:val="00450039"/>
    <w:rsid w:val="00450079"/>
    <w:rsid w:val="00450314"/>
    <w:rsid w:val="00450598"/>
    <w:rsid w:val="00450885"/>
    <w:rsid w:val="00450ABE"/>
    <w:rsid w:val="00450AFB"/>
    <w:rsid w:val="004512A4"/>
    <w:rsid w:val="004517B7"/>
    <w:rsid w:val="004519BC"/>
    <w:rsid w:val="00451B0F"/>
    <w:rsid w:val="00451BDC"/>
    <w:rsid w:val="00451C0A"/>
    <w:rsid w:val="00451CBF"/>
    <w:rsid w:val="004521A6"/>
    <w:rsid w:val="0045277C"/>
    <w:rsid w:val="004527CA"/>
    <w:rsid w:val="00452BA4"/>
    <w:rsid w:val="00452E57"/>
    <w:rsid w:val="00453522"/>
    <w:rsid w:val="00453553"/>
    <w:rsid w:val="004537AE"/>
    <w:rsid w:val="0045390A"/>
    <w:rsid w:val="00454067"/>
    <w:rsid w:val="0045415B"/>
    <w:rsid w:val="004544D1"/>
    <w:rsid w:val="00454531"/>
    <w:rsid w:val="00454806"/>
    <w:rsid w:val="0045482D"/>
    <w:rsid w:val="00454C6E"/>
    <w:rsid w:val="00454DCF"/>
    <w:rsid w:val="004552E0"/>
    <w:rsid w:val="004560E2"/>
    <w:rsid w:val="004560FF"/>
    <w:rsid w:val="004562E1"/>
    <w:rsid w:val="00456636"/>
    <w:rsid w:val="0045671A"/>
    <w:rsid w:val="0045673F"/>
    <w:rsid w:val="00456E90"/>
    <w:rsid w:val="00457603"/>
    <w:rsid w:val="00457776"/>
    <w:rsid w:val="004577DB"/>
    <w:rsid w:val="00460211"/>
    <w:rsid w:val="004603EF"/>
    <w:rsid w:val="00460481"/>
    <w:rsid w:val="00460680"/>
    <w:rsid w:val="00460799"/>
    <w:rsid w:val="00460B20"/>
    <w:rsid w:val="00460D19"/>
    <w:rsid w:val="00460D68"/>
    <w:rsid w:val="00460EAB"/>
    <w:rsid w:val="00461066"/>
    <w:rsid w:val="00461107"/>
    <w:rsid w:val="00461360"/>
    <w:rsid w:val="0046153D"/>
    <w:rsid w:val="00461620"/>
    <w:rsid w:val="00461763"/>
    <w:rsid w:val="004617CE"/>
    <w:rsid w:val="00461ACB"/>
    <w:rsid w:val="00461B3D"/>
    <w:rsid w:val="004621CA"/>
    <w:rsid w:val="00462318"/>
    <w:rsid w:val="00462428"/>
    <w:rsid w:val="0046254C"/>
    <w:rsid w:val="0046271B"/>
    <w:rsid w:val="00462890"/>
    <w:rsid w:val="0046299F"/>
    <w:rsid w:val="00462AAD"/>
    <w:rsid w:val="004630FB"/>
    <w:rsid w:val="004633A0"/>
    <w:rsid w:val="00463517"/>
    <w:rsid w:val="00463874"/>
    <w:rsid w:val="00463889"/>
    <w:rsid w:val="00463C8A"/>
    <w:rsid w:val="00463D0A"/>
    <w:rsid w:val="004640B6"/>
    <w:rsid w:val="00464125"/>
    <w:rsid w:val="00464185"/>
    <w:rsid w:val="0046422D"/>
    <w:rsid w:val="00464300"/>
    <w:rsid w:val="00464764"/>
    <w:rsid w:val="00464C88"/>
    <w:rsid w:val="004651D1"/>
    <w:rsid w:val="00465A2F"/>
    <w:rsid w:val="00465AC2"/>
    <w:rsid w:val="00465B38"/>
    <w:rsid w:val="00465C86"/>
    <w:rsid w:val="00465CDB"/>
    <w:rsid w:val="00465D97"/>
    <w:rsid w:val="00465F23"/>
    <w:rsid w:val="004661DF"/>
    <w:rsid w:val="0046640C"/>
    <w:rsid w:val="004664A0"/>
    <w:rsid w:val="00466F50"/>
    <w:rsid w:val="00467324"/>
    <w:rsid w:val="004673C9"/>
    <w:rsid w:val="0046745C"/>
    <w:rsid w:val="00467668"/>
    <w:rsid w:val="00467761"/>
    <w:rsid w:val="0046799A"/>
    <w:rsid w:val="00467BF1"/>
    <w:rsid w:val="00467C7F"/>
    <w:rsid w:val="00467F8E"/>
    <w:rsid w:val="004709D8"/>
    <w:rsid w:val="00470D3F"/>
    <w:rsid w:val="004710FD"/>
    <w:rsid w:val="004714DC"/>
    <w:rsid w:val="00471708"/>
    <w:rsid w:val="0047184D"/>
    <w:rsid w:val="00471979"/>
    <w:rsid w:val="004719A3"/>
    <w:rsid w:val="00471E18"/>
    <w:rsid w:val="00471F7F"/>
    <w:rsid w:val="00471FCF"/>
    <w:rsid w:val="004720C7"/>
    <w:rsid w:val="004721EC"/>
    <w:rsid w:val="004722D4"/>
    <w:rsid w:val="00472358"/>
    <w:rsid w:val="00472568"/>
    <w:rsid w:val="00472CB1"/>
    <w:rsid w:val="00472CC9"/>
    <w:rsid w:val="00472E8F"/>
    <w:rsid w:val="00472EE8"/>
    <w:rsid w:val="0047300F"/>
    <w:rsid w:val="0047314B"/>
    <w:rsid w:val="004731E7"/>
    <w:rsid w:val="00473252"/>
    <w:rsid w:val="004733E3"/>
    <w:rsid w:val="00473489"/>
    <w:rsid w:val="004735CF"/>
    <w:rsid w:val="004735EE"/>
    <w:rsid w:val="00473733"/>
    <w:rsid w:val="00473A81"/>
    <w:rsid w:val="00473E6D"/>
    <w:rsid w:val="00473F76"/>
    <w:rsid w:val="00473F88"/>
    <w:rsid w:val="004740AA"/>
    <w:rsid w:val="00474635"/>
    <w:rsid w:val="00474844"/>
    <w:rsid w:val="00474935"/>
    <w:rsid w:val="0047495B"/>
    <w:rsid w:val="004749E2"/>
    <w:rsid w:val="00474A6F"/>
    <w:rsid w:val="00474CC3"/>
    <w:rsid w:val="00474CFE"/>
    <w:rsid w:val="00474E3E"/>
    <w:rsid w:val="00474ED6"/>
    <w:rsid w:val="0047593B"/>
    <w:rsid w:val="00475A03"/>
    <w:rsid w:val="00475D56"/>
    <w:rsid w:val="00475D9E"/>
    <w:rsid w:val="004770E3"/>
    <w:rsid w:val="0047750F"/>
    <w:rsid w:val="00477645"/>
    <w:rsid w:val="00477C04"/>
    <w:rsid w:val="00477CCF"/>
    <w:rsid w:val="00480693"/>
    <w:rsid w:val="00480832"/>
    <w:rsid w:val="0048088E"/>
    <w:rsid w:val="00480AA4"/>
    <w:rsid w:val="00480F96"/>
    <w:rsid w:val="00480FB7"/>
    <w:rsid w:val="00481005"/>
    <w:rsid w:val="00481567"/>
    <w:rsid w:val="004817F8"/>
    <w:rsid w:val="00481A57"/>
    <w:rsid w:val="00481A9A"/>
    <w:rsid w:val="00481C3A"/>
    <w:rsid w:val="00482075"/>
    <w:rsid w:val="0048213C"/>
    <w:rsid w:val="00482207"/>
    <w:rsid w:val="004823C2"/>
    <w:rsid w:val="004826BF"/>
    <w:rsid w:val="0048279E"/>
    <w:rsid w:val="00482AD4"/>
    <w:rsid w:val="00483002"/>
    <w:rsid w:val="0048346F"/>
    <w:rsid w:val="00483505"/>
    <w:rsid w:val="00483628"/>
    <w:rsid w:val="00483BBB"/>
    <w:rsid w:val="004841FD"/>
    <w:rsid w:val="00484726"/>
    <w:rsid w:val="00484804"/>
    <w:rsid w:val="00484A59"/>
    <w:rsid w:val="00484AD2"/>
    <w:rsid w:val="00484C41"/>
    <w:rsid w:val="00484F55"/>
    <w:rsid w:val="00484FEF"/>
    <w:rsid w:val="00485405"/>
    <w:rsid w:val="00485506"/>
    <w:rsid w:val="00485518"/>
    <w:rsid w:val="00485745"/>
    <w:rsid w:val="004857E5"/>
    <w:rsid w:val="00485ADF"/>
    <w:rsid w:val="00485D78"/>
    <w:rsid w:val="00485FD0"/>
    <w:rsid w:val="00486279"/>
    <w:rsid w:val="00486637"/>
    <w:rsid w:val="00486667"/>
    <w:rsid w:val="00486BF4"/>
    <w:rsid w:val="00486F78"/>
    <w:rsid w:val="0048709C"/>
    <w:rsid w:val="0048742F"/>
    <w:rsid w:val="004874AC"/>
    <w:rsid w:val="0048759A"/>
    <w:rsid w:val="0048780F"/>
    <w:rsid w:val="00487813"/>
    <w:rsid w:val="00490251"/>
    <w:rsid w:val="00490434"/>
    <w:rsid w:val="00490C9A"/>
    <w:rsid w:val="00490D52"/>
    <w:rsid w:val="00490EB6"/>
    <w:rsid w:val="004913F5"/>
    <w:rsid w:val="004919EE"/>
    <w:rsid w:val="00491A2A"/>
    <w:rsid w:val="00491C7C"/>
    <w:rsid w:val="00491EBD"/>
    <w:rsid w:val="00491FEF"/>
    <w:rsid w:val="00492551"/>
    <w:rsid w:val="0049258B"/>
    <w:rsid w:val="004925C6"/>
    <w:rsid w:val="00492729"/>
    <w:rsid w:val="004927E5"/>
    <w:rsid w:val="0049281C"/>
    <w:rsid w:val="00492A18"/>
    <w:rsid w:val="00492DB4"/>
    <w:rsid w:val="004936DD"/>
    <w:rsid w:val="00493958"/>
    <w:rsid w:val="00493C3C"/>
    <w:rsid w:val="00493FB0"/>
    <w:rsid w:val="00494317"/>
    <w:rsid w:val="00494B0E"/>
    <w:rsid w:val="00494B15"/>
    <w:rsid w:val="00494C85"/>
    <w:rsid w:val="00494E29"/>
    <w:rsid w:val="00494EF9"/>
    <w:rsid w:val="00495238"/>
    <w:rsid w:val="004954D9"/>
    <w:rsid w:val="00495608"/>
    <w:rsid w:val="004956B9"/>
    <w:rsid w:val="00495896"/>
    <w:rsid w:val="00495B84"/>
    <w:rsid w:val="00495CAB"/>
    <w:rsid w:val="00495D94"/>
    <w:rsid w:val="0049641C"/>
    <w:rsid w:val="004965FD"/>
    <w:rsid w:val="00496642"/>
    <w:rsid w:val="0049664F"/>
    <w:rsid w:val="00496782"/>
    <w:rsid w:val="00496823"/>
    <w:rsid w:val="00496C21"/>
    <w:rsid w:val="00496CFB"/>
    <w:rsid w:val="004971E2"/>
    <w:rsid w:val="004971E5"/>
    <w:rsid w:val="004971F1"/>
    <w:rsid w:val="00497512"/>
    <w:rsid w:val="004975AF"/>
    <w:rsid w:val="004976D7"/>
    <w:rsid w:val="0049794C"/>
    <w:rsid w:val="00497998"/>
    <w:rsid w:val="004A0115"/>
    <w:rsid w:val="004A0147"/>
    <w:rsid w:val="004A019B"/>
    <w:rsid w:val="004A0220"/>
    <w:rsid w:val="004A025C"/>
    <w:rsid w:val="004A02FC"/>
    <w:rsid w:val="004A0314"/>
    <w:rsid w:val="004A03CA"/>
    <w:rsid w:val="004A089D"/>
    <w:rsid w:val="004A0A1E"/>
    <w:rsid w:val="004A1007"/>
    <w:rsid w:val="004A138C"/>
    <w:rsid w:val="004A17FE"/>
    <w:rsid w:val="004A1DF8"/>
    <w:rsid w:val="004A1F83"/>
    <w:rsid w:val="004A2145"/>
    <w:rsid w:val="004A240A"/>
    <w:rsid w:val="004A2858"/>
    <w:rsid w:val="004A3057"/>
    <w:rsid w:val="004A31E4"/>
    <w:rsid w:val="004A3220"/>
    <w:rsid w:val="004A3382"/>
    <w:rsid w:val="004A3636"/>
    <w:rsid w:val="004A37F6"/>
    <w:rsid w:val="004A3CDA"/>
    <w:rsid w:val="004A3D86"/>
    <w:rsid w:val="004A3F17"/>
    <w:rsid w:val="004A4546"/>
    <w:rsid w:val="004A454A"/>
    <w:rsid w:val="004A491D"/>
    <w:rsid w:val="004A4A78"/>
    <w:rsid w:val="004A4AA6"/>
    <w:rsid w:val="004A4AD4"/>
    <w:rsid w:val="004A515F"/>
    <w:rsid w:val="004A52BB"/>
    <w:rsid w:val="004A530A"/>
    <w:rsid w:val="004A552C"/>
    <w:rsid w:val="004A582D"/>
    <w:rsid w:val="004A5BFD"/>
    <w:rsid w:val="004A63BF"/>
    <w:rsid w:val="004A67B0"/>
    <w:rsid w:val="004A6972"/>
    <w:rsid w:val="004A69AD"/>
    <w:rsid w:val="004A6B0B"/>
    <w:rsid w:val="004A6BCB"/>
    <w:rsid w:val="004A6F07"/>
    <w:rsid w:val="004A71B4"/>
    <w:rsid w:val="004A7246"/>
    <w:rsid w:val="004A756D"/>
    <w:rsid w:val="004A762D"/>
    <w:rsid w:val="004A7702"/>
    <w:rsid w:val="004A7853"/>
    <w:rsid w:val="004A7ABB"/>
    <w:rsid w:val="004A7C74"/>
    <w:rsid w:val="004A7F52"/>
    <w:rsid w:val="004A7FA0"/>
    <w:rsid w:val="004A7FC5"/>
    <w:rsid w:val="004B00CC"/>
    <w:rsid w:val="004B02E4"/>
    <w:rsid w:val="004B059C"/>
    <w:rsid w:val="004B06BA"/>
    <w:rsid w:val="004B0B41"/>
    <w:rsid w:val="004B0D37"/>
    <w:rsid w:val="004B0E88"/>
    <w:rsid w:val="004B110A"/>
    <w:rsid w:val="004B124B"/>
    <w:rsid w:val="004B1559"/>
    <w:rsid w:val="004B1B73"/>
    <w:rsid w:val="004B1C70"/>
    <w:rsid w:val="004B1C8A"/>
    <w:rsid w:val="004B1C9C"/>
    <w:rsid w:val="004B1F0C"/>
    <w:rsid w:val="004B1F33"/>
    <w:rsid w:val="004B20D9"/>
    <w:rsid w:val="004B2106"/>
    <w:rsid w:val="004B239C"/>
    <w:rsid w:val="004B260A"/>
    <w:rsid w:val="004B2656"/>
    <w:rsid w:val="004B286A"/>
    <w:rsid w:val="004B2A3F"/>
    <w:rsid w:val="004B324F"/>
    <w:rsid w:val="004B337C"/>
    <w:rsid w:val="004B39E0"/>
    <w:rsid w:val="004B3B9E"/>
    <w:rsid w:val="004B40A4"/>
    <w:rsid w:val="004B416F"/>
    <w:rsid w:val="004B45B4"/>
    <w:rsid w:val="004B4636"/>
    <w:rsid w:val="004B4979"/>
    <w:rsid w:val="004B4BF4"/>
    <w:rsid w:val="004B5132"/>
    <w:rsid w:val="004B546D"/>
    <w:rsid w:val="004B54A1"/>
    <w:rsid w:val="004B5648"/>
    <w:rsid w:val="004B569D"/>
    <w:rsid w:val="004B5B67"/>
    <w:rsid w:val="004B5DAA"/>
    <w:rsid w:val="004B5E87"/>
    <w:rsid w:val="004B5F1C"/>
    <w:rsid w:val="004B5F25"/>
    <w:rsid w:val="004B5F44"/>
    <w:rsid w:val="004B60DC"/>
    <w:rsid w:val="004B615E"/>
    <w:rsid w:val="004B6495"/>
    <w:rsid w:val="004B6526"/>
    <w:rsid w:val="004B681A"/>
    <w:rsid w:val="004B6A83"/>
    <w:rsid w:val="004B6B45"/>
    <w:rsid w:val="004B7115"/>
    <w:rsid w:val="004B71B4"/>
    <w:rsid w:val="004B71BF"/>
    <w:rsid w:val="004B7279"/>
    <w:rsid w:val="004B741D"/>
    <w:rsid w:val="004B770E"/>
    <w:rsid w:val="004B789A"/>
    <w:rsid w:val="004C0116"/>
    <w:rsid w:val="004C0886"/>
    <w:rsid w:val="004C0BA5"/>
    <w:rsid w:val="004C0BAE"/>
    <w:rsid w:val="004C0E13"/>
    <w:rsid w:val="004C10D1"/>
    <w:rsid w:val="004C1122"/>
    <w:rsid w:val="004C16D5"/>
    <w:rsid w:val="004C17E7"/>
    <w:rsid w:val="004C1997"/>
    <w:rsid w:val="004C1B0B"/>
    <w:rsid w:val="004C2611"/>
    <w:rsid w:val="004C2BE3"/>
    <w:rsid w:val="004C3109"/>
    <w:rsid w:val="004C322C"/>
    <w:rsid w:val="004C331D"/>
    <w:rsid w:val="004C33AD"/>
    <w:rsid w:val="004C3868"/>
    <w:rsid w:val="004C38AE"/>
    <w:rsid w:val="004C3956"/>
    <w:rsid w:val="004C39D5"/>
    <w:rsid w:val="004C3D32"/>
    <w:rsid w:val="004C4671"/>
    <w:rsid w:val="004C47E0"/>
    <w:rsid w:val="004C48D5"/>
    <w:rsid w:val="004C4B2B"/>
    <w:rsid w:val="004C4BAC"/>
    <w:rsid w:val="004C508B"/>
    <w:rsid w:val="004C516E"/>
    <w:rsid w:val="004C5222"/>
    <w:rsid w:val="004C53D0"/>
    <w:rsid w:val="004C5401"/>
    <w:rsid w:val="004C60E0"/>
    <w:rsid w:val="004C61C4"/>
    <w:rsid w:val="004C61CF"/>
    <w:rsid w:val="004C6407"/>
    <w:rsid w:val="004C69BA"/>
    <w:rsid w:val="004C6A80"/>
    <w:rsid w:val="004C6F31"/>
    <w:rsid w:val="004C6F9E"/>
    <w:rsid w:val="004C708A"/>
    <w:rsid w:val="004C7244"/>
    <w:rsid w:val="004C7A58"/>
    <w:rsid w:val="004C7CA2"/>
    <w:rsid w:val="004D01FC"/>
    <w:rsid w:val="004D02D3"/>
    <w:rsid w:val="004D035D"/>
    <w:rsid w:val="004D04D3"/>
    <w:rsid w:val="004D10E4"/>
    <w:rsid w:val="004D113F"/>
    <w:rsid w:val="004D1224"/>
    <w:rsid w:val="004D16CD"/>
    <w:rsid w:val="004D16F9"/>
    <w:rsid w:val="004D1BF5"/>
    <w:rsid w:val="004D20C4"/>
    <w:rsid w:val="004D2443"/>
    <w:rsid w:val="004D2C59"/>
    <w:rsid w:val="004D2FE8"/>
    <w:rsid w:val="004D3199"/>
    <w:rsid w:val="004D33F3"/>
    <w:rsid w:val="004D3B91"/>
    <w:rsid w:val="004D3CBB"/>
    <w:rsid w:val="004D3D06"/>
    <w:rsid w:val="004D3E9B"/>
    <w:rsid w:val="004D4327"/>
    <w:rsid w:val="004D4382"/>
    <w:rsid w:val="004D4535"/>
    <w:rsid w:val="004D46D4"/>
    <w:rsid w:val="004D47E7"/>
    <w:rsid w:val="004D4911"/>
    <w:rsid w:val="004D49CD"/>
    <w:rsid w:val="004D4F06"/>
    <w:rsid w:val="004D511B"/>
    <w:rsid w:val="004D53CC"/>
    <w:rsid w:val="004D554B"/>
    <w:rsid w:val="004D574A"/>
    <w:rsid w:val="004D5878"/>
    <w:rsid w:val="004D5A7D"/>
    <w:rsid w:val="004D5EC4"/>
    <w:rsid w:val="004D65D8"/>
    <w:rsid w:val="004D677D"/>
    <w:rsid w:val="004D6B94"/>
    <w:rsid w:val="004D6CB8"/>
    <w:rsid w:val="004D6DD7"/>
    <w:rsid w:val="004D6E35"/>
    <w:rsid w:val="004D7112"/>
    <w:rsid w:val="004D717B"/>
    <w:rsid w:val="004D72E6"/>
    <w:rsid w:val="004D7B28"/>
    <w:rsid w:val="004D7BC1"/>
    <w:rsid w:val="004D7C1A"/>
    <w:rsid w:val="004D7E41"/>
    <w:rsid w:val="004D7F0C"/>
    <w:rsid w:val="004D7F98"/>
    <w:rsid w:val="004D7FD5"/>
    <w:rsid w:val="004E007D"/>
    <w:rsid w:val="004E00A5"/>
    <w:rsid w:val="004E0649"/>
    <w:rsid w:val="004E0AC7"/>
    <w:rsid w:val="004E0D04"/>
    <w:rsid w:val="004E0F88"/>
    <w:rsid w:val="004E1050"/>
    <w:rsid w:val="004E19D0"/>
    <w:rsid w:val="004E1AA4"/>
    <w:rsid w:val="004E240B"/>
    <w:rsid w:val="004E273A"/>
    <w:rsid w:val="004E2942"/>
    <w:rsid w:val="004E299A"/>
    <w:rsid w:val="004E2CE1"/>
    <w:rsid w:val="004E3454"/>
    <w:rsid w:val="004E34DE"/>
    <w:rsid w:val="004E36CB"/>
    <w:rsid w:val="004E390A"/>
    <w:rsid w:val="004E3931"/>
    <w:rsid w:val="004E3A0D"/>
    <w:rsid w:val="004E3E1B"/>
    <w:rsid w:val="004E3F38"/>
    <w:rsid w:val="004E41B0"/>
    <w:rsid w:val="004E4536"/>
    <w:rsid w:val="004E47A9"/>
    <w:rsid w:val="004E4BAE"/>
    <w:rsid w:val="004E4EA9"/>
    <w:rsid w:val="004E541A"/>
    <w:rsid w:val="004E5600"/>
    <w:rsid w:val="004E5C33"/>
    <w:rsid w:val="004E5D62"/>
    <w:rsid w:val="004E623B"/>
    <w:rsid w:val="004E625B"/>
    <w:rsid w:val="004E668C"/>
    <w:rsid w:val="004E671A"/>
    <w:rsid w:val="004E6EBC"/>
    <w:rsid w:val="004E7290"/>
    <w:rsid w:val="004E73BC"/>
    <w:rsid w:val="004E7525"/>
    <w:rsid w:val="004E7899"/>
    <w:rsid w:val="004E78CB"/>
    <w:rsid w:val="004E79CC"/>
    <w:rsid w:val="004E7E29"/>
    <w:rsid w:val="004E7EFF"/>
    <w:rsid w:val="004F0196"/>
    <w:rsid w:val="004F076F"/>
    <w:rsid w:val="004F0787"/>
    <w:rsid w:val="004F0C2C"/>
    <w:rsid w:val="004F0F74"/>
    <w:rsid w:val="004F1031"/>
    <w:rsid w:val="004F1043"/>
    <w:rsid w:val="004F1B6C"/>
    <w:rsid w:val="004F1B8A"/>
    <w:rsid w:val="004F1DA6"/>
    <w:rsid w:val="004F1FB7"/>
    <w:rsid w:val="004F2022"/>
    <w:rsid w:val="004F207C"/>
    <w:rsid w:val="004F237A"/>
    <w:rsid w:val="004F2395"/>
    <w:rsid w:val="004F23C3"/>
    <w:rsid w:val="004F2639"/>
    <w:rsid w:val="004F26A0"/>
    <w:rsid w:val="004F26BF"/>
    <w:rsid w:val="004F316D"/>
    <w:rsid w:val="004F31D2"/>
    <w:rsid w:val="004F3241"/>
    <w:rsid w:val="004F3322"/>
    <w:rsid w:val="004F3339"/>
    <w:rsid w:val="004F35BD"/>
    <w:rsid w:val="004F3795"/>
    <w:rsid w:val="004F3AB2"/>
    <w:rsid w:val="004F3ADE"/>
    <w:rsid w:val="004F3BA9"/>
    <w:rsid w:val="004F43F6"/>
    <w:rsid w:val="004F5059"/>
    <w:rsid w:val="004F50E8"/>
    <w:rsid w:val="004F54E1"/>
    <w:rsid w:val="004F57D3"/>
    <w:rsid w:val="004F59BF"/>
    <w:rsid w:val="004F5A02"/>
    <w:rsid w:val="004F5A89"/>
    <w:rsid w:val="004F5B5E"/>
    <w:rsid w:val="004F5F11"/>
    <w:rsid w:val="004F638D"/>
    <w:rsid w:val="004F673D"/>
    <w:rsid w:val="004F6808"/>
    <w:rsid w:val="004F6A33"/>
    <w:rsid w:val="004F6ADD"/>
    <w:rsid w:val="004F7037"/>
    <w:rsid w:val="004F718A"/>
    <w:rsid w:val="004F74AE"/>
    <w:rsid w:val="004F75C3"/>
    <w:rsid w:val="004F7810"/>
    <w:rsid w:val="004F79AB"/>
    <w:rsid w:val="004F7A5F"/>
    <w:rsid w:val="004F7C15"/>
    <w:rsid w:val="004F7FA9"/>
    <w:rsid w:val="0050001E"/>
    <w:rsid w:val="00500163"/>
    <w:rsid w:val="00500724"/>
    <w:rsid w:val="0050076E"/>
    <w:rsid w:val="00500A46"/>
    <w:rsid w:val="00500AC0"/>
    <w:rsid w:val="00500D8C"/>
    <w:rsid w:val="00501427"/>
    <w:rsid w:val="005017D8"/>
    <w:rsid w:val="00501B39"/>
    <w:rsid w:val="00501B72"/>
    <w:rsid w:val="00501BBA"/>
    <w:rsid w:val="00501D75"/>
    <w:rsid w:val="00501EF7"/>
    <w:rsid w:val="0050215C"/>
    <w:rsid w:val="00502337"/>
    <w:rsid w:val="00502998"/>
    <w:rsid w:val="00503679"/>
    <w:rsid w:val="005037AA"/>
    <w:rsid w:val="00503A70"/>
    <w:rsid w:val="00503C23"/>
    <w:rsid w:val="00504301"/>
    <w:rsid w:val="00504625"/>
    <w:rsid w:val="0050462C"/>
    <w:rsid w:val="005046FB"/>
    <w:rsid w:val="005047EC"/>
    <w:rsid w:val="00504AA3"/>
    <w:rsid w:val="00504E78"/>
    <w:rsid w:val="00505291"/>
    <w:rsid w:val="00505347"/>
    <w:rsid w:val="00505981"/>
    <w:rsid w:val="00505C02"/>
    <w:rsid w:val="00505FB4"/>
    <w:rsid w:val="005060A5"/>
    <w:rsid w:val="00506602"/>
    <w:rsid w:val="0050669E"/>
    <w:rsid w:val="005066F5"/>
    <w:rsid w:val="0050675D"/>
    <w:rsid w:val="0050682D"/>
    <w:rsid w:val="005072AA"/>
    <w:rsid w:val="005072DC"/>
    <w:rsid w:val="00507411"/>
    <w:rsid w:val="005074F7"/>
    <w:rsid w:val="005075C1"/>
    <w:rsid w:val="005077BF"/>
    <w:rsid w:val="00507812"/>
    <w:rsid w:val="00507873"/>
    <w:rsid w:val="00507C37"/>
    <w:rsid w:val="00510492"/>
    <w:rsid w:val="005106DF"/>
    <w:rsid w:val="00510717"/>
    <w:rsid w:val="00510A63"/>
    <w:rsid w:val="00510C20"/>
    <w:rsid w:val="00511574"/>
    <w:rsid w:val="005118D2"/>
    <w:rsid w:val="00511B31"/>
    <w:rsid w:val="005123A7"/>
    <w:rsid w:val="0051288C"/>
    <w:rsid w:val="00512BAE"/>
    <w:rsid w:val="00512F51"/>
    <w:rsid w:val="005131CA"/>
    <w:rsid w:val="00513260"/>
    <w:rsid w:val="005139D2"/>
    <w:rsid w:val="00513A87"/>
    <w:rsid w:val="00513D83"/>
    <w:rsid w:val="005143F1"/>
    <w:rsid w:val="005145B0"/>
    <w:rsid w:val="005149D5"/>
    <w:rsid w:val="00514BC1"/>
    <w:rsid w:val="00515194"/>
    <w:rsid w:val="0051519E"/>
    <w:rsid w:val="00515292"/>
    <w:rsid w:val="005153E1"/>
    <w:rsid w:val="00515517"/>
    <w:rsid w:val="005156FA"/>
    <w:rsid w:val="00515ABE"/>
    <w:rsid w:val="00515D8D"/>
    <w:rsid w:val="00516064"/>
    <w:rsid w:val="005160E4"/>
    <w:rsid w:val="00516307"/>
    <w:rsid w:val="005169A7"/>
    <w:rsid w:val="00516B36"/>
    <w:rsid w:val="00516CD2"/>
    <w:rsid w:val="0051703D"/>
    <w:rsid w:val="00517086"/>
    <w:rsid w:val="0051777A"/>
    <w:rsid w:val="00517D6E"/>
    <w:rsid w:val="00517F69"/>
    <w:rsid w:val="005204A4"/>
    <w:rsid w:val="0052061E"/>
    <w:rsid w:val="005206B5"/>
    <w:rsid w:val="00520799"/>
    <w:rsid w:val="005207CD"/>
    <w:rsid w:val="00520A5C"/>
    <w:rsid w:val="00520D2B"/>
    <w:rsid w:val="00521863"/>
    <w:rsid w:val="005219AC"/>
    <w:rsid w:val="005219B1"/>
    <w:rsid w:val="00521B32"/>
    <w:rsid w:val="00521C56"/>
    <w:rsid w:val="00521F3C"/>
    <w:rsid w:val="00522280"/>
    <w:rsid w:val="00522B72"/>
    <w:rsid w:val="00522C5F"/>
    <w:rsid w:val="00522D61"/>
    <w:rsid w:val="00523266"/>
    <w:rsid w:val="00523382"/>
    <w:rsid w:val="0052359D"/>
    <w:rsid w:val="0052366F"/>
    <w:rsid w:val="005236F9"/>
    <w:rsid w:val="00523810"/>
    <w:rsid w:val="0052383F"/>
    <w:rsid w:val="00523A01"/>
    <w:rsid w:val="00524091"/>
    <w:rsid w:val="005242C2"/>
    <w:rsid w:val="00524468"/>
    <w:rsid w:val="00524B43"/>
    <w:rsid w:val="00524E51"/>
    <w:rsid w:val="00524F33"/>
    <w:rsid w:val="0052527B"/>
    <w:rsid w:val="00525519"/>
    <w:rsid w:val="00526007"/>
    <w:rsid w:val="0052644E"/>
    <w:rsid w:val="005264DA"/>
    <w:rsid w:val="0052676A"/>
    <w:rsid w:val="005268AA"/>
    <w:rsid w:val="00526F61"/>
    <w:rsid w:val="00526F80"/>
    <w:rsid w:val="00527060"/>
    <w:rsid w:val="0052730D"/>
    <w:rsid w:val="0052742A"/>
    <w:rsid w:val="0052777A"/>
    <w:rsid w:val="005279D1"/>
    <w:rsid w:val="00527BB1"/>
    <w:rsid w:val="005303CC"/>
    <w:rsid w:val="005309F1"/>
    <w:rsid w:val="00530A49"/>
    <w:rsid w:val="00530E72"/>
    <w:rsid w:val="0053116F"/>
    <w:rsid w:val="00531677"/>
    <w:rsid w:val="005316E4"/>
    <w:rsid w:val="00531A35"/>
    <w:rsid w:val="00531A83"/>
    <w:rsid w:val="00531C67"/>
    <w:rsid w:val="00532198"/>
    <w:rsid w:val="00532388"/>
    <w:rsid w:val="005324EC"/>
    <w:rsid w:val="0053253B"/>
    <w:rsid w:val="00532682"/>
    <w:rsid w:val="0053297B"/>
    <w:rsid w:val="00532A9A"/>
    <w:rsid w:val="00532CDA"/>
    <w:rsid w:val="00532FE0"/>
    <w:rsid w:val="00533109"/>
    <w:rsid w:val="0053310D"/>
    <w:rsid w:val="005331C3"/>
    <w:rsid w:val="0053330F"/>
    <w:rsid w:val="005333F1"/>
    <w:rsid w:val="00533561"/>
    <w:rsid w:val="0053364B"/>
    <w:rsid w:val="005337FB"/>
    <w:rsid w:val="00533AA9"/>
    <w:rsid w:val="00533ECE"/>
    <w:rsid w:val="00533F26"/>
    <w:rsid w:val="00534040"/>
    <w:rsid w:val="0053425A"/>
    <w:rsid w:val="0053466F"/>
    <w:rsid w:val="0053485E"/>
    <w:rsid w:val="0053488B"/>
    <w:rsid w:val="00534E1D"/>
    <w:rsid w:val="0053503F"/>
    <w:rsid w:val="00535128"/>
    <w:rsid w:val="00535612"/>
    <w:rsid w:val="005356CB"/>
    <w:rsid w:val="0053576F"/>
    <w:rsid w:val="00536072"/>
    <w:rsid w:val="005360F1"/>
    <w:rsid w:val="005361F3"/>
    <w:rsid w:val="00536364"/>
    <w:rsid w:val="00536556"/>
    <w:rsid w:val="0053656A"/>
    <w:rsid w:val="00536B8C"/>
    <w:rsid w:val="00536D56"/>
    <w:rsid w:val="00536D9B"/>
    <w:rsid w:val="0053720B"/>
    <w:rsid w:val="00537217"/>
    <w:rsid w:val="00537226"/>
    <w:rsid w:val="00537665"/>
    <w:rsid w:val="005376DA"/>
    <w:rsid w:val="00537ABE"/>
    <w:rsid w:val="00537B43"/>
    <w:rsid w:val="00537E16"/>
    <w:rsid w:val="00537E18"/>
    <w:rsid w:val="00537FA5"/>
    <w:rsid w:val="0054028D"/>
    <w:rsid w:val="00540843"/>
    <w:rsid w:val="00540BC5"/>
    <w:rsid w:val="00540D8A"/>
    <w:rsid w:val="005416F9"/>
    <w:rsid w:val="00541948"/>
    <w:rsid w:val="00541A21"/>
    <w:rsid w:val="00541D43"/>
    <w:rsid w:val="00542299"/>
    <w:rsid w:val="00542356"/>
    <w:rsid w:val="005424FB"/>
    <w:rsid w:val="00542570"/>
    <w:rsid w:val="00542860"/>
    <w:rsid w:val="005428F8"/>
    <w:rsid w:val="00542A21"/>
    <w:rsid w:val="00542BE4"/>
    <w:rsid w:val="005431FA"/>
    <w:rsid w:val="005434CC"/>
    <w:rsid w:val="005436C8"/>
    <w:rsid w:val="005438AA"/>
    <w:rsid w:val="00543BC9"/>
    <w:rsid w:val="00543D6D"/>
    <w:rsid w:val="00543EAE"/>
    <w:rsid w:val="0054464B"/>
    <w:rsid w:val="00544D6E"/>
    <w:rsid w:val="00544D98"/>
    <w:rsid w:val="0054501F"/>
    <w:rsid w:val="0054567F"/>
    <w:rsid w:val="005456A0"/>
    <w:rsid w:val="005456B3"/>
    <w:rsid w:val="0054598B"/>
    <w:rsid w:val="00545E00"/>
    <w:rsid w:val="00546A1F"/>
    <w:rsid w:val="00546F7D"/>
    <w:rsid w:val="0054710A"/>
    <w:rsid w:val="005473DB"/>
    <w:rsid w:val="0054799D"/>
    <w:rsid w:val="00547C85"/>
    <w:rsid w:val="00550127"/>
    <w:rsid w:val="0055022F"/>
    <w:rsid w:val="00550413"/>
    <w:rsid w:val="00550690"/>
    <w:rsid w:val="00550B1A"/>
    <w:rsid w:val="00550BA9"/>
    <w:rsid w:val="00551013"/>
    <w:rsid w:val="00551198"/>
    <w:rsid w:val="005513F0"/>
    <w:rsid w:val="005515C0"/>
    <w:rsid w:val="00551879"/>
    <w:rsid w:val="0055193A"/>
    <w:rsid w:val="00551A01"/>
    <w:rsid w:val="00551B3E"/>
    <w:rsid w:val="00551B9B"/>
    <w:rsid w:val="0055214B"/>
    <w:rsid w:val="0055223F"/>
    <w:rsid w:val="00552408"/>
    <w:rsid w:val="005524B3"/>
    <w:rsid w:val="005526F7"/>
    <w:rsid w:val="00552A65"/>
    <w:rsid w:val="00552ABC"/>
    <w:rsid w:val="00552B1E"/>
    <w:rsid w:val="00552F8E"/>
    <w:rsid w:val="00553129"/>
    <w:rsid w:val="005540EC"/>
    <w:rsid w:val="0055427E"/>
    <w:rsid w:val="0055434B"/>
    <w:rsid w:val="005543FC"/>
    <w:rsid w:val="005544C2"/>
    <w:rsid w:val="00554A0C"/>
    <w:rsid w:val="005551A9"/>
    <w:rsid w:val="00555222"/>
    <w:rsid w:val="00555447"/>
    <w:rsid w:val="005558CF"/>
    <w:rsid w:val="00556007"/>
    <w:rsid w:val="0055632B"/>
    <w:rsid w:val="00556762"/>
    <w:rsid w:val="005568F4"/>
    <w:rsid w:val="005569C5"/>
    <w:rsid w:val="00556C5C"/>
    <w:rsid w:val="00556DD4"/>
    <w:rsid w:val="005576C9"/>
    <w:rsid w:val="005576D7"/>
    <w:rsid w:val="00557B8E"/>
    <w:rsid w:val="00557E71"/>
    <w:rsid w:val="00557FEC"/>
    <w:rsid w:val="00560174"/>
    <w:rsid w:val="0056026C"/>
    <w:rsid w:val="005605A6"/>
    <w:rsid w:val="005607DB"/>
    <w:rsid w:val="00560875"/>
    <w:rsid w:val="00560899"/>
    <w:rsid w:val="005608AB"/>
    <w:rsid w:val="00560B54"/>
    <w:rsid w:val="00560BC6"/>
    <w:rsid w:val="00560C24"/>
    <w:rsid w:val="00560C25"/>
    <w:rsid w:val="00560EB2"/>
    <w:rsid w:val="00561AE2"/>
    <w:rsid w:val="005623F5"/>
    <w:rsid w:val="0056247F"/>
    <w:rsid w:val="00562636"/>
    <w:rsid w:val="00562ED3"/>
    <w:rsid w:val="00562EE2"/>
    <w:rsid w:val="005632D7"/>
    <w:rsid w:val="005632F8"/>
    <w:rsid w:val="00563BDF"/>
    <w:rsid w:val="00563C20"/>
    <w:rsid w:val="00564072"/>
    <w:rsid w:val="005643C2"/>
    <w:rsid w:val="005643EF"/>
    <w:rsid w:val="00564CF2"/>
    <w:rsid w:val="00564D7C"/>
    <w:rsid w:val="00564DC3"/>
    <w:rsid w:val="00564F6D"/>
    <w:rsid w:val="005651ED"/>
    <w:rsid w:val="005655D6"/>
    <w:rsid w:val="0056592E"/>
    <w:rsid w:val="00565933"/>
    <w:rsid w:val="00565938"/>
    <w:rsid w:val="00565B11"/>
    <w:rsid w:val="005661D9"/>
    <w:rsid w:val="00566420"/>
    <w:rsid w:val="005664BB"/>
    <w:rsid w:val="005664EF"/>
    <w:rsid w:val="00566599"/>
    <w:rsid w:val="00566671"/>
    <w:rsid w:val="0056675C"/>
    <w:rsid w:val="00566E2F"/>
    <w:rsid w:val="005672C0"/>
    <w:rsid w:val="00567CA2"/>
    <w:rsid w:val="005700B9"/>
    <w:rsid w:val="00570479"/>
    <w:rsid w:val="005705E9"/>
    <w:rsid w:val="0057062E"/>
    <w:rsid w:val="00570729"/>
    <w:rsid w:val="00570999"/>
    <w:rsid w:val="00570A30"/>
    <w:rsid w:val="005712B0"/>
    <w:rsid w:val="0057138B"/>
    <w:rsid w:val="0057163B"/>
    <w:rsid w:val="00571BF3"/>
    <w:rsid w:val="00571C1C"/>
    <w:rsid w:val="00572019"/>
    <w:rsid w:val="005720CD"/>
    <w:rsid w:val="005723C0"/>
    <w:rsid w:val="00572720"/>
    <w:rsid w:val="00572AD1"/>
    <w:rsid w:val="00572D76"/>
    <w:rsid w:val="00573076"/>
    <w:rsid w:val="005735AC"/>
    <w:rsid w:val="00573CA6"/>
    <w:rsid w:val="00574167"/>
    <w:rsid w:val="005741E9"/>
    <w:rsid w:val="005745C2"/>
    <w:rsid w:val="005746AB"/>
    <w:rsid w:val="005748A0"/>
    <w:rsid w:val="0057495C"/>
    <w:rsid w:val="00574C52"/>
    <w:rsid w:val="00574DA9"/>
    <w:rsid w:val="005751BC"/>
    <w:rsid w:val="005755D4"/>
    <w:rsid w:val="00575926"/>
    <w:rsid w:val="00575C54"/>
    <w:rsid w:val="00575D52"/>
    <w:rsid w:val="00576294"/>
    <w:rsid w:val="00576915"/>
    <w:rsid w:val="00576945"/>
    <w:rsid w:val="00576D71"/>
    <w:rsid w:val="00576DD8"/>
    <w:rsid w:val="00576E5C"/>
    <w:rsid w:val="00576FDA"/>
    <w:rsid w:val="00577422"/>
    <w:rsid w:val="00577495"/>
    <w:rsid w:val="0057770E"/>
    <w:rsid w:val="0057778B"/>
    <w:rsid w:val="00577C29"/>
    <w:rsid w:val="00580060"/>
    <w:rsid w:val="0058011C"/>
    <w:rsid w:val="0058040F"/>
    <w:rsid w:val="00580719"/>
    <w:rsid w:val="00580872"/>
    <w:rsid w:val="00580A78"/>
    <w:rsid w:val="00581278"/>
    <w:rsid w:val="005812D4"/>
    <w:rsid w:val="00581411"/>
    <w:rsid w:val="005815F5"/>
    <w:rsid w:val="00581DB0"/>
    <w:rsid w:val="00581E75"/>
    <w:rsid w:val="00582479"/>
    <w:rsid w:val="00582AA6"/>
    <w:rsid w:val="00582C98"/>
    <w:rsid w:val="00582CE0"/>
    <w:rsid w:val="005835AA"/>
    <w:rsid w:val="00583D01"/>
    <w:rsid w:val="005843A0"/>
    <w:rsid w:val="00584751"/>
    <w:rsid w:val="00584A4D"/>
    <w:rsid w:val="00584AFB"/>
    <w:rsid w:val="00584E6C"/>
    <w:rsid w:val="00584F52"/>
    <w:rsid w:val="0058513E"/>
    <w:rsid w:val="0058525D"/>
    <w:rsid w:val="005853AC"/>
    <w:rsid w:val="00585563"/>
    <w:rsid w:val="00585778"/>
    <w:rsid w:val="00586541"/>
    <w:rsid w:val="00586769"/>
    <w:rsid w:val="0058691D"/>
    <w:rsid w:val="00586DFD"/>
    <w:rsid w:val="00587013"/>
    <w:rsid w:val="005872DB"/>
    <w:rsid w:val="005875A8"/>
    <w:rsid w:val="00587846"/>
    <w:rsid w:val="005879C2"/>
    <w:rsid w:val="00587C4E"/>
    <w:rsid w:val="00587D57"/>
    <w:rsid w:val="005902E3"/>
    <w:rsid w:val="005902E9"/>
    <w:rsid w:val="0059050C"/>
    <w:rsid w:val="0059068C"/>
    <w:rsid w:val="00590A5E"/>
    <w:rsid w:val="00590C54"/>
    <w:rsid w:val="00590D33"/>
    <w:rsid w:val="00590FB4"/>
    <w:rsid w:val="0059141D"/>
    <w:rsid w:val="0059156B"/>
    <w:rsid w:val="005919F3"/>
    <w:rsid w:val="00591BF4"/>
    <w:rsid w:val="00591FDA"/>
    <w:rsid w:val="0059200B"/>
    <w:rsid w:val="0059209A"/>
    <w:rsid w:val="00592635"/>
    <w:rsid w:val="0059279D"/>
    <w:rsid w:val="005928CC"/>
    <w:rsid w:val="005928D3"/>
    <w:rsid w:val="005929A6"/>
    <w:rsid w:val="00592A17"/>
    <w:rsid w:val="00592C5C"/>
    <w:rsid w:val="00592C71"/>
    <w:rsid w:val="00592FA8"/>
    <w:rsid w:val="005931AA"/>
    <w:rsid w:val="005938C6"/>
    <w:rsid w:val="00593BF1"/>
    <w:rsid w:val="00593C05"/>
    <w:rsid w:val="00593EFD"/>
    <w:rsid w:val="00593F6F"/>
    <w:rsid w:val="00594537"/>
    <w:rsid w:val="005947EE"/>
    <w:rsid w:val="00594838"/>
    <w:rsid w:val="005948D4"/>
    <w:rsid w:val="0059563C"/>
    <w:rsid w:val="005956B4"/>
    <w:rsid w:val="00595ACB"/>
    <w:rsid w:val="00595C2D"/>
    <w:rsid w:val="00595E04"/>
    <w:rsid w:val="00595E65"/>
    <w:rsid w:val="00595F9D"/>
    <w:rsid w:val="0059607F"/>
    <w:rsid w:val="00596139"/>
    <w:rsid w:val="00596DC2"/>
    <w:rsid w:val="0059702C"/>
    <w:rsid w:val="0059751F"/>
    <w:rsid w:val="00597626"/>
    <w:rsid w:val="00597D66"/>
    <w:rsid w:val="005A0209"/>
    <w:rsid w:val="005A0264"/>
    <w:rsid w:val="005A0367"/>
    <w:rsid w:val="005A0B33"/>
    <w:rsid w:val="005A0B77"/>
    <w:rsid w:val="005A0DF0"/>
    <w:rsid w:val="005A1195"/>
    <w:rsid w:val="005A15CA"/>
    <w:rsid w:val="005A18A2"/>
    <w:rsid w:val="005A19CE"/>
    <w:rsid w:val="005A19E8"/>
    <w:rsid w:val="005A1B25"/>
    <w:rsid w:val="005A1DC6"/>
    <w:rsid w:val="005A1E2E"/>
    <w:rsid w:val="005A22E2"/>
    <w:rsid w:val="005A22F7"/>
    <w:rsid w:val="005A2504"/>
    <w:rsid w:val="005A27AA"/>
    <w:rsid w:val="005A2B8D"/>
    <w:rsid w:val="005A2C54"/>
    <w:rsid w:val="005A3081"/>
    <w:rsid w:val="005A31CB"/>
    <w:rsid w:val="005A3645"/>
    <w:rsid w:val="005A3A05"/>
    <w:rsid w:val="005A3AA3"/>
    <w:rsid w:val="005A3C5F"/>
    <w:rsid w:val="005A4100"/>
    <w:rsid w:val="005A4474"/>
    <w:rsid w:val="005A4516"/>
    <w:rsid w:val="005A4580"/>
    <w:rsid w:val="005A4DE2"/>
    <w:rsid w:val="005A4FF3"/>
    <w:rsid w:val="005A5257"/>
    <w:rsid w:val="005A53F1"/>
    <w:rsid w:val="005A544A"/>
    <w:rsid w:val="005A56DF"/>
    <w:rsid w:val="005A58FB"/>
    <w:rsid w:val="005A5B82"/>
    <w:rsid w:val="005A5FD2"/>
    <w:rsid w:val="005A6388"/>
    <w:rsid w:val="005A63E9"/>
    <w:rsid w:val="005A64A9"/>
    <w:rsid w:val="005A68FC"/>
    <w:rsid w:val="005A6934"/>
    <w:rsid w:val="005A69D4"/>
    <w:rsid w:val="005A6F7C"/>
    <w:rsid w:val="005A7247"/>
    <w:rsid w:val="005A7556"/>
    <w:rsid w:val="005A76E3"/>
    <w:rsid w:val="005A77FC"/>
    <w:rsid w:val="005A7D7A"/>
    <w:rsid w:val="005A7DC9"/>
    <w:rsid w:val="005A7DD3"/>
    <w:rsid w:val="005A7FA7"/>
    <w:rsid w:val="005B042F"/>
    <w:rsid w:val="005B0659"/>
    <w:rsid w:val="005B0660"/>
    <w:rsid w:val="005B0E66"/>
    <w:rsid w:val="005B0F12"/>
    <w:rsid w:val="005B14B7"/>
    <w:rsid w:val="005B1597"/>
    <w:rsid w:val="005B173A"/>
    <w:rsid w:val="005B191C"/>
    <w:rsid w:val="005B1D5F"/>
    <w:rsid w:val="005B20A2"/>
    <w:rsid w:val="005B2601"/>
    <w:rsid w:val="005B28B5"/>
    <w:rsid w:val="005B2965"/>
    <w:rsid w:val="005B29EA"/>
    <w:rsid w:val="005B2B65"/>
    <w:rsid w:val="005B2BCA"/>
    <w:rsid w:val="005B3134"/>
    <w:rsid w:val="005B35BF"/>
    <w:rsid w:val="005B38CE"/>
    <w:rsid w:val="005B3A4E"/>
    <w:rsid w:val="005B3ECA"/>
    <w:rsid w:val="005B4200"/>
    <w:rsid w:val="005B43DC"/>
    <w:rsid w:val="005B47E5"/>
    <w:rsid w:val="005B4907"/>
    <w:rsid w:val="005B49FE"/>
    <w:rsid w:val="005B4E1E"/>
    <w:rsid w:val="005B4E5E"/>
    <w:rsid w:val="005B5287"/>
    <w:rsid w:val="005B545A"/>
    <w:rsid w:val="005B576D"/>
    <w:rsid w:val="005B5CE0"/>
    <w:rsid w:val="005B5FC3"/>
    <w:rsid w:val="005B607E"/>
    <w:rsid w:val="005B60CC"/>
    <w:rsid w:val="005B6303"/>
    <w:rsid w:val="005B6472"/>
    <w:rsid w:val="005B6601"/>
    <w:rsid w:val="005B67C6"/>
    <w:rsid w:val="005B6983"/>
    <w:rsid w:val="005B6BE2"/>
    <w:rsid w:val="005B6CE5"/>
    <w:rsid w:val="005B72FA"/>
    <w:rsid w:val="005B768E"/>
    <w:rsid w:val="005B769B"/>
    <w:rsid w:val="005B7CE0"/>
    <w:rsid w:val="005B7D91"/>
    <w:rsid w:val="005B7ECB"/>
    <w:rsid w:val="005B7FF1"/>
    <w:rsid w:val="005C0180"/>
    <w:rsid w:val="005C0616"/>
    <w:rsid w:val="005C0B05"/>
    <w:rsid w:val="005C0B7E"/>
    <w:rsid w:val="005C0BA0"/>
    <w:rsid w:val="005C1494"/>
    <w:rsid w:val="005C16E5"/>
    <w:rsid w:val="005C1A99"/>
    <w:rsid w:val="005C1E92"/>
    <w:rsid w:val="005C209C"/>
    <w:rsid w:val="005C2368"/>
    <w:rsid w:val="005C2383"/>
    <w:rsid w:val="005C250A"/>
    <w:rsid w:val="005C2B9D"/>
    <w:rsid w:val="005C2BD1"/>
    <w:rsid w:val="005C2E8A"/>
    <w:rsid w:val="005C2FE6"/>
    <w:rsid w:val="005C3B4B"/>
    <w:rsid w:val="005C3FA4"/>
    <w:rsid w:val="005C4388"/>
    <w:rsid w:val="005C4B5E"/>
    <w:rsid w:val="005C4BE2"/>
    <w:rsid w:val="005C53A0"/>
    <w:rsid w:val="005C53C9"/>
    <w:rsid w:val="005C56B4"/>
    <w:rsid w:val="005C5788"/>
    <w:rsid w:val="005C5956"/>
    <w:rsid w:val="005C5C86"/>
    <w:rsid w:val="005C5E57"/>
    <w:rsid w:val="005C658E"/>
    <w:rsid w:val="005C6749"/>
    <w:rsid w:val="005C6881"/>
    <w:rsid w:val="005C68FE"/>
    <w:rsid w:val="005C6E04"/>
    <w:rsid w:val="005C6F4B"/>
    <w:rsid w:val="005C701E"/>
    <w:rsid w:val="005C7302"/>
    <w:rsid w:val="005C7B36"/>
    <w:rsid w:val="005C7F59"/>
    <w:rsid w:val="005D0593"/>
    <w:rsid w:val="005D0844"/>
    <w:rsid w:val="005D0BE0"/>
    <w:rsid w:val="005D1300"/>
    <w:rsid w:val="005D13E1"/>
    <w:rsid w:val="005D169F"/>
    <w:rsid w:val="005D17E9"/>
    <w:rsid w:val="005D19DA"/>
    <w:rsid w:val="005D1A90"/>
    <w:rsid w:val="005D1BC7"/>
    <w:rsid w:val="005D1BC8"/>
    <w:rsid w:val="005D1C15"/>
    <w:rsid w:val="005D1C54"/>
    <w:rsid w:val="005D1C70"/>
    <w:rsid w:val="005D1DCD"/>
    <w:rsid w:val="005D1F66"/>
    <w:rsid w:val="005D201E"/>
    <w:rsid w:val="005D217E"/>
    <w:rsid w:val="005D2352"/>
    <w:rsid w:val="005D25E2"/>
    <w:rsid w:val="005D29A1"/>
    <w:rsid w:val="005D2E47"/>
    <w:rsid w:val="005D31E2"/>
    <w:rsid w:val="005D36EF"/>
    <w:rsid w:val="005D380B"/>
    <w:rsid w:val="005D3A62"/>
    <w:rsid w:val="005D4392"/>
    <w:rsid w:val="005D44C4"/>
    <w:rsid w:val="005D4BEB"/>
    <w:rsid w:val="005D4BEF"/>
    <w:rsid w:val="005D4DDB"/>
    <w:rsid w:val="005D4E90"/>
    <w:rsid w:val="005D512A"/>
    <w:rsid w:val="005D5519"/>
    <w:rsid w:val="005D5584"/>
    <w:rsid w:val="005D56D7"/>
    <w:rsid w:val="005D5708"/>
    <w:rsid w:val="005D5971"/>
    <w:rsid w:val="005D597D"/>
    <w:rsid w:val="005D599C"/>
    <w:rsid w:val="005D59A6"/>
    <w:rsid w:val="005D59DE"/>
    <w:rsid w:val="005D5B91"/>
    <w:rsid w:val="005D5F12"/>
    <w:rsid w:val="005D647D"/>
    <w:rsid w:val="005D672F"/>
    <w:rsid w:val="005D6771"/>
    <w:rsid w:val="005D68FF"/>
    <w:rsid w:val="005D69E4"/>
    <w:rsid w:val="005D6BE7"/>
    <w:rsid w:val="005D6CDE"/>
    <w:rsid w:val="005D6E5D"/>
    <w:rsid w:val="005D6EC5"/>
    <w:rsid w:val="005D6EF4"/>
    <w:rsid w:val="005D6F14"/>
    <w:rsid w:val="005D7093"/>
    <w:rsid w:val="005D7123"/>
    <w:rsid w:val="005D727B"/>
    <w:rsid w:val="005D770A"/>
    <w:rsid w:val="005D7D94"/>
    <w:rsid w:val="005E01B7"/>
    <w:rsid w:val="005E0328"/>
    <w:rsid w:val="005E0407"/>
    <w:rsid w:val="005E0438"/>
    <w:rsid w:val="005E04C1"/>
    <w:rsid w:val="005E0526"/>
    <w:rsid w:val="005E089F"/>
    <w:rsid w:val="005E1130"/>
    <w:rsid w:val="005E123D"/>
    <w:rsid w:val="005E1542"/>
    <w:rsid w:val="005E1565"/>
    <w:rsid w:val="005E1666"/>
    <w:rsid w:val="005E18E5"/>
    <w:rsid w:val="005E1EF8"/>
    <w:rsid w:val="005E22C3"/>
    <w:rsid w:val="005E230A"/>
    <w:rsid w:val="005E23A1"/>
    <w:rsid w:val="005E2434"/>
    <w:rsid w:val="005E25C4"/>
    <w:rsid w:val="005E2626"/>
    <w:rsid w:val="005E2847"/>
    <w:rsid w:val="005E2B21"/>
    <w:rsid w:val="005E320C"/>
    <w:rsid w:val="005E3216"/>
    <w:rsid w:val="005E3690"/>
    <w:rsid w:val="005E37C3"/>
    <w:rsid w:val="005E37E2"/>
    <w:rsid w:val="005E3A01"/>
    <w:rsid w:val="005E3ABC"/>
    <w:rsid w:val="005E3B67"/>
    <w:rsid w:val="005E402F"/>
    <w:rsid w:val="005E40B0"/>
    <w:rsid w:val="005E4313"/>
    <w:rsid w:val="005E4A09"/>
    <w:rsid w:val="005E4B89"/>
    <w:rsid w:val="005E4C7D"/>
    <w:rsid w:val="005E4D11"/>
    <w:rsid w:val="005E5063"/>
    <w:rsid w:val="005E5267"/>
    <w:rsid w:val="005E5296"/>
    <w:rsid w:val="005E587C"/>
    <w:rsid w:val="005E5C7E"/>
    <w:rsid w:val="005E5D92"/>
    <w:rsid w:val="005E624D"/>
    <w:rsid w:val="005E6269"/>
    <w:rsid w:val="005E6539"/>
    <w:rsid w:val="005E69C9"/>
    <w:rsid w:val="005E722B"/>
    <w:rsid w:val="005E7330"/>
    <w:rsid w:val="005E7438"/>
    <w:rsid w:val="005E744C"/>
    <w:rsid w:val="005E7730"/>
    <w:rsid w:val="005E7A36"/>
    <w:rsid w:val="005E7C38"/>
    <w:rsid w:val="005E7EDE"/>
    <w:rsid w:val="005F0168"/>
    <w:rsid w:val="005F01E6"/>
    <w:rsid w:val="005F03FC"/>
    <w:rsid w:val="005F0896"/>
    <w:rsid w:val="005F0BEC"/>
    <w:rsid w:val="005F0E37"/>
    <w:rsid w:val="005F0F50"/>
    <w:rsid w:val="005F0FC0"/>
    <w:rsid w:val="005F0FC6"/>
    <w:rsid w:val="005F0FCD"/>
    <w:rsid w:val="005F105F"/>
    <w:rsid w:val="005F10FB"/>
    <w:rsid w:val="005F1319"/>
    <w:rsid w:val="005F184A"/>
    <w:rsid w:val="005F1948"/>
    <w:rsid w:val="005F1B7B"/>
    <w:rsid w:val="005F2093"/>
    <w:rsid w:val="005F23FB"/>
    <w:rsid w:val="005F24DB"/>
    <w:rsid w:val="005F2718"/>
    <w:rsid w:val="005F280A"/>
    <w:rsid w:val="005F2822"/>
    <w:rsid w:val="005F2823"/>
    <w:rsid w:val="005F29EC"/>
    <w:rsid w:val="005F30BD"/>
    <w:rsid w:val="005F3289"/>
    <w:rsid w:val="005F39CC"/>
    <w:rsid w:val="005F3BE1"/>
    <w:rsid w:val="005F41B8"/>
    <w:rsid w:val="005F44E0"/>
    <w:rsid w:val="005F4D48"/>
    <w:rsid w:val="005F4DCF"/>
    <w:rsid w:val="005F4E13"/>
    <w:rsid w:val="005F5238"/>
    <w:rsid w:val="005F526F"/>
    <w:rsid w:val="005F576B"/>
    <w:rsid w:val="005F5990"/>
    <w:rsid w:val="005F5CFB"/>
    <w:rsid w:val="005F6414"/>
    <w:rsid w:val="005F642A"/>
    <w:rsid w:val="005F64A0"/>
    <w:rsid w:val="005F6713"/>
    <w:rsid w:val="005F6787"/>
    <w:rsid w:val="005F6AC7"/>
    <w:rsid w:val="005F6B7B"/>
    <w:rsid w:val="005F6CE9"/>
    <w:rsid w:val="005F6EE0"/>
    <w:rsid w:val="005F70FF"/>
    <w:rsid w:val="005F74A9"/>
    <w:rsid w:val="005F7D2C"/>
    <w:rsid w:val="00600105"/>
    <w:rsid w:val="00600526"/>
    <w:rsid w:val="00600644"/>
    <w:rsid w:val="006008F4"/>
    <w:rsid w:val="00600A0A"/>
    <w:rsid w:val="00600CEA"/>
    <w:rsid w:val="00600DF8"/>
    <w:rsid w:val="00601341"/>
    <w:rsid w:val="006017C6"/>
    <w:rsid w:val="00601997"/>
    <w:rsid w:val="00601D49"/>
    <w:rsid w:val="0060210A"/>
    <w:rsid w:val="0060230C"/>
    <w:rsid w:val="00602682"/>
    <w:rsid w:val="0060286C"/>
    <w:rsid w:val="006030CC"/>
    <w:rsid w:val="0060338E"/>
    <w:rsid w:val="006034F7"/>
    <w:rsid w:val="006036E0"/>
    <w:rsid w:val="00603957"/>
    <w:rsid w:val="00603B4A"/>
    <w:rsid w:val="00603D14"/>
    <w:rsid w:val="006042C2"/>
    <w:rsid w:val="006048E3"/>
    <w:rsid w:val="00604A38"/>
    <w:rsid w:val="00604AA0"/>
    <w:rsid w:val="00604E62"/>
    <w:rsid w:val="00606078"/>
    <w:rsid w:val="006062D4"/>
    <w:rsid w:val="00606467"/>
    <w:rsid w:val="006068A4"/>
    <w:rsid w:val="006069AF"/>
    <w:rsid w:val="006069BE"/>
    <w:rsid w:val="00606E33"/>
    <w:rsid w:val="00606FDB"/>
    <w:rsid w:val="0060717E"/>
    <w:rsid w:val="00607289"/>
    <w:rsid w:val="006072F0"/>
    <w:rsid w:val="006074A8"/>
    <w:rsid w:val="006076CD"/>
    <w:rsid w:val="00607924"/>
    <w:rsid w:val="00607949"/>
    <w:rsid w:val="00607A87"/>
    <w:rsid w:val="00607C42"/>
    <w:rsid w:val="00607C91"/>
    <w:rsid w:val="00607D56"/>
    <w:rsid w:val="00607F26"/>
    <w:rsid w:val="00610173"/>
    <w:rsid w:val="00610626"/>
    <w:rsid w:val="0061073D"/>
    <w:rsid w:val="00611009"/>
    <w:rsid w:val="00611350"/>
    <w:rsid w:val="00611473"/>
    <w:rsid w:val="006114FB"/>
    <w:rsid w:val="00611673"/>
    <w:rsid w:val="006116D5"/>
    <w:rsid w:val="00611BAA"/>
    <w:rsid w:val="00611DD2"/>
    <w:rsid w:val="006120A4"/>
    <w:rsid w:val="0061233E"/>
    <w:rsid w:val="0061279D"/>
    <w:rsid w:val="0061280D"/>
    <w:rsid w:val="006128EE"/>
    <w:rsid w:val="00612C44"/>
    <w:rsid w:val="00612CDD"/>
    <w:rsid w:val="00612D8F"/>
    <w:rsid w:val="006135D8"/>
    <w:rsid w:val="006138CC"/>
    <w:rsid w:val="00613939"/>
    <w:rsid w:val="00613A54"/>
    <w:rsid w:val="00613F0B"/>
    <w:rsid w:val="00614C69"/>
    <w:rsid w:val="00614F38"/>
    <w:rsid w:val="00614F71"/>
    <w:rsid w:val="00614FE4"/>
    <w:rsid w:val="00615175"/>
    <w:rsid w:val="00615561"/>
    <w:rsid w:val="006157D4"/>
    <w:rsid w:val="00615B4E"/>
    <w:rsid w:val="00615C20"/>
    <w:rsid w:val="00615C7A"/>
    <w:rsid w:val="00615EF1"/>
    <w:rsid w:val="00616735"/>
    <w:rsid w:val="00616C7B"/>
    <w:rsid w:val="00616EA6"/>
    <w:rsid w:val="00616F42"/>
    <w:rsid w:val="00616FE5"/>
    <w:rsid w:val="0061720A"/>
    <w:rsid w:val="0061744A"/>
    <w:rsid w:val="006177A3"/>
    <w:rsid w:val="0061789C"/>
    <w:rsid w:val="00617C60"/>
    <w:rsid w:val="00617C7B"/>
    <w:rsid w:val="00617E5E"/>
    <w:rsid w:val="006206EA"/>
    <w:rsid w:val="006207FA"/>
    <w:rsid w:val="006211BD"/>
    <w:rsid w:val="006214F2"/>
    <w:rsid w:val="006217B9"/>
    <w:rsid w:val="006217BC"/>
    <w:rsid w:val="00621BC6"/>
    <w:rsid w:val="006225CF"/>
    <w:rsid w:val="006225FF"/>
    <w:rsid w:val="00622763"/>
    <w:rsid w:val="00622BFB"/>
    <w:rsid w:val="00622CF1"/>
    <w:rsid w:val="00622CFF"/>
    <w:rsid w:val="006232C5"/>
    <w:rsid w:val="0062343B"/>
    <w:rsid w:val="006235C8"/>
    <w:rsid w:val="006238B3"/>
    <w:rsid w:val="00623D54"/>
    <w:rsid w:val="00623DE5"/>
    <w:rsid w:val="00623E7E"/>
    <w:rsid w:val="006240C8"/>
    <w:rsid w:val="0062461E"/>
    <w:rsid w:val="00624905"/>
    <w:rsid w:val="00624C16"/>
    <w:rsid w:val="00624E3A"/>
    <w:rsid w:val="00624FEB"/>
    <w:rsid w:val="006251BE"/>
    <w:rsid w:val="0062521F"/>
    <w:rsid w:val="0062549E"/>
    <w:rsid w:val="006259BD"/>
    <w:rsid w:val="006259FD"/>
    <w:rsid w:val="00625E4B"/>
    <w:rsid w:val="00625E71"/>
    <w:rsid w:val="0062602A"/>
    <w:rsid w:val="0062640B"/>
    <w:rsid w:val="006269CD"/>
    <w:rsid w:val="00626F7B"/>
    <w:rsid w:val="00627096"/>
    <w:rsid w:val="006276A4"/>
    <w:rsid w:val="00627781"/>
    <w:rsid w:val="00627812"/>
    <w:rsid w:val="00627A2E"/>
    <w:rsid w:val="00627A66"/>
    <w:rsid w:val="00627B99"/>
    <w:rsid w:val="00630025"/>
    <w:rsid w:val="0063054D"/>
    <w:rsid w:val="00630725"/>
    <w:rsid w:val="006308D6"/>
    <w:rsid w:val="006308F5"/>
    <w:rsid w:val="00630994"/>
    <w:rsid w:val="00630D7F"/>
    <w:rsid w:val="00631018"/>
    <w:rsid w:val="0063105D"/>
    <w:rsid w:val="0063115A"/>
    <w:rsid w:val="0063136D"/>
    <w:rsid w:val="00631376"/>
    <w:rsid w:val="006317E5"/>
    <w:rsid w:val="0063185F"/>
    <w:rsid w:val="00631D9E"/>
    <w:rsid w:val="00631F3E"/>
    <w:rsid w:val="00631F79"/>
    <w:rsid w:val="006322C9"/>
    <w:rsid w:val="006322CC"/>
    <w:rsid w:val="00632531"/>
    <w:rsid w:val="0063276F"/>
    <w:rsid w:val="006328D1"/>
    <w:rsid w:val="006332C3"/>
    <w:rsid w:val="006332F6"/>
    <w:rsid w:val="00633408"/>
    <w:rsid w:val="006334FF"/>
    <w:rsid w:val="00633778"/>
    <w:rsid w:val="006338D3"/>
    <w:rsid w:val="00633912"/>
    <w:rsid w:val="00633B63"/>
    <w:rsid w:val="00633BB7"/>
    <w:rsid w:val="00633C6A"/>
    <w:rsid w:val="006340C6"/>
    <w:rsid w:val="006341C9"/>
    <w:rsid w:val="0063431D"/>
    <w:rsid w:val="00634353"/>
    <w:rsid w:val="006343CF"/>
    <w:rsid w:val="00634441"/>
    <w:rsid w:val="00634B9D"/>
    <w:rsid w:val="00634E33"/>
    <w:rsid w:val="006351B6"/>
    <w:rsid w:val="0063551D"/>
    <w:rsid w:val="006356A9"/>
    <w:rsid w:val="00635884"/>
    <w:rsid w:val="006358F3"/>
    <w:rsid w:val="00635A1B"/>
    <w:rsid w:val="00635B29"/>
    <w:rsid w:val="006368D0"/>
    <w:rsid w:val="00636A6A"/>
    <w:rsid w:val="00636BFF"/>
    <w:rsid w:val="00636C19"/>
    <w:rsid w:val="00636D1C"/>
    <w:rsid w:val="00636EB2"/>
    <w:rsid w:val="00637616"/>
    <w:rsid w:val="0063771B"/>
    <w:rsid w:val="00637979"/>
    <w:rsid w:val="00637989"/>
    <w:rsid w:val="00637B91"/>
    <w:rsid w:val="006400AD"/>
    <w:rsid w:val="006401B9"/>
    <w:rsid w:val="006407D4"/>
    <w:rsid w:val="006407FA"/>
    <w:rsid w:val="00640A4B"/>
    <w:rsid w:val="00641320"/>
    <w:rsid w:val="006415CA"/>
    <w:rsid w:val="00641692"/>
    <w:rsid w:val="00641FD8"/>
    <w:rsid w:val="00642420"/>
    <w:rsid w:val="00642479"/>
    <w:rsid w:val="006428E1"/>
    <w:rsid w:val="00642E83"/>
    <w:rsid w:val="00642F02"/>
    <w:rsid w:val="0064300B"/>
    <w:rsid w:val="00643134"/>
    <w:rsid w:val="00643159"/>
    <w:rsid w:val="0064319F"/>
    <w:rsid w:val="006431AF"/>
    <w:rsid w:val="006431FB"/>
    <w:rsid w:val="006433AD"/>
    <w:rsid w:val="006437BA"/>
    <w:rsid w:val="00643A31"/>
    <w:rsid w:val="00643B72"/>
    <w:rsid w:val="00643E26"/>
    <w:rsid w:val="006449AC"/>
    <w:rsid w:val="00644CE5"/>
    <w:rsid w:val="0064513F"/>
    <w:rsid w:val="006454BA"/>
    <w:rsid w:val="00645C9F"/>
    <w:rsid w:val="00645D4C"/>
    <w:rsid w:val="00645EBC"/>
    <w:rsid w:val="00645F7F"/>
    <w:rsid w:val="006461F0"/>
    <w:rsid w:val="006462D1"/>
    <w:rsid w:val="00646351"/>
    <w:rsid w:val="0064659A"/>
    <w:rsid w:val="006467C2"/>
    <w:rsid w:val="006467C3"/>
    <w:rsid w:val="00646BCC"/>
    <w:rsid w:val="00646C6F"/>
    <w:rsid w:val="00646D0B"/>
    <w:rsid w:val="00647127"/>
    <w:rsid w:val="00647288"/>
    <w:rsid w:val="0064765C"/>
    <w:rsid w:val="006478CE"/>
    <w:rsid w:val="006479AC"/>
    <w:rsid w:val="00647B5C"/>
    <w:rsid w:val="00647F23"/>
    <w:rsid w:val="0065039A"/>
    <w:rsid w:val="00650465"/>
    <w:rsid w:val="00650689"/>
    <w:rsid w:val="006509AB"/>
    <w:rsid w:val="00650A0F"/>
    <w:rsid w:val="006510BC"/>
    <w:rsid w:val="00651391"/>
    <w:rsid w:val="00651442"/>
    <w:rsid w:val="00651532"/>
    <w:rsid w:val="00651670"/>
    <w:rsid w:val="00651798"/>
    <w:rsid w:val="0065188D"/>
    <w:rsid w:val="00651895"/>
    <w:rsid w:val="00651B97"/>
    <w:rsid w:val="00651CA2"/>
    <w:rsid w:val="00652748"/>
    <w:rsid w:val="006527DB"/>
    <w:rsid w:val="00652CA3"/>
    <w:rsid w:val="00652D5C"/>
    <w:rsid w:val="00652DA4"/>
    <w:rsid w:val="006533CC"/>
    <w:rsid w:val="006538B8"/>
    <w:rsid w:val="00653972"/>
    <w:rsid w:val="00653C7F"/>
    <w:rsid w:val="0065421D"/>
    <w:rsid w:val="0065458A"/>
    <w:rsid w:val="006546BA"/>
    <w:rsid w:val="00654851"/>
    <w:rsid w:val="00654F56"/>
    <w:rsid w:val="00655416"/>
    <w:rsid w:val="0065541E"/>
    <w:rsid w:val="006554F5"/>
    <w:rsid w:val="0065558C"/>
    <w:rsid w:val="00655724"/>
    <w:rsid w:val="00655813"/>
    <w:rsid w:val="00655A4F"/>
    <w:rsid w:val="00655DC3"/>
    <w:rsid w:val="00656089"/>
    <w:rsid w:val="00656D6A"/>
    <w:rsid w:val="00656F00"/>
    <w:rsid w:val="00657094"/>
    <w:rsid w:val="0065725B"/>
    <w:rsid w:val="006573C9"/>
    <w:rsid w:val="00657456"/>
    <w:rsid w:val="00657573"/>
    <w:rsid w:val="0065773E"/>
    <w:rsid w:val="006579A6"/>
    <w:rsid w:val="006579BE"/>
    <w:rsid w:val="00657A14"/>
    <w:rsid w:val="00657A61"/>
    <w:rsid w:val="00657E94"/>
    <w:rsid w:val="0066048B"/>
    <w:rsid w:val="0066077A"/>
    <w:rsid w:val="00660893"/>
    <w:rsid w:val="00660A31"/>
    <w:rsid w:val="00660BCC"/>
    <w:rsid w:val="006612E4"/>
    <w:rsid w:val="006613CB"/>
    <w:rsid w:val="006617EE"/>
    <w:rsid w:val="0066186B"/>
    <w:rsid w:val="00661BFC"/>
    <w:rsid w:val="00661D4D"/>
    <w:rsid w:val="00661DF2"/>
    <w:rsid w:val="00661E49"/>
    <w:rsid w:val="00661F6F"/>
    <w:rsid w:val="00662220"/>
    <w:rsid w:val="006625BB"/>
    <w:rsid w:val="00662614"/>
    <w:rsid w:val="00662698"/>
    <w:rsid w:val="00662869"/>
    <w:rsid w:val="00662E18"/>
    <w:rsid w:val="0066335F"/>
    <w:rsid w:val="006636B7"/>
    <w:rsid w:val="0066375B"/>
    <w:rsid w:val="0066388A"/>
    <w:rsid w:val="00663AC5"/>
    <w:rsid w:val="00663DA2"/>
    <w:rsid w:val="00663F98"/>
    <w:rsid w:val="00664107"/>
    <w:rsid w:val="006641E5"/>
    <w:rsid w:val="0066482F"/>
    <w:rsid w:val="00664ECB"/>
    <w:rsid w:val="00664F72"/>
    <w:rsid w:val="006650FE"/>
    <w:rsid w:val="00665252"/>
    <w:rsid w:val="0066581B"/>
    <w:rsid w:val="00666223"/>
    <w:rsid w:val="0066628A"/>
    <w:rsid w:val="00666A1A"/>
    <w:rsid w:val="00666FDC"/>
    <w:rsid w:val="00667097"/>
    <w:rsid w:val="0066726C"/>
    <w:rsid w:val="006673A7"/>
    <w:rsid w:val="00667657"/>
    <w:rsid w:val="006676F4"/>
    <w:rsid w:val="00667820"/>
    <w:rsid w:val="00667D70"/>
    <w:rsid w:val="00667E41"/>
    <w:rsid w:val="00667EC8"/>
    <w:rsid w:val="00667F58"/>
    <w:rsid w:val="00670241"/>
    <w:rsid w:val="00670A2B"/>
    <w:rsid w:val="00670A99"/>
    <w:rsid w:val="00670ABC"/>
    <w:rsid w:val="00670B39"/>
    <w:rsid w:val="00670BE7"/>
    <w:rsid w:val="00671062"/>
    <w:rsid w:val="00671AE0"/>
    <w:rsid w:val="00671C80"/>
    <w:rsid w:val="00671E32"/>
    <w:rsid w:val="0067202F"/>
    <w:rsid w:val="00672225"/>
    <w:rsid w:val="0067240C"/>
    <w:rsid w:val="00672553"/>
    <w:rsid w:val="00672672"/>
    <w:rsid w:val="00672850"/>
    <w:rsid w:val="00672ECE"/>
    <w:rsid w:val="0067325E"/>
    <w:rsid w:val="00673284"/>
    <w:rsid w:val="006736FE"/>
    <w:rsid w:val="006737F2"/>
    <w:rsid w:val="00673A15"/>
    <w:rsid w:val="0067401D"/>
    <w:rsid w:val="00674073"/>
    <w:rsid w:val="006744EA"/>
    <w:rsid w:val="0067453F"/>
    <w:rsid w:val="006745A6"/>
    <w:rsid w:val="00674677"/>
    <w:rsid w:val="00674C93"/>
    <w:rsid w:val="00675B5A"/>
    <w:rsid w:val="00675C45"/>
    <w:rsid w:val="00675F26"/>
    <w:rsid w:val="006761F7"/>
    <w:rsid w:val="0067638F"/>
    <w:rsid w:val="00676551"/>
    <w:rsid w:val="0067685F"/>
    <w:rsid w:val="006775F4"/>
    <w:rsid w:val="00677641"/>
    <w:rsid w:val="006777DC"/>
    <w:rsid w:val="00677A89"/>
    <w:rsid w:val="00680302"/>
    <w:rsid w:val="00680488"/>
    <w:rsid w:val="006805B9"/>
    <w:rsid w:val="006807F5"/>
    <w:rsid w:val="00680B5D"/>
    <w:rsid w:val="00680B99"/>
    <w:rsid w:val="00680E1E"/>
    <w:rsid w:val="00681998"/>
    <w:rsid w:val="00681B55"/>
    <w:rsid w:val="00681CC1"/>
    <w:rsid w:val="006821C8"/>
    <w:rsid w:val="006823AA"/>
    <w:rsid w:val="00682541"/>
    <w:rsid w:val="00682F47"/>
    <w:rsid w:val="00683847"/>
    <w:rsid w:val="00683F10"/>
    <w:rsid w:val="00684191"/>
    <w:rsid w:val="006846EA"/>
    <w:rsid w:val="006846EF"/>
    <w:rsid w:val="00684C4B"/>
    <w:rsid w:val="00684CB0"/>
    <w:rsid w:val="0068502A"/>
    <w:rsid w:val="00685042"/>
    <w:rsid w:val="0068535A"/>
    <w:rsid w:val="00685507"/>
    <w:rsid w:val="00685675"/>
    <w:rsid w:val="00685753"/>
    <w:rsid w:val="00685B07"/>
    <w:rsid w:val="00685B12"/>
    <w:rsid w:val="00686076"/>
    <w:rsid w:val="0068615C"/>
    <w:rsid w:val="00686286"/>
    <w:rsid w:val="006865F4"/>
    <w:rsid w:val="006868D7"/>
    <w:rsid w:val="00686CD9"/>
    <w:rsid w:val="00686D3C"/>
    <w:rsid w:val="0068719F"/>
    <w:rsid w:val="006875F7"/>
    <w:rsid w:val="00687657"/>
    <w:rsid w:val="006878D5"/>
    <w:rsid w:val="00687969"/>
    <w:rsid w:val="00687BBB"/>
    <w:rsid w:val="00687C04"/>
    <w:rsid w:val="00690138"/>
    <w:rsid w:val="006903A4"/>
    <w:rsid w:val="00690898"/>
    <w:rsid w:val="00690AC6"/>
    <w:rsid w:val="006911CB"/>
    <w:rsid w:val="006912A0"/>
    <w:rsid w:val="006916E5"/>
    <w:rsid w:val="00691A0F"/>
    <w:rsid w:val="00691CFB"/>
    <w:rsid w:val="00691F3D"/>
    <w:rsid w:val="00691FD1"/>
    <w:rsid w:val="006922B6"/>
    <w:rsid w:val="006924FB"/>
    <w:rsid w:val="006928C1"/>
    <w:rsid w:val="00692A3D"/>
    <w:rsid w:val="00692CCF"/>
    <w:rsid w:val="00692F43"/>
    <w:rsid w:val="006932A8"/>
    <w:rsid w:val="00693323"/>
    <w:rsid w:val="00693820"/>
    <w:rsid w:val="00693A38"/>
    <w:rsid w:val="00693ABE"/>
    <w:rsid w:val="00693CB9"/>
    <w:rsid w:val="00693F59"/>
    <w:rsid w:val="006942D0"/>
    <w:rsid w:val="006942E0"/>
    <w:rsid w:val="00694434"/>
    <w:rsid w:val="006944A1"/>
    <w:rsid w:val="006944E3"/>
    <w:rsid w:val="006947A8"/>
    <w:rsid w:val="00694801"/>
    <w:rsid w:val="0069483C"/>
    <w:rsid w:val="00694BFC"/>
    <w:rsid w:val="00694D02"/>
    <w:rsid w:val="00694D33"/>
    <w:rsid w:val="00694F23"/>
    <w:rsid w:val="00695124"/>
    <w:rsid w:val="00695337"/>
    <w:rsid w:val="00695393"/>
    <w:rsid w:val="00695D7D"/>
    <w:rsid w:val="006965FC"/>
    <w:rsid w:val="0069660B"/>
    <w:rsid w:val="00696ACD"/>
    <w:rsid w:val="00696C43"/>
    <w:rsid w:val="00696F1E"/>
    <w:rsid w:val="00697143"/>
    <w:rsid w:val="00697219"/>
    <w:rsid w:val="006972BD"/>
    <w:rsid w:val="00697664"/>
    <w:rsid w:val="00697C1E"/>
    <w:rsid w:val="006A06A3"/>
    <w:rsid w:val="006A06AD"/>
    <w:rsid w:val="006A0997"/>
    <w:rsid w:val="006A0B28"/>
    <w:rsid w:val="006A0ECE"/>
    <w:rsid w:val="006A1053"/>
    <w:rsid w:val="006A10C4"/>
    <w:rsid w:val="006A117F"/>
    <w:rsid w:val="006A121E"/>
    <w:rsid w:val="006A1328"/>
    <w:rsid w:val="006A13BE"/>
    <w:rsid w:val="006A1B22"/>
    <w:rsid w:val="006A222C"/>
    <w:rsid w:val="006A2281"/>
    <w:rsid w:val="006A257A"/>
    <w:rsid w:val="006A283D"/>
    <w:rsid w:val="006A2A36"/>
    <w:rsid w:val="006A2B01"/>
    <w:rsid w:val="006A2B7B"/>
    <w:rsid w:val="006A2BA8"/>
    <w:rsid w:val="006A2BC6"/>
    <w:rsid w:val="006A2C88"/>
    <w:rsid w:val="006A2D03"/>
    <w:rsid w:val="006A318F"/>
    <w:rsid w:val="006A3243"/>
    <w:rsid w:val="006A329E"/>
    <w:rsid w:val="006A34DB"/>
    <w:rsid w:val="006A360F"/>
    <w:rsid w:val="006A3985"/>
    <w:rsid w:val="006A3A1F"/>
    <w:rsid w:val="006A3FE3"/>
    <w:rsid w:val="006A42DE"/>
    <w:rsid w:val="006A43CC"/>
    <w:rsid w:val="006A4986"/>
    <w:rsid w:val="006A4A16"/>
    <w:rsid w:val="006A4A49"/>
    <w:rsid w:val="006A4A72"/>
    <w:rsid w:val="006A5373"/>
    <w:rsid w:val="006A53AF"/>
    <w:rsid w:val="006A5832"/>
    <w:rsid w:val="006A5A1E"/>
    <w:rsid w:val="006A5AD2"/>
    <w:rsid w:val="006A5BD9"/>
    <w:rsid w:val="006A5CCF"/>
    <w:rsid w:val="006A5F3F"/>
    <w:rsid w:val="006A61A1"/>
    <w:rsid w:val="006A63D8"/>
    <w:rsid w:val="006A67CA"/>
    <w:rsid w:val="006A6D0A"/>
    <w:rsid w:val="006A70B8"/>
    <w:rsid w:val="006A70EA"/>
    <w:rsid w:val="006A7331"/>
    <w:rsid w:val="006A73F8"/>
    <w:rsid w:val="006A7423"/>
    <w:rsid w:val="006A7542"/>
    <w:rsid w:val="006A79E0"/>
    <w:rsid w:val="006B02C9"/>
    <w:rsid w:val="006B04DB"/>
    <w:rsid w:val="006B070D"/>
    <w:rsid w:val="006B08C9"/>
    <w:rsid w:val="006B08DA"/>
    <w:rsid w:val="006B09E5"/>
    <w:rsid w:val="006B0B1D"/>
    <w:rsid w:val="006B0B38"/>
    <w:rsid w:val="006B0B74"/>
    <w:rsid w:val="006B17B5"/>
    <w:rsid w:val="006B1915"/>
    <w:rsid w:val="006B1AE8"/>
    <w:rsid w:val="006B1B74"/>
    <w:rsid w:val="006B209E"/>
    <w:rsid w:val="006B214B"/>
    <w:rsid w:val="006B21FB"/>
    <w:rsid w:val="006B2270"/>
    <w:rsid w:val="006B22F9"/>
    <w:rsid w:val="006B26C1"/>
    <w:rsid w:val="006B26DE"/>
    <w:rsid w:val="006B3B6C"/>
    <w:rsid w:val="006B3B9D"/>
    <w:rsid w:val="006B4175"/>
    <w:rsid w:val="006B46AB"/>
    <w:rsid w:val="006B4842"/>
    <w:rsid w:val="006B48CB"/>
    <w:rsid w:val="006B4A90"/>
    <w:rsid w:val="006B4C23"/>
    <w:rsid w:val="006B56D1"/>
    <w:rsid w:val="006B58D7"/>
    <w:rsid w:val="006B5AF5"/>
    <w:rsid w:val="006B5C6E"/>
    <w:rsid w:val="006B5EA4"/>
    <w:rsid w:val="006B5EF0"/>
    <w:rsid w:val="006B62B7"/>
    <w:rsid w:val="006B631D"/>
    <w:rsid w:val="006B6A8A"/>
    <w:rsid w:val="006B6E47"/>
    <w:rsid w:val="006B6F8E"/>
    <w:rsid w:val="006B7542"/>
    <w:rsid w:val="006B777A"/>
    <w:rsid w:val="006B78B2"/>
    <w:rsid w:val="006B7935"/>
    <w:rsid w:val="006B7B16"/>
    <w:rsid w:val="006B7CA8"/>
    <w:rsid w:val="006B7DE5"/>
    <w:rsid w:val="006C0279"/>
    <w:rsid w:val="006C07C6"/>
    <w:rsid w:val="006C1219"/>
    <w:rsid w:val="006C16EF"/>
    <w:rsid w:val="006C192F"/>
    <w:rsid w:val="006C1DC7"/>
    <w:rsid w:val="006C201A"/>
    <w:rsid w:val="006C2838"/>
    <w:rsid w:val="006C2AB8"/>
    <w:rsid w:val="006C2AEE"/>
    <w:rsid w:val="006C2E33"/>
    <w:rsid w:val="006C3542"/>
    <w:rsid w:val="006C3B7D"/>
    <w:rsid w:val="006C3EA0"/>
    <w:rsid w:val="006C3F79"/>
    <w:rsid w:val="006C4050"/>
    <w:rsid w:val="006C40A4"/>
    <w:rsid w:val="006C40B9"/>
    <w:rsid w:val="006C460E"/>
    <w:rsid w:val="006C4925"/>
    <w:rsid w:val="006C4C02"/>
    <w:rsid w:val="006C4E3A"/>
    <w:rsid w:val="006C50AA"/>
    <w:rsid w:val="006C524B"/>
    <w:rsid w:val="006C540B"/>
    <w:rsid w:val="006C5446"/>
    <w:rsid w:val="006C590B"/>
    <w:rsid w:val="006C5E08"/>
    <w:rsid w:val="006C67F6"/>
    <w:rsid w:val="006C68B8"/>
    <w:rsid w:val="006C6A1C"/>
    <w:rsid w:val="006C6B42"/>
    <w:rsid w:val="006C6DA4"/>
    <w:rsid w:val="006C70AA"/>
    <w:rsid w:val="006C72B6"/>
    <w:rsid w:val="006C7762"/>
    <w:rsid w:val="006C7991"/>
    <w:rsid w:val="006C7A6C"/>
    <w:rsid w:val="006C7DFF"/>
    <w:rsid w:val="006C7F55"/>
    <w:rsid w:val="006C7FCA"/>
    <w:rsid w:val="006D011A"/>
    <w:rsid w:val="006D0600"/>
    <w:rsid w:val="006D096C"/>
    <w:rsid w:val="006D0DA9"/>
    <w:rsid w:val="006D120E"/>
    <w:rsid w:val="006D137A"/>
    <w:rsid w:val="006D152D"/>
    <w:rsid w:val="006D1AE9"/>
    <w:rsid w:val="006D1BCF"/>
    <w:rsid w:val="006D1D01"/>
    <w:rsid w:val="006D1EA9"/>
    <w:rsid w:val="006D1F3A"/>
    <w:rsid w:val="006D240E"/>
    <w:rsid w:val="006D244F"/>
    <w:rsid w:val="006D25D1"/>
    <w:rsid w:val="006D2743"/>
    <w:rsid w:val="006D2F10"/>
    <w:rsid w:val="006D3062"/>
    <w:rsid w:val="006D3423"/>
    <w:rsid w:val="006D36D0"/>
    <w:rsid w:val="006D4AFB"/>
    <w:rsid w:val="006D4D6B"/>
    <w:rsid w:val="006D4E4E"/>
    <w:rsid w:val="006D51E7"/>
    <w:rsid w:val="006D54D6"/>
    <w:rsid w:val="006D5695"/>
    <w:rsid w:val="006D570C"/>
    <w:rsid w:val="006D57AD"/>
    <w:rsid w:val="006D5ADB"/>
    <w:rsid w:val="006D5F75"/>
    <w:rsid w:val="006D5FED"/>
    <w:rsid w:val="006D62F1"/>
    <w:rsid w:val="006D665F"/>
    <w:rsid w:val="006D6AD6"/>
    <w:rsid w:val="006D6F1F"/>
    <w:rsid w:val="006D707D"/>
    <w:rsid w:val="006D70BB"/>
    <w:rsid w:val="006D7381"/>
    <w:rsid w:val="006D7466"/>
    <w:rsid w:val="006D763D"/>
    <w:rsid w:val="006D7E36"/>
    <w:rsid w:val="006D7FD4"/>
    <w:rsid w:val="006E001F"/>
    <w:rsid w:val="006E00F8"/>
    <w:rsid w:val="006E0237"/>
    <w:rsid w:val="006E058E"/>
    <w:rsid w:val="006E0911"/>
    <w:rsid w:val="006E0985"/>
    <w:rsid w:val="006E098A"/>
    <w:rsid w:val="006E09C5"/>
    <w:rsid w:val="006E0C8B"/>
    <w:rsid w:val="006E0DB0"/>
    <w:rsid w:val="006E0E5E"/>
    <w:rsid w:val="006E12BA"/>
    <w:rsid w:val="006E1A54"/>
    <w:rsid w:val="006E1D9A"/>
    <w:rsid w:val="006E217B"/>
    <w:rsid w:val="006E25BE"/>
    <w:rsid w:val="006E2660"/>
    <w:rsid w:val="006E2947"/>
    <w:rsid w:val="006E2D84"/>
    <w:rsid w:val="006E2E60"/>
    <w:rsid w:val="006E3691"/>
    <w:rsid w:val="006E36B8"/>
    <w:rsid w:val="006E3D79"/>
    <w:rsid w:val="006E3DC5"/>
    <w:rsid w:val="006E3F9A"/>
    <w:rsid w:val="006E4517"/>
    <w:rsid w:val="006E4BF1"/>
    <w:rsid w:val="006E4DCC"/>
    <w:rsid w:val="006E55F2"/>
    <w:rsid w:val="006E58FD"/>
    <w:rsid w:val="006E5F43"/>
    <w:rsid w:val="006E699E"/>
    <w:rsid w:val="006E6CD9"/>
    <w:rsid w:val="006E6EA0"/>
    <w:rsid w:val="006E7378"/>
    <w:rsid w:val="006E7529"/>
    <w:rsid w:val="006E7E4C"/>
    <w:rsid w:val="006E7F2F"/>
    <w:rsid w:val="006F013F"/>
    <w:rsid w:val="006F0459"/>
    <w:rsid w:val="006F06E2"/>
    <w:rsid w:val="006F07F4"/>
    <w:rsid w:val="006F07FE"/>
    <w:rsid w:val="006F084B"/>
    <w:rsid w:val="006F0FE1"/>
    <w:rsid w:val="006F14DB"/>
    <w:rsid w:val="006F162F"/>
    <w:rsid w:val="006F17B1"/>
    <w:rsid w:val="006F2028"/>
    <w:rsid w:val="006F20A6"/>
    <w:rsid w:val="006F26BF"/>
    <w:rsid w:val="006F26EC"/>
    <w:rsid w:val="006F2C44"/>
    <w:rsid w:val="006F2E19"/>
    <w:rsid w:val="006F35B7"/>
    <w:rsid w:val="006F386A"/>
    <w:rsid w:val="006F3B03"/>
    <w:rsid w:val="006F3B45"/>
    <w:rsid w:val="006F3BE4"/>
    <w:rsid w:val="006F3C39"/>
    <w:rsid w:val="006F3C70"/>
    <w:rsid w:val="006F4210"/>
    <w:rsid w:val="006F44D0"/>
    <w:rsid w:val="006F45C3"/>
    <w:rsid w:val="006F463F"/>
    <w:rsid w:val="006F4795"/>
    <w:rsid w:val="006F4F37"/>
    <w:rsid w:val="006F526C"/>
    <w:rsid w:val="006F556D"/>
    <w:rsid w:val="006F5684"/>
    <w:rsid w:val="006F5827"/>
    <w:rsid w:val="006F58B6"/>
    <w:rsid w:val="006F5947"/>
    <w:rsid w:val="006F5AB6"/>
    <w:rsid w:val="006F5CB4"/>
    <w:rsid w:val="006F5CC9"/>
    <w:rsid w:val="006F5F59"/>
    <w:rsid w:val="006F5FED"/>
    <w:rsid w:val="006F69B0"/>
    <w:rsid w:val="006F6A7E"/>
    <w:rsid w:val="006F6B0F"/>
    <w:rsid w:val="006F6B91"/>
    <w:rsid w:val="006F6BDE"/>
    <w:rsid w:val="006F6EEA"/>
    <w:rsid w:val="006F73C6"/>
    <w:rsid w:val="006F7484"/>
    <w:rsid w:val="006F74AA"/>
    <w:rsid w:val="006F7759"/>
    <w:rsid w:val="006F77DA"/>
    <w:rsid w:val="006F7AF3"/>
    <w:rsid w:val="006F7B70"/>
    <w:rsid w:val="006F7C59"/>
    <w:rsid w:val="007005FD"/>
    <w:rsid w:val="00700AF2"/>
    <w:rsid w:val="00700C5C"/>
    <w:rsid w:val="00700D19"/>
    <w:rsid w:val="007010B2"/>
    <w:rsid w:val="0070114B"/>
    <w:rsid w:val="00701269"/>
    <w:rsid w:val="00701407"/>
    <w:rsid w:val="00701571"/>
    <w:rsid w:val="00701767"/>
    <w:rsid w:val="007017ED"/>
    <w:rsid w:val="00701AEE"/>
    <w:rsid w:val="00701C94"/>
    <w:rsid w:val="00701F31"/>
    <w:rsid w:val="007020B4"/>
    <w:rsid w:val="0070290A"/>
    <w:rsid w:val="007029E1"/>
    <w:rsid w:val="00702AF2"/>
    <w:rsid w:val="00702EEC"/>
    <w:rsid w:val="007033B6"/>
    <w:rsid w:val="0070341A"/>
    <w:rsid w:val="007039D4"/>
    <w:rsid w:val="00703BE9"/>
    <w:rsid w:val="00704120"/>
    <w:rsid w:val="00704339"/>
    <w:rsid w:val="007047E4"/>
    <w:rsid w:val="00704A86"/>
    <w:rsid w:val="00704F13"/>
    <w:rsid w:val="007052FE"/>
    <w:rsid w:val="007058CC"/>
    <w:rsid w:val="00705A29"/>
    <w:rsid w:val="00705A70"/>
    <w:rsid w:val="007060F6"/>
    <w:rsid w:val="00706113"/>
    <w:rsid w:val="007061A0"/>
    <w:rsid w:val="007061CE"/>
    <w:rsid w:val="00706795"/>
    <w:rsid w:val="00706DBD"/>
    <w:rsid w:val="00706FAA"/>
    <w:rsid w:val="00707074"/>
    <w:rsid w:val="007070BD"/>
    <w:rsid w:val="00707241"/>
    <w:rsid w:val="007072D9"/>
    <w:rsid w:val="0070763E"/>
    <w:rsid w:val="0070796A"/>
    <w:rsid w:val="007079DA"/>
    <w:rsid w:val="00707ABE"/>
    <w:rsid w:val="00707AE1"/>
    <w:rsid w:val="00707B1F"/>
    <w:rsid w:val="00707EA3"/>
    <w:rsid w:val="007100ED"/>
    <w:rsid w:val="00710110"/>
    <w:rsid w:val="00710250"/>
    <w:rsid w:val="007102FE"/>
    <w:rsid w:val="007109A0"/>
    <w:rsid w:val="00710C22"/>
    <w:rsid w:val="00710C27"/>
    <w:rsid w:val="00710C5C"/>
    <w:rsid w:val="0071173D"/>
    <w:rsid w:val="007119ED"/>
    <w:rsid w:val="0071202C"/>
    <w:rsid w:val="0071216B"/>
    <w:rsid w:val="007123C0"/>
    <w:rsid w:val="007127CA"/>
    <w:rsid w:val="0071295C"/>
    <w:rsid w:val="00712DDF"/>
    <w:rsid w:val="0071305D"/>
    <w:rsid w:val="007133F0"/>
    <w:rsid w:val="00713593"/>
    <w:rsid w:val="007136C1"/>
    <w:rsid w:val="007139CC"/>
    <w:rsid w:val="00713CC4"/>
    <w:rsid w:val="007143BB"/>
    <w:rsid w:val="00714470"/>
    <w:rsid w:val="00714477"/>
    <w:rsid w:val="007145E8"/>
    <w:rsid w:val="0071464E"/>
    <w:rsid w:val="00714AE0"/>
    <w:rsid w:val="00714DB3"/>
    <w:rsid w:val="00714ECE"/>
    <w:rsid w:val="007152EE"/>
    <w:rsid w:val="00715307"/>
    <w:rsid w:val="0071557D"/>
    <w:rsid w:val="0071562E"/>
    <w:rsid w:val="0071585B"/>
    <w:rsid w:val="007159C9"/>
    <w:rsid w:val="007159E6"/>
    <w:rsid w:val="007159F5"/>
    <w:rsid w:val="00715D84"/>
    <w:rsid w:val="00716485"/>
    <w:rsid w:val="00716527"/>
    <w:rsid w:val="0071669E"/>
    <w:rsid w:val="007169A7"/>
    <w:rsid w:val="00716CC5"/>
    <w:rsid w:val="00716DB5"/>
    <w:rsid w:val="00717281"/>
    <w:rsid w:val="00717390"/>
    <w:rsid w:val="0071774D"/>
    <w:rsid w:val="007177B7"/>
    <w:rsid w:val="00717937"/>
    <w:rsid w:val="00717994"/>
    <w:rsid w:val="00717BC7"/>
    <w:rsid w:val="00717BED"/>
    <w:rsid w:val="00720027"/>
    <w:rsid w:val="00720165"/>
    <w:rsid w:val="00720193"/>
    <w:rsid w:val="00720248"/>
    <w:rsid w:val="00720625"/>
    <w:rsid w:val="0072066C"/>
    <w:rsid w:val="007206A9"/>
    <w:rsid w:val="0072073D"/>
    <w:rsid w:val="0072088A"/>
    <w:rsid w:val="007208FD"/>
    <w:rsid w:val="00720C99"/>
    <w:rsid w:val="00720F1B"/>
    <w:rsid w:val="00720FCC"/>
    <w:rsid w:val="007214B9"/>
    <w:rsid w:val="00721A8F"/>
    <w:rsid w:val="00721D87"/>
    <w:rsid w:val="00721E9C"/>
    <w:rsid w:val="00722009"/>
    <w:rsid w:val="007225D0"/>
    <w:rsid w:val="00722693"/>
    <w:rsid w:val="00722748"/>
    <w:rsid w:val="007228E7"/>
    <w:rsid w:val="00722B8D"/>
    <w:rsid w:val="00722BF5"/>
    <w:rsid w:val="00722C88"/>
    <w:rsid w:val="00722E66"/>
    <w:rsid w:val="00722E80"/>
    <w:rsid w:val="007234AF"/>
    <w:rsid w:val="0072377F"/>
    <w:rsid w:val="0072387E"/>
    <w:rsid w:val="00723D96"/>
    <w:rsid w:val="007242D2"/>
    <w:rsid w:val="0072440F"/>
    <w:rsid w:val="00724BA5"/>
    <w:rsid w:val="00724BFA"/>
    <w:rsid w:val="00724C6B"/>
    <w:rsid w:val="00724F92"/>
    <w:rsid w:val="0072550A"/>
    <w:rsid w:val="00725576"/>
    <w:rsid w:val="00725606"/>
    <w:rsid w:val="00725853"/>
    <w:rsid w:val="00725984"/>
    <w:rsid w:val="00725B84"/>
    <w:rsid w:val="00725B8B"/>
    <w:rsid w:val="00725DF6"/>
    <w:rsid w:val="00725DF8"/>
    <w:rsid w:val="007260A6"/>
    <w:rsid w:val="007260E2"/>
    <w:rsid w:val="00726244"/>
    <w:rsid w:val="00726FC6"/>
    <w:rsid w:val="00727097"/>
    <w:rsid w:val="007274C9"/>
    <w:rsid w:val="00727668"/>
    <w:rsid w:val="00727782"/>
    <w:rsid w:val="007277E1"/>
    <w:rsid w:val="00727D13"/>
    <w:rsid w:val="00727E66"/>
    <w:rsid w:val="007300BB"/>
    <w:rsid w:val="0073017D"/>
    <w:rsid w:val="007303A9"/>
    <w:rsid w:val="007303BE"/>
    <w:rsid w:val="00730859"/>
    <w:rsid w:val="007308CE"/>
    <w:rsid w:val="0073111A"/>
    <w:rsid w:val="00731181"/>
    <w:rsid w:val="0073145B"/>
    <w:rsid w:val="00731526"/>
    <w:rsid w:val="007316F6"/>
    <w:rsid w:val="0073184E"/>
    <w:rsid w:val="00731BE4"/>
    <w:rsid w:val="007323C1"/>
    <w:rsid w:val="0073251F"/>
    <w:rsid w:val="00732736"/>
    <w:rsid w:val="00732788"/>
    <w:rsid w:val="00732D51"/>
    <w:rsid w:val="00732D82"/>
    <w:rsid w:val="00732E2C"/>
    <w:rsid w:val="00732FE2"/>
    <w:rsid w:val="0073326A"/>
    <w:rsid w:val="00733699"/>
    <w:rsid w:val="00733837"/>
    <w:rsid w:val="00733B29"/>
    <w:rsid w:val="00733C40"/>
    <w:rsid w:val="00733CAB"/>
    <w:rsid w:val="00733D2F"/>
    <w:rsid w:val="00733DA2"/>
    <w:rsid w:val="00733DDC"/>
    <w:rsid w:val="00733E6F"/>
    <w:rsid w:val="00733FE2"/>
    <w:rsid w:val="00734238"/>
    <w:rsid w:val="00734338"/>
    <w:rsid w:val="0073446E"/>
    <w:rsid w:val="0073448B"/>
    <w:rsid w:val="00734B1C"/>
    <w:rsid w:val="00734BB7"/>
    <w:rsid w:val="0073508D"/>
    <w:rsid w:val="0073540E"/>
    <w:rsid w:val="00735461"/>
    <w:rsid w:val="007355B6"/>
    <w:rsid w:val="00735956"/>
    <w:rsid w:val="00735A15"/>
    <w:rsid w:val="00735BA7"/>
    <w:rsid w:val="00735CAB"/>
    <w:rsid w:val="00735FBE"/>
    <w:rsid w:val="0073616B"/>
    <w:rsid w:val="0073622E"/>
    <w:rsid w:val="00736690"/>
    <w:rsid w:val="00736A8A"/>
    <w:rsid w:val="00736C33"/>
    <w:rsid w:val="00736E84"/>
    <w:rsid w:val="00736FF5"/>
    <w:rsid w:val="007373C0"/>
    <w:rsid w:val="00737431"/>
    <w:rsid w:val="007375BC"/>
    <w:rsid w:val="00737616"/>
    <w:rsid w:val="007376E5"/>
    <w:rsid w:val="00737752"/>
    <w:rsid w:val="00737860"/>
    <w:rsid w:val="007378BF"/>
    <w:rsid w:val="00737CA2"/>
    <w:rsid w:val="00737E08"/>
    <w:rsid w:val="00737ED4"/>
    <w:rsid w:val="00740617"/>
    <w:rsid w:val="00740884"/>
    <w:rsid w:val="00740EF3"/>
    <w:rsid w:val="007416DF"/>
    <w:rsid w:val="00741777"/>
    <w:rsid w:val="0074183F"/>
    <w:rsid w:val="00741CCF"/>
    <w:rsid w:val="00742221"/>
    <w:rsid w:val="007426A8"/>
    <w:rsid w:val="0074297C"/>
    <w:rsid w:val="007429F6"/>
    <w:rsid w:val="00742D50"/>
    <w:rsid w:val="00742DC5"/>
    <w:rsid w:val="00743106"/>
    <w:rsid w:val="007432CF"/>
    <w:rsid w:val="00743597"/>
    <w:rsid w:val="00743928"/>
    <w:rsid w:val="00743D13"/>
    <w:rsid w:val="00743D96"/>
    <w:rsid w:val="00743D97"/>
    <w:rsid w:val="00744307"/>
    <w:rsid w:val="00744440"/>
    <w:rsid w:val="0074452A"/>
    <w:rsid w:val="00744565"/>
    <w:rsid w:val="00744725"/>
    <w:rsid w:val="00744866"/>
    <w:rsid w:val="00744F2E"/>
    <w:rsid w:val="00744F35"/>
    <w:rsid w:val="0074521E"/>
    <w:rsid w:val="007453B9"/>
    <w:rsid w:val="007454B9"/>
    <w:rsid w:val="00745A8C"/>
    <w:rsid w:val="00746080"/>
    <w:rsid w:val="0074640F"/>
    <w:rsid w:val="007466AE"/>
    <w:rsid w:val="00746BC1"/>
    <w:rsid w:val="00746EEF"/>
    <w:rsid w:val="007479A1"/>
    <w:rsid w:val="007479E6"/>
    <w:rsid w:val="00747ABD"/>
    <w:rsid w:val="00750359"/>
    <w:rsid w:val="0075041D"/>
    <w:rsid w:val="0075051A"/>
    <w:rsid w:val="0075055D"/>
    <w:rsid w:val="007506DF"/>
    <w:rsid w:val="007508C0"/>
    <w:rsid w:val="007508DE"/>
    <w:rsid w:val="00750945"/>
    <w:rsid w:val="00750FB8"/>
    <w:rsid w:val="007510FB"/>
    <w:rsid w:val="00751116"/>
    <w:rsid w:val="007511E7"/>
    <w:rsid w:val="007515A5"/>
    <w:rsid w:val="00751D27"/>
    <w:rsid w:val="00751F00"/>
    <w:rsid w:val="00752048"/>
    <w:rsid w:val="00752137"/>
    <w:rsid w:val="00752190"/>
    <w:rsid w:val="00752697"/>
    <w:rsid w:val="007527CC"/>
    <w:rsid w:val="00752CE3"/>
    <w:rsid w:val="00752DE1"/>
    <w:rsid w:val="00752E05"/>
    <w:rsid w:val="0075312A"/>
    <w:rsid w:val="00753299"/>
    <w:rsid w:val="007534C8"/>
    <w:rsid w:val="007535B4"/>
    <w:rsid w:val="00753A73"/>
    <w:rsid w:val="00753B1F"/>
    <w:rsid w:val="00753F86"/>
    <w:rsid w:val="0075402F"/>
    <w:rsid w:val="0075416D"/>
    <w:rsid w:val="007541B4"/>
    <w:rsid w:val="00754A94"/>
    <w:rsid w:val="00754D6A"/>
    <w:rsid w:val="0075510D"/>
    <w:rsid w:val="007551E3"/>
    <w:rsid w:val="007553A7"/>
    <w:rsid w:val="007553EE"/>
    <w:rsid w:val="007557E8"/>
    <w:rsid w:val="00755AAC"/>
    <w:rsid w:val="00755DA7"/>
    <w:rsid w:val="0075601C"/>
    <w:rsid w:val="00756190"/>
    <w:rsid w:val="00756895"/>
    <w:rsid w:val="00756CED"/>
    <w:rsid w:val="00756E6E"/>
    <w:rsid w:val="0075719C"/>
    <w:rsid w:val="00757787"/>
    <w:rsid w:val="00757A17"/>
    <w:rsid w:val="00757BD1"/>
    <w:rsid w:val="007605F5"/>
    <w:rsid w:val="0076082E"/>
    <w:rsid w:val="00760959"/>
    <w:rsid w:val="00760B3D"/>
    <w:rsid w:val="00760BCF"/>
    <w:rsid w:val="00760E63"/>
    <w:rsid w:val="00760F4F"/>
    <w:rsid w:val="0076130A"/>
    <w:rsid w:val="007615EA"/>
    <w:rsid w:val="00761833"/>
    <w:rsid w:val="00761956"/>
    <w:rsid w:val="007619DD"/>
    <w:rsid w:val="00761F69"/>
    <w:rsid w:val="007621E7"/>
    <w:rsid w:val="0076231F"/>
    <w:rsid w:val="007623A8"/>
    <w:rsid w:val="007623B5"/>
    <w:rsid w:val="00762627"/>
    <w:rsid w:val="00762A5C"/>
    <w:rsid w:val="00762A66"/>
    <w:rsid w:val="00762CC6"/>
    <w:rsid w:val="00762D0B"/>
    <w:rsid w:val="00762D6E"/>
    <w:rsid w:val="00762F2A"/>
    <w:rsid w:val="00762FDD"/>
    <w:rsid w:val="00763172"/>
    <w:rsid w:val="0076335C"/>
    <w:rsid w:val="007633E6"/>
    <w:rsid w:val="00763484"/>
    <w:rsid w:val="007638B2"/>
    <w:rsid w:val="00763F3C"/>
    <w:rsid w:val="00764125"/>
    <w:rsid w:val="00764360"/>
    <w:rsid w:val="007644B1"/>
    <w:rsid w:val="00764778"/>
    <w:rsid w:val="00764B5B"/>
    <w:rsid w:val="0076531D"/>
    <w:rsid w:val="00765457"/>
    <w:rsid w:val="00765470"/>
    <w:rsid w:val="007654BA"/>
    <w:rsid w:val="007655A0"/>
    <w:rsid w:val="007655FE"/>
    <w:rsid w:val="00765858"/>
    <w:rsid w:val="00765D94"/>
    <w:rsid w:val="007662E5"/>
    <w:rsid w:val="007664D6"/>
    <w:rsid w:val="00766517"/>
    <w:rsid w:val="007667EE"/>
    <w:rsid w:val="00766AE2"/>
    <w:rsid w:val="00766B37"/>
    <w:rsid w:val="00766EC1"/>
    <w:rsid w:val="007671CC"/>
    <w:rsid w:val="007672D9"/>
    <w:rsid w:val="0076730C"/>
    <w:rsid w:val="00767355"/>
    <w:rsid w:val="00767848"/>
    <w:rsid w:val="0076799F"/>
    <w:rsid w:val="00767B3C"/>
    <w:rsid w:val="00767C1F"/>
    <w:rsid w:val="00767F1B"/>
    <w:rsid w:val="0077013F"/>
    <w:rsid w:val="00770354"/>
    <w:rsid w:val="0077061B"/>
    <w:rsid w:val="0077075D"/>
    <w:rsid w:val="007708EB"/>
    <w:rsid w:val="0077115E"/>
    <w:rsid w:val="007711F1"/>
    <w:rsid w:val="0077155D"/>
    <w:rsid w:val="00771F9B"/>
    <w:rsid w:val="00772169"/>
    <w:rsid w:val="0077227B"/>
    <w:rsid w:val="00772316"/>
    <w:rsid w:val="007724F8"/>
    <w:rsid w:val="00772816"/>
    <w:rsid w:val="00772946"/>
    <w:rsid w:val="007731B6"/>
    <w:rsid w:val="0077340D"/>
    <w:rsid w:val="0077361D"/>
    <w:rsid w:val="00773771"/>
    <w:rsid w:val="007738D2"/>
    <w:rsid w:val="00773955"/>
    <w:rsid w:val="00773977"/>
    <w:rsid w:val="0077397D"/>
    <w:rsid w:val="00773A00"/>
    <w:rsid w:val="00773BAA"/>
    <w:rsid w:val="00773F81"/>
    <w:rsid w:val="007742F8"/>
    <w:rsid w:val="00774539"/>
    <w:rsid w:val="00774820"/>
    <w:rsid w:val="00774CF9"/>
    <w:rsid w:val="00774EE9"/>
    <w:rsid w:val="00774F65"/>
    <w:rsid w:val="00775006"/>
    <w:rsid w:val="0077505F"/>
    <w:rsid w:val="00775246"/>
    <w:rsid w:val="0077580D"/>
    <w:rsid w:val="00775ACF"/>
    <w:rsid w:val="00775F13"/>
    <w:rsid w:val="0077607F"/>
    <w:rsid w:val="007760D5"/>
    <w:rsid w:val="00776ABB"/>
    <w:rsid w:val="00776BD3"/>
    <w:rsid w:val="00776D53"/>
    <w:rsid w:val="00776DDD"/>
    <w:rsid w:val="007773EA"/>
    <w:rsid w:val="00777A92"/>
    <w:rsid w:val="00777C8D"/>
    <w:rsid w:val="00777D6A"/>
    <w:rsid w:val="00777DCA"/>
    <w:rsid w:val="0078013C"/>
    <w:rsid w:val="007803C7"/>
    <w:rsid w:val="007805DC"/>
    <w:rsid w:val="007806AC"/>
    <w:rsid w:val="0078087E"/>
    <w:rsid w:val="00780E3A"/>
    <w:rsid w:val="00780F4B"/>
    <w:rsid w:val="00781A80"/>
    <w:rsid w:val="00781BA7"/>
    <w:rsid w:val="00781BDB"/>
    <w:rsid w:val="00781C44"/>
    <w:rsid w:val="00782446"/>
    <w:rsid w:val="007824C5"/>
    <w:rsid w:val="0078295B"/>
    <w:rsid w:val="00782A65"/>
    <w:rsid w:val="00782DD6"/>
    <w:rsid w:val="00783017"/>
    <w:rsid w:val="00783317"/>
    <w:rsid w:val="00783377"/>
    <w:rsid w:val="007835FE"/>
    <w:rsid w:val="007837FE"/>
    <w:rsid w:val="007838D6"/>
    <w:rsid w:val="00783F22"/>
    <w:rsid w:val="00784418"/>
    <w:rsid w:val="00784A41"/>
    <w:rsid w:val="00784B7D"/>
    <w:rsid w:val="00784E01"/>
    <w:rsid w:val="00784EE6"/>
    <w:rsid w:val="00784F89"/>
    <w:rsid w:val="007850A3"/>
    <w:rsid w:val="00785533"/>
    <w:rsid w:val="007856FD"/>
    <w:rsid w:val="00785795"/>
    <w:rsid w:val="0078582E"/>
    <w:rsid w:val="00785D3D"/>
    <w:rsid w:val="00785E6B"/>
    <w:rsid w:val="00785EA3"/>
    <w:rsid w:val="00786174"/>
    <w:rsid w:val="00786848"/>
    <w:rsid w:val="00786C3C"/>
    <w:rsid w:val="00786C8C"/>
    <w:rsid w:val="0078709C"/>
    <w:rsid w:val="00787230"/>
    <w:rsid w:val="00787393"/>
    <w:rsid w:val="0078766C"/>
    <w:rsid w:val="00787890"/>
    <w:rsid w:val="00787C91"/>
    <w:rsid w:val="00787EA3"/>
    <w:rsid w:val="007904C5"/>
    <w:rsid w:val="007905A8"/>
    <w:rsid w:val="00790F54"/>
    <w:rsid w:val="00790F5F"/>
    <w:rsid w:val="007910C3"/>
    <w:rsid w:val="00791B48"/>
    <w:rsid w:val="00791DE5"/>
    <w:rsid w:val="00792392"/>
    <w:rsid w:val="00792510"/>
    <w:rsid w:val="0079297D"/>
    <w:rsid w:val="00792B63"/>
    <w:rsid w:val="00792F67"/>
    <w:rsid w:val="007931F5"/>
    <w:rsid w:val="00793553"/>
    <w:rsid w:val="007938F9"/>
    <w:rsid w:val="00793BC6"/>
    <w:rsid w:val="00793EC3"/>
    <w:rsid w:val="0079420D"/>
    <w:rsid w:val="00794268"/>
    <w:rsid w:val="007946C1"/>
    <w:rsid w:val="00794790"/>
    <w:rsid w:val="00794844"/>
    <w:rsid w:val="007949A6"/>
    <w:rsid w:val="00795282"/>
    <w:rsid w:val="0079537B"/>
    <w:rsid w:val="00795540"/>
    <w:rsid w:val="00795C3D"/>
    <w:rsid w:val="00795F85"/>
    <w:rsid w:val="00796204"/>
    <w:rsid w:val="007962A7"/>
    <w:rsid w:val="00796321"/>
    <w:rsid w:val="00796465"/>
    <w:rsid w:val="007965C2"/>
    <w:rsid w:val="00796701"/>
    <w:rsid w:val="00796834"/>
    <w:rsid w:val="00796E3B"/>
    <w:rsid w:val="00797C68"/>
    <w:rsid w:val="00797E0D"/>
    <w:rsid w:val="007A00E2"/>
    <w:rsid w:val="007A0CB2"/>
    <w:rsid w:val="007A0CC8"/>
    <w:rsid w:val="007A17A7"/>
    <w:rsid w:val="007A1BD2"/>
    <w:rsid w:val="007A1CDF"/>
    <w:rsid w:val="007A1D6A"/>
    <w:rsid w:val="007A1E19"/>
    <w:rsid w:val="007A2036"/>
    <w:rsid w:val="007A203E"/>
    <w:rsid w:val="007A22E3"/>
    <w:rsid w:val="007A242E"/>
    <w:rsid w:val="007A25CC"/>
    <w:rsid w:val="007A298B"/>
    <w:rsid w:val="007A29BB"/>
    <w:rsid w:val="007A2BB7"/>
    <w:rsid w:val="007A2D94"/>
    <w:rsid w:val="007A2DBD"/>
    <w:rsid w:val="007A33F7"/>
    <w:rsid w:val="007A3518"/>
    <w:rsid w:val="007A380D"/>
    <w:rsid w:val="007A3836"/>
    <w:rsid w:val="007A384C"/>
    <w:rsid w:val="007A3B3F"/>
    <w:rsid w:val="007A4003"/>
    <w:rsid w:val="007A4025"/>
    <w:rsid w:val="007A40FE"/>
    <w:rsid w:val="007A4791"/>
    <w:rsid w:val="007A47E5"/>
    <w:rsid w:val="007A4BFD"/>
    <w:rsid w:val="007A4F25"/>
    <w:rsid w:val="007A4F75"/>
    <w:rsid w:val="007A5389"/>
    <w:rsid w:val="007A53D3"/>
    <w:rsid w:val="007A551B"/>
    <w:rsid w:val="007A5626"/>
    <w:rsid w:val="007A5A26"/>
    <w:rsid w:val="007A5C52"/>
    <w:rsid w:val="007A5C65"/>
    <w:rsid w:val="007A601D"/>
    <w:rsid w:val="007A6571"/>
    <w:rsid w:val="007A6F5B"/>
    <w:rsid w:val="007A75DA"/>
    <w:rsid w:val="007A770E"/>
    <w:rsid w:val="007A7A38"/>
    <w:rsid w:val="007A7AF4"/>
    <w:rsid w:val="007A7CFB"/>
    <w:rsid w:val="007A7E7B"/>
    <w:rsid w:val="007A7FC3"/>
    <w:rsid w:val="007B001A"/>
    <w:rsid w:val="007B007B"/>
    <w:rsid w:val="007B0309"/>
    <w:rsid w:val="007B0648"/>
    <w:rsid w:val="007B06DC"/>
    <w:rsid w:val="007B08CC"/>
    <w:rsid w:val="007B0BFC"/>
    <w:rsid w:val="007B0F85"/>
    <w:rsid w:val="007B1306"/>
    <w:rsid w:val="007B1509"/>
    <w:rsid w:val="007B1E96"/>
    <w:rsid w:val="007B1F06"/>
    <w:rsid w:val="007B1F35"/>
    <w:rsid w:val="007B21A2"/>
    <w:rsid w:val="007B21B0"/>
    <w:rsid w:val="007B25B8"/>
    <w:rsid w:val="007B2960"/>
    <w:rsid w:val="007B2962"/>
    <w:rsid w:val="007B2BBD"/>
    <w:rsid w:val="007B2D3C"/>
    <w:rsid w:val="007B3198"/>
    <w:rsid w:val="007B3326"/>
    <w:rsid w:val="007B39B4"/>
    <w:rsid w:val="007B3A42"/>
    <w:rsid w:val="007B4260"/>
    <w:rsid w:val="007B4274"/>
    <w:rsid w:val="007B46D0"/>
    <w:rsid w:val="007B47A2"/>
    <w:rsid w:val="007B4AEC"/>
    <w:rsid w:val="007B4B63"/>
    <w:rsid w:val="007B4DDF"/>
    <w:rsid w:val="007B4F11"/>
    <w:rsid w:val="007B508C"/>
    <w:rsid w:val="007B5569"/>
    <w:rsid w:val="007B5815"/>
    <w:rsid w:val="007B5A77"/>
    <w:rsid w:val="007B5D32"/>
    <w:rsid w:val="007B60C3"/>
    <w:rsid w:val="007B6174"/>
    <w:rsid w:val="007B6304"/>
    <w:rsid w:val="007B6495"/>
    <w:rsid w:val="007B699C"/>
    <w:rsid w:val="007B6A79"/>
    <w:rsid w:val="007B6B62"/>
    <w:rsid w:val="007B6D5D"/>
    <w:rsid w:val="007B6DE8"/>
    <w:rsid w:val="007B723C"/>
    <w:rsid w:val="007B74DC"/>
    <w:rsid w:val="007B7581"/>
    <w:rsid w:val="007B7658"/>
    <w:rsid w:val="007B7855"/>
    <w:rsid w:val="007C0090"/>
    <w:rsid w:val="007C00AE"/>
    <w:rsid w:val="007C010B"/>
    <w:rsid w:val="007C0381"/>
    <w:rsid w:val="007C0537"/>
    <w:rsid w:val="007C0B31"/>
    <w:rsid w:val="007C0DCF"/>
    <w:rsid w:val="007C13B7"/>
    <w:rsid w:val="007C1D51"/>
    <w:rsid w:val="007C1F94"/>
    <w:rsid w:val="007C2156"/>
    <w:rsid w:val="007C24B0"/>
    <w:rsid w:val="007C27B3"/>
    <w:rsid w:val="007C2AC0"/>
    <w:rsid w:val="007C2C7C"/>
    <w:rsid w:val="007C2F68"/>
    <w:rsid w:val="007C31F3"/>
    <w:rsid w:val="007C3896"/>
    <w:rsid w:val="007C39B2"/>
    <w:rsid w:val="007C3C0E"/>
    <w:rsid w:val="007C3E5D"/>
    <w:rsid w:val="007C3EA9"/>
    <w:rsid w:val="007C45C1"/>
    <w:rsid w:val="007C48D7"/>
    <w:rsid w:val="007C4D1E"/>
    <w:rsid w:val="007C5183"/>
    <w:rsid w:val="007C5255"/>
    <w:rsid w:val="007C5821"/>
    <w:rsid w:val="007C61EE"/>
    <w:rsid w:val="007C6371"/>
    <w:rsid w:val="007C6714"/>
    <w:rsid w:val="007C6CB6"/>
    <w:rsid w:val="007C6F13"/>
    <w:rsid w:val="007C7989"/>
    <w:rsid w:val="007C7C37"/>
    <w:rsid w:val="007D00BC"/>
    <w:rsid w:val="007D03D6"/>
    <w:rsid w:val="007D0737"/>
    <w:rsid w:val="007D088B"/>
    <w:rsid w:val="007D0DB3"/>
    <w:rsid w:val="007D1408"/>
    <w:rsid w:val="007D155B"/>
    <w:rsid w:val="007D161D"/>
    <w:rsid w:val="007D1724"/>
    <w:rsid w:val="007D174C"/>
    <w:rsid w:val="007D1B72"/>
    <w:rsid w:val="007D1BBE"/>
    <w:rsid w:val="007D1DC8"/>
    <w:rsid w:val="007D1F51"/>
    <w:rsid w:val="007D1FBB"/>
    <w:rsid w:val="007D2108"/>
    <w:rsid w:val="007D2246"/>
    <w:rsid w:val="007D22FA"/>
    <w:rsid w:val="007D24DA"/>
    <w:rsid w:val="007D2F59"/>
    <w:rsid w:val="007D3034"/>
    <w:rsid w:val="007D34BA"/>
    <w:rsid w:val="007D3952"/>
    <w:rsid w:val="007D3E01"/>
    <w:rsid w:val="007D415F"/>
    <w:rsid w:val="007D4168"/>
    <w:rsid w:val="007D424F"/>
    <w:rsid w:val="007D4283"/>
    <w:rsid w:val="007D43EC"/>
    <w:rsid w:val="007D44C9"/>
    <w:rsid w:val="007D45B2"/>
    <w:rsid w:val="007D472C"/>
    <w:rsid w:val="007D4904"/>
    <w:rsid w:val="007D4981"/>
    <w:rsid w:val="007D4A00"/>
    <w:rsid w:val="007D4A7F"/>
    <w:rsid w:val="007D4B5B"/>
    <w:rsid w:val="007D4D95"/>
    <w:rsid w:val="007D4FED"/>
    <w:rsid w:val="007D50D4"/>
    <w:rsid w:val="007D56C4"/>
    <w:rsid w:val="007D57F2"/>
    <w:rsid w:val="007D595C"/>
    <w:rsid w:val="007D5FFA"/>
    <w:rsid w:val="007D61BA"/>
    <w:rsid w:val="007D62E5"/>
    <w:rsid w:val="007D66D1"/>
    <w:rsid w:val="007D69ED"/>
    <w:rsid w:val="007D6C1A"/>
    <w:rsid w:val="007D6F49"/>
    <w:rsid w:val="007D6FCF"/>
    <w:rsid w:val="007D7918"/>
    <w:rsid w:val="007D7A5D"/>
    <w:rsid w:val="007D7F93"/>
    <w:rsid w:val="007E00E3"/>
    <w:rsid w:val="007E039A"/>
    <w:rsid w:val="007E052E"/>
    <w:rsid w:val="007E05AC"/>
    <w:rsid w:val="007E09EF"/>
    <w:rsid w:val="007E0A3C"/>
    <w:rsid w:val="007E0D8B"/>
    <w:rsid w:val="007E0DF7"/>
    <w:rsid w:val="007E113C"/>
    <w:rsid w:val="007E1242"/>
    <w:rsid w:val="007E14AD"/>
    <w:rsid w:val="007E1587"/>
    <w:rsid w:val="007E1905"/>
    <w:rsid w:val="007E1B09"/>
    <w:rsid w:val="007E1C7E"/>
    <w:rsid w:val="007E1E15"/>
    <w:rsid w:val="007E1ED8"/>
    <w:rsid w:val="007E22B7"/>
    <w:rsid w:val="007E24B6"/>
    <w:rsid w:val="007E2659"/>
    <w:rsid w:val="007E27D9"/>
    <w:rsid w:val="007E2879"/>
    <w:rsid w:val="007E2B69"/>
    <w:rsid w:val="007E2D97"/>
    <w:rsid w:val="007E3264"/>
    <w:rsid w:val="007E34F6"/>
    <w:rsid w:val="007E35B3"/>
    <w:rsid w:val="007E381D"/>
    <w:rsid w:val="007E3A5D"/>
    <w:rsid w:val="007E3BA8"/>
    <w:rsid w:val="007E3BD5"/>
    <w:rsid w:val="007E3E92"/>
    <w:rsid w:val="007E4361"/>
    <w:rsid w:val="007E4441"/>
    <w:rsid w:val="007E4695"/>
    <w:rsid w:val="007E4867"/>
    <w:rsid w:val="007E4D03"/>
    <w:rsid w:val="007E5B02"/>
    <w:rsid w:val="007E5FF5"/>
    <w:rsid w:val="007E61F2"/>
    <w:rsid w:val="007E62B0"/>
    <w:rsid w:val="007E667C"/>
    <w:rsid w:val="007E6ADC"/>
    <w:rsid w:val="007E7084"/>
    <w:rsid w:val="007E70B2"/>
    <w:rsid w:val="007E7118"/>
    <w:rsid w:val="007E7199"/>
    <w:rsid w:val="007E7209"/>
    <w:rsid w:val="007E76A7"/>
    <w:rsid w:val="007E7F56"/>
    <w:rsid w:val="007F0107"/>
    <w:rsid w:val="007F020D"/>
    <w:rsid w:val="007F0753"/>
    <w:rsid w:val="007F0899"/>
    <w:rsid w:val="007F0BE5"/>
    <w:rsid w:val="007F0D26"/>
    <w:rsid w:val="007F0D6D"/>
    <w:rsid w:val="007F0F75"/>
    <w:rsid w:val="007F104F"/>
    <w:rsid w:val="007F11EF"/>
    <w:rsid w:val="007F12A8"/>
    <w:rsid w:val="007F189E"/>
    <w:rsid w:val="007F19A6"/>
    <w:rsid w:val="007F222C"/>
    <w:rsid w:val="007F2573"/>
    <w:rsid w:val="007F257E"/>
    <w:rsid w:val="007F271F"/>
    <w:rsid w:val="007F2895"/>
    <w:rsid w:val="007F2BFF"/>
    <w:rsid w:val="007F2C9C"/>
    <w:rsid w:val="007F2F2D"/>
    <w:rsid w:val="007F2F5B"/>
    <w:rsid w:val="007F2F80"/>
    <w:rsid w:val="007F31FB"/>
    <w:rsid w:val="007F32AC"/>
    <w:rsid w:val="007F3300"/>
    <w:rsid w:val="007F35D3"/>
    <w:rsid w:val="007F3AB9"/>
    <w:rsid w:val="007F3B53"/>
    <w:rsid w:val="007F461C"/>
    <w:rsid w:val="007F482C"/>
    <w:rsid w:val="007F4E98"/>
    <w:rsid w:val="007F5422"/>
    <w:rsid w:val="007F58CF"/>
    <w:rsid w:val="007F5961"/>
    <w:rsid w:val="007F5C1E"/>
    <w:rsid w:val="007F6167"/>
    <w:rsid w:val="007F64F0"/>
    <w:rsid w:val="007F6BB8"/>
    <w:rsid w:val="007F6FEF"/>
    <w:rsid w:val="007F7458"/>
    <w:rsid w:val="007F77D7"/>
    <w:rsid w:val="007F799B"/>
    <w:rsid w:val="007F7CA6"/>
    <w:rsid w:val="007F7CAC"/>
    <w:rsid w:val="007F7F57"/>
    <w:rsid w:val="007F7FAB"/>
    <w:rsid w:val="008001D1"/>
    <w:rsid w:val="008004F8"/>
    <w:rsid w:val="00800DBA"/>
    <w:rsid w:val="00800E97"/>
    <w:rsid w:val="00801068"/>
    <w:rsid w:val="008011C0"/>
    <w:rsid w:val="00801227"/>
    <w:rsid w:val="008015AF"/>
    <w:rsid w:val="008016DC"/>
    <w:rsid w:val="008017DA"/>
    <w:rsid w:val="00801A44"/>
    <w:rsid w:val="00801B4A"/>
    <w:rsid w:val="00801BA3"/>
    <w:rsid w:val="00801E19"/>
    <w:rsid w:val="00801E64"/>
    <w:rsid w:val="00802077"/>
    <w:rsid w:val="008023C6"/>
    <w:rsid w:val="00802818"/>
    <w:rsid w:val="00802987"/>
    <w:rsid w:val="00802CF9"/>
    <w:rsid w:val="00803072"/>
    <w:rsid w:val="008030B3"/>
    <w:rsid w:val="00803152"/>
    <w:rsid w:val="0080320F"/>
    <w:rsid w:val="0080329C"/>
    <w:rsid w:val="0080332A"/>
    <w:rsid w:val="00803BF5"/>
    <w:rsid w:val="00803C36"/>
    <w:rsid w:val="00803CA6"/>
    <w:rsid w:val="00803CB6"/>
    <w:rsid w:val="00804217"/>
    <w:rsid w:val="00804722"/>
    <w:rsid w:val="008047B8"/>
    <w:rsid w:val="00805042"/>
    <w:rsid w:val="00805166"/>
    <w:rsid w:val="00805218"/>
    <w:rsid w:val="00805807"/>
    <w:rsid w:val="00805EB2"/>
    <w:rsid w:val="0080676D"/>
    <w:rsid w:val="00806DC6"/>
    <w:rsid w:val="008071F1"/>
    <w:rsid w:val="00807594"/>
    <w:rsid w:val="008077B7"/>
    <w:rsid w:val="008077EA"/>
    <w:rsid w:val="00807A9C"/>
    <w:rsid w:val="00810348"/>
    <w:rsid w:val="00810C3D"/>
    <w:rsid w:val="00810DBC"/>
    <w:rsid w:val="00810FBE"/>
    <w:rsid w:val="008110A2"/>
    <w:rsid w:val="008110B3"/>
    <w:rsid w:val="008111C7"/>
    <w:rsid w:val="008114AE"/>
    <w:rsid w:val="00811513"/>
    <w:rsid w:val="00811634"/>
    <w:rsid w:val="008117F0"/>
    <w:rsid w:val="00811EAB"/>
    <w:rsid w:val="00811FAA"/>
    <w:rsid w:val="008121D9"/>
    <w:rsid w:val="008122AC"/>
    <w:rsid w:val="008122EC"/>
    <w:rsid w:val="008123B0"/>
    <w:rsid w:val="00812760"/>
    <w:rsid w:val="00812951"/>
    <w:rsid w:val="00812D84"/>
    <w:rsid w:val="00813012"/>
    <w:rsid w:val="00813063"/>
    <w:rsid w:val="008130EF"/>
    <w:rsid w:val="008131CE"/>
    <w:rsid w:val="008131D2"/>
    <w:rsid w:val="008132B7"/>
    <w:rsid w:val="00813803"/>
    <w:rsid w:val="00813C97"/>
    <w:rsid w:val="00813C9F"/>
    <w:rsid w:val="00813D6A"/>
    <w:rsid w:val="00813E1E"/>
    <w:rsid w:val="00814265"/>
    <w:rsid w:val="00814355"/>
    <w:rsid w:val="008149AF"/>
    <w:rsid w:val="00814D8F"/>
    <w:rsid w:val="00814EF8"/>
    <w:rsid w:val="008150D8"/>
    <w:rsid w:val="00815170"/>
    <w:rsid w:val="0081519D"/>
    <w:rsid w:val="00815B22"/>
    <w:rsid w:val="00815ECC"/>
    <w:rsid w:val="008162AC"/>
    <w:rsid w:val="008163F3"/>
    <w:rsid w:val="0081649D"/>
    <w:rsid w:val="008165C9"/>
    <w:rsid w:val="00816685"/>
    <w:rsid w:val="0081688E"/>
    <w:rsid w:val="00816B24"/>
    <w:rsid w:val="00816E61"/>
    <w:rsid w:val="008172E3"/>
    <w:rsid w:val="0081739A"/>
    <w:rsid w:val="0081748B"/>
    <w:rsid w:val="00817500"/>
    <w:rsid w:val="00817C17"/>
    <w:rsid w:val="00817FD5"/>
    <w:rsid w:val="00817FDF"/>
    <w:rsid w:val="0082033A"/>
    <w:rsid w:val="008205CF"/>
    <w:rsid w:val="00820668"/>
    <w:rsid w:val="008207E7"/>
    <w:rsid w:val="00820C5C"/>
    <w:rsid w:val="00820C60"/>
    <w:rsid w:val="00820DFC"/>
    <w:rsid w:val="00820F08"/>
    <w:rsid w:val="008211CE"/>
    <w:rsid w:val="008212C0"/>
    <w:rsid w:val="008215D1"/>
    <w:rsid w:val="008215ED"/>
    <w:rsid w:val="00821A8F"/>
    <w:rsid w:val="00821C03"/>
    <w:rsid w:val="00821C80"/>
    <w:rsid w:val="00821E42"/>
    <w:rsid w:val="008220F7"/>
    <w:rsid w:val="008221F1"/>
    <w:rsid w:val="0082232F"/>
    <w:rsid w:val="008224FA"/>
    <w:rsid w:val="0082284C"/>
    <w:rsid w:val="008228DF"/>
    <w:rsid w:val="00822906"/>
    <w:rsid w:val="00822941"/>
    <w:rsid w:val="00822B90"/>
    <w:rsid w:val="00822C08"/>
    <w:rsid w:val="00822C89"/>
    <w:rsid w:val="00822DBF"/>
    <w:rsid w:val="00822E9F"/>
    <w:rsid w:val="0082327C"/>
    <w:rsid w:val="0082328F"/>
    <w:rsid w:val="00823A49"/>
    <w:rsid w:val="00823ADF"/>
    <w:rsid w:val="00823C7F"/>
    <w:rsid w:val="00823EB0"/>
    <w:rsid w:val="008240D8"/>
    <w:rsid w:val="008243C1"/>
    <w:rsid w:val="0082449A"/>
    <w:rsid w:val="00824507"/>
    <w:rsid w:val="00824562"/>
    <w:rsid w:val="00824E00"/>
    <w:rsid w:val="00824EC1"/>
    <w:rsid w:val="00824F1C"/>
    <w:rsid w:val="00824F92"/>
    <w:rsid w:val="0082504A"/>
    <w:rsid w:val="00825127"/>
    <w:rsid w:val="00825225"/>
    <w:rsid w:val="00826076"/>
    <w:rsid w:val="00826342"/>
    <w:rsid w:val="00826507"/>
    <w:rsid w:val="0082669E"/>
    <w:rsid w:val="0082685B"/>
    <w:rsid w:val="00826A19"/>
    <w:rsid w:val="00826A1C"/>
    <w:rsid w:val="00826D41"/>
    <w:rsid w:val="00826E4D"/>
    <w:rsid w:val="00826F0E"/>
    <w:rsid w:val="008270D7"/>
    <w:rsid w:val="008275E5"/>
    <w:rsid w:val="0082761C"/>
    <w:rsid w:val="0082766B"/>
    <w:rsid w:val="00827793"/>
    <w:rsid w:val="008279C3"/>
    <w:rsid w:val="00827B65"/>
    <w:rsid w:val="00830051"/>
    <w:rsid w:val="00830217"/>
    <w:rsid w:val="0083030D"/>
    <w:rsid w:val="00830400"/>
    <w:rsid w:val="00830721"/>
    <w:rsid w:val="00830A8C"/>
    <w:rsid w:val="00830C31"/>
    <w:rsid w:val="00830C6D"/>
    <w:rsid w:val="00830D18"/>
    <w:rsid w:val="008311B5"/>
    <w:rsid w:val="00831443"/>
    <w:rsid w:val="00831734"/>
    <w:rsid w:val="00831A7F"/>
    <w:rsid w:val="00831DCB"/>
    <w:rsid w:val="00831EAB"/>
    <w:rsid w:val="00831FA7"/>
    <w:rsid w:val="00831FBD"/>
    <w:rsid w:val="0083269C"/>
    <w:rsid w:val="008329FA"/>
    <w:rsid w:val="008329FB"/>
    <w:rsid w:val="00832DBE"/>
    <w:rsid w:val="00832DC0"/>
    <w:rsid w:val="00832F8A"/>
    <w:rsid w:val="008333A5"/>
    <w:rsid w:val="0083367F"/>
    <w:rsid w:val="00833D08"/>
    <w:rsid w:val="00833D9D"/>
    <w:rsid w:val="00833FE0"/>
    <w:rsid w:val="008345D7"/>
    <w:rsid w:val="00834F1F"/>
    <w:rsid w:val="00835118"/>
    <w:rsid w:val="00835423"/>
    <w:rsid w:val="0083562C"/>
    <w:rsid w:val="00835699"/>
    <w:rsid w:val="00835AB9"/>
    <w:rsid w:val="00835C72"/>
    <w:rsid w:val="00835C96"/>
    <w:rsid w:val="00835E20"/>
    <w:rsid w:val="00836CEB"/>
    <w:rsid w:val="00836D3F"/>
    <w:rsid w:val="00837581"/>
    <w:rsid w:val="0083774F"/>
    <w:rsid w:val="008377F3"/>
    <w:rsid w:val="00837D9E"/>
    <w:rsid w:val="0084022C"/>
    <w:rsid w:val="00840340"/>
    <w:rsid w:val="008403A7"/>
    <w:rsid w:val="0084040A"/>
    <w:rsid w:val="00840461"/>
    <w:rsid w:val="008406AC"/>
    <w:rsid w:val="00840702"/>
    <w:rsid w:val="00840882"/>
    <w:rsid w:val="00840B1E"/>
    <w:rsid w:val="00840DA0"/>
    <w:rsid w:val="00840F84"/>
    <w:rsid w:val="00841628"/>
    <w:rsid w:val="00841794"/>
    <w:rsid w:val="00841826"/>
    <w:rsid w:val="00841911"/>
    <w:rsid w:val="00841E1B"/>
    <w:rsid w:val="00842166"/>
    <w:rsid w:val="00842246"/>
    <w:rsid w:val="00842393"/>
    <w:rsid w:val="00842B25"/>
    <w:rsid w:val="00842D8D"/>
    <w:rsid w:val="00842F4D"/>
    <w:rsid w:val="0084326A"/>
    <w:rsid w:val="00843517"/>
    <w:rsid w:val="008437E3"/>
    <w:rsid w:val="0084381D"/>
    <w:rsid w:val="00843A2E"/>
    <w:rsid w:val="0084417D"/>
    <w:rsid w:val="0084432F"/>
    <w:rsid w:val="00844494"/>
    <w:rsid w:val="00844B99"/>
    <w:rsid w:val="00844CFB"/>
    <w:rsid w:val="008450D7"/>
    <w:rsid w:val="008452E0"/>
    <w:rsid w:val="008454B5"/>
    <w:rsid w:val="00845567"/>
    <w:rsid w:val="008455D2"/>
    <w:rsid w:val="00845886"/>
    <w:rsid w:val="00845AAD"/>
    <w:rsid w:val="00846059"/>
    <w:rsid w:val="008461A0"/>
    <w:rsid w:val="008464FE"/>
    <w:rsid w:val="008467FE"/>
    <w:rsid w:val="00846A5F"/>
    <w:rsid w:val="00846B7E"/>
    <w:rsid w:val="00846EEA"/>
    <w:rsid w:val="0084700B"/>
    <w:rsid w:val="0084759C"/>
    <w:rsid w:val="00847611"/>
    <w:rsid w:val="0084782E"/>
    <w:rsid w:val="00847ACD"/>
    <w:rsid w:val="00847BAD"/>
    <w:rsid w:val="00847BC1"/>
    <w:rsid w:val="00847D31"/>
    <w:rsid w:val="00847D9F"/>
    <w:rsid w:val="0085030F"/>
    <w:rsid w:val="008508BF"/>
    <w:rsid w:val="00850A76"/>
    <w:rsid w:val="00850A86"/>
    <w:rsid w:val="00850B7A"/>
    <w:rsid w:val="00850BC7"/>
    <w:rsid w:val="00851060"/>
    <w:rsid w:val="00851066"/>
    <w:rsid w:val="0085147E"/>
    <w:rsid w:val="00851645"/>
    <w:rsid w:val="00851737"/>
    <w:rsid w:val="008518B0"/>
    <w:rsid w:val="00851A2D"/>
    <w:rsid w:val="00851CAD"/>
    <w:rsid w:val="00851F95"/>
    <w:rsid w:val="00852023"/>
    <w:rsid w:val="00852335"/>
    <w:rsid w:val="00852419"/>
    <w:rsid w:val="00852913"/>
    <w:rsid w:val="00852AAE"/>
    <w:rsid w:val="00852AF5"/>
    <w:rsid w:val="00852C6A"/>
    <w:rsid w:val="00852F05"/>
    <w:rsid w:val="0085373C"/>
    <w:rsid w:val="008539B4"/>
    <w:rsid w:val="00853A9C"/>
    <w:rsid w:val="00853DA5"/>
    <w:rsid w:val="00853E8E"/>
    <w:rsid w:val="00854103"/>
    <w:rsid w:val="008541A4"/>
    <w:rsid w:val="0085432D"/>
    <w:rsid w:val="00854C5C"/>
    <w:rsid w:val="00854CD5"/>
    <w:rsid w:val="00854DE2"/>
    <w:rsid w:val="008554C3"/>
    <w:rsid w:val="0085565F"/>
    <w:rsid w:val="008556DD"/>
    <w:rsid w:val="008559FC"/>
    <w:rsid w:val="00855EF3"/>
    <w:rsid w:val="008560DB"/>
    <w:rsid w:val="0085651D"/>
    <w:rsid w:val="00856599"/>
    <w:rsid w:val="00856735"/>
    <w:rsid w:val="00856755"/>
    <w:rsid w:val="0085688A"/>
    <w:rsid w:val="00856B74"/>
    <w:rsid w:val="00856DC1"/>
    <w:rsid w:val="00857128"/>
    <w:rsid w:val="00857166"/>
    <w:rsid w:val="0085727C"/>
    <w:rsid w:val="00857307"/>
    <w:rsid w:val="00857D14"/>
    <w:rsid w:val="008602AF"/>
    <w:rsid w:val="0086036A"/>
    <w:rsid w:val="00860455"/>
    <w:rsid w:val="008609A1"/>
    <w:rsid w:val="00860CD3"/>
    <w:rsid w:val="00860FB0"/>
    <w:rsid w:val="00860FE2"/>
    <w:rsid w:val="0086125A"/>
    <w:rsid w:val="008614BE"/>
    <w:rsid w:val="00861540"/>
    <w:rsid w:val="0086156B"/>
    <w:rsid w:val="0086162F"/>
    <w:rsid w:val="008617EE"/>
    <w:rsid w:val="00861893"/>
    <w:rsid w:val="008618FE"/>
    <w:rsid w:val="008625DE"/>
    <w:rsid w:val="00862E69"/>
    <w:rsid w:val="0086324E"/>
    <w:rsid w:val="008632F9"/>
    <w:rsid w:val="00863478"/>
    <w:rsid w:val="008634B4"/>
    <w:rsid w:val="00863576"/>
    <w:rsid w:val="00863670"/>
    <w:rsid w:val="008638BB"/>
    <w:rsid w:val="00863923"/>
    <w:rsid w:val="008639EF"/>
    <w:rsid w:val="00864128"/>
    <w:rsid w:val="008646E8"/>
    <w:rsid w:val="0086490F"/>
    <w:rsid w:val="00864A67"/>
    <w:rsid w:val="00864CAC"/>
    <w:rsid w:val="00864DB0"/>
    <w:rsid w:val="00864E5E"/>
    <w:rsid w:val="00864FD5"/>
    <w:rsid w:val="00865460"/>
    <w:rsid w:val="00865625"/>
    <w:rsid w:val="00865938"/>
    <w:rsid w:val="00865C5E"/>
    <w:rsid w:val="00865DA6"/>
    <w:rsid w:val="00865FA6"/>
    <w:rsid w:val="0086613D"/>
    <w:rsid w:val="0086620F"/>
    <w:rsid w:val="00866265"/>
    <w:rsid w:val="008668F3"/>
    <w:rsid w:val="00866A1A"/>
    <w:rsid w:val="00866C0B"/>
    <w:rsid w:val="00866E2C"/>
    <w:rsid w:val="008670A8"/>
    <w:rsid w:val="00867221"/>
    <w:rsid w:val="00867291"/>
    <w:rsid w:val="00867B0E"/>
    <w:rsid w:val="00867E88"/>
    <w:rsid w:val="00867EB1"/>
    <w:rsid w:val="00867F5D"/>
    <w:rsid w:val="0087001E"/>
    <w:rsid w:val="00870071"/>
    <w:rsid w:val="008700B4"/>
    <w:rsid w:val="00870371"/>
    <w:rsid w:val="008708EA"/>
    <w:rsid w:val="00870CEC"/>
    <w:rsid w:val="00870E64"/>
    <w:rsid w:val="00870F30"/>
    <w:rsid w:val="00871046"/>
    <w:rsid w:val="0087112F"/>
    <w:rsid w:val="00871357"/>
    <w:rsid w:val="008715ED"/>
    <w:rsid w:val="00871600"/>
    <w:rsid w:val="00871603"/>
    <w:rsid w:val="0087163E"/>
    <w:rsid w:val="0087168E"/>
    <w:rsid w:val="00871933"/>
    <w:rsid w:val="008719AF"/>
    <w:rsid w:val="00871C58"/>
    <w:rsid w:val="00871CF5"/>
    <w:rsid w:val="00871D85"/>
    <w:rsid w:val="00871E03"/>
    <w:rsid w:val="00871E18"/>
    <w:rsid w:val="00872187"/>
    <w:rsid w:val="0087241E"/>
    <w:rsid w:val="0087253E"/>
    <w:rsid w:val="00872757"/>
    <w:rsid w:val="0087281E"/>
    <w:rsid w:val="00872ADC"/>
    <w:rsid w:val="00872B3C"/>
    <w:rsid w:val="00873094"/>
    <w:rsid w:val="00873201"/>
    <w:rsid w:val="0087343D"/>
    <w:rsid w:val="00873463"/>
    <w:rsid w:val="008736E6"/>
    <w:rsid w:val="00873A67"/>
    <w:rsid w:val="00873FCA"/>
    <w:rsid w:val="00874303"/>
    <w:rsid w:val="00874336"/>
    <w:rsid w:val="008743C8"/>
    <w:rsid w:val="008746B7"/>
    <w:rsid w:val="00874FB6"/>
    <w:rsid w:val="00875771"/>
    <w:rsid w:val="00875E84"/>
    <w:rsid w:val="008762B2"/>
    <w:rsid w:val="00876B6B"/>
    <w:rsid w:val="008773BE"/>
    <w:rsid w:val="008773D5"/>
    <w:rsid w:val="0087744D"/>
    <w:rsid w:val="008779D6"/>
    <w:rsid w:val="00877A5E"/>
    <w:rsid w:val="00877A64"/>
    <w:rsid w:val="00877AEB"/>
    <w:rsid w:val="00877B11"/>
    <w:rsid w:val="00877B35"/>
    <w:rsid w:val="00877BC2"/>
    <w:rsid w:val="00877C1F"/>
    <w:rsid w:val="00877CCF"/>
    <w:rsid w:val="00877E61"/>
    <w:rsid w:val="0088004F"/>
    <w:rsid w:val="00880209"/>
    <w:rsid w:val="0088035A"/>
    <w:rsid w:val="00880361"/>
    <w:rsid w:val="008803CC"/>
    <w:rsid w:val="008808C8"/>
    <w:rsid w:val="00880A30"/>
    <w:rsid w:val="00880DE4"/>
    <w:rsid w:val="008811DE"/>
    <w:rsid w:val="008815C5"/>
    <w:rsid w:val="00881640"/>
    <w:rsid w:val="008817D0"/>
    <w:rsid w:val="008819A8"/>
    <w:rsid w:val="00881B3A"/>
    <w:rsid w:val="00881BCE"/>
    <w:rsid w:val="0088201B"/>
    <w:rsid w:val="00882098"/>
    <w:rsid w:val="008824E2"/>
    <w:rsid w:val="00882588"/>
    <w:rsid w:val="008827AC"/>
    <w:rsid w:val="00882931"/>
    <w:rsid w:val="00882BA1"/>
    <w:rsid w:val="00882CC5"/>
    <w:rsid w:val="00883529"/>
    <w:rsid w:val="0088356A"/>
    <w:rsid w:val="00883675"/>
    <w:rsid w:val="00883A1C"/>
    <w:rsid w:val="0088408B"/>
    <w:rsid w:val="008840D4"/>
    <w:rsid w:val="008840FE"/>
    <w:rsid w:val="00884143"/>
    <w:rsid w:val="0088421D"/>
    <w:rsid w:val="0088427A"/>
    <w:rsid w:val="00884399"/>
    <w:rsid w:val="008843C7"/>
    <w:rsid w:val="00884428"/>
    <w:rsid w:val="00884696"/>
    <w:rsid w:val="00884971"/>
    <w:rsid w:val="00884A72"/>
    <w:rsid w:val="00884D59"/>
    <w:rsid w:val="00884EDD"/>
    <w:rsid w:val="00885381"/>
    <w:rsid w:val="008853D3"/>
    <w:rsid w:val="008853EA"/>
    <w:rsid w:val="00885408"/>
    <w:rsid w:val="00885424"/>
    <w:rsid w:val="00885598"/>
    <w:rsid w:val="0088563B"/>
    <w:rsid w:val="008857A5"/>
    <w:rsid w:val="008857AF"/>
    <w:rsid w:val="00885D79"/>
    <w:rsid w:val="00885EA3"/>
    <w:rsid w:val="0088609F"/>
    <w:rsid w:val="008861DF"/>
    <w:rsid w:val="00886371"/>
    <w:rsid w:val="0088694B"/>
    <w:rsid w:val="00886AB4"/>
    <w:rsid w:val="00886DF3"/>
    <w:rsid w:val="00887062"/>
    <w:rsid w:val="00887160"/>
    <w:rsid w:val="00887425"/>
    <w:rsid w:val="00887643"/>
    <w:rsid w:val="008904C4"/>
    <w:rsid w:val="008908ED"/>
    <w:rsid w:val="00890A3F"/>
    <w:rsid w:val="00890BB7"/>
    <w:rsid w:val="00891116"/>
    <w:rsid w:val="008911D9"/>
    <w:rsid w:val="00891308"/>
    <w:rsid w:val="00891535"/>
    <w:rsid w:val="00891580"/>
    <w:rsid w:val="00891CE3"/>
    <w:rsid w:val="00891DC1"/>
    <w:rsid w:val="00892342"/>
    <w:rsid w:val="00892A9A"/>
    <w:rsid w:val="00892B22"/>
    <w:rsid w:val="00892D8C"/>
    <w:rsid w:val="00892EC9"/>
    <w:rsid w:val="0089339C"/>
    <w:rsid w:val="00893419"/>
    <w:rsid w:val="00893486"/>
    <w:rsid w:val="008934C4"/>
    <w:rsid w:val="00893887"/>
    <w:rsid w:val="0089399C"/>
    <w:rsid w:val="00893D2F"/>
    <w:rsid w:val="008940AA"/>
    <w:rsid w:val="00894214"/>
    <w:rsid w:val="0089429F"/>
    <w:rsid w:val="0089430D"/>
    <w:rsid w:val="00894909"/>
    <w:rsid w:val="00894A96"/>
    <w:rsid w:val="00895128"/>
    <w:rsid w:val="0089529C"/>
    <w:rsid w:val="008953B2"/>
    <w:rsid w:val="00895676"/>
    <w:rsid w:val="008958FB"/>
    <w:rsid w:val="00895B6F"/>
    <w:rsid w:val="00895D39"/>
    <w:rsid w:val="00895E4A"/>
    <w:rsid w:val="00895F5A"/>
    <w:rsid w:val="0089616C"/>
    <w:rsid w:val="0089643C"/>
    <w:rsid w:val="0089645E"/>
    <w:rsid w:val="0089651C"/>
    <w:rsid w:val="0089658A"/>
    <w:rsid w:val="008965A4"/>
    <w:rsid w:val="00896C5F"/>
    <w:rsid w:val="00896F50"/>
    <w:rsid w:val="00897551"/>
    <w:rsid w:val="008978F2"/>
    <w:rsid w:val="00897D05"/>
    <w:rsid w:val="00897D25"/>
    <w:rsid w:val="008A0397"/>
    <w:rsid w:val="008A08A6"/>
    <w:rsid w:val="008A093B"/>
    <w:rsid w:val="008A0997"/>
    <w:rsid w:val="008A0BAA"/>
    <w:rsid w:val="008A0EE0"/>
    <w:rsid w:val="008A106C"/>
    <w:rsid w:val="008A1553"/>
    <w:rsid w:val="008A169F"/>
    <w:rsid w:val="008A17BA"/>
    <w:rsid w:val="008A1BC5"/>
    <w:rsid w:val="008A1D3A"/>
    <w:rsid w:val="008A1DC4"/>
    <w:rsid w:val="008A207B"/>
    <w:rsid w:val="008A22F2"/>
    <w:rsid w:val="008A231F"/>
    <w:rsid w:val="008A23F7"/>
    <w:rsid w:val="008A2731"/>
    <w:rsid w:val="008A285B"/>
    <w:rsid w:val="008A2F91"/>
    <w:rsid w:val="008A3110"/>
    <w:rsid w:val="008A3425"/>
    <w:rsid w:val="008A34E9"/>
    <w:rsid w:val="008A35F9"/>
    <w:rsid w:val="008A3915"/>
    <w:rsid w:val="008A3AC8"/>
    <w:rsid w:val="008A3B5F"/>
    <w:rsid w:val="008A3BC7"/>
    <w:rsid w:val="008A3CD2"/>
    <w:rsid w:val="008A3D24"/>
    <w:rsid w:val="008A3EDE"/>
    <w:rsid w:val="008A4488"/>
    <w:rsid w:val="008A44C2"/>
    <w:rsid w:val="008A4656"/>
    <w:rsid w:val="008A474F"/>
    <w:rsid w:val="008A4978"/>
    <w:rsid w:val="008A4C67"/>
    <w:rsid w:val="008A5603"/>
    <w:rsid w:val="008A57B5"/>
    <w:rsid w:val="008A5849"/>
    <w:rsid w:val="008A5A27"/>
    <w:rsid w:val="008A5E7E"/>
    <w:rsid w:val="008A6126"/>
    <w:rsid w:val="008A649E"/>
    <w:rsid w:val="008A65C0"/>
    <w:rsid w:val="008A65C8"/>
    <w:rsid w:val="008A66BB"/>
    <w:rsid w:val="008A66FD"/>
    <w:rsid w:val="008A6A92"/>
    <w:rsid w:val="008A6D09"/>
    <w:rsid w:val="008A6F5F"/>
    <w:rsid w:val="008A739F"/>
    <w:rsid w:val="008A75CC"/>
    <w:rsid w:val="008A78EF"/>
    <w:rsid w:val="008B0444"/>
    <w:rsid w:val="008B0598"/>
    <w:rsid w:val="008B0974"/>
    <w:rsid w:val="008B0BE8"/>
    <w:rsid w:val="008B110F"/>
    <w:rsid w:val="008B1321"/>
    <w:rsid w:val="008B14B8"/>
    <w:rsid w:val="008B1513"/>
    <w:rsid w:val="008B1864"/>
    <w:rsid w:val="008B19D0"/>
    <w:rsid w:val="008B1A6D"/>
    <w:rsid w:val="008B2117"/>
    <w:rsid w:val="008B2132"/>
    <w:rsid w:val="008B2401"/>
    <w:rsid w:val="008B2935"/>
    <w:rsid w:val="008B2BB5"/>
    <w:rsid w:val="008B2CEF"/>
    <w:rsid w:val="008B2E58"/>
    <w:rsid w:val="008B2F09"/>
    <w:rsid w:val="008B2F95"/>
    <w:rsid w:val="008B32D5"/>
    <w:rsid w:val="008B33E1"/>
    <w:rsid w:val="008B3474"/>
    <w:rsid w:val="008B3577"/>
    <w:rsid w:val="008B3F13"/>
    <w:rsid w:val="008B3F27"/>
    <w:rsid w:val="008B3FA4"/>
    <w:rsid w:val="008B40B7"/>
    <w:rsid w:val="008B45DA"/>
    <w:rsid w:val="008B493D"/>
    <w:rsid w:val="008B4A61"/>
    <w:rsid w:val="008B4D2B"/>
    <w:rsid w:val="008B4E59"/>
    <w:rsid w:val="008B4F3D"/>
    <w:rsid w:val="008B5044"/>
    <w:rsid w:val="008B50E5"/>
    <w:rsid w:val="008B5422"/>
    <w:rsid w:val="008B5757"/>
    <w:rsid w:val="008B5A9D"/>
    <w:rsid w:val="008B5C05"/>
    <w:rsid w:val="008B5E6B"/>
    <w:rsid w:val="008B62B0"/>
    <w:rsid w:val="008B639A"/>
    <w:rsid w:val="008B63B6"/>
    <w:rsid w:val="008B653E"/>
    <w:rsid w:val="008B6678"/>
    <w:rsid w:val="008B67F8"/>
    <w:rsid w:val="008B6C32"/>
    <w:rsid w:val="008B727F"/>
    <w:rsid w:val="008B7534"/>
    <w:rsid w:val="008B7A80"/>
    <w:rsid w:val="008B7B99"/>
    <w:rsid w:val="008C002A"/>
    <w:rsid w:val="008C0BF1"/>
    <w:rsid w:val="008C0E9C"/>
    <w:rsid w:val="008C1182"/>
    <w:rsid w:val="008C15FD"/>
    <w:rsid w:val="008C17C0"/>
    <w:rsid w:val="008C1EAE"/>
    <w:rsid w:val="008C22DA"/>
    <w:rsid w:val="008C2B86"/>
    <w:rsid w:val="008C3143"/>
    <w:rsid w:val="008C3553"/>
    <w:rsid w:val="008C384C"/>
    <w:rsid w:val="008C3AAB"/>
    <w:rsid w:val="008C3E39"/>
    <w:rsid w:val="008C4591"/>
    <w:rsid w:val="008C48AF"/>
    <w:rsid w:val="008C4940"/>
    <w:rsid w:val="008C49A9"/>
    <w:rsid w:val="008C4B00"/>
    <w:rsid w:val="008C4E95"/>
    <w:rsid w:val="008C53B1"/>
    <w:rsid w:val="008C5717"/>
    <w:rsid w:val="008C59B4"/>
    <w:rsid w:val="008C5ACF"/>
    <w:rsid w:val="008C5B10"/>
    <w:rsid w:val="008C5DF9"/>
    <w:rsid w:val="008C5E69"/>
    <w:rsid w:val="008C65B2"/>
    <w:rsid w:val="008C65FB"/>
    <w:rsid w:val="008C6D67"/>
    <w:rsid w:val="008C700F"/>
    <w:rsid w:val="008C703F"/>
    <w:rsid w:val="008C78A9"/>
    <w:rsid w:val="008C7AB8"/>
    <w:rsid w:val="008C7C43"/>
    <w:rsid w:val="008C7C6A"/>
    <w:rsid w:val="008C7CA2"/>
    <w:rsid w:val="008C7CCB"/>
    <w:rsid w:val="008C7CF9"/>
    <w:rsid w:val="008C7EDC"/>
    <w:rsid w:val="008D03A7"/>
    <w:rsid w:val="008D05D0"/>
    <w:rsid w:val="008D075C"/>
    <w:rsid w:val="008D07F7"/>
    <w:rsid w:val="008D0846"/>
    <w:rsid w:val="008D0BAC"/>
    <w:rsid w:val="008D0F56"/>
    <w:rsid w:val="008D1350"/>
    <w:rsid w:val="008D1480"/>
    <w:rsid w:val="008D162B"/>
    <w:rsid w:val="008D1A60"/>
    <w:rsid w:val="008D1D67"/>
    <w:rsid w:val="008D1D76"/>
    <w:rsid w:val="008D2296"/>
    <w:rsid w:val="008D22A2"/>
    <w:rsid w:val="008D2561"/>
    <w:rsid w:val="008D2682"/>
    <w:rsid w:val="008D2923"/>
    <w:rsid w:val="008D2DFE"/>
    <w:rsid w:val="008D2F92"/>
    <w:rsid w:val="008D33BD"/>
    <w:rsid w:val="008D34AD"/>
    <w:rsid w:val="008D35E9"/>
    <w:rsid w:val="008D37AC"/>
    <w:rsid w:val="008D3820"/>
    <w:rsid w:val="008D3821"/>
    <w:rsid w:val="008D3EB5"/>
    <w:rsid w:val="008D40C6"/>
    <w:rsid w:val="008D4303"/>
    <w:rsid w:val="008D439A"/>
    <w:rsid w:val="008D4447"/>
    <w:rsid w:val="008D46A3"/>
    <w:rsid w:val="008D4733"/>
    <w:rsid w:val="008D487D"/>
    <w:rsid w:val="008D5145"/>
    <w:rsid w:val="008D523A"/>
    <w:rsid w:val="008D5279"/>
    <w:rsid w:val="008D52FC"/>
    <w:rsid w:val="008D5F9D"/>
    <w:rsid w:val="008D644E"/>
    <w:rsid w:val="008D6789"/>
    <w:rsid w:val="008D6954"/>
    <w:rsid w:val="008D69D7"/>
    <w:rsid w:val="008D7092"/>
    <w:rsid w:val="008D70F0"/>
    <w:rsid w:val="008D7B4C"/>
    <w:rsid w:val="008D7BF0"/>
    <w:rsid w:val="008D7D91"/>
    <w:rsid w:val="008D7DF3"/>
    <w:rsid w:val="008E010E"/>
    <w:rsid w:val="008E026F"/>
    <w:rsid w:val="008E041D"/>
    <w:rsid w:val="008E04A4"/>
    <w:rsid w:val="008E05F1"/>
    <w:rsid w:val="008E0ECD"/>
    <w:rsid w:val="008E1304"/>
    <w:rsid w:val="008E1361"/>
    <w:rsid w:val="008E152A"/>
    <w:rsid w:val="008E1CF5"/>
    <w:rsid w:val="008E1F30"/>
    <w:rsid w:val="008E214A"/>
    <w:rsid w:val="008E2529"/>
    <w:rsid w:val="008E26BE"/>
    <w:rsid w:val="008E271B"/>
    <w:rsid w:val="008E2AF8"/>
    <w:rsid w:val="008E2FF5"/>
    <w:rsid w:val="008E3062"/>
    <w:rsid w:val="008E311E"/>
    <w:rsid w:val="008E325E"/>
    <w:rsid w:val="008E362D"/>
    <w:rsid w:val="008E3DC9"/>
    <w:rsid w:val="008E412C"/>
    <w:rsid w:val="008E4369"/>
    <w:rsid w:val="008E46EF"/>
    <w:rsid w:val="008E4A12"/>
    <w:rsid w:val="008E4AEC"/>
    <w:rsid w:val="008E4CA8"/>
    <w:rsid w:val="008E4D66"/>
    <w:rsid w:val="008E4E3A"/>
    <w:rsid w:val="008E5169"/>
    <w:rsid w:val="008E532C"/>
    <w:rsid w:val="008E565D"/>
    <w:rsid w:val="008E57A4"/>
    <w:rsid w:val="008E5938"/>
    <w:rsid w:val="008E5BC1"/>
    <w:rsid w:val="008E5D2D"/>
    <w:rsid w:val="008E5E2C"/>
    <w:rsid w:val="008E5FBD"/>
    <w:rsid w:val="008E6202"/>
    <w:rsid w:val="008E6210"/>
    <w:rsid w:val="008E63F7"/>
    <w:rsid w:val="008E64A8"/>
    <w:rsid w:val="008E66F7"/>
    <w:rsid w:val="008E6822"/>
    <w:rsid w:val="008E6CD2"/>
    <w:rsid w:val="008E6E9F"/>
    <w:rsid w:val="008E7063"/>
    <w:rsid w:val="008E71E4"/>
    <w:rsid w:val="008E73F1"/>
    <w:rsid w:val="008E7587"/>
    <w:rsid w:val="008E75DE"/>
    <w:rsid w:val="008E779A"/>
    <w:rsid w:val="008F009B"/>
    <w:rsid w:val="008F02D9"/>
    <w:rsid w:val="008F06DC"/>
    <w:rsid w:val="008F115D"/>
    <w:rsid w:val="008F1BBE"/>
    <w:rsid w:val="008F1C07"/>
    <w:rsid w:val="008F234F"/>
    <w:rsid w:val="008F24F7"/>
    <w:rsid w:val="008F2586"/>
    <w:rsid w:val="008F2596"/>
    <w:rsid w:val="008F25FD"/>
    <w:rsid w:val="008F2A66"/>
    <w:rsid w:val="008F34BE"/>
    <w:rsid w:val="008F38AD"/>
    <w:rsid w:val="008F3B20"/>
    <w:rsid w:val="008F3BB9"/>
    <w:rsid w:val="008F3D67"/>
    <w:rsid w:val="008F3EBD"/>
    <w:rsid w:val="008F40B1"/>
    <w:rsid w:val="008F4150"/>
    <w:rsid w:val="008F4D52"/>
    <w:rsid w:val="008F503B"/>
    <w:rsid w:val="008F52CD"/>
    <w:rsid w:val="008F52D0"/>
    <w:rsid w:val="008F544D"/>
    <w:rsid w:val="008F575A"/>
    <w:rsid w:val="008F58FB"/>
    <w:rsid w:val="008F5C65"/>
    <w:rsid w:val="008F5FA9"/>
    <w:rsid w:val="008F6A15"/>
    <w:rsid w:val="008F6CB8"/>
    <w:rsid w:val="008F6E03"/>
    <w:rsid w:val="008F6FAA"/>
    <w:rsid w:val="008F718F"/>
    <w:rsid w:val="008F71A1"/>
    <w:rsid w:val="008F723F"/>
    <w:rsid w:val="008F732C"/>
    <w:rsid w:val="008F7685"/>
    <w:rsid w:val="008F7893"/>
    <w:rsid w:val="008F7C58"/>
    <w:rsid w:val="008F7F56"/>
    <w:rsid w:val="0090002A"/>
    <w:rsid w:val="009002D9"/>
    <w:rsid w:val="00900C10"/>
    <w:rsid w:val="00900E58"/>
    <w:rsid w:val="00901180"/>
    <w:rsid w:val="00901360"/>
    <w:rsid w:val="009013FE"/>
    <w:rsid w:val="0090171F"/>
    <w:rsid w:val="009017EF"/>
    <w:rsid w:val="009017FB"/>
    <w:rsid w:val="00901990"/>
    <w:rsid w:val="00901B51"/>
    <w:rsid w:val="00901BA6"/>
    <w:rsid w:val="00901EAC"/>
    <w:rsid w:val="009021A4"/>
    <w:rsid w:val="0090260D"/>
    <w:rsid w:val="00902797"/>
    <w:rsid w:val="00902B4C"/>
    <w:rsid w:val="00902EEB"/>
    <w:rsid w:val="0090331F"/>
    <w:rsid w:val="0090351B"/>
    <w:rsid w:val="00903C9E"/>
    <w:rsid w:val="00903CEE"/>
    <w:rsid w:val="00903DD4"/>
    <w:rsid w:val="009045CF"/>
    <w:rsid w:val="0090469C"/>
    <w:rsid w:val="00904B6B"/>
    <w:rsid w:val="00904C68"/>
    <w:rsid w:val="00904CEE"/>
    <w:rsid w:val="00904E3A"/>
    <w:rsid w:val="00905886"/>
    <w:rsid w:val="00905ADD"/>
    <w:rsid w:val="00905BEF"/>
    <w:rsid w:val="00905C76"/>
    <w:rsid w:val="00905E56"/>
    <w:rsid w:val="00906266"/>
    <w:rsid w:val="00906726"/>
    <w:rsid w:val="009068EE"/>
    <w:rsid w:val="00906AD6"/>
    <w:rsid w:val="00906E0B"/>
    <w:rsid w:val="00906F41"/>
    <w:rsid w:val="00907261"/>
    <w:rsid w:val="0090768B"/>
    <w:rsid w:val="009077B6"/>
    <w:rsid w:val="00907860"/>
    <w:rsid w:val="00907C7B"/>
    <w:rsid w:val="00907EB9"/>
    <w:rsid w:val="00910069"/>
    <w:rsid w:val="009105A8"/>
    <w:rsid w:val="0091069C"/>
    <w:rsid w:val="009108BE"/>
    <w:rsid w:val="00910926"/>
    <w:rsid w:val="00910AAC"/>
    <w:rsid w:val="00910D28"/>
    <w:rsid w:val="009110AE"/>
    <w:rsid w:val="009116C9"/>
    <w:rsid w:val="009117D0"/>
    <w:rsid w:val="00911F2B"/>
    <w:rsid w:val="00911FB9"/>
    <w:rsid w:val="00912089"/>
    <w:rsid w:val="009120ED"/>
    <w:rsid w:val="009128D0"/>
    <w:rsid w:val="00912A32"/>
    <w:rsid w:val="00912ACC"/>
    <w:rsid w:val="00913111"/>
    <w:rsid w:val="009131C7"/>
    <w:rsid w:val="009134E5"/>
    <w:rsid w:val="009136B6"/>
    <w:rsid w:val="00913701"/>
    <w:rsid w:val="00913BC7"/>
    <w:rsid w:val="00913E4D"/>
    <w:rsid w:val="00913ECA"/>
    <w:rsid w:val="009141CE"/>
    <w:rsid w:val="00914328"/>
    <w:rsid w:val="00914479"/>
    <w:rsid w:val="00914A40"/>
    <w:rsid w:val="00914CE1"/>
    <w:rsid w:val="00914D56"/>
    <w:rsid w:val="00914D8B"/>
    <w:rsid w:val="00915033"/>
    <w:rsid w:val="0091511B"/>
    <w:rsid w:val="00915338"/>
    <w:rsid w:val="009153D9"/>
    <w:rsid w:val="00915571"/>
    <w:rsid w:val="00915789"/>
    <w:rsid w:val="009157F7"/>
    <w:rsid w:val="009158B5"/>
    <w:rsid w:val="009159D2"/>
    <w:rsid w:val="00915A31"/>
    <w:rsid w:val="00915C30"/>
    <w:rsid w:val="0091605C"/>
    <w:rsid w:val="00916511"/>
    <w:rsid w:val="00916EE2"/>
    <w:rsid w:val="0091719B"/>
    <w:rsid w:val="009173C0"/>
    <w:rsid w:val="0091788E"/>
    <w:rsid w:val="00917930"/>
    <w:rsid w:val="00920226"/>
    <w:rsid w:val="0092027F"/>
    <w:rsid w:val="00920548"/>
    <w:rsid w:val="00920902"/>
    <w:rsid w:val="00920CE9"/>
    <w:rsid w:val="009214E8"/>
    <w:rsid w:val="0092159B"/>
    <w:rsid w:val="0092172E"/>
    <w:rsid w:val="00921B80"/>
    <w:rsid w:val="00921C7F"/>
    <w:rsid w:val="00921CCB"/>
    <w:rsid w:val="00921D07"/>
    <w:rsid w:val="00921FD2"/>
    <w:rsid w:val="0092203E"/>
    <w:rsid w:val="0092218A"/>
    <w:rsid w:val="00922DB8"/>
    <w:rsid w:val="009230BB"/>
    <w:rsid w:val="00923782"/>
    <w:rsid w:val="00923ED1"/>
    <w:rsid w:val="00923F89"/>
    <w:rsid w:val="0092425C"/>
    <w:rsid w:val="0092445A"/>
    <w:rsid w:val="00924464"/>
    <w:rsid w:val="00924BB5"/>
    <w:rsid w:val="00924BC1"/>
    <w:rsid w:val="00924E28"/>
    <w:rsid w:val="00925156"/>
    <w:rsid w:val="009254DB"/>
    <w:rsid w:val="00925767"/>
    <w:rsid w:val="00925A8F"/>
    <w:rsid w:val="00925D11"/>
    <w:rsid w:val="00925F5B"/>
    <w:rsid w:val="009260C7"/>
    <w:rsid w:val="009262B4"/>
    <w:rsid w:val="00926A93"/>
    <w:rsid w:val="00926C2C"/>
    <w:rsid w:val="009275EE"/>
    <w:rsid w:val="009278DF"/>
    <w:rsid w:val="009278EF"/>
    <w:rsid w:val="00927D8F"/>
    <w:rsid w:val="00930010"/>
    <w:rsid w:val="009300BA"/>
    <w:rsid w:val="00930752"/>
    <w:rsid w:val="00930C34"/>
    <w:rsid w:val="00930CDF"/>
    <w:rsid w:val="0093143D"/>
    <w:rsid w:val="00931CE0"/>
    <w:rsid w:val="00931D6D"/>
    <w:rsid w:val="00932086"/>
    <w:rsid w:val="00932195"/>
    <w:rsid w:val="00932388"/>
    <w:rsid w:val="00932625"/>
    <w:rsid w:val="009328D6"/>
    <w:rsid w:val="009329B8"/>
    <w:rsid w:val="00932A95"/>
    <w:rsid w:val="00932B15"/>
    <w:rsid w:val="00932B41"/>
    <w:rsid w:val="00932C11"/>
    <w:rsid w:val="00932C72"/>
    <w:rsid w:val="0093327C"/>
    <w:rsid w:val="009336B7"/>
    <w:rsid w:val="00933802"/>
    <w:rsid w:val="0093384C"/>
    <w:rsid w:val="0093395A"/>
    <w:rsid w:val="00933C28"/>
    <w:rsid w:val="00933F80"/>
    <w:rsid w:val="009347FB"/>
    <w:rsid w:val="00934BDA"/>
    <w:rsid w:val="00934D52"/>
    <w:rsid w:val="00935054"/>
    <w:rsid w:val="009352A4"/>
    <w:rsid w:val="009356E2"/>
    <w:rsid w:val="0093572B"/>
    <w:rsid w:val="00935934"/>
    <w:rsid w:val="00935D8D"/>
    <w:rsid w:val="00935FA6"/>
    <w:rsid w:val="00935FCF"/>
    <w:rsid w:val="0093682F"/>
    <w:rsid w:val="00936A44"/>
    <w:rsid w:val="00936A4D"/>
    <w:rsid w:val="00936D6B"/>
    <w:rsid w:val="00936E04"/>
    <w:rsid w:val="00937483"/>
    <w:rsid w:val="009376ED"/>
    <w:rsid w:val="009376EF"/>
    <w:rsid w:val="009378FD"/>
    <w:rsid w:val="009379B2"/>
    <w:rsid w:val="00937AF0"/>
    <w:rsid w:val="00937B20"/>
    <w:rsid w:val="00937B2C"/>
    <w:rsid w:val="00937E40"/>
    <w:rsid w:val="0094027E"/>
    <w:rsid w:val="00940522"/>
    <w:rsid w:val="00940652"/>
    <w:rsid w:val="00940670"/>
    <w:rsid w:val="0094075D"/>
    <w:rsid w:val="00940B23"/>
    <w:rsid w:val="00940C23"/>
    <w:rsid w:val="00940C91"/>
    <w:rsid w:val="00940CCA"/>
    <w:rsid w:val="00941178"/>
    <w:rsid w:val="00941212"/>
    <w:rsid w:val="009415BD"/>
    <w:rsid w:val="00941932"/>
    <w:rsid w:val="009419BC"/>
    <w:rsid w:val="00941A5A"/>
    <w:rsid w:val="00941B4A"/>
    <w:rsid w:val="00941B7C"/>
    <w:rsid w:val="00941CCF"/>
    <w:rsid w:val="00941D99"/>
    <w:rsid w:val="00941F7E"/>
    <w:rsid w:val="0094206B"/>
    <w:rsid w:val="009423B3"/>
    <w:rsid w:val="009423FF"/>
    <w:rsid w:val="0094276F"/>
    <w:rsid w:val="0094291D"/>
    <w:rsid w:val="00942A37"/>
    <w:rsid w:val="00942F80"/>
    <w:rsid w:val="00942FFC"/>
    <w:rsid w:val="00943297"/>
    <w:rsid w:val="009432AE"/>
    <w:rsid w:val="00943861"/>
    <w:rsid w:val="00943B4A"/>
    <w:rsid w:val="009442D2"/>
    <w:rsid w:val="00944368"/>
    <w:rsid w:val="00944491"/>
    <w:rsid w:val="00944AF3"/>
    <w:rsid w:val="00944F95"/>
    <w:rsid w:val="00944FA3"/>
    <w:rsid w:val="00945948"/>
    <w:rsid w:val="00945B8E"/>
    <w:rsid w:val="00945DEC"/>
    <w:rsid w:val="00945EE7"/>
    <w:rsid w:val="00945F3D"/>
    <w:rsid w:val="00946103"/>
    <w:rsid w:val="00946131"/>
    <w:rsid w:val="009465B0"/>
    <w:rsid w:val="009468B2"/>
    <w:rsid w:val="00946A86"/>
    <w:rsid w:val="00946F2C"/>
    <w:rsid w:val="00946F6A"/>
    <w:rsid w:val="0094777F"/>
    <w:rsid w:val="00947DEC"/>
    <w:rsid w:val="00947F50"/>
    <w:rsid w:val="00950226"/>
    <w:rsid w:val="00950478"/>
    <w:rsid w:val="009508CE"/>
    <w:rsid w:val="00950971"/>
    <w:rsid w:val="009509D8"/>
    <w:rsid w:val="00950B27"/>
    <w:rsid w:val="00950B74"/>
    <w:rsid w:val="009512E1"/>
    <w:rsid w:val="00951498"/>
    <w:rsid w:val="00951671"/>
    <w:rsid w:val="00951D63"/>
    <w:rsid w:val="00952018"/>
    <w:rsid w:val="0095206A"/>
    <w:rsid w:val="009521BE"/>
    <w:rsid w:val="009522A3"/>
    <w:rsid w:val="00952649"/>
    <w:rsid w:val="00952891"/>
    <w:rsid w:val="00952991"/>
    <w:rsid w:val="00952A2F"/>
    <w:rsid w:val="00952AE4"/>
    <w:rsid w:val="00952B20"/>
    <w:rsid w:val="00952EDD"/>
    <w:rsid w:val="0095306A"/>
    <w:rsid w:val="00953417"/>
    <w:rsid w:val="00953B74"/>
    <w:rsid w:val="00953BC9"/>
    <w:rsid w:val="00953E49"/>
    <w:rsid w:val="00953F2D"/>
    <w:rsid w:val="00954178"/>
    <w:rsid w:val="00954306"/>
    <w:rsid w:val="0095435E"/>
    <w:rsid w:val="0095483C"/>
    <w:rsid w:val="00954C05"/>
    <w:rsid w:val="00954CA5"/>
    <w:rsid w:val="00954D6B"/>
    <w:rsid w:val="00954E31"/>
    <w:rsid w:val="009551F3"/>
    <w:rsid w:val="0095540C"/>
    <w:rsid w:val="0095558A"/>
    <w:rsid w:val="009555CF"/>
    <w:rsid w:val="00955E5A"/>
    <w:rsid w:val="00956081"/>
    <w:rsid w:val="009561D6"/>
    <w:rsid w:val="0095630F"/>
    <w:rsid w:val="009566E8"/>
    <w:rsid w:val="00956A7C"/>
    <w:rsid w:val="00956DF9"/>
    <w:rsid w:val="00957163"/>
    <w:rsid w:val="009572CA"/>
    <w:rsid w:val="0095790F"/>
    <w:rsid w:val="00957A25"/>
    <w:rsid w:val="00957BC3"/>
    <w:rsid w:val="00960690"/>
    <w:rsid w:val="009606AA"/>
    <w:rsid w:val="00960911"/>
    <w:rsid w:val="00960A74"/>
    <w:rsid w:val="00960C06"/>
    <w:rsid w:val="00960C07"/>
    <w:rsid w:val="00960C0F"/>
    <w:rsid w:val="00960E2B"/>
    <w:rsid w:val="00960EA0"/>
    <w:rsid w:val="00960F22"/>
    <w:rsid w:val="00960F37"/>
    <w:rsid w:val="00960FC6"/>
    <w:rsid w:val="00961486"/>
    <w:rsid w:val="0096158E"/>
    <w:rsid w:val="009615EE"/>
    <w:rsid w:val="00961654"/>
    <w:rsid w:val="0096168D"/>
    <w:rsid w:val="009617CF"/>
    <w:rsid w:val="009618DA"/>
    <w:rsid w:val="00961A3B"/>
    <w:rsid w:val="00962A36"/>
    <w:rsid w:val="0096310B"/>
    <w:rsid w:val="009631BC"/>
    <w:rsid w:val="009632A7"/>
    <w:rsid w:val="0096333B"/>
    <w:rsid w:val="009634FD"/>
    <w:rsid w:val="0096374D"/>
    <w:rsid w:val="009638E8"/>
    <w:rsid w:val="009639B4"/>
    <w:rsid w:val="00963AE3"/>
    <w:rsid w:val="00963B8E"/>
    <w:rsid w:val="00963C29"/>
    <w:rsid w:val="00963E11"/>
    <w:rsid w:val="00963E2F"/>
    <w:rsid w:val="009641E8"/>
    <w:rsid w:val="0096459C"/>
    <w:rsid w:val="0096460F"/>
    <w:rsid w:val="009649C9"/>
    <w:rsid w:val="00964B14"/>
    <w:rsid w:val="00964B94"/>
    <w:rsid w:val="00964C0C"/>
    <w:rsid w:val="00965308"/>
    <w:rsid w:val="009659EB"/>
    <w:rsid w:val="00965B85"/>
    <w:rsid w:val="00965E1B"/>
    <w:rsid w:val="0096654A"/>
    <w:rsid w:val="00966650"/>
    <w:rsid w:val="00966678"/>
    <w:rsid w:val="00966AF7"/>
    <w:rsid w:val="00966E79"/>
    <w:rsid w:val="00966E92"/>
    <w:rsid w:val="009673B0"/>
    <w:rsid w:val="009673E0"/>
    <w:rsid w:val="00967711"/>
    <w:rsid w:val="009707A6"/>
    <w:rsid w:val="00970B32"/>
    <w:rsid w:val="00970CAD"/>
    <w:rsid w:val="0097186E"/>
    <w:rsid w:val="00971873"/>
    <w:rsid w:val="00971947"/>
    <w:rsid w:val="00971BA1"/>
    <w:rsid w:val="00971C9C"/>
    <w:rsid w:val="00972011"/>
    <w:rsid w:val="0097203C"/>
    <w:rsid w:val="00972131"/>
    <w:rsid w:val="00972136"/>
    <w:rsid w:val="00972894"/>
    <w:rsid w:val="00972A8B"/>
    <w:rsid w:val="0097302A"/>
    <w:rsid w:val="009732E4"/>
    <w:rsid w:val="00973474"/>
    <w:rsid w:val="00973490"/>
    <w:rsid w:val="00973FCB"/>
    <w:rsid w:val="009740AB"/>
    <w:rsid w:val="009741CE"/>
    <w:rsid w:val="0097422A"/>
    <w:rsid w:val="009747C3"/>
    <w:rsid w:val="009749DC"/>
    <w:rsid w:val="00974DF9"/>
    <w:rsid w:val="00975048"/>
    <w:rsid w:val="0097505F"/>
    <w:rsid w:val="00975256"/>
    <w:rsid w:val="009757C6"/>
    <w:rsid w:val="00975856"/>
    <w:rsid w:val="00975AA8"/>
    <w:rsid w:val="00975B8E"/>
    <w:rsid w:val="00975CE0"/>
    <w:rsid w:val="00976801"/>
    <w:rsid w:val="0097681A"/>
    <w:rsid w:val="00976C97"/>
    <w:rsid w:val="00976DE7"/>
    <w:rsid w:val="00976EF8"/>
    <w:rsid w:val="00976F4A"/>
    <w:rsid w:val="009770A8"/>
    <w:rsid w:val="009776A5"/>
    <w:rsid w:val="00977775"/>
    <w:rsid w:val="00977822"/>
    <w:rsid w:val="00977BB2"/>
    <w:rsid w:val="00977D9B"/>
    <w:rsid w:val="00977DC8"/>
    <w:rsid w:val="00980576"/>
    <w:rsid w:val="0098096E"/>
    <w:rsid w:val="00980A98"/>
    <w:rsid w:val="00980B86"/>
    <w:rsid w:val="00980E92"/>
    <w:rsid w:val="00980F27"/>
    <w:rsid w:val="009810E8"/>
    <w:rsid w:val="009813E6"/>
    <w:rsid w:val="009817BA"/>
    <w:rsid w:val="00981946"/>
    <w:rsid w:val="00981CD8"/>
    <w:rsid w:val="0098220D"/>
    <w:rsid w:val="00982AF5"/>
    <w:rsid w:val="00983119"/>
    <w:rsid w:val="009831F0"/>
    <w:rsid w:val="00983448"/>
    <w:rsid w:val="009835FB"/>
    <w:rsid w:val="009836AF"/>
    <w:rsid w:val="0098382C"/>
    <w:rsid w:val="009839B7"/>
    <w:rsid w:val="00983B65"/>
    <w:rsid w:val="00984AF5"/>
    <w:rsid w:val="00984AF6"/>
    <w:rsid w:val="00984CBB"/>
    <w:rsid w:val="00984EB9"/>
    <w:rsid w:val="00984F12"/>
    <w:rsid w:val="00984FA1"/>
    <w:rsid w:val="0098536E"/>
    <w:rsid w:val="009857FE"/>
    <w:rsid w:val="009858C6"/>
    <w:rsid w:val="00985A67"/>
    <w:rsid w:val="00985BFA"/>
    <w:rsid w:val="00985E48"/>
    <w:rsid w:val="0098680D"/>
    <w:rsid w:val="009868A8"/>
    <w:rsid w:val="0098695A"/>
    <w:rsid w:val="00986B34"/>
    <w:rsid w:val="0098708A"/>
    <w:rsid w:val="00987151"/>
    <w:rsid w:val="0098717C"/>
    <w:rsid w:val="009875E9"/>
    <w:rsid w:val="00987919"/>
    <w:rsid w:val="00987B49"/>
    <w:rsid w:val="00990287"/>
    <w:rsid w:val="00990325"/>
    <w:rsid w:val="009904EF"/>
    <w:rsid w:val="009905A8"/>
    <w:rsid w:val="00990659"/>
    <w:rsid w:val="0099115F"/>
    <w:rsid w:val="0099121E"/>
    <w:rsid w:val="00991474"/>
    <w:rsid w:val="009914B8"/>
    <w:rsid w:val="0099155C"/>
    <w:rsid w:val="009917E0"/>
    <w:rsid w:val="009918B3"/>
    <w:rsid w:val="0099199E"/>
    <w:rsid w:val="00992073"/>
    <w:rsid w:val="009920C5"/>
    <w:rsid w:val="0099229C"/>
    <w:rsid w:val="009922CC"/>
    <w:rsid w:val="00992932"/>
    <w:rsid w:val="00992AB3"/>
    <w:rsid w:val="00992E87"/>
    <w:rsid w:val="00992EB5"/>
    <w:rsid w:val="00992F7A"/>
    <w:rsid w:val="0099381D"/>
    <w:rsid w:val="00993CDE"/>
    <w:rsid w:val="00993E09"/>
    <w:rsid w:val="00993ECF"/>
    <w:rsid w:val="009948EB"/>
    <w:rsid w:val="00994C74"/>
    <w:rsid w:val="00995149"/>
    <w:rsid w:val="00995544"/>
    <w:rsid w:val="0099579F"/>
    <w:rsid w:val="0099596F"/>
    <w:rsid w:val="00995B15"/>
    <w:rsid w:val="00995B64"/>
    <w:rsid w:val="00995B7B"/>
    <w:rsid w:val="00995F2F"/>
    <w:rsid w:val="00996187"/>
    <w:rsid w:val="009961D0"/>
    <w:rsid w:val="0099642C"/>
    <w:rsid w:val="00996599"/>
    <w:rsid w:val="009965D2"/>
    <w:rsid w:val="00996730"/>
    <w:rsid w:val="00996852"/>
    <w:rsid w:val="00996BB7"/>
    <w:rsid w:val="00996DE5"/>
    <w:rsid w:val="009973DD"/>
    <w:rsid w:val="009978CA"/>
    <w:rsid w:val="00997A7E"/>
    <w:rsid w:val="00997DFF"/>
    <w:rsid w:val="00997E64"/>
    <w:rsid w:val="009A017A"/>
    <w:rsid w:val="009A07D4"/>
    <w:rsid w:val="009A0BDA"/>
    <w:rsid w:val="009A0F3F"/>
    <w:rsid w:val="009A101F"/>
    <w:rsid w:val="009A1270"/>
    <w:rsid w:val="009A138A"/>
    <w:rsid w:val="009A17BC"/>
    <w:rsid w:val="009A187E"/>
    <w:rsid w:val="009A1994"/>
    <w:rsid w:val="009A1F16"/>
    <w:rsid w:val="009A1F2C"/>
    <w:rsid w:val="009A1FCD"/>
    <w:rsid w:val="009A27A0"/>
    <w:rsid w:val="009A2846"/>
    <w:rsid w:val="009A28D5"/>
    <w:rsid w:val="009A28D9"/>
    <w:rsid w:val="009A2971"/>
    <w:rsid w:val="009A2B1A"/>
    <w:rsid w:val="009A2C03"/>
    <w:rsid w:val="009A2CE6"/>
    <w:rsid w:val="009A2DBD"/>
    <w:rsid w:val="009A301E"/>
    <w:rsid w:val="009A309F"/>
    <w:rsid w:val="009A318A"/>
    <w:rsid w:val="009A342D"/>
    <w:rsid w:val="009A37D8"/>
    <w:rsid w:val="009A38B3"/>
    <w:rsid w:val="009A3FDB"/>
    <w:rsid w:val="009A448A"/>
    <w:rsid w:val="009A45FD"/>
    <w:rsid w:val="009A4873"/>
    <w:rsid w:val="009A538C"/>
    <w:rsid w:val="009A5680"/>
    <w:rsid w:val="009A56BA"/>
    <w:rsid w:val="009A5777"/>
    <w:rsid w:val="009A5893"/>
    <w:rsid w:val="009A5A85"/>
    <w:rsid w:val="009A5E55"/>
    <w:rsid w:val="009A621C"/>
    <w:rsid w:val="009A637E"/>
    <w:rsid w:val="009A68C7"/>
    <w:rsid w:val="009A6B9D"/>
    <w:rsid w:val="009A6C86"/>
    <w:rsid w:val="009A6CFA"/>
    <w:rsid w:val="009A6D12"/>
    <w:rsid w:val="009A705A"/>
    <w:rsid w:val="009A71DC"/>
    <w:rsid w:val="009A7629"/>
    <w:rsid w:val="009A7823"/>
    <w:rsid w:val="009A78CA"/>
    <w:rsid w:val="009A78D7"/>
    <w:rsid w:val="009A79F5"/>
    <w:rsid w:val="009A7A77"/>
    <w:rsid w:val="009A7DD9"/>
    <w:rsid w:val="009B0B3D"/>
    <w:rsid w:val="009B0B66"/>
    <w:rsid w:val="009B0DAD"/>
    <w:rsid w:val="009B120E"/>
    <w:rsid w:val="009B1324"/>
    <w:rsid w:val="009B1387"/>
    <w:rsid w:val="009B149A"/>
    <w:rsid w:val="009B16A1"/>
    <w:rsid w:val="009B19D8"/>
    <w:rsid w:val="009B1EF6"/>
    <w:rsid w:val="009B25BA"/>
    <w:rsid w:val="009B2676"/>
    <w:rsid w:val="009B28FC"/>
    <w:rsid w:val="009B2941"/>
    <w:rsid w:val="009B2E27"/>
    <w:rsid w:val="009B2FB3"/>
    <w:rsid w:val="009B3053"/>
    <w:rsid w:val="009B37F1"/>
    <w:rsid w:val="009B38F2"/>
    <w:rsid w:val="009B3B9C"/>
    <w:rsid w:val="009B3D70"/>
    <w:rsid w:val="009B3F26"/>
    <w:rsid w:val="009B3F3A"/>
    <w:rsid w:val="009B3FFC"/>
    <w:rsid w:val="009B4022"/>
    <w:rsid w:val="009B408E"/>
    <w:rsid w:val="009B4A47"/>
    <w:rsid w:val="009B4CFD"/>
    <w:rsid w:val="009B4F59"/>
    <w:rsid w:val="009B5276"/>
    <w:rsid w:val="009B568A"/>
    <w:rsid w:val="009B568C"/>
    <w:rsid w:val="009B573B"/>
    <w:rsid w:val="009B59A0"/>
    <w:rsid w:val="009B5AFD"/>
    <w:rsid w:val="009B60C9"/>
    <w:rsid w:val="009B61C0"/>
    <w:rsid w:val="009B639C"/>
    <w:rsid w:val="009B6645"/>
    <w:rsid w:val="009B6953"/>
    <w:rsid w:val="009B6B4F"/>
    <w:rsid w:val="009B7071"/>
    <w:rsid w:val="009B7181"/>
    <w:rsid w:val="009B7467"/>
    <w:rsid w:val="009B7801"/>
    <w:rsid w:val="009B79AC"/>
    <w:rsid w:val="009B79B5"/>
    <w:rsid w:val="009B7C60"/>
    <w:rsid w:val="009B7C6D"/>
    <w:rsid w:val="009C0366"/>
    <w:rsid w:val="009C03E5"/>
    <w:rsid w:val="009C0816"/>
    <w:rsid w:val="009C0A55"/>
    <w:rsid w:val="009C0EBF"/>
    <w:rsid w:val="009C109A"/>
    <w:rsid w:val="009C10D4"/>
    <w:rsid w:val="009C128B"/>
    <w:rsid w:val="009C134A"/>
    <w:rsid w:val="009C16EE"/>
    <w:rsid w:val="009C185E"/>
    <w:rsid w:val="009C1D9F"/>
    <w:rsid w:val="009C1FA4"/>
    <w:rsid w:val="009C2170"/>
    <w:rsid w:val="009C2311"/>
    <w:rsid w:val="009C263C"/>
    <w:rsid w:val="009C267F"/>
    <w:rsid w:val="009C27CD"/>
    <w:rsid w:val="009C286D"/>
    <w:rsid w:val="009C2A63"/>
    <w:rsid w:val="009C2BD0"/>
    <w:rsid w:val="009C301D"/>
    <w:rsid w:val="009C3253"/>
    <w:rsid w:val="009C3848"/>
    <w:rsid w:val="009C3BCC"/>
    <w:rsid w:val="009C413F"/>
    <w:rsid w:val="009C45B6"/>
    <w:rsid w:val="009C4606"/>
    <w:rsid w:val="009C463D"/>
    <w:rsid w:val="009C467E"/>
    <w:rsid w:val="009C4879"/>
    <w:rsid w:val="009C4966"/>
    <w:rsid w:val="009C4AF2"/>
    <w:rsid w:val="009C4B7B"/>
    <w:rsid w:val="009C56BD"/>
    <w:rsid w:val="009C5A4E"/>
    <w:rsid w:val="009C5E82"/>
    <w:rsid w:val="009C5F7E"/>
    <w:rsid w:val="009C60B5"/>
    <w:rsid w:val="009C62E4"/>
    <w:rsid w:val="009C6E51"/>
    <w:rsid w:val="009C77D5"/>
    <w:rsid w:val="009C792E"/>
    <w:rsid w:val="009C7A78"/>
    <w:rsid w:val="009C7BC9"/>
    <w:rsid w:val="009C7EDF"/>
    <w:rsid w:val="009C7EE5"/>
    <w:rsid w:val="009D0452"/>
    <w:rsid w:val="009D091A"/>
    <w:rsid w:val="009D095B"/>
    <w:rsid w:val="009D095E"/>
    <w:rsid w:val="009D0A5C"/>
    <w:rsid w:val="009D0FCD"/>
    <w:rsid w:val="009D1130"/>
    <w:rsid w:val="009D136A"/>
    <w:rsid w:val="009D1434"/>
    <w:rsid w:val="009D153D"/>
    <w:rsid w:val="009D1561"/>
    <w:rsid w:val="009D21C7"/>
    <w:rsid w:val="009D273A"/>
    <w:rsid w:val="009D2DEC"/>
    <w:rsid w:val="009D3192"/>
    <w:rsid w:val="009D34AD"/>
    <w:rsid w:val="009D34C7"/>
    <w:rsid w:val="009D3711"/>
    <w:rsid w:val="009D390E"/>
    <w:rsid w:val="009D391E"/>
    <w:rsid w:val="009D3CCB"/>
    <w:rsid w:val="009D457F"/>
    <w:rsid w:val="009D5371"/>
    <w:rsid w:val="009D5C40"/>
    <w:rsid w:val="009D5CC3"/>
    <w:rsid w:val="009D65F0"/>
    <w:rsid w:val="009D672D"/>
    <w:rsid w:val="009D67F8"/>
    <w:rsid w:val="009D68A4"/>
    <w:rsid w:val="009D6AA8"/>
    <w:rsid w:val="009D6AD4"/>
    <w:rsid w:val="009D6D0D"/>
    <w:rsid w:val="009D6FD3"/>
    <w:rsid w:val="009D7126"/>
    <w:rsid w:val="009D75AE"/>
    <w:rsid w:val="009D75FD"/>
    <w:rsid w:val="009D7747"/>
    <w:rsid w:val="009D7B82"/>
    <w:rsid w:val="009D7DE6"/>
    <w:rsid w:val="009D7EE5"/>
    <w:rsid w:val="009E0405"/>
    <w:rsid w:val="009E0451"/>
    <w:rsid w:val="009E0A07"/>
    <w:rsid w:val="009E0A22"/>
    <w:rsid w:val="009E0E54"/>
    <w:rsid w:val="009E1151"/>
    <w:rsid w:val="009E1286"/>
    <w:rsid w:val="009E1C3A"/>
    <w:rsid w:val="009E1D1C"/>
    <w:rsid w:val="009E1EAC"/>
    <w:rsid w:val="009E20BA"/>
    <w:rsid w:val="009E25DE"/>
    <w:rsid w:val="009E26BC"/>
    <w:rsid w:val="009E28DE"/>
    <w:rsid w:val="009E2ED1"/>
    <w:rsid w:val="009E336D"/>
    <w:rsid w:val="009E35D5"/>
    <w:rsid w:val="009E36E2"/>
    <w:rsid w:val="009E3BB9"/>
    <w:rsid w:val="009E4090"/>
    <w:rsid w:val="009E40E1"/>
    <w:rsid w:val="009E42D4"/>
    <w:rsid w:val="009E4389"/>
    <w:rsid w:val="009E459B"/>
    <w:rsid w:val="009E47C5"/>
    <w:rsid w:val="009E47DF"/>
    <w:rsid w:val="009E4977"/>
    <w:rsid w:val="009E516F"/>
    <w:rsid w:val="009E521A"/>
    <w:rsid w:val="009E5760"/>
    <w:rsid w:val="009E59EC"/>
    <w:rsid w:val="009E5A26"/>
    <w:rsid w:val="009E5E8A"/>
    <w:rsid w:val="009E7477"/>
    <w:rsid w:val="009E76CE"/>
    <w:rsid w:val="009E78BE"/>
    <w:rsid w:val="009E790F"/>
    <w:rsid w:val="009E7935"/>
    <w:rsid w:val="009E79EC"/>
    <w:rsid w:val="009E7E1B"/>
    <w:rsid w:val="009E7F91"/>
    <w:rsid w:val="009E7F9D"/>
    <w:rsid w:val="009F02FE"/>
    <w:rsid w:val="009F03FE"/>
    <w:rsid w:val="009F042B"/>
    <w:rsid w:val="009F0901"/>
    <w:rsid w:val="009F0DBE"/>
    <w:rsid w:val="009F175E"/>
    <w:rsid w:val="009F191B"/>
    <w:rsid w:val="009F1BDE"/>
    <w:rsid w:val="009F1C70"/>
    <w:rsid w:val="009F1DA2"/>
    <w:rsid w:val="009F1DDC"/>
    <w:rsid w:val="009F1DDD"/>
    <w:rsid w:val="009F2196"/>
    <w:rsid w:val="009F2243"/>
    <w:rsid w:val="009F2266"/>
    <w:rsid w:val="009F26B3"/>
    <w:rsid w:val="009F301A"/>
    <w:rsid w:val="009F3023"/>
    <w:rsid w:val="009F366F"/>
    <w:rsid w:val="009F38B8"/>
    <w:rsid w:val="009F3B4F"/>
    <w:rsid w:val="009F3CD7"/>
    <w:rsid w:val="009F3FA5"/>
    <w:rsid w:val="009F444B"/>
    <w:rsid w:val="009F4960"/>
    <w:rsid w:val="009F49A0"/>
    <w:rsid w:val="009F4A17"/>
    <w:rsid w:val="009F4B15"/>
    <w:rsid w:val="009F566A"/>
    <w:rsid w:val="009F5C00"/>
    <w:rsid w:val="009F5D38"/>
    <w:rsid w:val="009F5DA8"/>
    <w:rsid w:val="009F5F28"/>
    <w:rsid w:val="009F6093"/>
    <w:rsid w:val="009F6231"/>
    <w:rsid w:val="009F6631"/>
    <w:rsid w:val="009F68A0"/>
    <w:rsid w:val="009F6CCC"/>
    <w:rsid w:val="009F6CD1"/>
    <w:rsid w:val="009F6D8B"/>
    <w:rsid w:val="009F6E1A"/>
    <w:rsid w:val="009F7282"/>
    <w:rsid w:val="009F7337"/>
    <w:rsid w:val="009F7693"/>
    <w:rsid w:val="009F7834"/>
    <w:rsid w:val="009F7897"/>
    <w:rsid w:val="009F7D21"/>
    <w:rsid w:val="00A0033A"/>
    <w:rsid w:val="00A004C4"/>
    <w:rsid w:val="00A00642"/>
    <w:rsid w:val="00A00C03"/>
    <w:rsid w:val="00A00E6A"/>
    <w:rsid w:val="00A00ED3"/>
    <w:rsid w:val="00A014AA"/>
    <w:rsid w:val="00A01750"/>
    <w:rsid w:val="00A01C5D"/>
    <w:rsid w:val="00A01DB6"/>
    <w:rsid w:val="00A021EF"/>
    <w:rsid w:val="00A0224C"/>
    <w:rsid w:val="00A025D1"/>
    <w:rsid w:val="00A02773"/>
    <w:rsid w:val="00A02AD2"/>
    <w:rsid w:val="00A02B68"/>
    <w:rsid w:val="00A02BFE"/>
    <w:rsid w:val="00A02C9A"/>
    <w:rsid w:val="00A02E0C"/>
    <w:rsid w:val="00A02E1D"/>
    <w:rsid w:val="00A0334D"/>
    <w:rsid w:val="00A03520"/>
    <w:rsid w:val="00A03701"/>
    <w:rsid w:val="00A03778"/>
    <w:rsid w:val="00A0394B"/>
    <w:rsid w:val="00A039C9"/>
    <w:rsid w:val="00A03B08"/>
    <w:rsid w:val="00A04562"/>
    <w:rsid w:val="00A04AC8"/>
    <w:rsid w:val="00A04BF2"/>
    <w:rsid w:val="00A04E18"/>
    <w:rsid w:val="00A04E90"/>
    <w:rsid w:val="00A0515C"/>
    <w:rsid w:val="00A05251"/>
    <w:rsid w:val="00A056AD"/>
    <w:rsid w:val="00A056CA"/>
    <w:rsid w:val="00A05C41"/>
    <w:rsid w:val="00A06015"/>
    <w:rsid w:val="00A06415"/>
    <w:rsid w:val="00A06459"/>
    <w:rsid w:val="00A06460"/>
    <w:rsid w:val="00A0664C"/>
    <w:rsid w:val="00A06702"/>
    <w:rsid w:val="00A06973"/>
    <w:rsid w:val="00A06B46"/>
    <w:rsid w:val="00A06E10"/>
    <w:rsid w:val="00A06FAA"/>
    <w:rsid w:val="00A06FBA"/>
    <w:rsid w:val="00A07028"/>
    <w:rsid w:val="00A07197"/>
    <w:rsid w:val="00A07314"/>
    <w:rsid w:val="00A0737E"/>
    <w:rsid w:val="00A07467"/>
    <w:rsid w:val="00A07639"/>
    <w:rsid w:val="00A07C62"/>
    <w:rsid w:val="00A07C8D"/>
    <w:rsid w:val="00A100C1"/>
    <w:rsid w:val="00A104D4"/>
    <w:rsid w:val="00A107CD"/>
    <w:rsid w:val="00A10C0F"/>
    <w:rsid w:val="00A10E05"/>
    <w:rsid w:val="00A110FF"/>
    <w:rsid w:val="00A111AB"/>
    <w:rsid w:val="00A1126B"/>
    <w:rsid w:val="00A1157A"/>
    <w:rsid w:val="00A118B6"/>
    <w:rsid w:val="00A1197F"/>
    <w:rsid w:val="00A11D6C"/>
    <w:rsid w:val="00A121DE"/>
    <w:rsid w:val="00A1261D"/>
    <w:rsid w:val="00A12A5F"/>
    <w:rsid w:val="00A12BAA"/>
    <w:rsid w:val="00A12D59"/>
    <w:rsid w:val="00A132FB"/>
    <w:rsid w:val="00A134DE"/>
    <w:rsid w:val="00A13A13"/>
    <w:rsid w:val="00A13BEA"/>
    <w:rsid w:val="00A13CB7"/>
    <w:rsid w:val="00A13D63"/>
    <w:rsid w:val="00A13DA1"/>
    <w:rsid w:val="00A1436C"/>
    <w:rsid w:val="00A14B48"/>
    <w:rsid w:val="00A14C3E"/>
    <w:rsid w:val="00A14D70"/>
    <w:rsid w:val="00A14E9D"/>
    <w:rsid w:val="00A14EC0"/>
    <w:rsid w:val="00A151A0"/>
    <w:rsid w:val="00A151AC"/>
    <w:rsid w:val="00A15245"/>
    <w:rsid w:val="00A1526E"/>
    <w:rsid w:val="00A155D1"/>
    <w:rsid w:val="00A1597C"/>
    <w:rsid w:val="00A16034"/>
    <w:rsid w:val="00A16103"/>
    <w:rsid w:val="00A161FC"/>
    <w:rsid w:val="00A169E1"/>
    <w:rsid w:val="00A16B01"/>
    <w:rsid w:val="00A16BFC"/>
    <w:rsid w:val="00A16CFE"/>
    <w:rsid w:val="00A16E17"/>
    <w:rsid w:val="00A16E65"/>
    <w:rsid w:val="00A1704F"/>
    <w:rsid w:val="00A1717E"/>
    <w:rsid w:val="00A17376"/>
    <w:rsid w:val="00A17468"/>
    <w:rsid w:val="00A17801"/>
    <w:rsid w:val="00A17867"/>
    <w:rsid w:val="00A17BF4"/>
    <w:rsid w:val="00A17D26"/>
    <w:rsid w:val="00A17E26"/>
    <w:rsid w:val="00A2001E"/>
    <w:rsid w:val="00A20561"/>
    <w:rsid w:val="00A20613"/>
    <w:rsid w:val="00A20681"/>
    <w:rsid w:val="00A209AC"/>
    <w:rsid w:val="00A20E0F"/>
    <w:rsid w:val="00A210BA"/>
    <w:rsid w:val="00A21203"/>
    <w:rsid w:val="00A21424"/>
    <w:rsid w:val="00A21498"/>
    <w:rsid w:val="00A21B7F"/>
    <w:rsid w:val="00A21BDF"/>
    <w:rsid w:val="00A21DDF"/>
    <w:rsid w:val="00A21F77"/>
    <w:rsid w:val="00A22473"/>
    <w:rsid w:val="00A2289C"/>
    <w:rsid w:val="00A22A32"/>
    <w:rsid w:val="00A22A37"/>
    <w:rsid w:val="00A22C5C"/>
    <w:rsid w:val="00A22DEB"/>
    <w:rsid w:val="00A22EE3"/>
    <w:rsid w:val="00A22EF1"/>
    <w:rsid w:val="00A231BF"/>
    <w:rsid w:val="00A232E9"/>
    <w:rsid w:val="00A2374F"/>
    <w:rsid w:val="00A23862"/>
    <w:rsid w:val="00A23AA5"/>
    <w:rsid w:val="00A23C3D"/>
    <w:rsid w:val="00A23D67"/>
    <w:rsid w:val="00A246AC"/>
    <w:rsid w:val="00A246BF"/>
    <w:rsid w:val="00A24AED"/>
    <w:rsid w:val="00A24FEA"/>
    <w:rsid w:val="00A2510E"/>
    <w:rsid w:val="00A2522D"/>
    <w:rsid w:val="00A255F6"/>
    <w:rsid w:val="00A25636"/>
    <w:rsid w:val="00A257F5"/>
    <w:rsid w:val="00A25BA9"/>
    <w:rsid w:val="00A2663E"/>
    <w:rsid w:val="00A26B34"/>
    <w:rsid w:val="00A26C75"/>
    <w:rsid w:val="00A270E4"/>
    <w:rsid w:val="00A27350"/>
    <w:rsid w:val="00A273DF"/>
    <w:rsid w:val="00A2750A"/>
    <w:rsid w:val="00A27560"/>
    <w:rsid w:val="00A2790C"/>
    <w:rsid w:val="00A27927"/>
    <w:rsid w:val="00A27965"/>
    <w:rsid w:val="00A27D70"/>
    <w:rsid w:val="00A27F8D"/>
    <w:rsid w:val="00A30301"/>
    <w:rsid w:val="00A3054F"/>
    <w:rsid w:val="00A307B2"/>
    <w:rsid w:val="00A30896"/>
    <w:rsid w:val="00A309A3"/>
    <w:rsid w:val="00A30B4D"/>
    <w:rsid w:val="00A3128B"/>
    <w:rsid w:val="00A31307"/>
    <w:rsid w:val="00A313F8"/>
    <w:rsid w:val="00A315E2"/>
    <w:rsid w:val="00A319B1"/>
    <w:rsid w:val="00A32089"/>
    <w:rsid w:val="00A3255E"/>
    <w:rsid w:val="00A32607"/>
    <w:rsid w:val="00A3264B"/>
    <w:rsid w:val="00A32AF1"/>
    <w:rsid w:val="00A32B50"/>
    <w:rsid w:val="00A330CC"/>
    <w:rsid w:val="00A33383"/>
    <w:rsid w:val="00A33418"/>
    <w:rsid w:val="00A3376F"/>
    <w:rsid w:val="00A339BA"/>
    <w:rsid w:val="00A33AE5"/>
    <w:rsid w:val="00A33BA3"/>
    <w:rsid w:val="00A33E0A"/>
    <w:rsid w:val="00A347A6"/>
    <w:rsid w:val="00A348F2"/>
    <w:rsid w:val="00A34CAE"/>
    <w:rsid w:val="00A34E11"/>
    <w:rsid w:val="00A352B1"/>
    <w:rsid w:val="00A357C6"/>
    <w:rsid w:val="00A35825"/>
    <w:rsid w:val="00A35983"/>
    <w:rsid w:val="00A35AF4"/>
    <w:rsid w:val="00A35E0C"/>
    <w:rsid w:val="00A3617C"/>
    <w:rsid w:val="00A362A8"/>
    <w:rsid w:val="00A363C4"/>
    <w:rsid w:val="00A36C47"/>
    <w:rsid w:val="00A36D29"/>
    <w:rsid w:val="00A36FC1"/>
    <w:rsid w:val="00A37167"/>
    <w:rsid w:val="00A37AC4"/>
    <w:rsid w:val="00A37C21"/>
    <w:rsid w:val="00A37F34"/>
    <w:rsid w:val="00A40197"/>
    <w:rsid w:val="00A402A1"/>
    <w:rsid w:val="00A40C59"/>
    <w:rsid w:val="00A40C5B"/>
    <w:rsid w:val="00A40E2A"/>
    <w:rsid w:val="00A412BF"/>
    <w:rsid w:val="00A4185E"/>
    <w:rsid w:val="00A419F9"/>
    <w:rsid w:val="00A41C33"/>
    <w:rsid w:val="00A41D2D"/>
    <w:rsid w:val="00A41D53"/>
    <w:rsid w:val="00A41FAC"/>
    <w:rsid w:val="00A421DF"/>
    <w:rsid w:val="00A42322"/>
    <w:rsid w:val="00A42505"/>
    <w:rsid w:val="00A42518"/>
    <w:rsid w:val="00A42529"/>
    <w:rsid w:val="00A42B56"/>
    <w:rsid w:val="00A42B69"/>
    <w:rsid w:val="00A42D6E"/>
    <w:rsid w:val="00A437A5"/>
    <w:rsid w:val="00A438BF"/>
    <w:rsid w:val="00A439DF"/>
    <w:rsid w:val="00A43A65"/>
    <w:rsid w:val="00A43C4D"/>
    <w:rsid w:val="00A4444A"/>
    <w:rsid w:val="00A444AF"/>
    <w:rsid w:val="00A44573"/>
    <w:rsid w:val="00A447A3"/>
    <w:rsid w:val="00A4501A"/>
    <w:rsid w:val="00A4503B"/>
    <w:rsid w:val="00A451C7"/>
    <w:rsid w:val="00A4540F"/>
    <w:rsid w:val="00A45F37"/>
    <w:rsid w:val="00A461C0"/>
    <w:rsid w:val="00A46284"/>
    <w:rsid w:val="00A462E1"/>
    <w:rsid w:val="00A463F1"/>
    <w:rsid w:val="00A467A8"/>
    <w:rsid w:val="00A471E7"/>
    <w:rsid w:val="00A475B7"/>
    <w:rsid w:val="00A477A9"/>
    <w:rsid w:val="00A47942"/>
    <w:rsid w:val="00A479D8"/>
    <w:rsid w:val="00A5025E"/>
    <w:rsid w:val="00A50270"/>
    <w:rsid w:val="00A50542"/>
    <w:rsid w:val="00A5091E"/>
    <w:rsid w:val="00A50A0C"/>
    <w:rsid w:val="00A50BAC"/>
    <w:rsid w:val="00A50C75"/>
    <w:rsid w:val="00A50DEB"/>
    <w:rsid w:val="00A50FD1"/>
    <w:rsid w:val="00A511FD"/>
    <w:rsid w:val="00A51303"/>
    <w:rsid w:val="00A51308"/>
    <w:rsid w:val="00A514E4"/>
    <w:rsid w:val="00A51616"/>
    <w:rsid w:val="00A51861"/>
    <w:rsid w:val="00A51D2A"/>
    <w:rsid w:val="00A51D9C"/>
    <w:rsid w:val="00A51E0F"/>
    <w:rsid w:val="00A52674"/>
    <w:rsid w:val="00A52898"/>
    <w:rsid w:val="00A528FA"/>
    <w:rsid w:val="00A52D38"/>
    <w:rsid w:val="00A53487"/>
    <w:rsid w:val="00A539FB"/>
    <w:rsid w:val="00A53BAC"/>
    <w:rsid w:val="00A53DF0"/>
    <w:rsid w:val="00A53F24"/>
    <w:rsid w:val="00A54460"/>
    <w:rsid w:val="00A545CF"/>
    <w:rsid w:val="00A546C3"/>
    <w:rsid w:val="00A54DCF"/>
    <w:rsid w:val="00A55036"/>
    <w:rsid w:val="00A55434"/>
    <w:rsid w:val="00A55670"/>
    <w:rsid w:val="00A556C5"/>
    <w:rsid w:val="00A558A4"/>
    <w:rsid w:val="00A55ACC"/>
    <w:rsid w:val="00A55B25"/>
    <w:rsid w:val="00A55F98"/>
    <w:rsid w:val="00A560C4"/>
    <w:rsid w:val="00A5614F"/>
    <w:rsid w:val="00A5637E"/>
    <w:rsid w:val="00A56C2F"/>
    <w:rsid w:val="00A56F9D"/>
    <w:rsid w:val="00A572F6"/>
    <w:rsid w:val="00A57660"/>
    <w:rsid w:val="00A57696"/>
    <w:rsid w:val="00A578B3"/>
    <w:rsid w:val="00A578BF"/>
    <w:rsid w:val="00A57A87"/>
    <w:rsid w:val="00A57E47"/>
    <w:rsid w:val="00A6020F"/>
    <w:rsid w:val="00A603CA"/>
    <w:rsid w:val="00A603D8"/>
    <w:rsid w:val="00A60845"/>
    <w:rsid w:val="00A60A45"/>
    <w:rsid w:val="00A60AFA"/>
    <w:rsid w:val="00A60AFE"/>
    <w:rsid w:val="00A60C12"/>
    <w:rsid w:val="00A61179"/>
    <w:rsid w:val="00A611D6"/>
    <w:rsid w:val="00A6151E"/>
    <w:rsid w:val="00A61843"/>
    <w:rsid w:val="00A61B98"/>
    <w:rsid w:val="00A61C6D"/>
    <w:rsid w:val="00A61DFE"/>
    <w:rsid w:val="00A61E6E"/>
    <w:rsid w:val="00A62267"/>
    <w:rsid w:val="00A623D5"/>
    <w:rsid w:val="00A62493"/>
    <w:rsid w:val="00A62566"/>
    <w:rsid w:val="00A627CD"/>
    <w:rsid w:val="00A62C71"/>
    <w:rsid w:val="00A63064"/>
    <w:rsid w:val="00A63862"/>
    <w:rsid w:val="00A638AF"/>
    <w:rsid w:val="00A63A51"/>
    <w:rsid w:val="00A63C58"/>
    <w:rsid w:val="00A63FD7"/>
    <w:rsid w:val="00A6421B"/>
    <w:rsid w:val="00A64429"/>
    <w:rsid w:val="00A645F7"/>
    <w:rsid w:val="00A6497D"/>
    <w:rsid w:val="00A64A5B"/>
    <w:rsid w:val="00A64BE7"/>
    <w:rsid w:val="00A64E70"/>
    <w:rsid w:val="00A64EC1"/>
    <w:rsid w:val="00A6500D"/>
    <w:rsid w:val="00A65342"/>
    <w:rsid w:val="00A65396"/>
    <w:rsid w:val="00A65476"/>
    <w:rsid w:val="00A65507"/>
    <w:rsid w:val="00A65707"/>
    <w:rsid w:val="00A657CC"/>
    <w:rsid w:val="00A65CA7"/>
    <w:rsid w:val="00A65EED"/>
    <w:rsid w:val="00A6613B"/>
    <w:rsid w:val="00A662E8"/>
    <w:rsid w:val="00A66314"/>
    <w:rsid w:val="00A66408"/>
    <w:rsid w:val="00A66565"/>
    <w:rsid w:val="00A66793"/>
    <w:rsid w:val="00A66D94"/>
    <w:rsid w:val="00A66E2D"/>
    <w:rsid w:val="00A67299"/>
    <w:rsid w:val="00A67347"/>
    <w:rsid w:val="00A6742C"/>
    <w:rsid w:val="00A6744D"/>
    <w:rsid w:val="00A67450"/>
    <w:rsid w:val="00A678E3"/>
    <w:rsid w:val="00A67A0A"/>
    <w:rsid w:val="00A67DB1"/>
    <w:rsid w:val="00A70250"/>
    <w:rsid w:val="00A7049E"/>
    <w:rsid w:val="00A7083F"/>
    <w:rsid w:val="00A7087A"/>
    <w:rsid w:val="00A70EB4"/>
    <w:rsid w:val="00A70F09"/>
    <w:rsid w:val="00A7111A"/>
    <w:rsid w:val="00A7128D"/>
    <w:rsid w:val="00A712B2"/>
    <w:rsid w:val="00A7163A"/>
    <w:rsid w:val="00A71963"/>
    <w:rsid w:val="00A719BF"/>
    <w:rsid w:val="00A719C0"/>
    <w:rsid w:val="00A7223C"/>
    <w:rsid w:val="00A72462"/>
    <w:rsid w:val="00A7257B"/>
    <w:rsid w:val="00A72B40"/>
    <w:rsid w:val="00A72DB0"/>
    <w:rsid w:val="00A73229"/>
    <w:rsid w:val="00A73AA9"/>
    <w:rsid w:val="00A73C29"/>
    <w:rsid w:val="00A73C57"/>
    <w:rsid w:val="00A73F53"/>
    <w:rsid w:val="00A74100"/>
    <w:rsid w:val="00A74157"/>
    <w:rsid w:val="00A74492"/>
    <w:rsid w:val="00A748A1"/>
    <w:rsid w:val="00A74A19"/>
    <w:rsid w:val="00A74B1A"/>
    <w:rsid w:val="00A74D31"/>
    <w:rsid w:val="00A752EF"/>
    <w:rsid w:val="00A755D5"/>
    <w:rsid w:val="00A756E5"/>
    <w:rsid w:val="00A758B3"/>
    <w:rsid w:val="00A75B9B"/>
    <w:rsid w:val="00A75D33"/>
    <w:rsid w:val="00A76225"/>
    <w:rsid w:val="00A76C4B"/>
    <w:rsid w:val="00A76E27"/>
    <w:rsid w:val="00A77154"/>
    <w:rsid w:val="00A772DD"/>
    <w:rsid w:val="00A7757C"/>
    <w:rsid w:val="00A777A3"/>
    <w:rsid w:val="00A77DF4"/>
    <w:rsid w:val="00A77EC8"/>
    <w:rsid w:val="00A77FDF"/>
    <w:rsid w:val="00A802E1"/>
    <w:rsid w:val="00A80352"/>
    <w:rsid w:val="00A804A6"/>
    <w:rsid w:val="00A80600"/>
    <w:rsid w:val="00A80995"/>
    <w:rsid w:val="00A80B4E"/>
    <w:rsid w:val="00A8119B"/>
    <w:rsid w:val="00A817E5"/>
    <w:rsid w:val="00A81AA7"/>
    <w:rsid w:val="00A81D23"/>
    <w:rsid w:val="00A81FD6"/>
    <w:rsid w:val="00A822C2"/>
    <w:rsid w:val="00A82380"/>
    <w:rsid w:val="00A823EF"/>
    <w:rsid w:val="00A82720"/>
    <w:rsid w:val="00A82763"/>
    <w:rsid w:val="00A82831"/>
    <w:rsid w:val="00A8285B"/>
    <w:rsid w:val="00A82DB5"/>
    <w:rsid w:val="00A8337A"/>
    <w:rsid w:val="00A836C6"/>
    <w:rsid w:val="00A836FE"/>
    <w:rsid w:val="00A83959"/>
    <w:rsid w:val="00A8395A"/>
    <w:rsid w:val="00A842B1"/>
    <w:rsid w:val="00A84D9F"/>
    <w:rsid w:val="00A84FA2"/>
    <w:rsid w:val="00A8520F"/>
    <w:rsid w:val="00A8529D"/>
    <w:rsid w:val="00A855B9"/>
    <w:rsid w:val="00A85BD0"/>
    <w:rsid w:val="00A85CD9"/>
    <w:rsid w:val="00A85CDE"/>
    <w:rsid w:val="00A85DEF"/>
    <w:rsid w:val="00A85E65"/>
    <w:rsid w:val="00A861FE"/>
    <w:rsid w:val="00A86767"/>
    <w:rsid w:val="00A8699F"/>
    <w:rsid w:val="00A86A60"/>
    <w:rsid w:val="00A876AC"/>
    <w:rsid w:val="00A87A6F"/>
    <w:rsid w:val="00A87DAB"/>
    <w:rsid w:val="00A87DDB"/>
    <w:rsid w:val="00A90219"/>
    <w:rsid w:val="00A904D7"/>
    <w:rsid w:val="00A90CD4"/>
    <w:rsid w:val="00A90E1B"/>
    <w:rsid w:val="00A9128A"/>
    <w:rsid w:val="00A92377"/>
    <w:rsid w:val="00A92A04"/>
    <w:rsid w:val="00A92C64"/>
    <w:rsid w:val="00A92E1C"/>
    <w:rsid w:val="00A92F65"/>
    <w:rsid w:val="00A932D7"/>
    <w:rsid w:val="00A93564"/>
    <w:rsid w:val="00A93BED"/>
    <w:rsid w:val="00A93C62"/>
    <w:rsid w:val="00A94120"/>
    <w:rsid w:val="00A9420A"/>
    <w:rsid w:val="00A94307"/>
    <w:rsid w:val="00A94334"/>
    <w:rsid w:val="00A94374"/>
    <w:rsid w:val="00A9453E"/>
    <w:rsid w:val="00A94B58"/>
    <w:rsid w:val="00A94BAA"/>
    <w:rsid w:val="00A94C27"/>
    <w:rsid w:val="00A94D8E"/>
    <w:rsid w:val="00A95625"/>
    <w:rsid w:val="00A9588A"/>
    <w:rsid w:val="00A9589B"/>
    <w:rsid w:val="00A96514"/>
    <w:rsid w:val="00A9656D"/>
    <w:rsid w:val="00A969BE"/>
    <w:rsid w:val="00A96CB7"/>
    <w:rsid w:val="00A96D74"/>
    <w:rsid w:val="00A96D79"/>
    <w:rsid w:val="00A96E70"/>
    <w:rsid w:val="00A96F05"/>
    <w:rsid w:val="00A971D5"/>
    <w:rsid w:val="00A9775C"/>
    <w:rsid w:val="00A97904"/>
    <w:rsid w:val="00A97C1A"/>
    <w:rsid w:val="00A97F5B"/>
    <w:rsid w:val="00AA031E"/>
    <w:rsid w:val="00AA07F6"/>
    <w:rsid w:val="00AA0F11"/>
    <w:rsid w:val="00AA0F52"/>
    <w:rsid w:val="00AA10AB"/>
    <w:rsid w:val="00AA1288"/>
    <w:rsid w:val="00AA12B9"/>
    <w:rsid w:val="00AA1411"/>
    <w:rsid w:val="00AA169C"/>
    <w:rsid w:val="00AA1737"/>
    <w:rsid w:val="00AA194B"/>
    <w:rsid w:val="00AA1D10"/>
    <w:rsid w:val="00AA1DD9"/>
    <w:rsid w:val="00AA21C1"/>
    <w:rsid w:val="00AA2309"/>
    <w:rsid w:val="00AA24D9"/>
    <w:rsid w:val="00AA2654"/>
    <w:rsid w:val="00AA2AA5"/>
    <w:rsid w:val="00AA2C71"/>
    <w:rsid w:val="00AA2E69"/>
    <w:rsid w:val="00AA2FD0"/>
    <w:rsid w:val="00AA34AE"/>
    <w:rsid w:val="00AA34E3"/>
    <w:rsid w:val="00AA36AA"/>
    <w:rsid w:val="00AA4234"/>
    <w:rsid w:val="00AA44B9"/>
    <w:rsid w:val="00AA4D1D"/>
    <w:rsid w:val="00AA4EB1"/>
    <w:rsid w:val="00AA4FB9"/>
    <w:rsid w:val="00AA5041"/>
    <w:rsid w:val="00AA5095"/>
    <w:rsid w:val="00AA53DB"/>
    <w:rsid w:val="00AA58E4"/>
    <w:rsid w:val="00AA5DE4"/>
    <w:rsid w:val="00AA6242"/>
    <w:rsid w:val="00AA6708"/>
    <w:rsid w:val="00AA69B0"/>
    <w:rsid w:val="00AA6D52"/>
    <w:rsid w:val="00AA7119"/>
    <w:rsid w:val="00AA7240"/>
    <w:rsid w:val="00AA72B7"/>
    <w:rsid w:val="00AA74A5"/>
    <w:rsid w:val="00AA76F3"/>
    <w:rsid w:val="00AA78E0"/>
    <w:rsid w:val="00AA79D4"/>
    <w:rsid w:val="00AA7A17"/>
    <w:rsid w:val="00AA7D96"/>
    <w:rsid w:val="00AB017C"/>
    <w:rsid w:val="00AB06FA"/>
    <w:rsid w:val="00AB0826"/>
    <w:rsid w:val="00AB0AEA"/>
    <w:rsid w:val="00AB0CA6"/>
    <w:rsid w:val="00AB0FD5"/>
    <w:rsid w:val="00AB0FDD"/>
    <w:rsid w:val="00AB1366"/>
    <w:rsid w:val="00AB1537"/>
    <w:rsid w:val="00AB197F"/>
    <w:rsid w:val="00AB1A60"/>
    <w:rsid w:val="00AB1C2D"/>
    <w:rsid w:val="00AB1D61"/>
    <w:rsid w:val="00AB2132"/>
    <w:rsid w:val="00AB2245"/>
    <w:rsid w:val="00AB2299"/>
    <w:rsid w:val="00AB22A5"/>
    <w:rsid w:val="00AB2307"/>
    <w:rsid w:val="00AB234C"/>
    <w:rsid w:val="00AB23E4"/>
    <w:rsid w:val="00AB25BC"/>
    <w:rsid w:val="00AB2721"/>
    <w:rsid w:val="00AB2753"/>
    <w:rsid w:val="00AB284B"/>
    <w:rsid w:val="00AB2DA5"/>
    <w:rsid w:val="00AB3147"/>
    <w:rsid w:val="00AB314A"/>
    <w:rsid w:val="00AB31C2"/>
    <w:rsid w:val="00AB3707"/>
    <w:rsid w:val="00AB3DA0"/>
    <w:rsid w:val="00AB3E55"/>
    <w:rsid w:val="00AB4045"/>
    <w:rsid w:val="00AB4318"/>
    <w:rsid w:val="00AB4C8D"/>
    <w:rsid w:val="00AB4EF1"/>
    <w:rsid w:val="00AB535F"/>
    <w:rsid w:val="00AB5467"/>
    <w:rsid w:val="00AB5E5C"/>
    <w:rsid w:val="00AB6343"/>
    <w:rsid w:val="00AB6384"/>
    <w:rsid w:val="00AB664F"/>
    <w:rsid w:val="00AB669E"/>
    <w:rsid w:val="00AB6866"/>
    <w:rsid w:val="00AB6D30"/>
    <w:rsid w:val="00AB70B0"/>
    <w:rsid w:val="00AB7315"/>
    <w:rsid w:val="00AB74EB"/>
    <w:rsid w:val="00AB75EF"/>
    <w:rsid w:val="00AB776F"/>
    <w:rsid w:val="00AB7D36"/>
    <w:rsid w:val="00AB7E1E"/>
    <w:rsid w:val="00AC07B6"/>
    <w:rsid w:val="00AC0941"/>
    <w:rsid w:val="00AC0984"/>
    <w:rsid w:val="00AC0C47"/>
    <w:rsid w:val="00AC0C5A"/>
    <w:rsid w:val="00AC0D2C"/>
    <w:rsid w:val="00AC0E87"/>
    <w:rsid w:val="00AC1856"/>
    <w:rsid w:val="00AC1F43"/>
    <w:rsid w:val="00AC2281"/>
    <w:rsid w:val="00AC228E"/>
    <w:rsid w:val="00AC2638"/>
    <w:rsid w:val="00AC28E4"/>
    <w:rsid w:val="00AC2B26"/>
    <w:rsid w:val="00AC2B6F"/>
    <w:rsid w:val="00AC340C"/>
    <w:rsid w:val="00AC346D"/>
    <w:rsid w:val="00AC35BB"/>
    <w:rsid w:val="00AC35E2"/>
    <w:rsid w:val="00AC35F0"/>
    <w:rsid w:val="00AC389F"/>
    <w:rsid w:val="00AC3AD8"/>
    <w:rsid w:val="00AC3B55"/>
    <w:rsid w:val="00AC3F52"/>
    <w:rsid w:val="00AC429F"/>
    <w:rsid w:val="00AC42FB"/>
    <w:rsid w:val="00AC468B"/>
    <w:rsid w:val="00AC4B98"/>
    <w:rsid w:val="00AC4DA6"/>
    <w:rsid w:val="00AC4E69"/>
    <w:rsid w:val="00AC510D"/>
    <w:rsid w:val="00AC516C"/>
    <w:rsid w:val="00AC5425"/>
    <w:rsid w:val="00AC559C"/>
    <w:rsid w:val="00AC58FC"/>
    <w:rsid w:val="00AC5C52"/>
    <w:rsid w:val="00AC5F65"/>
    <w:rsid w:val="00AC61D4"/>
    <w:rsid w:val="00AC6298"/>
    <w:rsid w:val="00AC66C0"/>
    <w:rsid w:val="00AC675E"/>
    <w:rsid w:val="00AC67EB"/>
    <w:rsid w:val="00AC6AA9"/>
    <w:rsid w:val="00AC6BC3"/>
    <w:rsid w:val="00AC6E86"/>
    <w:rsid w:val="00AC7114"/>
    <w:rsid w:val="00AC7266"/>
    <w:rsid w:val="00AC775C"/>
    <w:rsid w:val="00AC7C3D"/>
    <w:rsid w:val="00AC7D76"/>
    <w:rsid w:val="00AC7FB4"/>
    <w:rsid w:val="00AD040A"/>
    <w:rsid w:val="00AD0503"/>
    <w:rsid w:val="00AD0820"/>
    <w:rsid w:val="00AD0D18"/>
    <w:rsid w:val="00AD1542"/>
    <w:rsid w:val="00AD1931"/>
    <w:rsid w:val="00AD1C27"/>
    <w:rsid w:val="00AD1E73"/>
    <w:rsid w:val="00AD1EDB"/>
    <w:rsid w:val="00AD1FED"/>
    <w:rsid w:val="00AD243D"/>
    <w:rsid w:val="00AD2BFD"/>
    <w:rsid w:val="00AD323D"/>
    <w:rsid w:val="00AD327B"/>
    <w:rsid w:val="00AD3434"/>
    <w:rsid w:val="00AD3C89"/>
    <w:rsid w:val="00AD40A0"/>
    <w:rsid w:val="00AD41F5"/>
    <w:rsid w:val="00AD42AD"/>
    <w:rsid w:val="00AD4352"/>
    <w:rsid w:val="00AD4A79"/>
    <w:rsid w:val="00AD4B9D"/>
    <w:rsid w:val="00AD4BB8"/>
    <w:rsid w:val="00AD4C74"/>
    <w:rsid w:val="00AD4DE9"/>
    <w:rsid w:val="00AD4F02"/>
    <w:rsid w:val="00AD532B"/>
    <w:rsid w:val="00AD5386"/>
    <w:rsid w:val="00AD5E83"/>
    <w:rsid w:val="00AD6157"/>
    <w:rsid w:val="00AD615F"/>
    <w:rsid w:val="00AD6423"/>
    <w:rsid w:val="00AD6A16"/>
    <w:rsid w:val="00AD6C9C"/>
    <w:rsid w:val="00AD6DA6"/>
    <w:rsid w:val="00AD71C8"/>
    <w:rsid w:val="00AD7266"/>
    <w:rsid w:val="00AD741C"/>
    <w:rsid w:val="00AD7E9D"/>
    <w:rsid w:val="00AE0408"/>
    <w:rsid w:val="00AE04DA"/>
    <w:rsid w:val="00AE06FB"/>
    <w:rsid w:val="00AE0881"/>
    <w:rsid w:val="00AE0D11"/>
    <w:rsid w:val="00AE13EE"/>
    <w:rsid w:val="00AE1891"/>
    <w:rsid w:val="00AE1A66"/>
    <w:rsid w:val="00AE1BDE"/>
    <w:rsid w:val="00AE202A"/>
    <w:rsid w:val="00AE2538"/>
    <w:rsid w:val="00AE2D71"/>
    <w:rsid w:val="00AE3313"/>
    <w:rsid w:val="00AE38A3"/>
    <w:rsid w:val="00AE39EC"/>
    <w:rsid w:val="00AE3E04"/>
    <w:rsid w:val="00AE444F"/>
    <w:rsid w:val="00AE45BB"/>
    <w:rsid w:val="00AE4819"/>
    <w:rsid w:val="00AE48D8"/>
    <w:rsid w:val="00AE4BDD"/>
    <w:rsid w:val="00AE4CA3"/>
    <w:rsid w:val="00AE4D15"/>
    <w:rsid w:val="00AE5178"/>
    <w:rsid w:val="00AE537B"/>
    <w:rsid w:val="00AE565B"/>
    <w:rsid w:val="00AE58AA"/>
    <w:rsid w:val="00AE58CA"/>
    <w:rsid w:val="00AE5CFD"/>
    <w:rsid w:val="00AE5DE4"/>
    <w:rsid w:val="00AE5E0F"/>
    <w:rsid w:val="00AE5E26"/>
    <w:rsid w:val="00AE5F83"/>
    <w:rsid w:val="00AE5FD0"/>
    <w:rsid w:val="00AE617D"/>
    <w:rsid w:val="00AE624F"/>
    <w:rsid w:val="00AE62A4"/>
    <w:rsid w:val="00AE63AD"/>
    <w:rsid w:val="00AE642B"/>
    <w:rsid w:val="00AE649A"/>
    <w:rsid w:val="00AE65E4"/>
    <w:rsid w:val="00AE66AC"/>
    <w:rsid w:val="00AE6A90"/>
    <w:rsid w:val="00AE6C06"/>
    <w:rsid w:val="00AE6C3E"/>
    <w:rsid w:val="00AE701A"/>
    <w:rsid w:val="00AE7048"/>
    <w:rsid w:val="00AE70DA"/>
    <w:rsid w:val="00AE7576"/>
    <w:rsid w:val="00AE7629"/>
    <w:rsid w:val="00AE77D3"/>
    <w:rsid w:val="00AE7994"/>
    <w:rsid w:val="00AE79AE"/>
    <w:rsid w:val="00AE7A17"/>
    <w:rsid w:val="00AE7B48"/>
    <w:rsid w:val="00AE7E81"/>
    <w:rsid w:val="00AF03AA"/>
    <w:rsid w:val="00AF07BA"/>
    <w:rsid w:val="00AF0921"/>
    <w:rsid w:val="00AF09AE"/>
    <w:rsid w:val="00AF126C"/>
    <w:rsid w:val="00AF1A52"/>
    <w:rsid w:val="00AF1AC5"/>
    <w:rsid w:val="00AF1C69"/>
    <w:rsid w:val="00AF1D14"/>
    <w:rsid w:val="00AF1D47"/>
    <w:rsid w:val="00AF1EF1"/>
    <w:rsid w:val="00AF2126"/>
    <w:rsid w:val="00AF2431"/>
    <w:rsid w:val="00AF253B"/>
    <w:rsid w:val="00AF25B2"/>
    <w:rsid w:val="00AF2632"/>
    <w:rsid w:val="00AF2FA6"/>
    <w:rsid w:val="00AF3359"/>
    <w:rsid w:val="00AF37EC"/>
    <w:rsid w:val="00AF3C47"/>
    <w:rsid w:val="00AF3ECD"/>
    <w:rsid w:val="00AF3ECF"/>
    <w:rsid w:val="00AF3FB0"/>
    <w:rsid w:val="00AF412D"/>
    <w:rsid w:val="00AF4711"/>
    <w:rsid w:val="00AF4951"/>
    <w:rsid w:val="00AF4F36"/>
    <w:rsid w:val="00AF50CE"/>
    <w:rsid w:val="00AF517F"/>
    <w:rsid w:val="00AF5814"/>
    <w:rsid w:val="00AF589F"/>
    <w:rsid w:val="00AF58EA"/>
    <w:rsid w:val="00AF624B"/>
    <w:rsid w:val="00AF632A"/>
    <w:rsid w:val="00AF6A3D"/>
    <w:rsid w:val="00AF6BF6"/>
    <w:rsid w:val="00AF6EF5"/>
    <w:rsid w:val="00AF7130"/>
    <w:rsid w:val="00AF7204"/>
    <w:rsid w:val="00AF7333"/>
    <w:rsid w:val="00AF7456"/>
    <w:rsid w:val="00AF7539"/>
    <w:rsid w:val="00AF75F8"/>
    <w:rsid w:val="00AF77EE"/>
    <w:rsid w:val="00AF79AC"/>
    <w:rsid w:val="00AF7A60"/>
    <w:rsid w:val="00AF7CC4"/>
    <w:rsid w:val="00B0000B"/>
    <w:rsid w:val="00B003BA"/>
    <w:rsid w:val="00B00657"/>
    <w:rsid w:val="00B00732"/>
    <w:rsid w:val="00B0074D"/>
    <w:rsid w:val="00B0077B"/>
    <w:rsid w:val="00B007EA"/>
    <w:rsid w:val="00B008A4"/>
    <w:rsid w:val="00B008D8"/>
    <w:rsid w:val="00B00D2F"/>
    <w:rsid w:val="00B00E26"/>
    <w:rsid w:val="00B014CB"/>
    <w:rsid w:val="00B01BD5"/>
    <w:rsid w:val="00B020E2"/>
    <w:rsid w:val="00B02629"/>
    <w:rsid w:val="00B026D7"/>
    <w:rsid w:val="00B02978"/>
    <w:rsid w:val="00B02A58"/>
    <w:rsid w:val="00B02AA5"/>
    <w:rsid w:val="00B03253"/>
    <w:rsid w:val="00B03684"/>
    <w:rsid w:val="00B03872"/>
    <w:rsid w:val="00B03F3B"/>
    <w:rsid w:val="00B03FC4"/>
    <w:rsid w:val="00B042E2"/>
    <w:rsid w:val="00B0432F"/>
    <w:rsid w:val="00B04605"/>
    <w:rsid w:val="00B04F20"/>
    <w:rsid w:val="00B04FE5"/>
    <w:rsid w:val="00B0505D"/>
    <w:rsid w:val="00B050D2"/>
    <w:rsid w:val="00B05709"/>
    <w:rsid w:val="00B058FA"/>
    <w:rsid w:val="00B05A98"/>
    <w:rsid w:val="00B060D4"/>
    <w:rsid w:val="00B060FB"/>
    <w:rsid w:val="00B062B5"/>
    <w:rsid w:val="00B069B1"/>
    <w:rsid w:val="00B06C7A"/>
    <w:rsid w:val="00B06F2B"/>
    <w:rsid w:val="00B06F9E"/>
    <w:rsid w:val="00B07214"/>
    <w:rsid w:val="00B07271"/>
    <w:rsid w:val="00B072E0"/>
    <w:rsid w:val="00B07529"/>
    <w:rsid w:val="00B07531"/>
    <w:rsid w:val="00B0769D"/>
    <w:rsid w:val="00B0785B"/>
    <w:rsid w:val="00B07881"/>
    <w:rsid w:val="00B07B6F"/>
    <w:rsid w:val="00B07C0F"/>
    <w:rsid w:val="00B07CA1"/>
    <w:rsid w:val="00B100EF"/>
    <w:rsid w:val="00B10212"/>
    <w:rsid w:val="00B1039B"/>
    <w:rsid w:val="00B106A8"/>
    <w:rsid w:val="00B1073A"/>
    <w:rsid w:val="00B108C2"/>
    <w:rsid w:val="00B1095A"/>
    <w:rsid w:val="00B10F06"/>
    <w:rsid w:val="00B112A7"/>
    <w:rsid w:val="00B114FF"/>
    <w:rsid w:val="00B115EE"/>
    <w:rsid w:val="00B11BD9"/>
    <w:rsid w:val="00B11C30"/>
    <w:rsid w:val="00B11E16"/>
    <w:rsid w:val="00B11EF2"/>
    <w:rsid w:val="00B12161"/>
    <w:rsid w:val="00B12419"/>
    <w:rsid w:val="00B12518"/>
    <w:rsid w:val="00B1255F"/>
    <w:rsid w:val="00B127F2"/>
    <w:rsid w:val="00B12847"/>
    <w:rsid w:val="00B12D37"/>
    <w:rsid w:val="00B133C1"/>
    <w:rsid w:val="00B13757"/>
    <w:rsid w:val="00B1379D"/>
    <w:rsid w:val="00B13BC5"/>
    <w:rsid w:val="00B13DAD"/>
    <w:rsid w:val="00B13E74"/>
    <w:rsid w:val="00B13EBA"/>
    <w:rsid w:val="00B13EBE"/>
    <w:rsid w:val="00B14439"/>
    <w:rsid w:val="00B145B1"/>
    <w:rsid w:val="00B14886"/>
    <w:rsid w:val="00B149F1"/>
    <w:rsid w:val="00B14DC3"/>
    <w:rsid w:val="00B14F92"/>
    <w:rsid w:val="00B1565F"/>
    <w:rsid w:val="00B156C7"/>
    <w:rsid w:val="00B159A1"/>
    <w:rsid w:val="00B15E02"/>
    <w:rsid w:val="00B15E1E"/>
    <w:rsid w:val="00B16136"/>
    <w:rsid w:val="00B1644B"/>
    <w:rsid w:val="00B1686D"/>
    <w:rsid w:val="00B1697F"/>
    <w:rsid w:val="00B16C71"/>
    <w:rsid w:val="00B16EF6"/>
    <w:rsid w:val="00B17122"/>
    <w:rsid w:val="00B1737F"/>
    <w:rsid w:val="00B17390"/>
    <w:rsid w:val="00B1756A"/>
    <w:rsid w:val="00B17A56"/>
    <w:rsid w:val="00B17AD5"/>
    <w:rsid w:val="00B17E44"/>
    <w:rsid w:val="00B20206"/>
    <w:rsid w:val="00B202D8"/>
    <w:rsid w:val="00B202DB"/>
    <w:rsid w:val="00B20370"/>
    <w:rsid w:val="00B203EE"/>
    <w:rsid w:val="00B206DD"/>
    <w:rsid w:val="00B20C97"/>
    <w:rsid w:val="00B20CDD"/>
    <w:rsid w:val="00B21367"/>
    <w:rsid w:val="00B219D7"/>
    <w:rsid w:val="00B21E1E"/>
    <w:rsid w:val="00B2200F"/>
    <w:rsid w:val="00B22029"/>
    <w:rsid w:val="00B222D9"/>
    <w:rsid w:val="00B222E7"/>
    <w:rsid w:val="00B223E6"/>
    <w:rsid w:val="00B2257B"/>
    <w:rsid w:val="00B22832"/>
    <w:rsid w:val="00B228CD"/>
    <w:rsid w:val="00B22A46"/>
    <w:rsid w:val="00B22A7A"/>
    <w:rsid w:val="00B22C61"/>
    <w:rsid w:val="00B22C9F"/>
    <w:rsid w:val="00B23120"/>
    <w:rsid w:val="00B232B2"/>
    <w:rsid w:val="00B23652"/>
    <w:rsid w:val="00B2375A"/>
    <w:rsid w:val="00B245FE"/>
    <w:rsid w:val="00B24609"/>
    <w:rsid w:val="00B2471A"/>
    <w:rsid w:val="00B249BA"/>
    <w:rsid w:val="00B24EF4"/>
    <w:rsid w:val="00B2501B"/>
    <w:rsid w:val="00B2525C"/>
    <w:rsid w:val="00B252D8"/>
    <w:rsid w:val="00B255C5"/>
    <w:rsid w:val="00B255C9"/>
    <w:rsid w:val="00B258F6"/>
    <w:rsid w:val="00B25941"/>
    <w:rsid w:val="00B25A08"/>
    <w:rsid w:val="00B25B67"/>
    <w:rsid w:val="00B261FA"/>
    <w:rsid w:val="00B2633D"/>
    <w:rsid w:val="00B26407"/>
    <w:rsid w:val="00B267FB"/>
    <w:rsid w:val="00B26800"/>
    <w:rsid w:val="00B2692A"/>
    <w:rsid w:val="00B26D0C"/>
    <w:rsid w:val="00B26D58"/>
    <w:rsid w:val="00B26F30"/>
    <w:rsid w:val="00B271E5"/>
    <w:rsid w:val="00B2736C"/>
    <w:rsid w:val="00B275C4"/>
    <w:rsid w:val="00B278CF"/>
    <w:rsid w:val="00B27959"/>
    <w:rsid w:val="00B279DA"/>
    <w:rsid w:val="00B27A79"/>
    <w:rsid w:val="00B27C28"/>
    <w:rsid w:val="00B27EA2"/>
    <w:rsid w:val="00B303B3"/>
    <w:rsid w:val="00B303D2"/>
    <w:rsid w:val="00B3046F"/>
    <w:rsid w:val="00B30561"/>
    <w:rsid w:val="00B307BB"/>
    <w:rsid w:val="00B307E1"/>
    <w:rsid w:val="00B310C4"/>
    <w:rsid w:val="00B310E5"/>
    <w:rsid w:val="00B31299"/>
    <w:rsid w:val="00B31345"/>
    <w:rsid w:val="00B317FA"/>
    <w:rsid w:val="00B31A30"/>
    <w:rsid w:val="00B31BA4"/>
    <w:rsid w:val="00B31EED"/>
    <w:rsid w:val="00B32790"/>
    <w:rsid w:val="00B32AC1"/>
    <w:rsid w:val="00B32B2C"/>
    <w:rsid w:val="00B32E2B"/>
    <w:rsid w:val="00B330E2"/>
    <w:rsid w:val="00B3366C"/>
    <w:rsid w:val="00B33B90"/>
    <w:rsid w:val="00B33D57"/>
    <w:rsid w:val="00B3409A"/>
    <w:rsid w:val="00B346E2"/>
    <w:rsid w:val="00B3494D"/>
    <w:rsid w:val="00B349D6"/>
    <w:rsid w:val="00B34CF5"/>
    <w:rsid w:val="00B34D10"/>
    <w:rsid w:val="00B350CA"/>
    <w:rsid w:val="00B350EF"/>
    <w:rsid w:val="00B3530A"/>
    <w:rsid w:val="00B3564A"/>
    <w:rsid w:val="00B3590E"/>
    <w:rsid w:val="00B35A9C"/>
    <w:rsid w:val="00B35D78"/>
    <w:rsid w:val="00B360F7"/>
    <w:rsid w:val="00B3612C"/>
    <w:rsid w:val="00B36371"/>
    <w:rsid w:val="00B363AC"/>
    <w:rsid w:val="00B36649"/>
    <w:rsid w:val="00B368ED"/>
    <w:rsid w:val="00B36A96"/>
    <w:rsid w:val="00B36DCC"/>
    <w:rsid w:val="00B36E45"/>
    <w:rsid w:val="00B3708F"/>
    <w:rsid w:val="00B379C0"/>
    <w:rsid w:val="00B37CE2"/>
    <w:rsid w:val="00B400EC"/>
    <w:rsid w:val="00B402E5"/>
    <w:rsid w:val="00B40376"/>
    <w:rsid w:val="00B4060C"/>
    <w:rsid w:val="00B40620"/>
    <w:rsid w:val="00B407D9"/>
    <w:rsid w:val="00B40A24"/>
    <w:rsid w:val="00B40BE5"/>
    <w:rsid w:val="00B40CA2"/>
    <w:rsid w:val="00B40EA0"/>
    <w:rsid w:val="00B413A7"/>
    <w:rsid w:val="00B417FD"/>
    <w:rsid w:val="00B41841"/>
    <w:rsid w:val="00B41CBC"/>
    <w:rsid w:val="00B41D73"/>
    <w:rsid w:val="00B42097"/>
    <w:rsid w:val="00B4243D"/>
    <w:rsid w:val="00B42467"/>
    <w:rsid w:val="00B42535"/>
    <w:rsid w:val="00B42B3A"/>
    <w:rsid w:val="00B42F72"/>
    <w:rsid w:val="00B42FF8"/>
    <w:rsid w:val="00B43199"/>
    <w:rsid w:val="00B43496"/>
    <w:rsid w:val="00B43529"/>
    <w:rsid w:val="00B43E69"/>
    <w:rsid w:val="00B43FC5"/>
    <w:rsid w:val="00B44490"/>
    <w:rsid w:val="00B4449D"/>
    <w:rsid w:val="00B44D30"/>
    <w:rsid w:val="00B44DEB"/>
    <w:rsid w:val="00B44F59"/>
    <w:rsid w:val="00B44FA8"/>
    <w:rsid w:val="00B4513A"/>
    <w:rsid w:val="00B453EC"/>
    <w:rsid w:val="00B45ADF"/>
    <w:rsid w:val="00B45D18"/>
    <w:rsid w:val="00B45D71"/>
    <w:rsid w:val="00B45E24"/>
    <w:rsid w:val="00B45EBB"/>
    <w:rsid w:val="00B45F5D"/>
    <w:rsid w:val="00B45FC0"/>
    <w:rsid w:val="00B46505"/>
    <w:rsid w:val="00B46568"/>
    <w:rsid w:val="00B469D7"/>
    <w:rsid w:val="00B46A13"/>
    <w:rsid w:val="00B46A62"/>
    <w:rsid w:val="00B47112"/>
    <w:rsid w:val="00B47433"/>
    <w:rsid w:val="00B475CA"/>
    <w:rsid w:val="00B47DB8"/>
    <w:rsid w:val="00B500C1"/>
    <w:rsid w:val="00B501C8"/>
    <w:rsid w:val="00B50223"/>
    <w:rsid w:val="00B5048F"/>
    <w:rsid w:val="00B50500"/>
    <w:rsid w:val="00B50587"/>
    <w:rsid w:val="00B505A1"/>
    <w:rsid w:val="00B50CB1"/>
    <w:rsid w:val="00B50D62"/>
    <w:rsid w:val="00B5128C"/>
    <w:rsid w:val="00B512A8"/>
    <w:rsid w:val="00B5169E"/>
    <w:rsid w:val="00B5177E"/>
    <w:rsid w:val="00B51B6B"/>
    <w:rsid w:val="00B51F2E"/>
    <w:rsid w:val="00B521F9"/>
    <w:rsid w:val="00B522DB"/>
    <w:rsid w:val="00B5244B"/>
    <w:rsid w:val="00B52B6F"/>
    <w:rsid w:val="00B52FA9"/>
    <w:rsid w:val="00B5317B"/>
    <w:rsid w:val="00B531D8"/>
    <w:rsid w:val="00B53493"/>
    <w:rsid w:val="00B5351D"/>
    <w:rsid w:val="00B539AC"/>
    <w:rsid w:val="00B53A23"/>
    <w:rsid w:val="00B5441E"/>
    <w:rsid w:val="00B54529"/>
    <w:rsid w:val="00B546FC"/>
    <w:rsid w:val="00B5489D"/>
    <w:rsid w:val="00B549AB"/>
    <w:rsid w:val="00B54AC5"/>
    <w:rsid w:val="00B54D0A"/>
    <w:rsid w:val="00B5500A"/>
    <w:rsid w:val="00B55056"/>
    <w:rsid w:val="00B551C8"/>
    <w:rsid w:val="00B5559C"/>
    <w:rsid w:val="00B55A35"/>
    <w:rsid w:val="00B55B4C"/>
    <w:rsid w:val="00B55DDD"/>
    <w:rsid w:val="00B55E8A"/>
    <w:rsid w:val="00B55F53"/>
    <w:rsid w:val="00B560C2"/>
    <w:rsid w:val="00B560E9"/>
    <w:rsid w:val="00B56292"/>
    <w:rsid w:val="00B56485"/>
    <w:rsid w:val="00B565FB"/>
    <w:rsid w:val="00B56900"/>
    <w:rsid w:val="00B56D71"/>
    <w:rsid w:val="00B56FB8"/>
    <w:rsid w:val="00B5729F"/>
    <w:rsid w:val="00B57392"/>
    <w:rsid w:val="00B57649"/>
    <w:rsid w:val="00B57800"/>
    <w:rsid w:val="00B5787D"/>
    <w:rsid w:val="00B578D7"/>
    <w:rsid w:val="00B57A32"/>
    <w:rsid w:val="00B57F35"/>
    <w:rsid w:val="00B6034F"/>
    <w:rsid w:val="00B60360"/>
    <w:rsid w:val="00B60B80"/>
    <w:rsid w:val="00B60C38"/>
    <w:rsid w:val="00B610E7"/>
    <w:rsid w:val="00B611BD"/>
    <w:rsid w:val="00B61376"/>
    <w:rsid w:val="00B6152B"/>
    <w:rsid w:val="00B615C2"/>
    <w:rsid w:val="00B617BD"/>
    <w:rsid w:val="00B61908"/>
    <w:rsid w:val="00B61EF2"/>
    <w:rsid w:val="00B62462"/>
    <w:rsid w:val="00B626C0"/>
    <w:rsid w:val="00B62945"/>
    <w:rsid w:val="00B62B7B"/>
    <w:rsid w:val="00B62C07"/>
    <w:rsid w:val="00B62C59"/>
    <w:rsid w:val="00B62DFB"/>
    <w:rsid w:val="00B62F93"/>
    <w:rsid w:val="00B6303C"/>
    <w:rsid w:val="00B63206"/>
    <w:rsid w:val="00B633AF"/>
    <w:rsid w:val="00B63BF1"/>
    <w:rsid w:val="00B63BF5"/>
    <w:rsid w:val="00B63CDD"/>
    <w:rsid w:val="00B63D51"/>
    <w:rsid w:val="00B6427A"/>
    <w:rsid w:val="00B6455E"/>
    <w:rsid w:val="00B64744"/>
    <w:rsid w:val="00B6478E"/>
    <w:rsid w:val="00B64834"/>
    <w:rsid w:val="00B648F8"/>
    <w:rsid w:val="00B64AC7"/>
    <w:rsid w:val="00B64B6B"/>
    <w:rsid w:val="00B64E32"/>
    <w:rsid w:val="00B65285"/>
    <w:rsid w:val="00B65742"/>
    <w:rsid w:val="00B65CF3"/>
    <w:rsid w:val="00B65CF9"/>
    <w:rsid w:val="00B65F6E"/>
    <w:rsid w:val="00B6678D"/>
    <w:rsid w:val="00B66898"/>
    <w:rsid w:val="00B66E27"/>
    <w:rsid w:val="00B67017"/>
    <w:rsid w:val="00B67585"/>
    <w:rsid w:val="00B67632"/>
    <w:rsid w:val="00B6776A"/>
    <w:rsid w:val="00B67A29"/>
    <w:rsid w:val="00B67F95"/>
    <w:rsid w:val="00B67FC3"/>
    <w:rsid w:val="00B70011"/>
    <w:rsid w:val="00B70208"/>
    <w:rsid w:val="00B70315"/>
    <w:rsid w:val="00B7040B"/>
    <w:rsid w:val="00B70455"/>
    <w:rsid w:val="00B706D8"/>
    <w:rsid w:val="00B70765"/>
    <w:rsid w:val="00B70E2F"/>
    <w:rsid w:val="00B711D8"/>
    <w:rsid w:val="00B714D0"/>
    <w:rsid w:val="00B71B4B"/>
    <w:rsid w:val="00B71BFF"/>
    <w:rsid w:val="00B71E63"/>
    <w:rsid w:val="00B72026"/>
    <w:rsid w:val="00B727F1"/>
    <w:rsid w:val="00B72B2B"/>
    <w:rsid w:val="00B72CAF"/>
    <w:rsid w:val="00B7326A"/>
    <w:rsid w:val="00B733DF"/>
    <w:rsid w:val="00B7393A"/>
    <w:rsid w:val="00B73F07"/>
    <w:rsid w:val="00B73F9E"/>
    <w:rsid w:val="00B7400D"/>
    <w:rsid w:val="00B743C1"/>
    <w:rsid w:val="00B745E4"/>
    <w:rsid w:val="00B7486E"/>
    <w:rsid w:val="00B74B15"/>
    <w:rsid w:val="00B74B8C"/>
    <w:rsid w:val="00B74CE4"/>
    <w:rsid w:val="00B75269"/>
    <w:rsid w:val="00B75370"/>
    <w:rsid w:val="00B75D99"/>
    <w:rsid w:val="00B75F78"/>
    <w:rsid w:val="00B764AC"/>
    <w:rsid w:val="00B7652D"/>
    <w:rsid w:val="00B76739"/>
    <w:rsid w:val="00B76B45"/>
    <w:rsid w:val="00B7736E"/>
    <w:rsid w:val="00B776C0"/>
    <w:rsid w:val="00B77AB2"/>
    <w:rsid w:val="00B77D03"/>
    <w:rsid w:val="00B77D92"/>
    <w:rsid w:val="00B80049"/>
    <w:rsid w:val="00B80074"/>
    <w:rsid w:val="00B804AE"/>
    <w:rsid w:val="00B80A44"/>
    <w:rsid w:val="00B80C65"/>
    <w:rsid w:val="00B80E93"/>
    <w:rsid w:val="00B80F5E"/>
    <w:rsid w:val="00B812AC"/>
    <w:rsid w:val="00B81442"/>
    <w:rsid w:val="00B816FD"/>
    <w:rsid w:val="00B81728"/>
    <w:rsid w:val="00B8175F"/>
    <w:rsid w:val="00B8187E"/>
    <w:rsid w:val="00B81E4C"/>
    <w:rsid w:val="00B81FE9"/>
    <w:rsid w:val="00B82138"/>
    <w:rsid w:val="00B82221"/>
    <w:rsid w:val="00B82976"/>
    <w:rsid w:val="00B82AA9"/>
    <w:rsid w:val="00B82B82"/>
    <w:rsid w:val="00B82C87"/>
    <w:rsid w:val="00B82D34"/>
    <w:rsid w:val="00B83217"/>
    <w:rsid w:val="00B83427"/>
    <w:rsid w:val="00B83644"/>
    <w:rsid w:val="00B8392C"/>
    <w:rsid w:val="00B8397E"/>
    <w:rsid w:val="00B83C5B"/>
    <w:rsid w:val="00B83E00"/>
    <w:rsid w:val="00B84076"/>
    <w:rsid w:val="00B84088"/>
    <w:rsid w:val="00B8430E"/>
    <w:rsid w:val="00B84508"/>
    <w:rsid w:val="00B846BE"/>
    <w:rsid w:val="00B84C60"/>
    <w:rsid w:val="00B84DDF"/>
    <w:rsid w:val="00B84F3A"/>
    <w:rsid w:val="00B850B1"/>
    <w:rsid w:val="00B85393"/>
    <w:rsid w:val="00B855A8"/>
    <w:rsid w:val="00B855F8"/>
    <w:rsid w:val="00B85B56"/>
    <w:rsid w:val="00B8633A"/>
    <w:rsid w:val="00B8694F"/>
    <w:rsid w:val="00B869F6"/>
    <w:rsid w:val="00B86C52"/>
    <w:rsid w:val="00B86F75"/>
    <w:rsid w:val="00B87031"/>
    <w:rsid w:val="00B8745E"/>
    <w:rsid w:val="00B87C14"/>
    <w:rsid w:val="00B87DDB"/>
    <w:rsid w:val="00B900B5"/>
    <w:rsid w:val="00B901CA"/>
    <w:rsid w:val="00B90309"/>
    <w:rsid w:val="00B903FC"/>
    <w:rsid w:val="00B90791"/>
    <w:rsid w:val="00B907AB"/>
    <w:rsid w:val="00B907C1"/>
    <w:rsid w:val="00B90F17"/>
    <w:rsid w:val="00B913BA"/>
    <w:rsid w:val="00B9142F"/>
    <w:rsid w:val="00B915DC"/>
    <w:rsid w:val="00B9177F"/>
    <w:rsid w:val="00B918DC"/>
    <w:rsid w:val="00B918E5"/>
    <w:rsid w:val="00B91AB3"/>
    <w:rsid w:val="00B91C64"/>
    <w:rsid w:val="00B91D3E"/>
    <w:rsid w:val="00B91E47"/>
    <w:rsid w:val="00B91F0A"/>
    <w:rsid w:val="00B92093"/>
    <w:rsid w:val="00B92273"/>
    <w:rsid w:val="00B923C9"/>
    <w:rsid w:val="00B9263D"/>
    <w:rsid w:val="00B92985"/>
    <w:rsid w:val="00B92B06"/>
    <w:rsid w:val="00B92B3F"/>
    <w:rsid w:val="00B92B6F"/>
    <w:rsid w:val="00B92B88"/>
    <w:rsid w:val="00B93385"/>
    <w:rsid w:val="00B937FC"/>
    <w:rsid w:val="00B93C77"/>
    <w:rsid w:val="00B93C8D"/>
    <w:rsid w:val="00B93D83"/>
    <w:rsid w:val="00B93EC3"/>
    <w:rsid w:val="00B93FAE"/>
    <w:rsid w:val="00B94092"/>
    <w:rsid w:val="00B9411B"/>
    <w:rsid w:val="00B94889"/>
    <w:rsid w:val="00B94AF5"/>
    <w:rsid w:val="00B94CF3"/>
    <w:rsid w:val="00B94D25"/>
    <w:rsid w:val="00B95779"/>
    <w:rsid w:val="00B9587F"/>
    <w:rsid w:val="00B95989"/>
    <w:rsid w:val="00B959A5"/>
    <w:rsid w:val="00B95AA6"/>
    <w:rsid w:val="00B96154"/>
    <w:rsid w:val="00B96479"/>
    <w:rsid w:val="00B96592"/>
    <w:rsid w:val="00B967A5"/>
    <w:rsid w:val="00B967AD"/>
    <w:rsid w:val="00B967DD"/>
    <w:rsid w:val="00B96AA0"/>
    <w:rsid w:val="00B96BA1"/>
    <w:rsid w:val="00B96EAE"/>
    <w:rsid w:val="00B974DC"/>
    <w:rsid w:val="00B9791B"/>
    <w:rsid w:val="00B97E0A"/>
    <w:rsid w:val="00B97F56"/>
    <w:rsid w:val="00B97FEB"/>
    <w:rsid w:val="00BA02F7"/>
    <w:rsid w:val="00BA0619"/>
    <w:rsid w:val="00BA0B2C"/>
    <w:rsid w:val="00BA145E"/>
    <w:rsid w:val="00BA14C1"/>
    <w:rsid w:val="00BA15FC"/>
    <w:rsid w:val="00BA176C"/>
    <w:rsid w:val="00BA1CCE"/>
    <w:rsid w:val="00BA1E34"/>
    <w:rsid w:val="00BA1E37"/>
    <w:rsid w:val="00BA2200"/>
    <w:rsid w:val="00BA2471"/>
    <w:rsid w:val="00BA2483"/>
    <w:rsid w:val="00BA2A43"/>
    <w:rsid w:val="00BA2AB8"/>
    <w:rsid w:val="00BA2F28"/>
    <w:rsid w:val="00BA3319"/>
    <w:rsid w:val="00BA3434"/>
    <w:rsid w:val="00BA3829"/>
    <w:rsid w:val="00BA388A"/>
    <w:rsid w:val="00BA3B0B"/>
    <w:rsid w:val="00BA3D2D"/>
    <w:rsid w:val="00BA3EB1"/>
    <w:rsid w:val="00BA3FFC"/>
    <w:rsid w:val="00BA417C"/>
    <w:rsid w:val="00BA45DD"/>
    <w:rsid w:val="00BA4D0D"/>
    <w:rsid w:val="00BA501B"/>
    <w:rsid w:val="00BA54C2"/>
    <w:rsid w:val="00BA5609"/>
    <w:rsid w:val="00BA589B"/>
    <w:rsid w:val="00BA59C9"/>
    <w:rsid w:val="00BA5DBA"/>
    <w:rsid w:val="00BA6B2E"/>
    <w:rsid w:val="00BA6FB1"/>
    <w:rsid w:val="00BA734F"/>
    <w:rsid w:val="00BA7352"/>
    <w:rsid w:val="00BA794C"/>
    <w:rsid w:val="00BA7D0B"/>
    <w:rsid w:val="00BA7DA7"/>
    <w:rsid w:val="00BA7E94"/>
    <w:rsid w:val="00BB026B"/>
    <w:rsid w:val="00BB0527"/>
    <w:rsid w:val="00BB09E5"/>
    <w:rsid w:val="00BB0BB8"/>
    <w:rsid w:val="00BB0D95"/>
    <w:rsid w:val="00BB0FF9"/>
    <w:rsid w:val="00BB106C"/>
    <w:rsid w:val="00BB11A8"/>
    <w:rsid w:val="00BB11EA"/>
    <w:rsid w:val="00BB1890"/>
    <w:rsid w:val="00BB18FA"/>
    <w:rsid w:val="00BB1BBE"/>
    <w:rsid w:val="00BB21DE"/>
    <w:rsid w:val="00BB241E"/>
    <w:rsid w:val="00BB259F"/>
    <w:rsid w:val="00BB260A"/>
    <w:rsid w:val="00BB27F1"/>
    <w:rsid w:val="00BB28C5"/>
    <w:rsid w:val="00BB2B5D"/>
    <w:rsid w:val="00BB2BF1"/>
    <w:rsid w:val="00BB2E49"/>
    <w:rsid w:val="00BB30F9"/>
    <w:rsid w:val="00BB3215"/>
    <w:rsid w:val="00BB33F6"/>
    <w:rsid w:val="00BB3490"/>
    <w:rsid w:val="00BB39DC"/>
    <w:rsid w:val="00BB3B96"/>
    <w:rsid w:val="00BB3DEB"/>
    <w:rsid w:val="00BB42BE"/>
    <w:rsid w:val="00BB4969"/>
    <w:rsid w:val="00BB4979"/>
    <w:rsid w:val="00BB50C1"/>
    <w:rsid w:val="00BB5286"/>
    <w:rsid w:val="00BB5793"/>
    <w:rsid w:val="00BB58FD"/>
    <w:rsid w:val="00BB5B55"/>
    <w:rsid w:val="00BB5C32"/>
    <w:rsid w:val="00BB5E8F"/>
    <w:rsid w:val="00BB5EA5"/>
    <w:rsid w:val="00BB5EEF"/>
    <w:rsid w:val="00BB61F3"/>
    <w:rsid w:val="00BB65CE"/>
    <w:rsid w:val="00BB666C"/>
    <w:rsid w:val="00BB67DE"/>
    <w:rsid w:val="00BB6804"/>
    <w:rsid w:val="00BB6ACC"/>
    <w:rsid w:val="00BB6CB2"/>
    <w:rsid w:val="00BB6D60"/>
    <w:rsid w:val="00BB6E34"/>
    <w:rsid w:val="00BB6ED4"/>
    <w:rsid w:val="00BB7395"/>
    <w:rsid w:val="00BB7602"/>
    <w:rsid w:val="00BB7776"/>
    <w:rsid w:val="00BB7AED"/>
    <w:rsid w:val="00BB7BB0"/>
    <w:rsid w:val="00BB7E89"/>
    <w:rsid w:val="00BC05E2"/>
    <w:rsid w:val="00BC06C7"/>
    <w:rsid w:val="00BC081F"/>
    <w:rsid w:val="00BC0BE1"/>
    <w:rsid w:val="00BC0D89"/>
    <w:rsid w:val="00BC0E2F"/>
    <w:rsid w:val="00BC0F67"/>
    <w:rsid w:val="00BC0F82"/>
    <w:rsid w:val="00BC1138"/>
    <w:rsid w:val="00BC117A"/>
    <w:rsid w:val="00BC11CA"/>
    <w:rsid w:val="00BC11FA"/>
    <w:rsid w:val="00BC1395"/>
    <w:rsid w:val="00BC14A7"/>
    <w:rsid w:val="00BC14F6"/>
    <w:rsid w:val="00BC172C"/>
    <w:rsid w:val="00BC1772"/>
    <w:rsid w:val="00BC216A"/>
    <w:rsid w:val="00BC2593"/>
    <w:rsid w:val="00BC25FC"/>
    <w:rsid w:val="00BC29D6"/>
    <w:rsid w:val="00BC2E03"/>
    <w:rsid w:val="00BC2E4A"/>
    <w:rsid w:val="00BC30EA"/>
    <w:rsid w:val="00BC3624"/>
    <w:rsid w:val="00BC3790"/>
    <w:rsid w:val="00BC38E1"/>
    <w:rsid w:val="00BC3B01"/>
    <w:rsid w:val="00BC3DA0"/>
    <w:rsid w:val="00BC3F1E"/>
    <w:rsid w:val="00BC3F61"/>
    <w:rsid w:val="00BC4124"/>
    <w:rsid w:val="00BC4160"/>
    <w:rsid w:val="00BC4176"/>
    <w:rsid w:val="00BC45E8"/>
    <w:rsid w:val="00BC4756"/>
    <w:rsid w:val="00BC486B"/>
    <w:rsid w:val="00BC4E2A"/>
    <w:rsid w:val="00BC4E5B"/>
    <w:rsid w:val="00BC527E"/>
    <w:rsid w:val="00BC541E"/>
    <w:rsid w:val="00BC56CB"/>
    <w:rsid w:val="00BC57E8"/>
    <w:rsid w:val="00BC58ED"/>
    <w:rsid w:val="00BC5CE9"/>
    <w:rsid w:val="00BC5D38"/>
    <w:rsid w:val="00BC5D46"/>
    <w:rsid w:val="00BC5E67"/>
    <w:rsid w:val="00BC5F58"/>
    <w:rsid w:val="00BC613C"/>
    <w:rsid w:val="00BC6A41"/>
    <w:rsid w:val="00BC6C00"/>
    <w:rsid w:val="00BC6EC7"/>
    <w:rsid w:val="00BC71DA"/>
    <w:rsid w:val="00BC7208"/>
    <w:rsid w:val="00BC72F7"/>
    <w:rsid w:val="00BC7C19"/>
    <w:rsid w:val="00BC7EE4"/>
    <w:rsid w:val="00BD0751"/>
    <w:rsid w:val="00BD0CCF"/>
    <w:rsid w:val="00BD0E5A"/>
    <w:rsid w:val="00BD0EDC"/>
    <w:rsid w:val="00BD1189"/>
    <w:rsid w:val="00BD1216"/>
    <w:rsid w:val="00BD1261"/>
    <w:rsid w:val="00BD14C3"/>
    <w:rsid w:val="00BD1507"/>
    <w:rsid w:val="00BD1574"/>
    <w:rsid w:val="00BD1911"/>
    <w:rsid w:val="00BD1AFB"/>
    <w:rsid w:val="00BD1CE5"/>
    <w:rsid w:val="00BD1EEB"/>
    <w:rsid w:val="00BD2048"/>
    <w:rsid w:val="00BD2237"/>
    <w:rsid w:val="00BD2359"/>
    <w:rsid w:val="00BD23D5"/>
    <w:rsid w:val="00BD26B7"/>
    <w:rsid w:val="00BD2B08"/>
    <w:rsid w:val="00BD3225"/>
    <w:rsid w:val="00BD35E0"/>
    <w:rsid w:val="00BD36EA"/>
    <w:rsid w:val="00BD37D5"/>
    <w:rsid w:val="00BD38FF"/>
    <w:rsid w:val="00BD3B3B"/>
    <w:rsid w:val="00BD3DEE"/>
    <w:rsid w:val="00BD401B"/>
    <w:rsid w:val="00BD40C7"/>
    <w:rsid w:val="00BD4833"/>
    <w:rsid w:val="00BD4AEE"/>
    <w:rsid w:val="00BD533B"/>
    <w:rsid w:val="00BD53F1"/>
    <w:rsid w:val="00BD5C32"/>
    <w:rsid w:val="00BD5CA5"/>
    <w:rsid w:val="00BD5D7C"/>
    <w:rsid w:val="00BD5F3C"/>
    <w:rsid w:val="00BD619F"/>
    <w:rsid w:val="00BD6429"/>
    <w:rsid w:val="00BD64F1"/>
    <w:rsid w:val="00BD682D"/>
    <w:rsid w:val="00BD6889"/>
    <w:rsid w:val="00BD6F07"/>
    <w:rsid w:val="00BD7276"/>
    <w:rsid w:val="00BD729F"/>
    <w:rsid w:val="00BD72E0"/>
    <w:rsid w:val="00BD73C8"/>
    <w:rsid w:val="00BD75E7"/>
    <w:rsid w:val="00BD76EE"/>
    <w:rsid w:val="00BE05FB"/>
    <w:rsid w:val="00BE0774"/>
    <w:rsid w:val="00BE08E3"/>
    <w:rsid w:val="00BE0C8B"/>
    <w:rsid w:val="00BE11A6"/>
    <w:rsid w:val="00BE1265"/>
    <w:rsid w:val="00BE16FF"/>
    <w:rsid w:val="00BE2276"/>
    <w:rsid w:val="00BE24CA"/>
    <w:rsid w:val="00BE283D"/>
    <w:rsid w:val="00BE2B77"/>
    <w:rsid w:val="00BE2F73"/>
    <w:rsid w:val="00BE31B4"/>
    <w:rsid w:val="00BE334C"/>
    <w:rsid w:val="00BE3379"/>
    <w:rsid w:val="00BE361F"/>
    <w:rsid w:val="00BE3679"/>
    <w:rsid w:val="00BE3BBA"/>
    <w:rsid w:val="00BE3C8F"/>
    <w:rsid w:val="00BE3DBA"/>
    <w:rsid w:val="00BE3ECE"/>
    <w:rsid w:val="00BE3F69"/>
    <w:rsid w:val="00BE408C"/>
    <w:rsid w:val="00BE409D"/>
    <w:rsid w:val="00BE4181"/>
    <w:rsid w:val="00BE4544"/>
    <w:rsid w:val="00BE4CC4"/>
    <w:rsid w:val="00BE5315"/>
    <w:rsid w:val="00BE543A"/>
    <w:rsid w:val="00BE547D"/>
    <w:rsid w:val="00BE560B"/>
    <w:rsid w:val="00BE5711"/>
    <w:rsid w:val="00BE5739"/>
    <w:rsid w:val="00BE5779"/>
    <w:rsid w:val="00BE5997"/>
    <w:rsid w:val="00BE59F0"/>
    <w:rsid w:val="00BE59F9"/>
    <w:rsid w:val="00BE5AF0"/>
    <w:rsid w:val="00BE5B87"/>
    <w:rsid w:val="00BE5BC9"/>
    <w:rsid w:val="00BE5BD2"/>
    <w:rsid w:val="00BE6382"/>
    <w:rsid w:val="00BE673F"/>
    <w:rsid w:val="00BE70D8"/>
    <w:rsid w:val="00BE7116"/>
    <w:rsid w:val="00BE72EA"/>
    <w:rsid w:val="00BE76D8"/>
    <w:rsid w:val="00BE7801"/>
    <w:rsid w:val="00BE7881"/>
    <w:rsid w:val="00BE7898"/>
    <w:rsid w:val="00BE7BA6"/>
    <w:rsid w:val="00BE7C48"/>
    <w:rsid w:val="00BE7ED8"/>
    <w:rsid w:val="00BF0004"/>
    <w:rsid w:val="00BF0176"/>
    <w:rsid w:val="00BF020D"/>
    <w:rsid w:val="00BF0B08"/>
    <w:rsid w:val="00BF0CFA"/>
    <w:rsid w:val="00BF0D38"/>
    <w:rsid w:val="00BF0E8B"/>
    <w:rsid w:val="00BF0F59"/>
    <w:rsid w:val="00BF102B"/>
    <w:rsid w:val="00BF104B"/>
    <w:rsid w:val="00BF11A5"/>
    <w:rsid w:val="00BF1252"/>
    <w:rsid w:val="00BF12D9"/>
    <w:rsid w:val="00BF1454"/>
    <w:rsid w:val="00BF1482"/>
    <w:rsid w:val="00BF16B6"/>
    <w:rsid w:val="00BF170B"/>
    <w:rsid w:val="00BF1E6E"/>
    <w:rsid w:val="00BF1F0D"/>
    <w:rsid w:val="00BF1F9A"/>
    <w:rsid w:val="00BF266A"/>
    <w:rsid w:val="00BF2BDD"/>
    <w:rsid w:val="00BF2C0C"/>
    <w:rsid w:val="00BF2CE5"/>
    <w:rsid w:val="00BF2D2F"/>
    <w:rsid w:val="00BF2E86"/>
    <w:rsid w:val="00BF2F3C"/>
    <w:rsid w:val="00BF34A2"/>
    <w:rsid w:val="00BF35EA"/>
    <w:rsid w:val="00BF3768"/>
    <w:rsid w:val="00BF3F4D"/>
    <w:rsid w:val="00BF3FB3"/>
    <w:rsid w:val="00BF4059"/>
    <w:rsid w:val="00BF42D4"/>
    <w:rsid w:val="00BF4590"/>
    <w:rsid w:val="00BF4BC8"/>
    <w:rsid w:val="00BF5D50"/>
    <w:rsid w:val="00BF5EE2"/>
    <w:rsid w:val="00BF61EA"/>
    <w:rsid w:val="00BF6611"/>
    <w:rsid w:val="00BF67ED"/>
    <w:rsid w:val="00BF682B"/>
    <w:rsid w:val="00BF691F"/>
    <w:rsid w:val="00BF6D93"/>
    <w:rsid w:val="00BF7095"/>
    <w:rsid w:val="00BF73A6"/>
    <w:rsid w:val="00BF797D"/>
    <w:rsid w:val="00BF7B4A"/>
    <w:rsid w:val="00C000F8"/>
    <w:rsid w:val="00C003BB"/>
    <w:rsid w:val="00C004D2"/>
    <w:rsid w:val="00C0069A"/>
    <w:rsid w:val="00C006C3"/>
    <w:rsid w:val="00C00768"/>
    <w:rsid w:val="00C00B1D"/>
    <w:rsid w:val="00C00B7B"/>
    <w:rsid w:val="00C00F7E"/>
    <w:rsid w:val="00C0103E"/>
    <w:rsid w:val="00C01076"/>
    <w:rsid w:val="00C011EE"/>
    <w:rsid w:val="00C01497"/>
    <w:rsid w:val="00C015D6"/>
    <w:rsid w:val="00C0182B"/>
    <w:rsid w:val="00C0185B"/>
    <w:rsid w:val="00C01899"/>
    <w:rsid w:val="00C0190D"/>
    <w:rsid w:val="00C01BB0"/>
    <w:rsid w:val="00C01E51"/>
    <w:rsid w:val="00C020E4"/>
    <w:rsid w:val="00C023C7"/>
    <w:rsid w:val="00C02716"/>
    <w:rsid w:val="00C02965"/>
    <w:rsid w:val="00C02AFD"/>
    <w:rsid w:val="00C02C2D"/>
    <w:rsid w:val="00C02E65"/>
    <w:rsid w:val="00C0324D"/>
    <w:rsid w:val="00C03310"/>
    <w:rsid w:val="00C0331B"/>
    <w:rsid w:val="00C03672"/>
    <w:rsid w:val="00C03724"/>
    <w:rsid w:val="00C0376B"/>
    <w:rsid w:val="00C0381F"/>
    <w:rsid w:val="00C03854"/>
    <w:rsid w:val="00C04043"/>
    <w:rsid w:val="00C04091"/>
    <w:rsid w:val="00C04596"/>
    <w:rsid w:val="00C045E4"/>
    <w:rsid w:val="00C0461A"/>
    <w:rsid w:val="00C0485C"/>
    <w:rsid w:val="00C04CC8"/>
    <w:rsid w:val="00C04E7D"/>
    <w:rsid w:val="00C05273"/>
    <w:rsid w:val="00C05518"/>
    <w:rsid w:val="00C056A0"/>
    <w:rsid w:val="00C056D0"/>
    <w:rsid w:val="00C05C67"/>
    <w:rsid w:val="00C05FC8"/>
    <w:rsid w:val="00C06026"/>
    <w:rsid w:val="00C0604F"/>
    <w:rsid w:val="00C061CC"/>
    <w:rsid w:val="00C06299"/>
    <w:rsid w:val="00C0686F"/>
    <w:rsid w:val="00C068EA"/>
    <w:rsid w:val="00C06F20"/>
    <w:rsid w:val="00C07115"/>
    <w:rsid w:val="00C071AB"/>
    <w:rsid w:val="00C072F3"/>
    <w:rsid w:val="00C07C53"/>
    <w:rsid w:val="00C07C6B"/>
    <w:rsid w:val="00C07F66"/>
    <w:rsid w:val="00C101AE"/>
    <w:rsid w:val="00C1049B"/>
    <w:rsid w:val="00C10565"/>
    <w:rsid w:val="00C1094A"/>
    <w:rsid w:val="00C10E09"/>
    <w:rsid w:val="00C1115F"/>
    <w:rsid w:val="00C112BC"/>
    <w:rsid w:val="00C11E7A"/>
    <w:rsid w:val="00C12030"/>
    <w:rsid w:val="00C120A1"/>
    <w:rsid w:val="00C12660"/>
    <w:rsid w:val="00C12A39"/>
    <w:rsid w:val="00C12C67"/>
    <w:rsid w:val="00C12D58"/>
    <w:rsid w:val="00C12F99"/>
    <w:rsid w:val="00C1311F"/>
    <w:rsid w:val="00C1331A"/>
    <w:rsid w:val="00C13506"/>
    <w:rsid w:val="00C137B4"/>
    <w:rsid w:val="00C13D0B"/>
    <w:rsid w:val="00C14181"/>
    <w:rsid w:val="00C14235"/>
    <w:rsid w:val="00C14320"/>
    <w:rsid w:val="00C1443D"/>
    <w:rsid w:val="00C146C2"/>
    <w:rsid w:val="00C14869"/>
    <w:rsid w:val="00C1490B"/>
    <w:rsid w:val="00C14A31"/>
    <w:rsid w:val="00C15133"/>
    <w:rsid w:val="00C15188"/>
    <w:rsid w:val="00C1573D"/>
    <w:rsid w:val="00C158FB"/>
    <w:rsid w:val="00C15961"/>
    <w:rsid w:val="00C15A06"/>
    <w:rsid w:val="00C15F06"/>
    <w:rsid w:val="00C16524"/>
    <w:rsid w:val="00C16552"/>
    <w:rsid w:val="00C16C23"/>
    <w:rsid w:val="00C16C8E"/>
    <w:rsid w:val="00C16FF6"/>
    <w:rsid w:val="00C17216"/>
    <w:rsid w:val="00C1755D"/>
    <w:rsid w:val="00C177C5"/>
    <w:rsid w:val="00C179D2"/>
    <w:rsid w:val="00C17AD4"/>
    <w:rsid w:val="00C17F2F"/>
    <w:rsid w:val="00C201A1"/>
    <w:rsid w:val="00C20240"/>
    <w:rsid w:val="00C2087B"/>
    <w:rsid w:val="00C20993"/>
    <w:rsid w:val="00C20B2A"/>
    <w:rsid w:val="00C20FE9"/>
    <w:rsid w:val="00C210E1"/>
    <w:rsid w:val="00C216E8"/>
    <w:rsid w:val="00C21710"/>
    <w:rsid w:val="00C21781"/>
    <w:rsid w:val="00C21986"/>
    <w:rsid w:val="00C21B79"/>
    <w:rsid w:val="00C21DD2"/>
    <w:rsid w:val="00C220F9"/>
    <w:rsid w:val="00C2211D"/>
    <w:rsid w:val="00C224B6"/>
    <w:rsid w:val="00C224DD"/>
    <w:rsid w:val="00C22517"/>
    <w:rsid w:val="00C225CB"/>
    <w:rsid w:val="00C2279D"/>
    <w:rsid w:val="00C22967"/>
    <w:rsid w:val="00C22D8B"/>
    <w:rsid w:val="00C22E4B"/>
    <w:rsid w:val="00C2321D"/>
    <w:rsid w:val="00C2337F"/>
    <w:rsid w:val="00C23759"/>
    <w:rsid w:val="00C237C9"/>
    <w:rsid w:val="00C23980"/>
    <w:rsid w:val="00C23A4E"/>
    <w:rsid w:val="00C24642"/>
    <w:rsid w:val="00C248BB"/>
    <w:rsid w:val="00C249CD"/>
    <w:rsid w:val="00C24D71"/>
    <w:rsid w:val="00C24DBA"/>
    <w:rsid w:val="00C254EF"/>
    <w:rsid w:val="00C2552B"/>
    <w:rsid w:val="00C25C17"/>
    <w:rsid w:val="00C25C27"/>
    <w:rsid w:val="00C260FF"/>
    <w:rsid w:val="00C2649F"/>
    <w:rsid w:val="00C26715"/>
    <w:rsid w:val="00C26D94"/>
    <w:rsid w:val="00C27291"/>
    <w:rsid w:val="00C272A6"/>
    <w:rsid w:val="00C272F4"/>
    <w:rsid w:val="00C27B9D"/>
    <w:rsid w:val="00C27BF6"/>
    <w:rsid w:val="00C309C6"/>
    <w:rsid w:val="00C30CA9"/>
    <w:rsid w:val="00C3107F"/>
    <w:rsid w:val="00C3126E"/>
    <w:rsid w:val="00C3143D"/>
    <w:rsid w:val="00C31F95"/>
    <w:rsid w:val="00C3204A"/>
    <w:rsid w:val="00C32676"/>
    <w:rsid w:val="00C3276C"/>
    <w:rsid w:val="00C32C4D"/>
    <w:rsid w:val="00C33391"/>
    <w:rsid w:val="00C33621"/>
    <w:rsid w:val="00C33806"/>
    <w:rsid w:val="00C338E4"/>
    <w:rsid w:val="00C33B17"/>
    <w:rsid w:val="00C33C5A"/>
    <w:rsid w:val="00C3447A"/>
    <w:rsid w:val="00C34963"/>
    <w:rsid w:val="00C34FF5"/>
    <w:rsid w:val="00C3512F"/>
    <w:rsid w:val="00C3533C"/>
    <w:rsid w:val="00C35671"/>
    <w:rsid w:val="00C356B0"/>
    <w:rsid w:val="00C35B4A"/>
    <w:rsid w:val="00C35B56"/>
    <w:rsid w:val="00C35F40"/>
    <w:rsid w:val="00C35F56"/>
    <w:rsid w:val="00C36001"/>
    <w:rsid w:val="00C36188"/>
    <w:rsid w:val="00C36223"/>
    <w:rsid w:val="00C36258"/>
    <w:rsid w:val="00C362A6"/>
    <w:rsid w:val="00C3640D"/>
    <w:rsid w:val="00C3656A"/>
    <w:rsid w:val="00C3690E"/>
    <w:rsid w:val="00C36943"/>
    <w:rsid w:val="00C36B23"/>
    <w:rsid w:val="00C36C78"/>
    <w:rsid w:val="00C36CF2"/>
    <w:rsid w:val="00C36DC8"/>
    <w:rsid w:val="00C36E23"/>
    <w:rsid w:val="00C36FD4"/>
    <w:rsid w:val="00C37160"/>
    <w:rsid w:val="00C37182"/>
    <w:rsid w:val="00C3725C"/>
    <w:rsid w:val="00C3753C"/>
    <w:rsid w:val="00C3763D"/>
    <w:rsid w:val="00C37692"/>
    <w:rsid w:val="00C37874"/>
    <w:rsid w:val="00C379B7"/>
    <w:rsid w:val="00C37C9C"/>
    <w:rsid w:val="00C4034A"/>
    <w:rsid w:val="00C403A8"/>
    <w:rsid w:val="00C403CD"/>
    <w:rsid w:val="00C404A3"/>
    <w:rsid w:val="00C40543"/>
    <w:rsid w:val="00C4071B"/>
    <w:rsid w:val="00C407F7"/>
    <w:rsid w:val="00C40971"/>
    <w:rsid w:val="00C40B4E"/>
    <w:rsid w:val="00C41A55"/>
    <w:rsid w:val="00C41A97"/>
    <w:rsid w:val="00C41EF5"/>
    <w:rsid w:val="00C42107"/>
    <w:rsid w:val="00C422BF"/>
    <w:rsid w:val="00C4236D"/>
    <w:rsid w:val="00C42510"/>
    <w:rsid w:val="00C42676"/>
    <w:rsid w:val="00C427B0"/>
    <w:rsid w:val="00C429B5"/>
    <w:rsid w:val="00C42AAD"/>
    <w:rsid w:val="00C42DCC"/>
    <w:rsid w:val="00C43482"/>
    <w:rsid w:val="00C434CD"/>
    <w:rsid w:val="00C43719"/>
    <w:rsid w:val="00C43943"/>
    <w:rsid w:val="00C43FAA"/>
    <w:rsid w:val="00C4401C"/>
    <w:rsid w:val="00C44508"/>
    <w:rsid w:val="00C448D7"/>
    <w:rsid w:val="00C449CE"/>
    <w:rsid w:val="00C44B87"/>
    <w:rsid w:val="00C44B8E"/>
    <w:rsid w:val="00C44FC2"/>
    <w:rsid w:val="00C45171"/>
    <w:rsid w:val="00C45443"/>
    <w:rsid w:val="00C454F9"/>
    <w:rsid w:val="00C456CD"/>
    <w:rsid w:val="00C4592E"/>
    <w:rsid w:val="00C45C6D"/>
    <w:rsid w:val="00C45F4F"/>
    <w:rsid w:val="00C45FDB"/>
    <w:rsid w:val="00C46313"/>
    <w:rsid w:val="00C4632B"/>
    <w:rsid w:val="00C46352"/>
    <w:rsid w:val="00C4659C"/>
    <w:rsid w:val="00C465F1"/>
    <w:rsid w:val="00C46698"/>
    <w:rsid w:val="00C466C6"/>
    <w:rsid w:val="00C467F1"/>
    <w:rsid w:val="00C46854"/>
    <w:rsid w:val="00C46A28"/>
    <w:rsid w:val="00C46A4C"/>
    <w:rsid w:val="00C46D21"/>
    <w:rsid w:val="00C46FDB"/>
    <w:rsid w:val="00C47266"/>
    <w:rsid w:val="00C47328"/>
    <w:rsid w:val="00C474CE"/>
    <w:rsid w:val="00C474E6"/>
    <w:rsid w:val="00C475DE"/>
    <w:rsid w:val="00C47BD7"/>
    <w:rsid w:val="00C503F7"/>
    <w:rsid w:val="00C50867"/>
    <w:rsid w:val="00C50C2F"/>
    <w:rsid w:val="00C51055"/>
    <w:rsid w:val="00C5162F"/>
    <w:rsid w:val="00C51E27"/>
    <w:rsid w:val="00C51E44"/>
    <w:rsid w:val="00C520BE"/>
    <w:rsid w:val="00C5215D"/>
    <w:rsid w:val="00C5231C"/>
    <w:rsid w:val="00C525EB"/>
    <w:rsid w:val="00C525F6"/>
    <w:rsid w:val="00C52A4D"/>
    <w:rsid w:val="00C52B53"/>
    <w:rsid w:val="00C52D67"/>
    <w:rsid w:val="00C52F05"/>
    <w:rsid w:val="00C532DC"/>
    <w:rsid w:val="00C53850"/>
    <w:rsid w:val="00C5393C"/>
    <w:rsid w:val="00C539F1"/>
    <w:rsid w:val="00C53E69"/>
    <w:rsid w:val="00C5434B"/>
    <w:rsid w:val="00C54530"/>
    <w:rsid w:val="00C549EC"/>
    <w:rsid w:val="00C54A52"/>
    <w:rsid w:val="00C54AD5"/>
    <w:rsid w:val="00C55889"/>
    <w:rsid w:val="00C558A4"/>
    <w:rsid w:val="00C55C14"/>
    <w:rsid w:val="00C55E47"/>
    <w:rsid w:val="00C5603E"/>
    <w:rsid w:val="00C56155"/>
    <w:rsid w:val="00C56461"/>
    <w:rsid w:val="00C567BA"/>
    <w:rsid w:val="00C569F5"/>
    <w:rsid w:val="00C56DBB"/>
    <w:rsid w:val="00C56E43"/>
    <w:rsid w:val="00C56E57"/>
    <w:rsid w:val="00C57052"/>
    <w:rsid w:val="00C57914"/>
    <w:rsid w:val="00C57965"/>
    <w:rsid w:val="00C57A27"/>
    <w:rsid w:val="00C57D47"/>
    <w:rsid w:val="00C57D97"/>
    <w:rsid w:val="00C60331"/>
    <w:rsid w:val="00C6035E"/>
    <w:rsid w:val="00C603B2"/>
    <w:rsid w:val="00C6049F"/>
    <w:rsid w:val="00C6077E"/>
    <w:rsid w:val="00C6093C"/>
    <w:rsid w:val="00C60F46"/>
    <w:rsid w:val="00C611C3"/>
    <w:rsid w:val="00C6122A"/>
    <w:rsid w:val="00C612BA"/>
    <w:rsid w:val="00C617CF"/>
    <w:rsid w:val="00C619B7"/>
    <w:rsid w:val="00C61B7E"/>
    <w:rsid w:val="00C61C52"/>
    <w:rsid w:val="00C61CD3"/>
    <w:rsid w:val="00C61E8B"/>
    <w:rsid w:val="00C6208C"/>
    <w:rsid w:val="00C623A3"/>
    <w:rsid w:val="00C62474"/>
    <w:rsid w:val="00C62780"/>
    <w:rsid w:val="00C6286A"/>
    <w:rsid w:val="00C62B62"/>
    <w:rsid w:val="00C62B7E"/>
    <w:rsid w:val="00C62EFC"/>
    <w:rsid w:val="00C63056"/>
    <w:rsid w:val="00C6317B"/>
    <w:rsid w:val="00C631B4"/>
    <w:rsid w:val="00C6329D"/>
    <w:rsid w:val="00C633CF"/>
    <w:rsid w:val="00C6385F"/>
    <w:rsid w:val="00C63BE0"/>
    <w:rsid w:val="00C63CAE"/>
    <w:rsid w:val="00C63F1F"/>
    <w:rsid w:val="00C649A5"/>
    <w:rsid w:val="00C64DCE"/>
    <w:rsid w:val="00C64E24"/>
    <w:rsid w:val="00C64E8E"/>
    <w:rsid w:val="00C653CF"/>
    <w:rsid w:val="00C661FB"/>
    <w:rsid w:val="00C6621F"/>
    <w:rsid w:val="00C666F0"/>
    <w:rsid w:val="00C66C00"/>
    <w:rsid w:val="00C66C07"/>
    <w:rsid w:val="00C66F29"/>
    <w:rsid w:val="00C6714B"/>
    <w:rsid w:val="00C67255"/>
    <w:rsid w:val="00C67A2A"/>
    <w:rsid w:val="00C67BE9"/>
    <w:rsid w:val="00C67FFA"/>
    <w:rsid w:val="00C700AE"/>
    <w:rsid w:val="00C70184"/>
    <w:rsid w:val="00C70426"/>
    <w:rsid w:val="00C706E9"/>
    <w:rsid w:val="00C71893"/>
    <w:rsid w:val="00C71D0D"/>
    <w:rsid w:val="00C72052"/>
    <w:rsid w:val="00C722C4"/>
    <w:rsid w:val="00C7255E"/>
    <w:rsid w:val="00C7273A"/>
    <w:rsid w:val="00C727AB"/>
    <w:rsid w:val="00C7284C"/>
    <w:rsid w:val="00C72EC4"/>
    <w:rsid w:val="00C72FD8"/>
    <w:rsid w:val="00C730DC"/>
    <w:rsid w:val="00C73728"/>
    <w:rsid w:val="00C73D94"/>
    <w:rsid w:val="00C73E33"/>
    <w:rsid w:val="00C74082"/>
    <w:rsid w:val="00C74123"/>
    <w:rsid w:val="00C74188"/>
    <w:rsid w:val="00C74220"/>
    <w:rsid w:val="00C745DC"/>
    <w:rsid w:val="00C746DC"/>
    <w:rsid w:val="00C74C1C"/>
    <w:rsid w:val="00C74C34"/>
    <w:rsid w:val="00C74FD4"/>
    <w:rsid w:val="00C75208"/>
    <w:rsid w:val="00C752CC"/>
    <w:rsid w:val="00C75339"/>
    <w:rsid w:val="00C7538A"/>
    <w:rsid w:val="00C753E0"/>
    <w:rsid w:val="00C7551E"/>
    <w:rsid w:val="00C75615"/>
    <w:rsid w:val="00C75996"/>
    <w:rsid w:val="00C75A0B"/>
    <w:rsid w:val="00C75B14"/>
    <w:rsid w:val="00C75B2F"/>
    <w:rsid w:val="00C7611A"/>
    <w:rsid w:val="00C76236"/>
    <w:rsid w:val="00C7627B"/>
    <w:rsid w:val="00C7658C"/>
    <w:rsid w:val="00C76910"/>
    <w:rsid w:val="00C76B50"/>
    <w:rsid w:val="00C76B9E"/>
    <w:rsid w:val="00C76D50"/>
    <w:rsid w:val="00C76D6C"/>
    <w:rsid w:val="00C76E54"/>
    <w:rsid w:val="00C7708B"/>
    <w:rsid w:val="00C770D9"/>
    <w:rsid w:val="00C7751B"/>
    <w:rsid w:val="00C776EC"/>
    <w:rsid w:val="00C77B56"/>
    <w:rsid w:val="00C807C2"/>
    <w:rsid w:val="00C809B4"/>
    <w:rsid w:val="00C811CC"/>
    <w:rsid w:val="00C811F9"/>
    <w:rsid w:val="00C81410"/>
    <w:rsid w:val="00C815D1"/>
    <w:rsid w:val="00C8180E"/>
    <w:rsid w:val="00C81847"/>
    <w:rsid w:val="00C818C2"/>
    <w:rsid w:val="00C81966"/>
    <w:rsid w:val="00C81A18"/>
    <w:rsid w:val="00C8208F"/>
    <w:rsid w:val="00C82090"/>
    <w:rsid w:val="00C821D8"/>
    <w:rsid w:val="00C82589"/>
    <w:rsid w:val="00C8261A"/>
    <w:rsid w:val="00C827FC"/>
    <w:rsid w:val="00C8280A"/>
    <w:rsid w:val="00C8299A"/>
    <w:rsid w:val="00C82A58"/>
    <w:rsid w:val="00C82AFC"/>
    <w:rsid w:val="00C82B26"/>
    <w:rsid w:val="00C834D1"/>
    <w:rsid w:val="00C836EB"/>
    <w:rsid w:val="00C83AB6"/>
    <w:rsid w:val="00C83D12"/>
    <w:rsid w:val="00C83D38"/>
    <w:rsid w:val="00C83F51"/>
    <w:rsid w:val="00C83FF9"/>
    <w:rsid w:val="00C841F2"/>
    <w:rsid w:val="00C84499"/>
    <w:rsid w:val="00C84604"/>
    <w:rsid w:val="00C846A1"/>
    <w:rsid w:val="00C847A2"/>
    <w:rsid w:val="00C84B9C"/>
    <w:rsid w:val="00C84BDE"/>
    <w:rsid w:val="00C84E78"/>
    <w:rsid w:val="00C85094"/>
    <w:rsid w:val="00C851DC"/>
    <w:rsid w:val="00C8521E"/>
    <w:rsid w:val="00C857EC"/>
    <w:rsid w:val="00C85981"/>
    <w:rsid w:val="00C85BBF"/>
    <w:rsid w:val="00C85CEB"/>
    <w:rsid w:val="00C85CFE"/>
    <w:rsid w:val="00C85E54"/>
    <w:rsid w:val="00C86251"/>
    <w:rsid w:val="00C864C1"/>
    <w:rsid w:val="00C8654E"/>
    <w:rsid w:val="00C86750"/>
    <w:rsid w:val="00C867A3"/>
    <w:rsid w:val="00C86B85"/>
    <w:rsid w:val="00C86BF7"/>
    <w:rsid w:val="00C8703F"/>
    <w:rsid w:val="00C8704E"/>
    <w:rsid w:val="00C8712E"/>
    <w:rsid w:val="00C87212"/>
    <w:rsid w:val="00C87265"/>
    <w:rsid w:val="00C876A7"/>
    <w:rsid w:val="00C87744"/>
    <w:rsid w:val="00C877E2"/>
    <w:rsid w:val="00C877E9"/>
    <w:rsid w:val="00C87978"/>
    <w:rsid w:val="00C87AD5"/>
    <w:rsid w:val="00C87CF2"/>
    <w:rsid w:val="00C87EED"/>
    <w:rsid w:val="00C87FF2"/>
    <w:rsid w:val="00C90223"/>
    <w:rsid w:val="00C90270"/>
    <w:rsid w:val="00C90403"/>
    <w:rsid w:val="00C907AE"/>
    <w:rsid w:val="00C90B20"/>
    <w:rsid w:val="00C90C2A"/>
    <w:rsid w:val="00C90CCC"/>
    <w:rsid w:val="00C9113B"/>
    <w:rsid w:val="00C912C5"/>
    <w:rsid w:val="00C912CC"/>
    <w:rsid w:val="00C91783"/>
    <w:rsid w:val="00C9196F"/>
    <w:rsid w:val="00C91C85"/>
    <w:rsid w:val="00C92030"/>
    <w:rsid w:val="00C92747"/>
    <w:rsid w:val="00C92799"/>
    <w:rsid w:val="00C9296B"/>
    <w:rsid w:val="00C929D5"/>
    <w:rsid w:val="00C92FA3"/>
    <w:rsid w:val="00C934E7"/>
    <w:rsid w:val="00C93964"/>
    <w:rsid w:val="00C93A48"/>
    <w:rsid w:val="00C93C7C"/>
    <w:rsid w:val="00C93E28"/>
    <w:rsid w:val="00C94211"/>
    <w:rsid w:val="00C94390"/>
    <w:rsid w:val="00C945FD"/>
    <w:rsid w:val="00C94606"/>
    <w:rsid w:val="00C94692"/>
    <w:rsid w:val="00C94A96"/>
    <w:rsid w:val="00C94B9B"/>
    <w:rsid w:val="00C94C4F"/>
    <w:rsid w:val="00C94C60"/>
    <w:rsid w:val="00C94CAD"/>
    <w:rsid w:val="00C94CD1"/>
    <w:rsid w:val="00C94E99"/>
    <w:rsid w:val="00C95128"/>
    <w:rsid w:val="00C953E2"/>
    <w:rsid w:val="00C9541C"/>
    <w:rsid w:val="00C95816"/>
    <w:rsid w:val="00C95AD3"/>
    <w:rsid w:val="00C95D46"/>
    <w:rsid w:val="00C95DE7"/>
    <w:rsid w:val="00C95FAB"/>
    <w:rsid w:val="00C96401"/>
    <w:rsid w:val="00C964C1"/>
    <w:rsid w:val="00C96F0C"/>
    <w:rsid w:val="00C9733C"/>
    <w:rsid w:val="00C976D9"/>
    <w:rsid w:val="00C97B06"/>
    <w:rsid w:val="00C97BF6"/>
    <w:rsid w:val="00C97F48"/>
    <w:rsid w:val="00CA008D"/>
    <w:rsid w:val="00CA014B"/>
    <w:rsid w:val="00CA044F"/>
    <w:rsid w:val="00CA0544"/>
    <w:rsid w:val="00CA07FA"/>
    <w:rsid w:val="00CA085D"/>
    <w:rsid w:val="00CA0909"/>
    <w:rsid w:val="00CA0F8C"/>
    <w:rsid w:val="00CA1503"/>
    <w:rsid w:val="00CA1723"/>
    <w:rsid w:val="00CA21AB"/>
    <w:rsid w:val="00CA220B"/>
    <w:rsid w:val="00CA23F7"/>
    <w:rsid w:val="00CA2971"/>
    <w:rsid w:val="00CA3318"/>
    <w:rsid w:val="00CA3BD0"/>
    <w:rsid w:val="00CA408C"/>
    <w:rsid w:val="00CA42D9"/>
    <w:rsid w:val="00CA4449"/>
    <w:rsid w:val="00CA4F78"/>
    <w:rsid w:val="00CA5454"/>
    <w:rsid w:val="00CA578B"/>
    <w:rsid w:val="00CA5AC9"/>
    <w:rsid w:val="00CA5B38"/>
    <w:rsid w:val="00CA5DC6"/>
    <w:rsid w:val="00CA5E03"/>
    <w:rsid w:val="00CA5F0E"/>
    <w:rsid w:val="00CA6159"/>
    <w:rsid w:val="00CA6241"/>
    <w:rsid w:val="00CA63C7"/>
    <w:rsid w:val="00CA6408"/>
    <w:rsid w:val="00CA6728"/>
    <w:rsid w:val="00CA688A"/>
    <w:rsid w:val="00CA6D35"/>
    <w:rsid w:val="00CA6E6F"/>
    <w:rsid w:val="00CA6E73"/>
    <w:rsid w:val="00CA6EF8"/>
    <w:rsid w:val="00CA70CC"/>
    <w:rsid w:val="00CA70DF"/>
    <w:rsid w:val="00CA74B8"/>
    <w:rsid w:val="00CB00D0"/>
    <w:rsid w:val="00CB0214"/>
    <w:rsid w:val="00CB0278"/>
    <w:rsid w:val="00CB02BF"/>
    <w:rsid w:val="00CB0495"/>
    <w:rsid w:val="00CB0ABA"/>
    <w:rsid w:val="00CB0ADB"/>
    <w:rsid w:val="00CB1033"/>
    <w:rsid w:val="00CB1340"/>
    <w:rsid w:val="00CB139B"/>
    <w:rsid w:val="00CB17E8"/>
    <w:rsid w:val="00CB1A2A"/>
    <w:rsid w:val="00CB1A8E"/>
    <w:rsid w:val="00CB1B89"/>
    <w:rsid w:val="00CB1DF0"/>
    <w:rsid w:val="00CB1E21"/>
    <w:rsid w:val="00CB2006"/>
    <w:rsid w:val="00CB206A"/>
    <w:rsid w:val="00CB20D6"/>
    <w:rsid w:val="00CB234D"/>
    <w:rsid w:val="00CB2484"/>
    <w:rsid w:val="00CB2601"/>
    <w:rsid w:val="00CB2957"/>
    <w:rsid w:val="00CB2B50"/>
    <w:rsid w:val="00CB3B70"/>
    <w:rsid w:val="00CB3C29"/>
    <w:rsid w:val="00CB3CB6"/>
    <w:rsid w:val="00CB3FCA"/>
    <w:rsid w:val="00CB4258"/>
    <w:rsid w:val="00CB48DC"/>
    <w:rsid w:val="00CB4CAC"/>
    <w:rsid w:val="00CB4CE1"/>
    <w:rsid w:val="00CB4D23"/>
    <w:rsid w:val="00CB4F57"/>
    <w:rsid w:val="00CB512D"/>
    <w:rsid w:val="00CB5842"/>
    <w:rsid w:val="00CB58BB"/>
    <w:rsid w:val="00CB5B5F"/>
    <w:rsid w:val="00CB5DE3"/>
    <w:rsid w:val="00CB5ECB"/>
    <w:rsid w:val="00CB6049"/>
    <w:rsid w:val="00CB6124"/>
    <w:rsid w:val="00CB61BC"/>
    <w:rsid w:val="00CB63DB"/>
    <w:rsid w:val="00CB67D9"/>
    <w:rsid w:val="00CB67F6"/>
    <w:rsid w:val="00CB6962"/>
    <w:rsid w:val="00CB69C1"/>
    <w:rsid w:val="00CB6A31"/>
    <w:rsid w:val="00CB76F0"/>
    <w:rsid w:val="00CB7770"/>
    <w:rsid w:val="00CB77B8"/>
    <w:rsid w:val="00CB7A6A"/>
    <w:rsid w:val="00CB7B69"/>
    <w:rsid w:val="00CB7B86"/>
    <w:rsid w:val="00CB7FAF"/>
    <w:rsid w:val="00CC0025"/>
    <w:rsid w:val="00CC01BB"/>
    <w:rsid w:val="00CC03B7"/>
    <w:rsid w:val="00CC03C5"/>
    <w:rsid w:val="00CC03EC"/>
    <w:rsid w:val="00CC0479"/>
    <w:rsid w:val="00CC0AB9"/>
    <w:rsid w:val="00CC0BA9"/>
    <w:rsid w:val="00CC1096"/>
    <w:rsid w:val="00CC137B"/>
    <w:rsid w:val="00CC13FD"/>
    <w:rsid w:val="00CC16CE"/>
    <w:rsid w:val="00CC1887"/>
    <w:rsid w:val="00CC1A03"/>
    <w:rsid w:val="00CC1CC8"/>
    <w:rsid w:val="00CC1D36"/>
    <w:rsid w:val="00CC1D49"/>
    <w:rsid w:val="00CC2324"/>
    <w:rsid w:val="00CC24DA"/>
    <w:rsid w:val="00CC2840"/>
    <w:rsid w:val="00CC2A30"/>
    <w:rsid w:val="00CC2E54"/>
    <w:rsid w:val="00CC30FA"/>
    <w:rsid w:val="00CC31C3"/>
    <w:rsid w:val="00CC32B2"/>
    <w:rsid w:val="00CC3467"/>
    <w:rsid w:val="00CC34C0"/>
    <w:rsid w:val="00CC391C"/>
    <w:rsid w:val="00CC3A17"/>
    <w:rsid w:val="00CC3B1B"/>
    <w:rsid w:val="00CC3D45"/>
    <w:rsid w:val="00CC4BBC"/>
    <w:rsid w:val="00CC4CF1"/>
    <w:rsid w:val="00CC4DFB"/>
    <w:rsid w:val="00CC54B1"/>
    <w:rsid w:val="00CC573D"/>
    <w:rsid w:val="00CC5D60"/>
    <w:rsid w:val="00CC6595"/>
    <w:rsid w:val="00CC65D6"/>
    <w:rsid w:val="00CC66CE"/>
    <w:rsid w:val="00CC67AA"/>
    <w:rsid w:val="00CC68A4"/>
    <w:rsid w:val="00CC68F2"/>
    <w:rsid w:val="00CC6A01"/>
    <w:rsid w:val="00CC7461"/>
    <w:rsid w:val="00CC7AC6"/>
    <w:rsid w:val="00CC7DAC"/>
    <w:rsid w:val="00CD011E"/>
    <w:rsid w:val="00CD025F"/>
    <w:rsid w:val="00CD02C3"/>
    <w:rsid w:val="00CD04E3"/>
    <w:rsid w:val="00CD05DE"/>
    <w:rsid w:val="00CD08B7"/>
    <w:rsid w:val="00CD0A9D"/>
    <w:rsid w:val="00CD0D7C"/>
    <w:rsid w:val="00CD1007"/>
    <w:rsid w:val="00CD127D"/>
    <w:rsid w:val="00CD19BC"/>
    <w:rsid w:val="00CD1AA4"/>
    <w:rsid w:val="00CD1B4B"/>
    <w:rsid w:val="00CD218D"/>
    <w:rsid w:val="00CD2498"/>
    <w:rsid w:val="00CD2E30"/>
    <w:rsid w:val="00CD30EB"/>
    <w:rsid w:val="00CD311C"/>
    <w:rsid w:val="00CD3358"/>
    <w:rsid w:val="00CD335E"/>
    <w:rsid w:val="00CD343B"/>
    <w:rsid w:val="00CD3570"/>
    <w:rsid w:val="00CD35AC"/>
    <w:rsid w:val="00CD3794"/>
    <w:rsid w:val="00CD39B4"/>
    <w:rsid w:val="00CD40D0"/>
    <w:rsid w:val="00CD46E2"/>
    <w:rsid w:val="00CD47EF"/>
    <w:rsid w:val="00CD48D4"/>
    <w:rsid w:val="00CD4A20"/>
    <w:rsid w:val="00CD50CB"/>
    <w:rsid w:val="00CD51AA"/>
    <w:rsid w:val="00CD5450"/>
    <w:rsid w:val="00CD55AD"/>
    <w:rsid w:val="00CD562B"/>
    <w:rsid w:val="00CD5851"/>
    <w:rsid w:val="00CD5860"/>
    <w:rsid w:val="00CD5888"/>
    <w:rsid w:val="00CD59FF"/>
    <w:rsid w:val="00CD5CF7"/>
    <w:rsid w:val="00CD5D21"/>
    <w:rsid w:val="00CD5EC4"/>
    <w:rsid w:val="00CD645C"/>
    <w:rsid w:val="00CD6558"/>
    <w:rsid w:val="00CD655C"/>
    <w:rsid w:val="00CD6746"/>
    <w:rsid w:val="00CD6758"/>
    <w:rsid w:val="00CD688C"/>
    <w:rsid w:val="00CD69C7"/>
    <w:rsid w:val="00CD69D5"/>
    <w:rsid w:val="00CD6A16"/>
    <w:rsid w:val="00CD6AC4"/>
    <w:rsid w:val="00CD6BCE"/>
    <w:rsid w:val="00CD6FE3"/>
    <w:rsid w:val="00CD711D"/>
    <w:rsid w:val="00CD74EF"/>
    <w:rsid w:val="00CE03EB"/>
    <w:rsid w:val="00CE050F"/>
    <w:rsid w:val="00CE0683"/>
    <w:rsid w:val="00CE069E"/>
    <w:rsid w:val="00CE0A06"/>
    <w:rsid w:val="00CE0ED7"/>
    <w:rsid w:val="00CE0F49"/>
    <w:rsid w:val="00CE12A4"/>
    <w:rsid w:val="00CE144D"/>
    <w:rsid w:val="00CE15F5"/>
    <w:rsid w:val="00CE177B"/>
    <w:rsid w:val="00CE1983"/>
    <w:rsid w:val="00CE1D04"/>
    <w:rsid w:val="00CE23C1"/>
    <w:rsid w:val="00CE23FB"/>
    <w:rsid w:val="00CE2516"/>
    <w:rsid w:val="00CE2639"/>
    <w:rsid w:val="00CE266C"/>
    <w:rsid w:val="00CE266F"/>
    <w:rsid w:val="00CE2883"/>
    <w:rsid w:val="00CE2CE7"/>
    <w:rsid w:val="00CE2EFD"/>
    <w:rsid w:val="00CE3101"/>
    <w:rsid w:val="00CE327F"/>
    <w:rsid w:val="00CE3365"/>
    <w:rsid w:val="00CE3400"/>
    <w:rsid w:val="00CE34D1"/>
    <w:rsid w:val="00CE3661"/>
    <w:rsid w:val="00CE36CC"/>
    <w:rsid w:val="00CE37BD"/>
    <w:rsid w:val="00CE38E8"/>
    <w:rsid w:val="00CE3F06"/>
    <w:rsid w:val="00CE3F8D"/>
    <w:rsid w:val="00CE40E8"/>
    <w:rsid w:val="00CE4140"/>
    <w:rsid w:val="00CE420E"/>
    <w:rsid w:val="00CE42DF"/>
    <w:rsid w:val="00CE4357"/>
    <w:rsid w:val="00CE4486"/>
    <w:rsid w:val="00CE44EF"/>
    <w:rsid w:val="00CE4806"/>
    <w:rsid w:val="00CE4A67"/>
    <w:rsid w:val="00CE4AA6"/>
    <w:rsid w:val="00CE4CA5"/>
    <w:rsid w:val="00CE4E62"/>
    <w:rsid w:val="00CE4F1C"/>
    <w:rsid w:val="00CE5558"/>
    <w:rsid w:val="00CE5653"/>
    <w:rsid w:val="00CE5705"/>
    <w:rsid w:val="00CE59C6"/>
    <w:rsid w:val="00CE5B6B"/>
    <w:rsid w:val="00CE5D0E"/>
    <w:rsid w:val="00CE6006"/>
    <w:rsid w:val="00CE64CC"/>
    <w:rsid w:val="00CE6BD5"/>
    <w:rsid w:val="00CE6D4D"/>
    <w:rsid w:val="00CE6FBD"/>
    <w:rsid w:val="00CE709D"/>
    <w:rsid w:val="00CE71F3"/>
    <w:rsid w:val="00CE72EA"/>
    <w:rsid w:val="00CE7334"/>
    <w:rsid w:val="00CE743E"/>
    <w:rsid w:val="00CE74A8"/>
    <w:rsid w:val="00CE75B9"/>
    <w:rsid w:val="00CE7885"/>
    <w:rsid w:val="00CE7D14"/>
    <w:rsid w:val="00CE7EFC"/>
    <w:rsid w:val="00CE7F97"/>
    <w:rsid w:val="00CF016B"/>
    <w:rsid w:val="00CF02B4"/>
    <w:rsid w:val="00CF04CD"/>
    <w:rsid w:val="00CF061E"/>
    <w:rsid w:val="00CF078E"/>
    <w:rsid w:val="00CF07AA"/>
    <w:rsid w:val="00CF09E2"/>
    <w:rsid w:val="00CF0ABC"/>
    <w:rsid w:val="00CF0B30"/>
    <w:rsid w:val="00CF0E3E"/>
    <w:rsid w:val="00CF0F6D"/>
    <w:rsid w:val="00CF147D"/>
    <w:rsid w:val="00CF155B"/>
    <w:rsid w:val="00CF16E1"/>
    <w:rsid w:val="00CF1B27"/>
    <w:rsid w:val="00CF1CBB"/>
    <w:rsid w:val="00CF1D30"/>
    <w:rsid w:val="00CF2140"/>
    <w:rsid w:val="00CF221B"/>
    <w:rsid w:val="00CF2678"/>
    <w:rsid w:val="00CF27EF"/>
    <w:rsid w:val="00CF29CF"/>
    <w:rsid w:val="00CF2D86"/>
    <w:rsid w:val="00CF30F9"/>
    <w:rsid w:val="00CF3465"/>
    <w:rsid w:val="00CF3570"/>
    <w:rsid w:val="00CF37FE"/>
    <w:rsid w:val="00CF389F"/>
    <w:rsid w:val="00CF3C95"/>
    <w:rsid w:val="00CF436E"/>
    <w:rsid w:val="00CF45F2"/>
    <w:rsid w:val="00CF477D"/>
    <w:rsid w:val="00CF47FA"/>
    <w:rsid w:val="00CF4830"/>
    <w:rsid w:val="00CF4B7D"/>
    <w:rsid w:val="00CF50AD"/>
    <w:rsid w:val="00CF5563"/>
    <w:rsid w:val="00CF564D"/>
    <w:rsid w:val="00CF5930"/>
    <w:rsid w:val="00CF5E3F"/>
    <w:rsid w:val="00CF5F4A"/>
    <w:rsid w:val="00CF62EA"/>
    <w:rsid w:val="00CF6524"/>
    <w:rsid w:val="00CF6763"/>
    <w:rsid w:val="00CF7055"/>
    <w:rsid w:val="00CF7562"/>
    <w:rsid w:val="00CF759C"/>
    <w:rsid w:val="00CF7737"/>
    <w:rsid w:val="00CF7803"/>
    <w:rsid w:val="00CF7876"/>
    <w:rsid w:val="00CF78D3"/>
    <w:rsid w:val="00CF7BB8"/>
    <w:rsid w:val="00CF7DF9"/>
    <w:rsid w:val="00CF7F18"/>
    <w:rsid w:val="00CF7FF7"/>
    <w:rsid w:val="00D0014C"/>
    <w:rsid w:val="00D00309"/>
    <w:rsid w:val="00D0039B"/>
    <w:rsid w:val="00D00615"/>
    <w:rsid w:val="00D00648"/>
    <w:rsid w:val="00D00996"/>
    <w:rsid w:val="00D00A7F"/>
    <w:rsid w:val="00D00A88"/>
    <w:rsid w:val="00D00C7E"/>
    <w:rsid w:val="00D0127E"/>
    <w:rsid w:val="00D01725"/>
    <w:rsid w:val="00D0199C"/>
    <w:rsid w:val="00D02601"/>
    <w:rsid w:val="00D02631"/>
    <w:rsid w:val="00D02811"/>
    <w:rsid w:val="00D02B09"/>
    <w:rsid w:val="00D02B90"/>
    <w:rsid w:val="00D02E9F"/>
    <w:rsid w:val="00D02F24"/>
    <w:rsid w:val="00D03355"/>
    <w:rsid w:val="00D03AC5"/>
    <w:rsid w:val="00D03C3D"/>
    <w:rsid w:val="00D03E0C"/>
    <w:rsid w:val="00D04320"/>
    <w:rsid w:val="00D04667"/>
    <w:rsid w:val="00D04933"/>
    <w:rsid w:val="00D04EAF"/>
    <w:rsid w:val="00D052C5"/>
    <w:rsid w:val="00D057E4"/>
    <w:rsid w:val="00D058C0"/>
    <w:rsid w:val="00D05A4C"/>
    <w:rsid w:val="00D05B03"/>
    <w:rsid w:val="00D05D19"/>
    <w:rsid w:val="00D065EE"/>
    <w:rsid w:val="00D06718"/>
    <w:rsid w:val="00D0685A"/>
    <w:rsid w:val="00D069E7"/>
    <w:rsid w:val="00D06CA4"/>
    <w:rsid w:val="00D06DFE"/>
    <w:rsid w:val="00D07147"/>
    <w:rsid w:val="00D072B3"/>
    <w:rsid w:val="00D072BA"/>
    <w:rsid w:val="00D0786E"/>
    <w:rsid w:val="00D07E54"/>
    <w:rsid w:val="00D1001B"/>
    <w:rsid w:val="00D1002C"/>
    <w:rsid w:val="00D1030C"/>
    <w:rsid w:val="00D103D2"/>
    <w:rsid w:val="00D10A51"/>
    <w:rsid w:val="00D10A82"/>
    <w:rsid w:val="00D10F12"/>
    <w:rsid w:val="00D1113E"/>
    <w:rsid w:val="00D111E0"/>
    <w:rsid w:val="00D11275"/>
    <w:rsid w:val="00D11547"/>
    <w:rsid w:val="00D11E08"/>
    <w:rsid w:val="00D121D2"/>
    <w:rsid w:val="00D121D6"/>
    <w:rsid w:val="00D1253C"/>
    <w:rsid w:val="00D12560"/>
    <w:rsid w:val="00D125E4"/>
    <w:rsid w:val="00D12A4A"/>
    <w:rsid w:val="00D12BD3"/>
    <w:rsid w:val="00D12C79"/>
    <w:rsid w:val="00D12DC9"/>
    <w:rsid w:val="00D13048"/>
    <w:rsid w:val="00D13051"/>
    <w:rsid w:val="00D130AE"/>
    <w:rsid w:val="00D1333B"/>
    <w:rsid w:val="00D135FD"/>
    <w:rsid w:val="00D136EF"/>
    <w:rsid w:val="00D137DF"/>
    <w:rsid w:val="00D13BCD"/>
    <w:rsid w:val="00D13CE1"/>
    <w:rsid w:val="00D13D15"/>
    <w:rsid w:val="00D13F38"/>
    <w:rsid w:val="00D1451C"/>
    <w:rsid w:val="00D14823"/>
    <w:rsid w:val="00D14C15"/>
    <w:rsid w:val="00D15018"/>
    <w:rsid w:val="00D150F7"/>
    <w:rsid w:val="00D153D9"/>
    <w:rsid w:val="00D154D8"/>
    <w:rsid w:val="00D1568F"/>
    <w:rsid w:val="00D157B0"/>
    <w:rsid w:val="00D15B31"/>
    <w:rsid w:val="00D15BB6"/>
    <w:rsid w:val="00D15C9E"/>
    <w:rsid w:val="00D15D9B"/>
    <w:rsid w:val="00D15FF9"/>
    <w:rsid w:val="00D16195"/>
    <w:rsid w:val="00D16324"/>
    <w:rsid w:val="00D16B92"/>
    <w:rsid w:val="00D16C34"/>
    <w:rsid w:val="00D16CD0"/>
    <w:rsid w:val="00D17A77"/>
    <w:rsid w:val="00D17D85"/>
    <w:rsid w:val="00D17E5A"/>
    <w:rsid w:val="00D202C7"/>
    <w:rsid w:val="00D20315"/>
    <w:rsid w:val="00D20754"/>
    <w:rsid w:val="00D20B31"/>
    <w:rsid w:val="00D20CD3"/>
    <w:rsid w:val="00D20E30"/>
    <w:rsid w:val="00D2126D"/>
    <w:rsid w:val="00D21292"/>
    <w:rsid w:val="00D21670"/>
    <w:rsid w:val="00D219CF"/>
    <w:rsid w:val="00D21B7A"/>
    <w:rsid w:val="00D21BD2"/>
    <w:rsid w:val="00D21F08"/>
    <w:rsid w:val="00D22343"/>
    <w:rsid w:val="00D22432"/>
    <w:rsid w:val="00D22439"/>
    <w:rsid w:val="00D22784"/>
    <w:rsid w:val="00D228DF"/>
    <w:rsid w:val="00D22D30"/>
    <w:rsid w:val="00D230A6"/>
    <w:rsid w:val="00D23131"/>
    <w:rsid w:val="00D2316D"/>
    <w:rsid w:val="00D23795"/>
    <w:rsid w:val="00D23899"/>
    <w:rsid w:val="00D23D95"/>
    <w:rsid w:val="00D23D96"/>
    <w:rsid w:val="00D23E03"/>
    <w:rsid w:val="00D24218"/>
    <w:rsid w:val="00D242A3"/>
    <w:rsid w:val="00D24440"/>
    <w:rsid w:val="00D24484"/>
    <w:rsid w:val="00D24578"/>
    <w:rsid w:val="00D247FE"/>
    <w:rsid w:val="00D2484F"/>
    <w:rsid w:val="00D24979"/>
    <w:rsid w:val="00D24BE9"/>
    <w:rsid w:val="00D24E4A"/>
    <w:rsid w:val="00D25011"/>
    <w:rsid w:val="00D25235"/>
    <w:rsid w:val="00D25376"/>
    <w:rsid w:val="00D25377"/>
    <w:rsid w:val="00D25378"/>
    <w:rsid w:val="00D25989"/>
    <w:rsid w:val="00D25AED"/>
    <w:rsid w:val="00D25E81"/>
    <w:rsid w:val="00D268EC"/>
    <w:rsid w:val="00D26BF1"/>
    <w:rsid w:val="00D26D03"/>
    <w:rsid w:val="00D273EE"/>
    <w:rsid w:val="00D274A7"/>
    <w:rsid w:val="00D27597"/>
    <w:rsid w:val="00D279AE"/>
    <w:rsid w:val="00D279DB"/>
    <w:rsid w:val="00D27A86"/>
    <w:rsid w:val="00D27AAC"/>
    <w:rsid w:val="00D27B69"/>
    <w:rsid w:val="00D3046E"/>
    <w:rsid w:val="00D3063C"/>
    <w:rsid w:val="00D30669"/>
    <w:rsid w:val="00D306BC"/>
    <w:rsid w:val="00D3081C"/>
    <w:rsid w:val="00D30C23"/>
    <w:rsid w:val="00D30C25"/>
    <w:rsid w:val="00D30CB8"/>
    <w:rsid w:val="00D31302"/>
    <w:rsid w:val="00D314D6"/>
    <w:rsid w:val="00D315D2"/>
    <w:rsid w:val="00D31603"/>
    <w:rsid w:val="00D3184D"/>
    <w:rsid w:val="00D31E3B"/>
    <w:rsid w:val="00D31F80"/>
    <w:rsid w:val="00D32172"/>
    <w:rsid w:val="00D321AD"/>
    <w:rsid w:val="00D32266"/>
    <w:rsid w:val="00D32361"/>
    <w:rsid w:val="00D323A1"/>
    <w:rsid w:val="00D32473"/>
    <w:rsid w:val="00D32A0C"/>
    <w:rsid w:val="00D32D0E"/>
    <w:rsid w:val="00D32F00"/>
    <w:rsid w:val="00D331A5"/>
    <w:rsid w:val="00D3332C"/>
    <w:rsid w:val="00D3377A"/>
    <w:rsid w:val="00D338A5"/>
    <w:rsid w:val="00D33AF3"/>
    <w:rsid w:val="00D33C07"/>
    <w:rsid w:val="00D3431F"/>
    <w:rsid w:val="00D343AF"/>
    <w:rsid w:val="00D346E2"/>
    <w:rsid w:val="00D348E6"/>
    <w:rsid w:val="00D34DAE"/>
    <w:rsid w:val="00D34E72"/>
    <w:rsid w:val="00D34FAF"/>
    <w:rsid w:val="00D35067"/>
    <w:rsid w:val="00D35910"/>
    <w:rsid w:val="00D35A3A"/>
    <w:rsid w:val="00D35A83"/>
    <w:rsid w:val="00D3620D"/>
    <w:rsid w:val="00D366A1"/>
    <w:rsid w:val="00D366DF"/>
    <w:rsid w:val="00D36D65"/>
    <w:rsid w:val="00D36DEC"/>
    <w:rsid w:val="00D36E3C"/>
    <w:rsid w:val="00D370F7"/>
    <w:rsid w:val="00D37183"/>
    <w:rsid w:val="00D37684"/>
    <w:rsid w:val="00D37863"/>
    <w:rsid w:val="00D37C9F"/>
    <w:rsid w:val="00D37FC7"/>
    <w:rsid w:val="00D4083B"/>
    <w:rsid w:val="00D40D20"/>
    <w:rsid w:val="00D4111D"/>
    <w:rsid w:val="00D41288"/>
    <w:rsid w:val="00D412A3"/>
    <w:rsid w:val="00D415FF"/>
    <w:rsid w:val="00D41A9F"/>
    <w:rsid w:val="00D41D0A"/>
    <w:rsid w:val="00D42082"/>
    <w:rsid w:val="00D4216A"/>
    <w:rsid w:val="00D4234B"/>
    <w:rsid w:val="00D42710"/>
    <w:rsid w:val="00D42821"/>
    <w:rsid w:val="00D43621"/>
    <w:rsid w:val="00D436E6"/>
    <w:rsid w:val="00D43C0F"/>
    <w:rsid w:val="00D43C41"/>
    <w:rsid w:val="00D43F2D"/>
    <w:rsid w:val="00D43FD7"/>
    <w:rsid w:val="00D44323"/>
    <w:rsid w:val="00D443DE"/>
    <w:rsid w:val="00D44D36"/>
    <w:rsid w:val="00D458F1"/>
    <w:rsid w:val="00D461ED"/>
    <w:rsid w:val="00D463AF"/>
    <w:rsid w:val="00D464C3"/>
    <w:rsid w:val="00D46527"/>
    <w:rsid w:val="00D4665C"/>
    <w:rsid w:val="00D46915"/>
    <w:rsid w:val="00D46EE9"/>
    <w:rsid w:val="00D47209"/>
    <w:rsid w:val="00D473AA"/>
    <w:rsid w:val="00D47430"/>
    <w:rsid w:val="00D4754B"/>
    <w:rsid w:val="00D47667"/>
    <w:rsid w:val="00D47713"/>
    <w:rsid w:val="00D4794B"/>
    <w:rsid w:val="00D47ACB"/>
    <w:rsid w:val="00D47CE8"/>
    <w:rsid w:val="00D47E47"/>
    <w:rsid w:val="00D47EA9"/>
    <w:rsid w:val="00D50056"/>
    <w:rsid w:val="00D50636"/>
    <w:rsid w:val="00D50697"/>
    <w:rsid w:val="00D50861"/>
    <w:rsid w:val="00D508D8"/>
    <w:rsid w:val="00D50DB1"/>
    <w:rsid w:val="00D50F17"/>
    <w:rsid w:val="00D510A8"/>
    <w:rsid w:val="00D51433"/>
    <w:rsid w:val="00D5144A"/>
    <w:rsid w:val="00D516B8"/>
    <w:rsid w:val="00D5170A"/>
    <w:rsid w:val="00D518C5"/>
    <w:rsid w:val="00D51D88"/>
    <w:rsid w:val="00D51DF6"/>
    <w:rsid w:val="00D52402"/>
    <w:rsid w:val="00D52444"/>
    <w:rsid w:val="00D52470"/>
    <w:rsid w:val="00D52673"/>
    <w:rsid w:val="00D529A9"/>
    <w:rsid w:val="00D52C50"/>
    <w:rsid w:val="00D5345C"/>
    <w:rsid w:val="00D5354D"/>
    <w:rsid w:val="00D53873"/>
    <w:rsid w:val="00D53892"/>
    <w:rsid w:val="00D53E87"/>
    <w:rsid w:val="00D53F7C"/>
    <w:rsid w:val="00D540AA"/>
    <w:rsid w:val="00D54249"/>
    <w:rsid w:val="00D543B0"/>
    <w:rsid w:val="00D548A4"/>
    <w:rsid w:val="00D54928"/>
    <w:rsid w:val="00D54AD8"/>
    <w:rsid w:val="00D54BC3"/>
    <w:rsid w:val="00D54E88"/>
    <w:rsid w:val="00D54EC1"/>
    <w:rsid w:val="00D557D1"/>
    <w:rsid w:val="00D55850"/>
    <w:rsid w:val="00D55AB3"/>
    <w:rsid w:val="00D55C9F"/>
    <w:rsid w:val="00D55CC1"/>
    <w:rsid w:val="00D55EE0"/>
    <w:rsid w:val="00D55F59"/>
    <w:rsid w:val="00D5674F"/>
    <w:rsid w:val="00D5678A"/>
    <w:rsid w:val="00D567E2"/>
    <w:rsid w:val="00D56961"/>
    <w:rsid w:val="00D569FA"/>
    <w:rsid w:val="00D56B4A"/>
    <w:rsid w:val="00D56B51"/>
    <w:rsid w:val="00D56BF4"/>
    <w:rsid w:val="00D56E8B"/>
    <w:rsid w:val="00D56EBB"/>
    <w:rsid w:val="00D56F27"/>
    <w:rsid w:val="00D56FE7"/>
    <w:rsid w:val="00D57010"/>
    <w:rsid w:val="00D571D3"/>
    <w:rsid w:val="00D572C0"/>
    <w:rsid w:val="00D57398"/>
    <w:rsid w:val="00D57750"/>
    <w:rsid w:val="00D57BE2"/>
    <w:rsid w:val="00D57D73"/>
    <w:rsid w:val="00D602E7"/>
    <w:rsid w:val="00D60559"/>
    <w:rsid w:val="00D6059F"/>
    <w:rsid w:val="00D6069B"/>
    <w:rsid w:val="00D60995"/>
    <w:rsid w:val="00D60BF7"/>
    <w:rsid w:val="00D60E96"/>
    <w:rsid w:val="00D60ED2"/>
    <w:rsid w:val="00D60EFA"/>
    <w:rsid w:val="00D614A7"/>
    <w:rsid w:val="00D61B54"/>
    <w:rsid w:val="00D61E5D"/>
    <w:rsid w:val="00D61FEC"/>
    <w:rsid w:val="00D620C9"/>
    <w:rsid w:val="00D62397"/>
    <w:rsid w:val="00D62503"/>
    <w:rsid w:val="00D62684"/>
    <w:rsid w:val="00D62734"/>
    <w:rsid w:val="00D6286F"/>
    <w:rsid w:val="00D62C3F"/>
    <w:rsid w:val="00D62D5A"/>
    <w:rsid w:val="00D62EA6"/>
    <w:rsid w:val="00D62EA9"/>
    <w:rsid w:val="00D62EF4"/>
    <w:rsid w:val="00D6330C"/>
    <w:rsid w:val="00D635ED"/>
    <w:rsid w:val="00D635FC"/>
    <w:rsid w:val="00D63AFD"/>
    <w:rsid w:val="00D63E84"/>
    <w:rsid w:val="00D63EDB"/>
    <w:rsid w:val="00D63EE3"/>
    <w:rsid w:val="00D640C3"/>
    <w:rsid w:val="00D6457B"/>
    <w:rsid w:val="00D64717"/>
    <w:rsid w:val="00D64A0F"/>
    <w:rsid w:val="00D64C0B"/>
    <w:rsid w:val="00D64C4F"/>
    <w:rsid w:val="00D6521E"/>
    <w:rsid w:val="00D65360"/>
    <w:rsid w:val="00D65384"/>
    <w:rsid w:val="00D653A5"/>
    <w:rsid w:val="00D65AE1"/>
    <w:rsid w:val="00D65BD6"/>
    <w:rsid w:val="00D65D44"/>
    <w:rsid w:val="00D65FB9"/>
    <w:rsid w:val="00D66055"/>
    <w:rsid w:val="00D660E4"/>
    <w:rsid w:val="00D66B66"/>
    <w:rsid w:val="00D66CD6"/>
    <w:rsid w:val="00D66E2F"/>
    <w:rsid w:val="00D673FF"/>
    <w:rsid w:val="00D679E0"/>
    <w:rsid w:val="00D67D5F"/>
    <w:rsid w:val="00D703FB"/>
    <w:rsid w:val="00D7041A"/>
    <w:rsid w:val="00D704C3"/>
    <w:rsid w:val="00D705F2"/>
    <w:rsid w:val="00D7062C"/>
    <w:rsid w:val="00D7077D"/>
    <w:rsid w:val="00D70846"/>
    <w:rsid w:val="00D7093E"/>
    <w:rsid w:val="00D70ACC"/>
    <w:rsid w:val="00D70CEE"/>
    <w:rsid w:val="00D7115C"/>
    <w:rsid w:val="00D7149F"/>
    <w:rsid w:val="00D7166A"/>
    <w:rsid w:val="00D71810"/>
    <w:rsid w:val="00D71A02"/>
    <w:rsid w:val="00D71A82"/>
    <w:rsid w:val="00D71A86"/>
    <w:rsid w:val="00D71AF2"/>
    <w:rsid w:val="00D721EB"/>
    <w:rsid w:val="00D724E1"/>
    <w:rsid w:val="00D7253C"/>
    <w:rsid w:val="00D728D6"/>
    <w:rsid w:val="00D7290A"/>
    <w:rsid w:val="00D72A66"/>
    <w:rsid w:val="00D72ABD"/>
    <w:rsid w:val="00D72D24"/>
    <w:rsid w:val="00D72DDD"/>
    <w:rsid w:val="00D73593"/>
    <w:rsid w:val="00D7361F"/>
    <w:rsid w:val="00D736F0"/>
    <w:rsid w:val="00D73A56"/>
    <w:rsid w:val="00D73D04"/>
    <w:rsid w:val="00D73FE9"/>
    <w:rsid w:val="00D74267"/>
    <w:rsid w:val="00D7478D"/>
    <w:rsid w:val="00D748F0"/>
    <w:rsid w:val="00D749F9"/>
    <w:rsid w:val="00D74B35"/>
    <w:rsid w:val="00D74B37"/>
    <w:rsid w:val="00D74F09"/>
    <w:rsid w:val="00D750C3"/>
    <w:rsid w:val="00D75181"/>
    <w:rsid w:val="00D752FE"/>
    <w:rsid w:val="00D75669"/>
    <w:rsid w:val="00D758C6"/>
    <w:rsid w:val="00D75B4B"/>
    <w:rsid w:val="00D75D2C"/>
    <w:rsid w:val="00D75DCA"/>
    <w:rsid w:val="00D75FB0"/>
    <w:rsid w:val="00D76592"/>
    <w:rsid w:val="00D76634"/>
    <w:rsid w:val="00D7665B"/>
    <w:rsid w:val="00D768D3"/>
    <w:rsid w:val="00D76970"/>
    <w:rsid w:val="00D77089"/>
    <w:rsid w:val="00D77119"/>
    <w:rsid w:val="00D77258"/>
    <w:rsid w:val="00D77397"/>
    <w:rsid w:val="00D77592"/>
    <w:rsid w:val="00D7762B"/>
    <w:rsid w:val="00D777F1"/>
    <w:rsid w:val="00D77AD6"/>
    <w:rsid w:val="00D77CB9"/>
    <w:rsid w:val="00D80037"/>
    <w:rsid w:val="00D805A0"/>
    <w:rsid w:val="00D81128"/>
    <w:rsid w:val="00D811C0"/>
    <w:rsid w:val="00D81232"/>
    <w:rsid w:val="00D8133F"/>
    <w:rsid w:val="00D813A0"/>
    <w:rsid w:val="00D8168E"/>
    <w:rsid w:val="00D816E4"/>
    <w:rsid w:val="00D817EF"/>
    <w:rsid w:val="00D81943"/>
    <w:rsid w:val="00D81B55"/>
    <w:rsid w:val="00D81C19"/>
    <w:rsid w:val="00D81E08"/>
    <w:rsid w:val="00D82138"/>
    <w:rsid w:val="00D82426"/>
    <w:rsid w:val="00D824E7"/>
    <w:rsid w:val="00D830F3"/>
    <w:rsid w:val="00D833EE"/>
    <w:rsid w:val="00D8371F"/>
    <w:rsid w:val="00D838E8"/>
    <w:rsid w:val="00D83B78"/>
    <w:rsid w:val="00D83D0D"/>
    <w:rsid w:val="00D8411C"/>
    <w:rsid w:val="00D8426B"/>
    <w:rsid w:val="00D8432A"/>
    <w:rsid w:val="00D845A8"/>
    <w:rsid w:val="00D84ADE"/>
    <w:rsid w:val="00D84C98"/>
    <w:rsid w:val="00D84CEF"/>
    <w:rsid w:val="00D84E55"/>
    <w:rsid w:val="00D852C4"/>
    <w:rsid w:val="00D85716"/>
    <w:rsid w:val="00D857D9"/>
    <w:rsid w:val="00D8590E"/>
    <w:rsid w:val="00D85918"/>
    <w:rsid w:val="00D85956"/>
    <w:rsid w:val="00D85B36"/>
    <w:rsid w:val="00D85D04"/>
    <w:rsid w:val="00D86271"/>
    <w:rsid w:val="00D862B3"/>
    <w:rsid w:val="00D86474"/>
    <w:rsid w:val="00D864A1"/>
    <w:rsid w:val="00D86629"/>
    <w:rsid w:val="00D86929"/>
    <w:rsid w:val="00D86EF6"/>
    <w:rsid w:val="00D87003"/>
    <w:rsid w:val="00D87597"/>
    <w:rsid w:val="00D87803"/>
    <w:rsid w:val="00D87A2C"/>
    <w:rsid w:val="00D87C32"/>
    <w:rsid w:val="00D87D7B"/>
    <w:rsid w:val="00D87F01"/>
    <w:rsid w:val="00D90238"/>
    <w:rsid w:val="00D903D8"/>
    <w:rsid w:val="00D90F09"/>
    <w:rsid w:val="00D91072"/>
    <w:rsid w:val="00D91346"/>
    <w:rsid w:val="00D913C6"/>
    <w:rsid w:val="00D9140C"/>
    <w:rsid w:val="00D91725"/>
    <w:rsid w:val="00D91C1E"/>
    <w:rsid w:val="00D91DC5"/>
    <w:rsid w:val="00D91ECC"/>
    <w:rsid w:val="00D92116"/>
    <w:rsid w:val="00D9228F"/>
    <w:rsid w:val="00D928E1"/>
    <w:rsid w:val="00D928F8"/>
    <w:rsid w:val="00D92CFD"/>
    <w:rsid w:val="00D92D53"/>
    <w:rsid w:val="00D92D54"/>
    <w:rsid w:val="00D9307B"/>
    <w:rsid w:val="00D9316B"/>
    <w:rsid w:val="00D93720"/>
    <w:rsid w:val="00D9396D"/>
    <w:rsid w:val="00D93AA0"/>
    <w:rsid w:val="00D941A2"/>
    <w:rsid w:val="00D941DC"/>
    <w:rsid w:val="00D941E5"/>
    <w:rsid w:val="00D9433F"/>
    <w:rsid w:val="00D943A1"/>
    <w:rsid w:val="00D9452C"/>
    <w:rsid w:val="00D946EA"/>
    <w:rsid w:val="00D948CF"/>
    <w:rsid w:val="00D94A34"/>
    <w:rsid w:val="00D94B3D"/>
    <w:rsid w:val="00D94C78"/>
    <w:rsid w:val="00D94FD3"/>
    <w:rsid w:val="00D952C2"/>
    <w:rsid w:val="00D95451"/>
    <w:rsid w:val="00D955AC"/>
    <w:rsid w:val="00D9565B"/>
    <w:rsid w:val="00D958FE"/>
    <w:rsid w:val="00D95AF5"/>
    <w:rsid w:val="00D95DF9"/>
    <w:rsid w:val="00D95F6B"/>
    <w:rsid w:val="00D95F97"/>
    <w:rsid w:val="00D9608B"/>
    <w:rsid w:val="00D963FC"/>
    <w:rsid w:val="00D96452"/>
    <w:rsid w:val="00D9645A"/>
    <w:rsid w:val="00D968E3"/>
    <w:rsid w:val="00D96B59"/>
    <w:rsid w:val="00D96FB3"/>
    <w:rsid w:val="00D977AA"/>
    <w:rsid w:val="00D97844"/>
    <w:rsid w:val="00D979ED"/>
    <w:rsid w:val="00D97A42"/>
    <w:rsid w:val="00D97CE8"/>
    <w:rsid w:val="00D97DCB"/>
    <w:rsid w:val="00D97F19"/>
    <w:rsid w:val="00DA0010"/>
    <w:rsid w:val="00DA0299"/>
    <w:rsid w:val="00DA06B7"/>
    <w:rsid w:val="00DA0FC7"/>
    <w:rsid w:val="00DA10A8"/>
    <w:rsid w:val="00DA1143"/>
    <w:rsid w:val="00DA1786"/>
    <w:rsid w:val="00DA1A44"/>
    <w:rsid w:val="00DA1C8A"/>
    <w:rsid w:val="00DA1E11"/>
    <w:rsid w:val="00DA1EC1"/>
    <w:rsid w:val="00DA1F0E"/>
    <w:rsid w:val="00DA209C"/>
    <w:rsid w:val="00DA2137"/>
    <w:rsid w:val="00DA2397"/>
    <w:rsid w:val="00DA259E"/>
    <w:rsid w:val="00DA280A"/>
    <w:rsid w:val="00DA28A0"/>
    <w:rsid w:val="00DA29D2"/>
    <w:rsid w:val="00DA31F7"/>
    <w:rsid w:val="00DA3321"/>
    <w:rsid w:val="00DA3441"/>
    <w:rsid w:val="00DA3447"/>
    <w:rsid w:val="00DA347F"/>
    <w:rsid w:val="00DA3496"/>
    <w:rsid w:val="00DA3616"/>
    <w:rsid w:val="00DA3635"/>
    <w:rsid w:val="00DA3792"/>
    <w:rsid w:val="00DA3866"/>
    <w:rsid w:val="00DA3C8E"/>
    <w:rsid w:val="00DA3F35"/>
    <w:rsid w:val="00DA47A4"/>
    <w:rsid w:val="00DA4A1D"/>
    <w:rsid w:val="00DA4B93"/>
    <w:rsid w:val="00DA52B9"/>
    <w:rsid w:val="00DA5711"/>
    <w:rsid w:val="00DA5798"/>
    <w:rsid w:val="00DA59A8"/>
    <w:rsid w:val="00DA5A8C"/>
    <w:rsid w:val="00DA5D23"/>
    <w:rsid w:val="00DA5DBC"/>
    <w:rsid w:val="00DA5F78"/>
    <w:rsid w:val="00DA63A7"/>
    <w:rsid w:val="00DA647E"/>
    <w:rsid w:val="00DA6BD4"/>
    <w:rsid w:val="00DA6C41"/>
    <w:rsid w:val="00DA6F06"/>
    <w:rsid w:val="00DA7504"/>
    <w:rsid w:val="00DA764F"/>
    <w:rsid w:val="00DA7AB0"/>
    <w:rsid w:val="00DA7C81"/>
    <w:rsid w:val="00DA7DBC"/>
    <w:rsid w:val="00DA7FC8"/>
    <w:rsid w:val="00DB02B5"/>
    <w:rsid w:val="00DB04E0"/>
    <w:rsid w:val="00DB0516"/>
    <w:rsid w:val="00DB0965"/>
    <w:rsid w:val="00DB0A95"/>
    <w:rsid w:val="00DB1099"/>
    <w:rsid w:val="00DB1729"/>
    <w:rsid w:val="00DB173F"/>
    <w:rsid w:val="00DB1C61"/>
    <w:rsid w:val="00DB1D98"/>
    <w:rsid w:val="00DB1F6B"/>
    <w:rsid w:val="00DB201A"/>
    <w:rsid w:val="00DB2220"/>
    <w:rsid w:val="00DB26D8"/>
    <w:rsid w:val="00DB29BC"/>
    <w:rsid w:val="00DB2E06"/>
    <w:rsid w:val="00DB2F36"/>
    <w:rsid w:val="00DB2F48"/>
    <w:rsid w:val="00DB361E"/>
    <w:rsid w:val="00DB365C"/>
    <w:rsid w:val="00DB367E"/>
    <w:rsid w:val="00DB3B7C"/>
    <w:rsid w:val="00DB403C"/>
    <w:rsid w:val="00DB415C"/>
    <w:rsid w:val="00DB416D"/>
    <w:rsid w:val="00DB47C4"/>
    <w:rsid w:val="00DB47F4"/>
    <w:rsid w:val="00DB4B9C"/>
    <w:rsid w:val="00DB4BE6"/>
    <w:rsid w:val="00DB4D8F"/>
    <w:rsid w:val="00DB4E32"/>
    <w:rsid w:val="00DB4F4B"/>
    <w:rsid w:val="00DB54E8"/>
    <w:rsid w:val="00DB57AE"/>
    <w:rsid w:val="00DB5AE4"/>
    <w:rsid w:val="00DB5C6A"/>
    <w:rsid w:val="00DB5DC3"/>
    <w:rsid w:val="00DB6005"/>
    <w:rsid w:val="00DB602E"/>
    <w:rsid w:val="00DB6058"/>
    <w:rsid w:val="00DB68B2"/>
    <w:rsid w:val="00DB6CE6"/>
    <w:rsid w:val="00DB6FC8"/>
    <w:rsid w:val="00DB717D"/>
    <w:rsid w:val="00DB7628"/>
    <w:rsid w:val="00DB7AEE"/>
    <w:rsid w:val="00DB7EFA"/>
    <w:rsid w:val="00DC0086"/>
    <w:rsid w:val="00DC0363"/>
    <w:rsid w:val="00DC065B"/>
    <w:rsid w:val="00DC07AD"/>
    <w:rsid w:val="00DC0C07"/>
    <w:rsid w:val="00DC0F36"/>
    <w:rsid w:val="00DC122C"/>
    <w:rsid w:val="00DC1306"/>
    <w:rsid w:val="00DC1332"/>
    <w:rsid w:val="00DC13A1"/>
    <w:rsid w:val="00DC13BF"/>
    <w:rsid w:val="00DC16ED"/>
    <w:rsid w:val="00DC176A"/>
    <w:rsid w:val="00DC19C0"/>
    <w:rsid w:val="00DC1A31"/>
    <w:rsid w:val="00DC1D26"/>
    <w:rsid w:val="00DC1DAD"/>
    <w:rsid w:val="00DC219C"/>
    <w:rsid w:val="00DC223B"/>
    <w:rsid w:val="00DC25F2"/>
    <w:rsid w:val="00DC27DF"/>
    <w:rsid w:val="00DC2B4A"/>
    <w:rsid w:val="00DC2BDC"/>
    <w:rsid w:val="00DC2E2A"/>
    <w:rsid w:val="00DC35A1"/>
    <w:rsid w:val="00DC35C9"/>
    <w:rsid w:val="00DC3BCB"/>
    <w:rsid w:val="00DC4078"/>
    <w:rsid w:val="00DC419F"/>
    <w:rsid w:val="00DC445E"/>
    <w:rsid w:val="00DC447F"/>
    <w:rsid w:val="00DC4738"/>
    <w:rsid w:val="00DC47B7"/>
    <w:rsid w:val="00DC4AB1"/>
    <w:rsid w:val="00DC4B79"/>
    <w:rsid w:val="00DC56AD"/>
    <w:rsid w:val="00DC5C87"/>
    <w:rsid w:val="00DC5D79"/>
    <w:rsid w:val="00DC5E71"/>
    <w:rsid w:val="00DC5E94"/>
    <w:rsid w:val="00DC6DC4"/>
    <w:rsid w:val="00DC6E0E"/>
    <w:rsid w:val="00DC6F88"/>
    <w:rsid w:val="00DC71B1"/>
    <w:rsid w:val="00DC71D5"/>
    <w:rsid w:val="00DC7686"/>
    <w:rsid w:val="00DC76F1"/>
    <w:rsid w:val="00DC7845"/>
    <w:rsid w:val="00DC7C72"/>
    <w:rsid w:val="00DC7CE0"/>
    <w:rsid w:val="00DD00B6"/>
    <w:rsid w:val="00DD0227"/>
    <w:rsid w:val="00DD0254"/>
    <w:rsid w:val="00DD03D6"/>
    <w:rsid w:val="00DD0552"/>
    <w:rsid w:val="00DD09FF"/>
    <w:rsid w:val="00DD0D32"/>
    <w:rsid w:val="00DD0E26"/>
    <w:rsid w:val="00DD0E4B"/>
    <w:rsid w:val="00DD1C93"/>
    <w:rsid w:val="00DD1DB5"/>
    <w:rsid w:val="00DD204D"/>
    <w:rsid w:val="00DD2569"/>
    <w:rsid w:val="00DD27AC"/>
    <w:rsid w:val="00DD2B47"/>
    <w:rsid w:val="00DD2D83"/>
    <w:rsid w:val="00DD2FF0"/>
    <w:rsid w:val="00DD4098"/>
    <w:rsid w:val="00DD4171"/>
    <w:rsid w:val="00DD4264"/>
    <w:rsid w:val="00DD43AE"/>
    <w:rsid w:val="00DD4544"/>
    <w:rsid w:val="00DD45E0"/>
    <w:rsid w:val="00DD4660"/>
    <w:rsid w:val="00DD4867"/>
    <w:rsid w:val="00DD4DCD"/>
    <w:rsid w:val="00DD5023"/>
    <w:rsid w:val="00DD536A"/>
    <w:rsid w:val="00DD5EDB"/>
    <w:rsid w:val="00DD65CC"/>
    <w:rsid w:val="00DD6655"/>
    <w:rsid w:val="00DD683B"/>
    <w:rsid w:val="00DD6CB7"/>
    <w:rsid w:val="00DD6D56"/>
    <w:rsid w:val="00DD73A8"/>
    <w:rsid w:val="00DD73AB"/>
    <w:rsid w:val="00DD73E4"/>
    <w:rsid w:val="00DD771A"/>
    <w:rsid w:val="00DD7A1C"/>
    <w:rsid w:val="00DD7B18"/>
    <w:rsid w:val="00DD7CAE"/>
    <w:rsid w:val="00DE0157"/>
    <w:rsid w:val="00DE0190"/>
    <w:rsid w:val="00DE0670"/>
    <w:rsid w:val="00DE06FD"/>
    <w:rsid w:val="00DE09F3"/>
    <w:rsid w:val="00DE0D26"/>
    <w:rsid w:val="00DE13FD"/>
    <w:rsid w:val="00DE14D6"/>
    <w:rsid w:val="00DE1546"/>
    <w:rsid w:val="00DE1788"/>
    <w:rsid w:val="00DE1A51"/>
    <w:rsid w:val="00DE1CE9"/>
    <w:rsid w:val="00DE1D2F"/>
    <w:rsid w:val="00DE1D74"/>
    <w:rsid w:val="00DE1F56"/>
    <w:rsid w:val="00DE212B"/>
    <w:rsid w:val="00DE2154"/>
    <w:rsid w:val="00DE28A4"/>
    <w:rsid w:val="00DE2AC5"/>
    <w:rsid w:val="00DE2BB7"/>
    <w:rsid w:val="00DE2D41"/>
    <w:rsid w:val="00DE30D6"/>
    <w:rsid w:val="00DE310E"/>
    <w:rsid w:val="00DE35BA"/>
    <w:rsid w:val="00DE36B5"/>
    <w:rsid w:val="00DE3952"/>
    <w:rsid w:val="00DE3A6B"/>
    <w:rsid w:val="00DE3B0D"/>
    <w:rsid w:val="00DE3B44"/>
    <w:rsid w:val="00DE3EA8"/>
    <w:rsid w:val="00DE4118"/>
    <w:rsid w:val="00DE4172"/>
    <w:rsid w:val="00DE4405"/>
    <w:rsid w:val="00DE49B4"/>
    <w:rsid w:val="00DE4A84"/>
    <w:rsid w:val="00DE4AAE"/>
    <w:rsid w:val="00DE4B25"/>
    <w:rsid w:val="00DE4EEF"/>
    <w:rsid w:val="00DE5206"/>
    <w:rsid w:val="00DE53F6"/>
    <w:rsid w:val="00DE5840"/>
    <w:rsid w:val="00DE58AA"/>
    <w:rsid w:val="00DE5BAC"/>
    <w:rsid w:val="00DE5E9E"/>
    <w:rsid w:val="00DE5EB1"/>
    <w:rsid w:val="00DE5EB7"/>
    <w:rsid w:val="00DE6DD7"/>
    <w:rsid w:val="00DE6EBD"/>
    <w:rsid w:val="00DE704A"/>
    <w:rsid w:val="00DE7052"/>
    <w:rsid w:val="00DE7103"/>
    <w:rsid w:val="00DE717B"/>
    <w:rsid w:val="00DE73A6"/>
    <w:rsid w:val="00DE741B"/>
    <w:rsid w:val="00DE7589"/>
    <w:rsid w:val="00DE76CD"/>
    <w:rsid w:val="00DE79C7"/>
    <w:rsid w:val="00DE7AF8"/>
    <w:rsid w:val="00DE7FEF"/>
    <w:rsid w:val="00DF00CA"/>
    <w:rsid w:val="00DF0221"/>
    <w:rsid w:val="00DF0657"/>
    <w:rsid w:val="00DF0658"/>
    <w:rsid w:val="00DF0690"/>
    <w:rsid w:val="00DF06DE"/>
    <w:rsid w:val="00DF0E52"/>
    <w:rsid w:val="00DF17E9"/>
    <w:rsid w:val="00DF1B58"/>
    <w:rsid w:val="00DF1E9E"/>
    <w:rsid w:val="00DF202E"/>
    <w:rsid w:val="00DF231D"/>
    <w:rsid w:val="00DF24EB"/>
    <w:rsid w:val="00DF2647"/>
    <w:rsid w:val="00DF26E3"/>
    <w:rsid w:val="00DF2A76"/>
    <w:rsid w:val="00DF2C2C"/>
    <w:rsid w:val="00DF2D0D"/>
    <w:rsid w:val="00DF3A47"/>
    <w:rsid w:val="00DF3B39"/>
    <w:rsid w:val="00DF3D5C"/>
    <w:rsid w:val="00DF3E13"/>
    <w:rsid w:val="00DF4881"/>
    <w:rsid w:val="00DF48EC"/>
    <w:rsid w:val="00DF4AC4"/>
    <w:rsid w:val="00DF4D89"/>
    <w:rsid w:val="00DF53FE"/>
    <w:rsid w:val="00DF564C"/>
    <w:rsid w:val="00DF5C5D"/>
    <w:rsid w:val="00DF5D0C"/>
    <w:rsid w:val="00DF5DC5"/>
    <w:rsid w:val="00DF5DF0"/>
    <w:rsid w:val="00DF647C"/>
    <w:rsid w:val="00DF686C"/>
    <w:rsid w:val="00DF6C5A"/>
    <w:rsid w:val="00DF71EE"/>
    <w:rsid w:val="00DF7615"/>
    <w:rsid w:val="00DF7957"/>
    <w:rsid w:val="00DF7C59"/>
    <w:rsid w:val="00DF7FD1"/>
    <w:rsid w:val="00E000FA"/>
    <w:rsid w:val="00E003F6"/>
    <w:rsid w:val="00E00743"/>
    <w:rsid w:val="00E00983"/>
    <w:rsid w:val="00E00E93"/>
    <w:rsid w:val="00E00ED2"/>
    <w:rsid w:val="00E00ED7"/>
    <w:rsid w:val="00E011C2"/>
    <w:rsid w:val="00E0170F"/>
    <w:rsid w:val="00E0187E"/>
    <w:rsid w:val="00E018F9"/>
    <w:rsid w:val="00E01CB2"/>
    <w:rsid w:val="00E020D6"/>
    <w:rsid w:val="00E02302"/>
    <w:rsid w:val="00E024D4"/>
    <w:rsid w:val="00E02601"/>
    <w:rsid w:val="00E03A54"/>
    <w:rsid w:val="00E040F5"/>
    <w:rsid w:val="00E04A93"/>
    <w:rsid w:val="00E04DBC"/>
    <w:rsid w:val="00E04FAE"/>
    <w:rsid w:val="00E051C1"/>
    <w:rsid w:val="00E055D9"/>
    <w:rsid w:val="00E05C03"/>
    <w:rsid w:val="00E060FC"/>
    <w:rsid w:val="00E063C2"/>
    <w:rsid w:val="00E06AB0"/>
    <w:rsid w:val="00E06BE5"/>
    <w:rsid w:val="00E06C61"/>
    <w:rsid w:val="00E071CA"/>
    <w:rsid w:val="00E072B5"/>
    <w:rsid w:val="00E072E1"/>
    <w:rsid w:val="00E0733D"/>
    <w:rsid w:val="00E0764A"/>
    <w:rsid w:val="00E078F2"/>
    <w:rsid w:val="00E10060"/>
    <w:rsid w:val="00E10288"/>
    <w:rsid w:val="00E10484"/>
    <w:rsid w:val="00E105CD"/>
    <w:rsid w:val="00E10921"/>
    <w:rsid w:val="00E10C15"/>
    <w:rsid w:val="00E10F03"/>
    <w:rsid w:val="00E112C1"/>
    <w:rsid w:val="00E1142A"/>
    <w:rsid w:val="00E11467"/>
    <w:rsid w:val="00E118C2"/>
    <w:rsid w:val="00E11A03"/>
    <w:rsid w:val="00E11E0C"/>
    <w:rsid w:val="00E1212D"/>
    <w:rsid w:val="00E1214A"/>
    <w:rsid w:val="00E12271"/>
    <w:rsid w:val="00E123AB"/>
    <w:rsid w:val="00E123B5"/>
    <w:rsid w:val="00E12639"/>
    <w:rsid w:val="00E12871"/>
    <w:rsid w:val="00E12926"/>
    <w:rsid w:val="00E12EE2"/>
    <w:rsid w:val="00E13582"/>
    <w:rsid w:val="00E13627"/>
    <w:rsid w:val="00E1378F"/>
    <w:rsid w:val="00E13BB7"/>
    <w:rsid w:val="00E13EC0"/>
    <w:rsid w:val="00E13FA4"/>
    <w:rsid w:val="00E14171"/>
    <w:rsid w:val="00E1458C"/>
    <w:rsid w:val="00E14C14"/>
    <w:rsid w:val="00E14E96"/>
    <w:rsid w:val="00E15123"/>
    <w:rsid w:val="00E15330"/>
    <w:rsid w:val="00E156BD"/>
    <w:rsid w:val="00E15A64"/>
    <w:rsid w:val="00E15B22"/>
    <w:rsid w:val="00E15B4C"/>
    <w:rsid w:val="00E15D6C"/>
    <w:rsid w:val="00E16436"/>
    <w:rsid w:val="00E16A37"/>
    <w:rsid w:val="00E16ECB"/>
    <w:rsid w:val="00E16F97"/>
    <w:rsid w:val="00E17158"/>
    <w:rsid w:val="00E17C12"/>
    <w:rsid w:val="00E17D90"/>
    <w:rsid w:val="00E17FF3"/>
    <w:rsid w:val="00E20097"/>
    <w:rsid w:val="00E2013F"/>
    <w:rsid w:val="00E20D48"/>
    <w:rsid w:val="00E21110"/>
    <w:rsid w:val="00E21369"/>
    <w:rsid w:val="00E21D51"/>
    <w:rsid w:val="00E21DEE"/>
    <w:rsid w:val="00E21F7D"/>
    <w:rsid w:val="00E22063"/>
    <w:rsid w:val="00E224A5"/>
    <w:rsid w:val="00E22642"/>
    <w:rsid w:val="00E227B7"/>
    <w:rsid w:val="00E22E99"/>
    <w:rsid w:val="00E22EC9"/>
    <w:rsid w:val="00E23099"/>
    <w:rsid w:val="00E2336E"/>
    <w:rsid w:val="00E239DF"/>
    <w:rsid w:val="00E23BE4"/>
    <w:rsid w:val="00E24647"/>
    <w:rsid w:val="00E24959"/>
    <w:rsid w:val="00E24966"/>
    <w:rsid w:val="00E24AA1"/>
    <w:rsid w:val="00E24E78"/>
    <w:rsid w:val="00E25010"/>
    <w:rsid w:val="00E25278"/>
    <w:rsid w:val="00E253A4"/>
    <w:rsid w:val="00E25441"/>
    <w:rsid w:val="00E25591"/>
    <w:rsid w:val="00E256F7"/>
    <w:rsid w:val="00E257D3"/>
    <w:rsid w:val="00E25BA0"/>
    <w:rsid w:val="00E25D84"/>
    <w:rsid w:val="00E26011"/>
    <w:rsid w:val="00E2606B"/>
    <w:rsid w:val="00E263E3"/>
    <w:rsid w:val="00E26B56"/>
    <w:rsid w:val="00E26B92"/>
    <w:rsid w:val="00E26F23"/>
    <w:rsid w:val="00E26FD5"/>
    <w:rsid w:val="00E27585"/>
    <w:rsid w:val="00E276AD"/>
    <w:rsid w:val="00E277A0"/>
    <w:rsid w:val="00E2797E"/>
    <w:rsid w:val="00E27A97"/>
    <w:rsid w:val="00E27B19"/>
    <w:rsid w:val="00E27D54"/>
    <w:rsid w:val="00E27EA0"/>
    <w:rsid w:val="00E27EB3"/>
    <w:rsid w:val="00E27F85"/>
    <w:rsid w:val="00E3008D"/>
    <w:rsid w:val="00E30124"/>
    <w:rsid w:val="00E30163"/>
    <w:rsid w:val="00E307F7"/>
    <w:rsid w:val="00E30862"/>
    <w:rsid w:val="00E30B0C"/>
    <w:rsid w:val="00E30C11"/>
    <w:rsid w:val="00E30F1C"/>
    <w:rsid w:val="00E310FA"/>
    <w:rsid w:val="00E31184"/>
    <w:rsid w:val="00E311F6"/>
    <w:rsid w:val="00E31267"/>
    <w:rsid w:val="00E3137F"/>
    <w:rsid w:val="00E31C74"/>
    <w:rsid w:val="00E31F6F"/>
    <w:rsid w:val="00E32173"/>
    <w:rsid w:val="00E326A8"/>
    <w:rsid w:val="00E32798"/>
    <w:rsid w:val="00E32A65"/>
    <w:rsid w:val="00E32B56"/>
    <w:rsid w:val="00E32D90"/>
    <w:rsid w:val="00E32F47"/>
    <w:rsid w:val="00E3397B"/>
    <w:rsid w:val="00E33E66"/>
    <w:rsid w:val="00E33E69"/>
    <w:rsid w:val="00E33F21"/>
    <w:rsid w:val="00E33FCA"/>
    <w:rsid w:val="00E340F8"/>
    <w:rsid w:val="00E341F5"/>
    <w:rsid w:val="00E3488C"/>
    <w:rsid w:val="00E348B1"/>
    <w:rsid w:val="00E34AD3"/>
    <w:rsid w:val="00E3519E"/>
    <w:rsid w:val="00E3559D"/>
    <w:rsid w:val="00E356A5"/>
    <w:rsid w:val="00E35BD8"/>
    <w:rsid w:val="00E35FC9"/>
    <w:rsid w:val="00E3602F"/>
    <w:rsid w:val="00E36040"/>
    <w:rsid w:val="00E36F7F"/>
    <w:rsid w:val="00E370D9"/>
    <w:rsid w:val="00E4061F"/>
    <w:rsid w:val="00E406FE"/>
    <w:rsid w:val="00E409FB"/>
    <w:rsid w:val="00E40AF1"/>
    <w:rsid w:val="00E40D97"/>
    <w:rsid w:val="00E40EFF"/>
    <w:rsid w:val="00E41128"/>
    <w:rsid w:val="00E4134C"/>
    <w:rsid w:val="00E417A1"/>
    <w:rsid w:val="00E41A34"/>
    <w:rsid w:val="00E41A73"/>
    <w:rsid w:val="00E41C31"/>
    <w:rsid w:val="00E41C75"/>
    <w:rsid w:val="00E421D2"/>
    <w:rsid w:val="00E429D3"/>
    <w:rsid w:val="00E42CD8"/>
    <w:rsid w:val="00E42D5A"/>
    <w:rsid w:val="00E42E30"/>
    <w:rsid w:val="00E43461"/>
    <w:rsid w:val="00E43492"/>
    <w:rsid w:val="00E43685"/>
    <w:rsid w:val="00E43708"/>
    <w:rsid w:val="00E43977"/>
    <w:rsid w:val="00E43D23"/>
    <w:rsid w:val="00E43D54"/>
    <w:rsid w:val="00E4429E"/>
    <w:rsid w:val="00E442D0"/>
    <w:rsid w:val="00E4467D"/>
    <w:rsid w:val="00E44B34"/>
    <w:rsid w:val="00E44E87"/>
    <w:rsid w:val="00E45026"/>
    <w:rsid w:val="00E457C3"/>
    <w:rsid w:val="00E45DBC"/>
    <w:rsid w:val="00E45E82"/>
    <w:rsid w:val="00E46043"/>
    <w:rsid w:val="00E46114"/>
    <w:rsid w:val="00E46294"/>
    <w:rsid w:val="00E465EC"/>
    <w:rsid w:val="00E46F4C"/>
    <w:rsid w:val="00E477F3"/>
    <w:rsid w:val="00E50063"/>
    <w:rsid w:val="00E5012A"/>
    <w:rsid w:val="00E50342"/>
    <w:rsid w:val="00E50472"/>
    <w:rsid w:val="00E5054E"/>
    <w:rsid w:val="00E50554"/>
    <w:rsid w:val="00E50656"/>
    <w:rsid w:val="00E50697"/>
    <w:rsid w:val="00E50A3D"/>
    <w:rsid w:val="00E50C3D"/>
    <w:rsid w:val="00E50CCE"/>
    <w:rsid w:val="00E51CE4"/>
    <w:rsid w:val="00E51E97"/>
    <w:rsid w:val="00E51EA5"/>
    <w:rsid w:val="00E52032"/>
    <w:rsid w:val="00E520E6"/>
    <w:rsid w:val="00E5214F"/>
    <w:rsid w:val="00E52529"/>
    <w:rsid w:val="00E52995"/>
    <w:rsid w:val="00E52F6E"/>
    <w:rsid w:val="00E52F79"/>
    <w:rsid w:val="00E53142"/>
    <w:rsid w:val="00E532C2"/>
    <w:rsid w:val="00E533C5"/>
    <w:rsid w:val="00E533FD"/>
    <w:rsid w:val="00E53697"/>
    <w:rsid w:val="00E53712"/>
    <w:rsid w:val="00E5377F"/>
    <w:rsid w:val="00E53829"/>
    <w:rsid w:val="00E53A0B"/>
    <w:rsid w:val="00E53B32"/>
    <w:rsid w:val="00E53BA2"/>
    <w:rsid w:val="00E53D7C"/>
    <w:rsid w:val="00E53EA9"/>
    <w:rsid w:val="00E53FDE"/>
    <w:rsid w:val="00E53FFC"/>
    <w:rsid w:val="00E5425E"/>
    <w:rsid w:val="00E54537"/>
    <w:rsid w:val="00E54A1C"/>
    <w:rsid w:val="00E54A29"/>
    <w:rsid w:val="00E550F4"/>
    <w:rsid w:val="00E55291"/>
    <w:rsid w:val="00E5546C"/>
    <w:rsid w:val="00E55AF1"/>
    <w:rsid w:val="00E55D8D"/>
    <w:rsid w:val="00E55DE5"/>
    <w:rsid w:val="00E560A3"/>
    <w:rsid w:val="00E56115"/>
    <w:rsid w:val="00E563B5"/>
    <w:rsid w:val="00E568DF"/>
    <w:rsid w:val="00E56CC1"/>
    <w:rsid w:val="00E56DFC"/>
    <w:rsid w:val="00E56FC0"/>
    <w:rsid w:val="00E5745D"/>
    <w:rsid w:val="00E57971"/>
    <w:rsid w:val="00E57AB1"/>
    <w:rsid w:val="00E57BAC"/>
    <w:rsid w:val="00E57CA7"/>
    <w:rsid w:val="00E57F1F"/>
    <w:rsid w:val="00E60191"/>
    <w:rsid w:val="00E601DA"/>
    <w:rsid w:val="00E60346"/>
    <w:rsid w:val="00E60784"/>
    <w:rsid w:val="00E60913"/>
    <w:rsid w:val="00E60B6E"/>
    <w:rsid w:val="00E60EA4"/>
    <w:rsid w:val="00E60F9F"/>
    <w:rsid w:val="00E612CF"/>
    <w:rsid w:val="00E61416"/>
    <w:rsid w:val="00E6193B"/>
    <w:rsid w:val="00E61C30"/>
    <w:rsid w:val="00E61D03"/>
    <w:rsid w:val="00E61ED2"/>
    <w:rsid w:val="00E62575"/>
    <w:rsid w:val="00E626A2"/>
    <w:rsid w:val="00E62B32"/>
    <w:rsid w:val="00E62C53"/>
    <w:rsid w:val="00E63017"/>
    <w:rsid w:val="00E631A5"/>
    <w:rsid w:val="00E633AB"/>
    <w:rsid w:val="00E63603"/>
    <w:rsid w:val="00E63B4A"/>
    <w:rsid w:val="00E63FEC"/>
    <w:rsid w:val="00E6401F"/>
    <w:rsid w:val="00E641FE"/>
    <w:rsid w:val="00E643E4"/>
    <w:rsid w:val="00E647DD"/>
    <w:rsid w:val="00E648C0"/>
    <w:rsid w:val="00E64B30"/>
    <w:rsid w:val="00E64C5B"/>
    <w:rsid w:val="00E64E9D"/>
    <w:rsid w:val="00E65363"/>
    <w:rsid w:val="00E653DE"/>
    <w:rsid w:val="00E653DF"/>
    <w:rsid w:val="00E656A8"/>
    <w:rsid w:val="00E658D7"/>
    <w:rsid w:val="00E660D2"/>
    <w:rsid w:val="00E6630A"/>
    <w:rsid w:val="00E66395"/>
    <w:rsid w:val="00E6677E"/>
    <w:rsid w:val="00E66B10"/>
    <w:rsid w:val="00E66B41"/>
    <w:rsid w:val="00E66D70"/>
    <w:rsid w:val="00E66DF7"/>
    <w:rsid w:val="00E66E7C"/>
    <w:rsid w:val="00E66EFE"/>
    <w:rsid w:val="00E66F54"/>
    <w:rsid w:val="00E67BC5"/>
    <w:rsid w:val="00E701CB"/>
    <w:rsid w:val="00E704B2"/>
    <w:rsid w:val="00E70642"/>
    <w:rsid w:val="00E70740"/>
    <w:rsid w:val="00E707A8"/>
    <w:rsid w:val="00E707E2"/>
    <w:rsid w:val="00E70807"/>
    <w:rsid w:val="00E70FBB"/>
    <w:rsid w:val="00E710DD"/>
    <w:rsid w:val="00E711FD"/>
    <w:rsid w:val="00E71368"/>
    <w:rsid w:val="00E7158E"/>
    <w:rsid w:val="00E718BD"/>
    <w:rsid w:val="00E71A4E"/>
    <w:rsid w:val="00E71B8C"/>
    <w:rsid w:val="00E71C99"/>
    <w:rsid w:val="00E71E21"/>
    <w:rsid w:val="00E71EA9"/>
    <w:rsid w:val="00E720A3"/>
    <w:rsid w:val="00E722EC"/>
    <w:rsid w:val="00E72818"/>
    <w:rsid w:val="00E72862"/>
    <w:rsid w:val="00E729B2"/>
    <w:rsid w:val="00E72C2E"/>
    <w:rsid w:val="00E72D04"/>
    <w:rsid w:val="00E72D67"/>
    <w:rsid w:val="00E73190"/>
    <w:rsid w:val="00E73310"/>
    <w:rsid w:val="00E735B6"/>
    <w:rsid w:val="00E7364D"/>
    <w:rsid w:val="00E73663"/>
    <w:rsid w:val="00E73678"/>
    <w:rsid w:val="00E73679"/>
    <w:rsid w:val="00E73680"/>
    <w:rsid w:val="00E743BE"/>
    <w:rsid w:val="00E7473B"/>
    <w:rsid w:val="00E74949"/>
    <w:rsid w:val="00E74A54"/>
    <w:rsid w:val="00E74D03"/>
    <w:rsid w:val="00E74E26"/>
    <w:rsid w:val="00E75091"/>
    <w:rsid w:val="00E7570C"/>
    <w:rsid w:val="00E7588C"/>
    <w:rsid w:val="00E75A2C"/>
    <w:rsid w:val="00E75D23"/>
    <w:rsid w:val="00E75F47"/>
    <w:rsid w:val="00E764BF"/>
    <w:rsid w:val="00E764E7"/>
    <w:rsid w:val="00E7665D"/>
    <w:rsid w:val="00E76749"/>
    <w:rsid w:val="00E76B32"/>
    <w:rsid w:val="00E76BA7"/>
    <w:rsid w:val="00E7751B"/>
    <w:rsid w:val="00E77546"/>
    <w:rsid w:val="00E775EC"/>
    <w:rsid w:val="00E77BAE"/>
    <w:rsid w:val="00E80749"/>
    <w:rsid w:val="00E8093D"/>
    <w:rsid w:val="00E809D9"/>
    <w:rsid w:val="00E819EC"/>
    <w:rsid w:val="00E82147"/>
    <w:rsid w:val="00E824A9"/>
    <w:rsid w:val="00E82C84"/>
    <w:rsid w:val="00E8383D"/>
    <w:rsid w:val="00E83DA7"/>
    <w:rsid w:val="00E83F92"/>
    <w:rsid w:val="00E83FFA"/>
    <w:rsid w:val="00E844CA"/>
    <w:rsid w:val="00E846B3"/>
    <w:rsid w:val="00E847C9"/>
    <w:rsid w:val="00E84B30"/>
    <w:rsid w:val="00E84B38"/>
    <w:rsid w:val="00E84C90"/>
    <w:rsid w:val="00E8519A"/>
    <w:rsid w:val="00E8528D"/>
    <w:rsid w:val="00E852F7"/>
    <w:rsid w:val="00E8533C"/>
    <w:rsid w:val="00E85B78"/>
    <w:rsid w:val="00E86066"/>
    <w:rsid w:val="00E86158"/>
    <w:rsid w:val="00E8616D"/>
    <w:rsid w:val="00E86187"/>
    <w:rsid w:val="00E86371"/>
    <w:rsid w:val="00E86464"/>
    <w:rsid w:val="00E86816"/>
    <w:rsid w:val="00E86D33"/>
    <w:rsid w:val="00E86E1D"/>
    <w:rsid w:val="00E8707F"/>
    <w:rsid w:val="00E871AB"/>
    <w:rsid w:val="00E87477"/>
    <w:rsid w:val="00E876FB"/>
    <w:rsid w:val="00E87FF7"/>
    <w:rsid w:val="00E903B3"/>
    <w:rsid w:val="00E905D1"/>
    <w:rsid w:val="00E907BB"/>
    <w:rsid w:val="00E90DA3"/>
    <w:rsid w:val="00E9104B"/>
    <w:rsid w:val="00E914F1"/>
    <w:rsid w:val="00E9150C"/>
    <w:rsid w:val="00E919C3"/>
    <w:rsid w:val="00E91A93"/>
    <w:rsid w:val="00E91CAB"/>
    <w:rsid w:val="00E91D4B"/>
    <w:rsid w:val="00E91E0D"/>
    <w:rsid w:val="00E921D9"/>
    <w:rsid w:val="00E926CF"/>
    <w:rsid w:val="00E92733"/>
    <w:rsid w:val="00E92DAA"/>
    <w:rsid w:val="00E92E56"/>
    <w:rsid w:val="00E92E7C"/>
    <w:rsid w:val="00E930B5"/>
    <w:rsid w:val="00E9394D"/>
    <w:rsid w:val="00E93DEB"/>
    <w:rsid w:val="00E93F53"/>
    <w:rsid w:val="00E93FE0"/>
    <w:rsid w:val="00E942DC"/>
    <w:rsid w:val="00E944CE"/>
    <w:rsid w:val="00E9457E"/>
    <w:rsid w:val="00E94622"/>
    <w:rsid w:val="00E94631"/>
    <w:rsid w:val="00E94ABB"/>
    <w:rsid w:val="00E94BB0"/>
    <w:rsid w:val="00E94E86"/>
    <w:rsid w:val="00E94E91"/>
    <w:rsid w:val="00E95107"/>
    <w:rsid w:val="00E956BF"/>
    <w:rsid w:val="00E95B6B"/>
    <w:rsid w:val="00E95BBF"/>
    <w:rsid w:val="00E95CF3"/>
    <w:rsid w:val="00E95EB2"/>
    <w:rsid w:val="00E96060"/>
    <w:rsid w:val="00E9616D"/>
    <w:rsid w:val="00E96211"/>
    <w:rsid w:val="00E962B9"/>
    <w:rsid w:val="00E965E9"/>
    <w:rsid w:val="00E96AC0"/>
    <w:rsid w:val="00E96D28"/>
    <w:rsid w:val="00E96F8F"/>
    <w:rsid w:val="00E970BB"/>
    <w:rsid w:val="00E9731D"/>
    <w:rsid w:val="00E97BAB"/>
    <w:rsid w:val="00E97DDE"/>
    <w:rsid w:val="00E97EAA"/>
    <w:rsid w:val="00EA02B3"/>
    <w:rsid w:val="00EA06F1"/>
    <w:rsid w:val="00EA0938"/>
    <w:rsid w:val="00EA09A7"/>
    <w:rsid w:val="00EA0A0D"/>
    <w:rsid w:val="00EA1250"/>
    <w:rsid w:val="00EA161A"/>
    <w:rsid w:val="00EA16A7"/>
    <w:rsid w:val="00EA1AA7"/>
    <w:rsid w:val="00EA1D87"/>
    <w:rsid w:val="00EA2112"/>
    <w:rsid w:val="00EA254C"/>
    <w:rsid w:val="00EA25D9"/>
    <w:rsid w:val="00EA270B"/>
    <w:rsid w:val="00EA2A4D"/>
    <w:rsid w:val="00EA2ADB"/>
    <w:rsid w:val="00EA2D79"/>
    <w:rsid w:val="00EA30B4"/>
    <w:rsid w:val="00EA3100"/>
    <w:rsid w:val="00EA32D2"/>
    <w:rsid w:val="00EA340D"/>
    <w:rsid w:val="00EA36F8"/>
    <w:rsid w:val="00EA3862"/>
    <w:rsid w:val="00EA3B54"/>
    <w:rsid w:val="00EA41ED"/>
    <w:rsid w:val="00EA4448"/>
    <w:rsid w:val="00EA468E"/>
    <w:rsid w:val="00EA4698"/>
    <w:rsid w:val="00EA481B"/>
    <w:rsid w:val="00EA482A"/>
    <w:rsid w:val="00EA4BD9"/>
    <w:rsid w:val="00EA4E8B"/>
    <w:rsid w:val="00EA5213"/>
    <w:rsid w:val="00EA5447"/>
    <w:rsid w:val="00EA55CB"/>
    <w:rsid w:val="00EA56E8"/>
    <w:rsid w:val="00EA5A76"/>
    <w:rsid w:val="00EA5C9C"/>
    <w:rsid w:val="00EA6130"/>
    <w:rsid w:val="00EA6131"/>
    <w:rsid w:val="00EA6C8C"/>
    <w:rsid w:val="00EA6D4F"/>
    <w:rsid w:val="00EA72F5"/>
    <w:rsid w:val="00EA7A0D"/>
    <w:rsid w:val="00EA7C78"/>
    <w:rsid w:val="00EA7DE2"/>
    <w:rsid w:val="00EA7E4F"/>
    <w:rsid w:val="00EA7E9D"/>
    <w:rsid w:val="00EA7FCD"/>
    <w:rsid w:val="00EA7FE8"/>
    <w:rsid w:val="00EB0C5A"/>
    <w:rsid w:val="00EB0F5A"/>
    <w:rsid w:val="00EB1287"/>
    <w:rsid w:val="00EB1410"/>
    <w:rsid w:val="00EB1DD2"/>
    <w:rsid w:val="00EB2055"/>
    <w:rsid w:val="00EB247D"/>
    <w:rsid w:val="00EB2514"/>
    <w:rsid w:val="00EB29E3"/>
    <w:rsid w:val="00EB2A96"/>
    <w:rsid w:val="00EB2ED8"/>
    <w:rsid w:val="00EB3072"/>
    <w:rsid w:val="00EB30B0"/>
    <w:rsid w:val="00EB313A"/>
    <w:rsid w:val="00EB3DB4"/>
    <w:rsid w:val="00EB4297"/>
    <w:rsid w:val="00EB469B"/>
    <w:rsid w:val="00EB4823"/>
    <w:rsid w:val="00EB483B"/>
    <w:rsid w:val="00EB4EC6"/>
    <w:rsid w:val="00EB4F60"/>
    <w:rsid w:val="00EB51C6"/>
    <w:rsid w:val="00EB5572"/>
    <w:rsid w:val="00EB590F"/>
    <w:rsid w:val="00EB5954"/>
    <w:rsid w:val="00EB59DF"/>
    <w:rsid w:val="00EB5BBE"/>
    <w:rsid w:val="00EB5DC0"/>
    <w:rsid w:val="00EB655C"/>
    <w:rsid w:val="00EB6682"/>
    <w:rsid w:val="00EB6803"/>
    <w:rsid w:val="00EB6BC8"/>
    <w:rsid w:val="00EB6E53"/>
    <w:rsid w:val="00EB731C"/>
    <w:rsid w:val="00EB7394"/>
    <w:rsid w:val="00EB7570"/>
    <w:rsid w:val="00EB7A7E"/>
    <w:rsid w:val="00EB7D5D"/>
    <w:rsid w:val="00EB7E33"/>
    <w:rsid w:val="00EB7EC8"/>
    <w:rsid w:val="00EC001E"/>
    <w:rsid w:val="00EC018E"/>
    <w:rsid w:val="00EC02AE"/>
    <w:rsid w:val="00EC09C2"/>
    <w:rsid w:val="00EC0B90"/>
    <w:rsid w:val="00EC0C60"/>
    <w:rsid w:val="00EC10C7"/>
    <w:rsid w:val="00EC16FC"/>
    <w:rsid w:val="00EC195B"/>
    <w:rsid w:val="00EC1C26"/>
    <w:rsid w:val="00EC2012"/>
    <w:rsid w:val="00EC239C"/>
    <w:rsid w:val="00EC241C"/>
    <w:rsid w:val="00EC2421"/>
    <w:rsid w:val="00EC27A1"/>
    <w:rsid w:val="00EC2927"/>
    <w:rsid w:val="00EC2AF7"/>
    <w:rsid w:val="00EC2D38"/>
    <w:rsid w:val="00EC3139"/>
    <w:rsid w:val="00EC3397"/>
    <w:rsid w:val="00EC355A"/>
    <w:rsid w:val="00EC3574"/>
    <w:rsid w:val="00EC3590"/>
    <w:rsid w:val="00EC398A"/>
    <w:rsid w:val="00EC39C0"/>
    <w:rsid w:val="00EC39D7"/>
    <w:rsid w:val="00EC3C0A"/>
    <w:rsid w:val="00EC3C22"/>
    <w:rsid w:val="00EC3E75"/>
    <w:rsid w:val="00EC405F"/>
    <w:rsid w:val="00EC4321"/>
    <w:rsid w:val="00EC4372"/>
    <w:rsid w:val="00EC4418"/>
    <w:rsid w:val="00EC4506"/>
    <w:rsid w:val="00EC48BD"/>
    <w:rsid w:val="00EC4DF1"/>
    <w:rsid w:val="00EC4F0A"/>
    <w:rsid w:val="00EC5249"/>
    <w:rsid w:val="00EC596F"/>
    <w:rsid w:val="00EC5A7F"/>
    <w:rsid w:val="00EC5C82"/>
    <w:rsid w:val="00EC5EDD"/>
    <w:rsid w:val="00EC61C8"/>
    <w:rsid w:val="00EC6839"/>
    <w:rsid w:val="00EC6B13"/>
    <w:rsid w:val="00EC6C93"/>
    <w:rsid w:val="00EC71C4"/>
    <w:rsid w:val="00EC739F"/>
    <w:rsid w:val="00EC7501"/>
    <w:rsid w:val="00EC78E1"/>
    <w:rsid w:val="00EC7AC0"/>
    <w:rsid w:val="00EC7ECE"/>
    <w:rsid w:val="00ED02DE"/>
    <w:rsid w:val="00ED04D7"/>
    <w:rsid w:val="00ED05FE"/>
    <w:rsid w:val="00ED0626"/>
    <w:rsid w:val="00ED0D41"/>
    <w:rsid w:val="00ED1424"/>
    <w:rsid w:val="00ED161C"/>
    <w:rsid w:val="00ED1818"/>
    <w:rsid w:val="00ED18D7"/>
    <w:rsid w:val="00ED1992"/>
    <w:rsid w:val="00ED20DD"/>
    <w:rsid w:val="00ED21D7"/>
    <w:rsid w:val="00ED2272"/>
    <w:rsid w:val="00ED258C"/>
    <w:rsid w:val="00ED26F0"/>
    <w:rsid w:val="00ED280B"/>
    <w:rsid w:val="00ED28BF"/>
    <w:rsid w:val="00ED2E1D"/>
    <w:rsid w:val="00ED2FE6"/>
    <w:rsid w:val="00ED3233"/>
    <w:rsid w:val="00ED35C3"/>
    <w:rsid w:val="00ED37C0"/>
    <w:rsid w:val="00ED3F83"/>
    <w:rsid w:val="00ED4217"/>
    <w:rsid w:val="00ED446A"/>
    <w:rsid w:val="00ED4509"/>
    <w:rsid w:val="00ED45B8"/>
    <w:rsid w:val="00ED47AE"/>
    <w:rsid w:val="00ED47D4"/>
    <w:rsid w:val="00ED4C3D"/>
    <w:rsid w:val="00ED5272"/>
    <w:rsid w:val="00ED5655"/>
    <w:rsid w:val="00ED5678"/>
    <w:rsid w:val="00ED5706"/>
    <w:rsid w:val="00ED57C2"/>
    <w:rsid w:val="00ED582C"/>
    <w:rsid w:val="00ED5B20"/>
    <w:rsid w:val="00ED5D81"/>
    <w:rsid w:val="00ED5E39"/>
    <w:rsid w:val="00ED5E7D"/>
    <w:rsid w:val="00ED5F7D"/>
    <w:rsid w:val="00ED5FFB"/>
    <w:rsid w:val="00ED6296"/>
    <w:rsid w:val="00ED6403"/>
    <w:rsid w:val="00ED6452"/>
    <w:rsid w:val="00ED66B5"/>
    <w:rsid w:val="00ED6787"/>
    <w:rsid w:val="00ED6A86"/>
    <w:rsid w:val="00ED6CEC"/>
    <w:rsid w:val="00ED6D02"/>
    <w:rsid w:val="00ED6D21"/>
    <w:rsid w:val="00ED6E75"/>
    <w:rsid w:val="00ED708C"/>
    <w:rsid w:val="00ED7AFB"/>
    <w:rsid w:val="00ED7B47"/>
    <w:rsid w:val="00ED7E90"/>
    <w:rsid w:val="00EE010F"/>
    <w:rsid w:val="00EE09AE"/>
    <w:rsid w:val="00EE0B5F"/>
    <w:rsid w:val="00EE0B6C"/>
    <w:rsid w:val="00EE0D79"/>
    <w:rsid w:val="00EE0E63"/>
    <w:rsid w:val="00EE1219"/>
    <w:rsid w:val="00EE1495"/>
    <w:rsid w:val="00EE15C4"/>
    <w:rsid w:val="00EE177A"/>
    <w:rsid w:val="00EE1B42"/>
    <w:rsid w:val="00EE204D"/>
    <w:rsid w:val="00EE21DC"/>
    <w:rsid w:val="00EE2D8C"/>
    <w:rsid w:val="00EE2E28"/>
    <w:rsid w:val="00EE2ED4"/>
    <w:rsid w:val="00EE3BA1"/>
    <w:rsid w:val="00EE3C18"/>
    <w:rsid w:val="00EE3CAA"/>
    <w:rsid w:val="00EE4080"/>
    <w:rsid w:val="00EE4406"/>
    <w:rsid w:val="00EE4628"/>
    <w:rsid w:val="00EE4B91"/>
    <w:rsid w:val="00EE4D62"/>
    <w:rsid w:val="00EE4E07"/>
    <w:rsid w:val="00EE4F83"/>
    <w:rsid w:val="00EE4FE5"/>
    <w:rsid w:val="00EE5295"/>
    <w:rsid w:val="00EE52EC"/>
    <w:rsid w:val="00EE58FB"/>
    <w:rsid w:val="00EE5902"/>
    <w:rsid w:val="00EE5C76"/>
    <w:rsid w:val="00EE5C82"/>
    <w:rsid w:val="00EE627D"/>
    <w:rsid w:val="00EE6363"/>
    <w:rsid w:val="00EE784F"/>
    <w:rsid w:val="00EE7A50"/>
    <w:rsid w:val="00EE7B16"/>
    <w:rsid w:val="00EE7BBD"/>
    <w:rsid w:val="00EE7FF7"/>
    <w:rsid w:val="00EF00D3"/>
    <w:rsid w:val="00EF0883"/>
    <w:rsid w:val="00EF08DC"/>
    <w:rsid w:val="00EF097D"/>
    <w:rsid w:val="00EF0A70"/>
    <w:rsid w:val="00EF0E5B"/>
    <w:rsid w:val="00EF10A7"/>
    <w:rsid w:val="00EF11D3"/>
    <w:rsid w:val="00EF13C8"/>
    <w:rsid w:val="00EF15D5"/>
    <w:rsid w:val="00EF172A"/>
    <w:rsid w:val="00EF1890"/>
    <w:rsid w:val="00EF19AB"/>
    <w:rsid w:val="00EF1C84"/>
    <w:rsid w:val="00EF1E5B"/>
    <w:rsid w:val="00EF1F5A"/>
    <w:rsid w:val="00EF201C"/>
    <w:rsid w:val="00EF201F"/>
    <w:rsid w:val="00EF22E3"/>
    <w:rsid w:val="00EF242C"/>
    <w:rsid w:val="00EF24D9"/>
    <w:rsid w:val="00EF2716"/>
    <w:rsid w:val="00EF2A0D"/>
    <w:rsid w:val="00EF2ACF"/>
    <w:rsid w:val="00EF2B77"/>
    <w:rsid w:val="00EF2D3C"/>
    <w:rsid w:val="00EF2F59"/>
    <w:rsid w:val="00EF313F"/>
    <w:rsid w:val="00EF344C"/>
    <w:rsid w:val="00EF387B"/>
    <w:rsid w:val="00EF3BCF"/>
    <w:rsid w:val="00EF3DEB"/>
    <w:rsid w:val="00EF42B1"/>
    <w:rsid w:val="00EF472C"/>
    <w:rsid w:val="00EF498E"/>
    <w:rsid w:val="00EF4C1A"/>
    <w:rsid w:val="00EF4C60"/>
    <w:rsid w:val="00EF4CBA"/>
    <w:rsid w:val="00EF4F1D"/>
    <w:rsid w:val="00EF4F57"/>
    <w:rsid w:val="00EF55EB"/>
    <w:rsid w:val="00EF5739"/>
    <w:rsid w:val="00EF5A0A"/>
    <w:rsid w:val="00EF5B85"/>
    <w:rsid w:val="00EF5D0E"/>
    <w:rsid w:val="00EF607C"/>
    <w:rsid w:val="00EF63BB"/>
    <w:rsid w:val="00EF68C0"/>
    <w:rsid w:val="00EF6929"/>
    <w:rsid w:val="00EF69DD"/>
    <w:rsid w:val="00EF6C70"/>
    <w:rsid w:val="00EF6DB8"/>
    <w:rsid w:val="00EF6E6A"/>
    <w:rsid w:val="00EF6EF6"/>
    <w:rsid w:val="00EF6F2F"/>
    <w:rsid w:val="00EF70AF"/>
    <w:rsid w:val="00EF70B3"/>
    <w:rsid w:val="00EF71BD"/>
    <w:rsid w:val="00EF77C6"/>
    <w:rsid w:val="00EF7900"/>
    <w:rsid w:val="00EF7B02"/>
    <w:rsid w:val="00EF7C5B"/>
    <w:rsid w:val="00EF7CA4"/>
    <w:rsid w:val="00EF7CC1"/>
    <w:rsid w:val="00F006C2"/>
    <w:rsid w:val="00F0079E"/>
    <w:rsid w:val="00F00865"/>
    <w:rsid w:val="00F00891"/>
    <w:rsid w:val="00F00A32"/>
    <w:rsid w:val="00F00A72"/>
    <w:rsid w:val="00F00E5C"/>
    <w:rsid w:val="00F00FF6"/>
    <w:rsid w:val="00F01078"/>
    <w:rsid w:val="00F0123D"/>
    <w:rsid w:val="00F0159C"/>
    <w:rsid w:val="00F016C2"/>
    <w:rsid w:val="00F01740"/>
    <w:rsid w:val="00F018D5"/>
    <w:rsid w:val="00F01B79"/>
    <w:rsid w:val="00F01C1C"/>
    <w:rsid w:val="00F01C7D"/>
    <w:rsid w:val="00F01D8A"/>
    <w:rsid w:val="00F0251F"/>
    <w:rsid w:val="00F025CD"/>
    <w:rsid w:val="00F029FB"/>
    <w:rsid w:val="00F02AE8"/>
    <w:rsid w:val="00F02E2E"/>
    <w:rsid w:val="00F03305"/>
    <w:rsid w:val="00F033CD"/>
    <w:rsid w:val="00F0348B"/>
    <w:rsid w:val="00F036CD"/>
    <w:rsid w:val="00F036EC"/>
    <w:rsid w:val="00F03BCB"/>
    <w:rsid w:val="00F03BED"/>
    <w:rsid w:val="00F0401B"/>
    <w:rsid w:val="00F0405E"/>
    <w:rsid w:val="00F04270"/>
    <w:rsid w:val="00F042CE"/>
    <w:rsid w:val="00F044A4"/>
    <w:rsid w:val="00F04698"/>
    <w:rsid w:val="00F04B90"/>
    <w:rsid w:val="00F04C67"/>
    <w:rsid w:val="00F04DD3"/>
    <w:rsid w:val="00F04DD9"/>
    <w:rsid w:val="00F04EB8"/>
    <w:rsid w:val="00F053D7"/>
    <w:rsid w:val="00F05485"/>
    <w:rsid w:val="00F054BF"/>
    <w:rsid w:val="00F05528"/>
    <w:rsid w:val="00F065B7"/>
    <w:rsid w:val="00F06803"/>
    <w:rsid w:val="00F06C80"/>
    <w:rsid w:val="00F06E88"/>
    <w:rsid w:val="00F06FA3"/>
    <w:rsid w:val="00F0708A"/>
    <w:rsid w:val="00F0747F"/>
    <w:rsid w:val="00F074A1"/>
    <w:rsid w:val="00F07540"/>
    <w:rsid w:val="00F0756C"/>
    <w:rsid w:val="00F07666"/>
    <w:rsid w:val="00F078FD"/>
    <w:rsid w:val="00F07B1F"/>
    <w:rsid w:val="00F07C14"/>
    <w:rsid w:val="00F07D4C"/>
    <w:rsid w:val="00F07FD6"/>
    <w:rsid w:val="00F10084"/>
    <w:rsid w:val="00F1016F"/>
    <w:rsid w:val="00F102D7"/>
    <w:rsid w:val="00F103F2"/>
    <w:rsid w:val="00F10B23"/>
    <w:rsid w:val="00F10BD1"/>
    <w:rsid w:val="00F10E08"/>
    <w:rsid w:val="00F1164E"/>
    <w:rsid w:val="00F11A93"/>
    <w:rsid w:val="00F11B01"/>
    <w:rsid w:val="00F11C08"/>
    <w:rsid w:val="00F11DCD"/>
    <w:rsid w:val="00F12112"/>
    <w:rsid w:val="00F1220D"/>
    <w:rsid w:val="00F12237"/>
    <w:rsid w:val="00F122EA"/>
    <w:rsid w:val="00F123B5"/>
    <w:rsid w:val="00F12608"/>
    <w:rsid w:val="00F1264A"/>
    <w:rsid w:val="00F127BD"/>
    <w:rsid w:val="00F127CE"/>
    <w:rsid w:val="00F12811"/>
    <w:rsid w:val="00F12A40"/>
    <w:rsid w:val="00F131B7"/>
    <w:rsid w:val="00F1368D"/>
    <w:rsid w:val="00F137BA"/>
    <w:rsid w:val="00F13976"/>
    <w:rsid w:val="00F13C1E"/>
    <w:rsid w:val="00F13D5A"/>
    <w:rsid w:val="00F14225"/>
    <w:rsid w:val="00F14837"/>
    <w:rsid w:val="00F14855"/>
    <w:rsid w:val="00F14B3D"/>
    <w:rsid w:val="00F14B5D"/>
    <w:rsid w:val="00F14F6E"/>
    <w:rsid w:val="00F15591"/>
    <w:rsid w:val="00F1571A"/>
    <w:rsid w:val="00F157DF"/>
    <w:rsid w:val="00F15882"/>
    <w:rsid w:val="00F159B3"/>
    <w:rsid w:val="00F159CF"/>
    <w:rsid w:val="00F15C66"/>
    <w:rsid w:val="00F15F7B"/>
    <w:rsid w:val="00F160C6"/>
    <w:rsid w:val="00F16A3B"/>
    <w:rsid w:val="00F16C15"/>
    <w:rsid w:val="00F16D5C"/>
    <w:rsid w:val="00F171AC"/>
    <w:rsid w:val="00F1734B"/>
    <w:rsid w:val="00F1742B"/>
    <w:rsid w:val="00F174C9"/>
    <w:rsid w:val="00F1785A"/>
    <w:rsid w:val="00F178FF"/>
    <w:rsid w:val="00F17BB6"/>
    <w:rsid w:val="00F17CF9"/>
    <w:rsid w:val="00F200D1"/>
    <w:rsid w:val="00F2024E"/>
    <w:rsid w:val="00F209F8"/>
    <w:rsid w:val="00F20AE0"/>
    <w:rsid w:val="00F20BCF"/>
    <w:rsid w:val="00F20D9C"/>
    <w:rsid w:val="00F20DBA"/>
    <w:rsid w:val="00F21037"/>
    <w:rsid w:val="00F210DF"/>
    <w:rsid w:val="00F2138C"/>
    <w:rsid w:val="00F215C9"/>
    <w:rsid w:val="00F215F5"/>
    <w:rsid w:val="00F217BD"/>
    <w:rsid w:val="00F2182C"/>
    <w:rsid w:val="00F21CE2"/>
    <w:rsid w:val="00F21DA1"/>
    <w:rsid w:val="00F21DFC"/>
    <w:rsid w:val="00F22046"/>
    <w:rsid w:val="00F2218F"/>
    <w:rsid w:val="00F222BD"/>
    <w:rsid w:val="00F22F58"/>
    <w:rsid w:val="00F232C7"/>
    <w:rsid w:val="00F23A08"/>
    <w:rsid w:val="00F23CE9"/>
    <w:rsid w:val="00F23E31"/>
    <w:rsid w:val="00F23FD8"/>
    <w:rsid w:val="00F243FF"/>
    <w:rsid w:val="00F244EE"/>
    <w:rsid w:val="00F24610"/>
    <w:rsid w:val="00F24A96"/>
    <w:rsid w:val="00F24C36"/>
    <w:rsid w:val="00F24E55"/>
    <w:rsid w:val="00F25158"/>
    <w:rsid w:val="00F254C2"/>
    <w:rsid w:val="00F25643"/>
    <w:rsid w:val="00F257C8"/>
    <w:rsid w:val="00F259FC"/>
    <w:rsid w:val="00F25F71"/>
    <w:rsid w:val="00F26229"/>
    <w:rsid w:val="00F26724"/>
    <w:rsid w:val="00F26A06"/>
    <w:rsid w:val="00F26D1E"/>
    <w:rsid w:val="00F2718E"/>
    <w:rsid w:val="00F271F3"/>
    <w:rsid w:val="00F27698"/>
    <w:rsid w:val="00F276BC"/>
    <w:rsid w:val="00F2789E"/>
    <w:rsid w:val="00F278D4"/>
    <w:rsid w:val="00F27B40"/>
    <w:rsid w:val="00F27E82"/>
    <w:rsid w:val="00F27EA7"/>
    <w:rsid w:val="00F3045F"/>
    <w:rsid w:val="00F3052E"/>
    <w:rsid w:val="00F30608"/>
    <w:rsid w:val="00F30A2E"/>
    <w:rsid w:val="00F30C03"/>
    <w:rsid w:val="00F30D17"/>
    <w:rsid w:val="00F30ED4"/>
    <w:rsid w:val="00F30FE4"/>
    <w:rsid w:val="00F310CE"/>
    <w:rsid w:val="00F31C59"/>
    <w:rsid w:val="00F31E2B"/>
    <w:rsid w:val="00F32035"/>
    <w:rsid w:val="00F3221A"/>
    <w:rsid w:val="00F32475"/>
    <w:rsid w:val="00F326B9"/>
    <w:rsid w:val="00F32725"/>
    <w:rsid w:val="00F3272D"/>
    <w:rsid w:val="00F3297F"/>
    <w:rsid w:val="00F32B46"/>
    <w:rsid w:val="00F32D56"/>
    <w:rsid w:val="00F32F0E"/>
    <w:rsid w:val="00F330A9"/>
    <w:rsid w:val="00F33184"/>
    <w:rsid w:val="00F33279"/>
    <w:rsid w:val="00F3336A"/>
    <w:rsid w:val="00F33733"/>
    <w:rsid w:val="00F33950"/>
    <w:rsid w:val="00F33ACB"/>
    <w:rsid w:val="00F33ACD"/>
    <w:rsid w:val="00F33B1A"/>
    <w:rsid w:val="00F33BDB"/>
    <w:rsid w:val="00F33CB3"/>
    <w:rsid w:val="00F33E40"/>
    <w:rsid w:val="00F340BC"/>
    <w:rsid w:val="00F34205"/>
    <w:rsid w:val="00F34313"/>
    <w:rsid w:val="00F343AA"/>
    <w:rsid w:val="00F3478C"/>
    <w:rsid w:val="00F347E1"/>
    <w:rsid w:val="00F3483C"/>
    <w:rsid w:val="00F3488A"/>
    <w:rsid w:val="00F34A3E"/>
    <w:rsid w:val="00F34C0A"/>
    <w:rsid w:val="00F34C99"/>
    <w:rsid w:val="00F34E26"/>
    <w:rsid w:val="00F35049"/>
    <w:rsid w:val="00F3520E"/>
    <w:rsid w:val="00F3554F"/>
    <w:rsid w:val="00F355AD"/>
    <w:rsid w:val="00F35A27"/>
    <w:rsid w:val="00F35AE5"/>
    <w:rsid w:val="00F35C19"/>
    <w:rsid w:val="00F364A0"/>
    <w:rsid w:val="00F36705"/>
    <w:rsid w:val="00F36F8E"/>
    <w:rsid w:val="00F37213"/>
    <w:rsid w:val="00F37646"/>
    <w:rsid w:val="00F37841"/>
    <w:rsid w:val="00F37ADD"/>
    <w:rsid w:val="00F37B3A"/>
    <w:rsid w:val="00F37BF9"/>
    <w:rsid w:val="00F37D37"/>
    <w:rsid w:val="00F40279"/>
    <w:rsid w:val="00F40B81"/>
    <w:rsid w:val="00F411CA"/>
    <w:rsid w:val="00F413D5"/>
    <w:rsid w:val="00F41DB4"/>
    <w:rsid w:val="00F4234E"/>
    <w:rsid w:val="00F42491"/>
    <w:rsid w:val="00F426D8"/>
    <w:rsid w:val="00F42782"/>
    <w:rsid w:val="00F430A5"/>
    <w:rsid w:val="00F43173"/>
    <w:rsid w:val="00F43249"/>
    <w:rsid w:val="00F43A20"/>
    <w:rsid w:val="00F43D40"/>
    <w:rsid w:val="00F43D84"/>
    <w:rsid w:val="00F43D91"/>
    <w:rsid w:val="00F44038"/>
    <w:rsid w:val="00F4408D"/>
    <w:rsid w:val="00F44175"/>
    <w:rsid w:val="00F4428D"/>
    <w:rsid w:val="00F44310"/>
    <w:rsid w:val="00F44400"/>
    <w:rsid w:val="00F44AA5"/>
    <w:rsid w:val="00F44AA9"/>
    <w:rsid w:val="00F44BAC"/>
    <w:rsid w:val="00F44ED2"/>
    <w:rsid w:val="00F44FFA"/>
    <w:rsid w:val="00F4516B"/>
    <w:rsid w:val="00F45680"/>
    <w:rsid w:val="00F45687"/>
    <w:rsid w:val="00F457FC"/>
    <w:rsid w:val="00F45855"/>
    <w:rsid w:val="00F458A7"/>
    <w:rsid w:val="00F45BED"/>
    <w:rsid w:val="00F45CC5"/>
    <w:rsid w:val="00F45DC0"/>
    <w:rsid w:val="00F45F1A"/>
    <w:rsid w:val="00F45FFE"/>
    <w:rsid w:val="00F462A8"/>
    <w:rsid w:val="00F462FC"/>
    <w:rsid w:val="00F46345"/>
    <w:rsid w:val="00F46761"/>
    <w:rsid w:val="00F4681F"/>
    <w:rsid w:val="00F4687B"/>
    <w:rsid w:val="00F47177"/>
    <w:rsid w:val="00F4779A"/>
    <w:rsid w:val="00F47BC3"/>
    <w:rsid w:val="00F47DD6"/>
    <w:rsid w:val="00F505B2"/>
    <w:rsid w:val="00F50EE1"/>
    <w:rsid w:val="00F5120D"/>
    <w:rsid w:val="00F5121C"/>
    <w:rsid w:val="00F514D7"/>
    <w:rsid w:val="00F51819"/>
    <w:rsid w:val="00F518EB"/>
    <w:rsid w:val="00F51ADD"/>
    <w:rsid w:val="00F51B64"/>
    <w:rsid w:val="00F51C20"/>
    <w:rsid w:val="00F5214F"/>
    <w:rsid w:val="00F52764"/>
    <w:rsid w:val="00F528C8"/>
    <w:rsid w:val="00F529DA"/>
    <w:rsid w:val="00F530D2"/>
    <w:rsid w:val="00F535E2"/>
    <w:rsid w:val="00F5385A"/>
    <w:rsid w:val="00F53872"/>
    <w:rsid w:val="00F538D0"/>
    <w:rsid w:val="00F53A83"/>
    <w:rsid w:val="00F53BB1"/>
    <w:rsid w:val="00F53E38"/>
    <w:rsid w:val="00F53FA3"/>
    <w:rsid w:val="00F5401F"/>
    <w:rsid w:val="00F5407A"/>
    <w:rsid w:val="00F54398"/>
    <w:rsid w:val="00F547D7"/>
    <w:rsid w:val="00F54B93"/>
    <w:rsid w:val="00F54C1A"/>
    <w:rsid w:val="00F54D9C"/>
    <w:rsid w:val="00F554CF"/>
    <w:rsid w:val="00F55662"/>
    <w:rsid w:val="00F55C2B"/>
    <w:rsid w:val="00F55CDA"/>
    <w:rsid w:val="00F55E55"/>
    <w:rsid w:val="00F55F19"/>
    <w:rsid w:val="00F55FC4"/>
    <w:rsid w:val="00F561CF"/>
    <w:rsid w:val="00F562EE"/>
    <w:rsid w:val="00F5662E"/>
    <w:rsid w:val="00F56716"/>
    <w:rsid w:val="00F5674C"/>
    <w:rsid w:val="00F56C2E"/>
    <w:rsid w:val="00F56C9B"/>
    <w:rsid w:val="00F575F9"/>
    <w:rsid w:val="00F5773E"/>
    <w:rsid w:val="00F57CF9"/>
    <w:rsid w:val="00F60099"/>
    <w:rsid w:val="00F6025C"/>
    <w:rsid w:val="00F604B9"/>
    <w:rsid w:val="00F60601"/>
    <w:rsid w:val="00F6092E"/>
    <w:rsid w:val="00F60CD9"/>
    <w:rsid w:val="00F60D26"/>
    <w:rsid w:val="00F60DAE"/>
    <w:rsid w:val="00F60DDB"/>
    <w:rsid w:val="00F60EDA"/>
    <w:rsid w:val="00F60F95"/>
    <w:rsid w:val="00F614A8"/>
    <w:rsid w:val="00F618A2"/>
    <w:rsid w:val="00F6244B"/>
    <w:rsid w:val="00F62519"/>
    <w:rsid w:val="00F628A9"/>
    <w:rsid w:val="00F62B2C"/>
    <w:rsid w:val="00F62BCB"/>
    <w:rsid w:val="00F62BD1"/>
    <w:rsid w:val="00F62C28"/>
    <w:rsid w:val="00F62DD2"/>
    <w:rsid w:val="00F6319A"/>
    <w:rsid w:val="00F63291"/>
    <w:rsid w:val="00F6331D"/>
    <w:rsid w:val="00F63356"/>
    <w:rsid w:val="00F636DB"/>
    <w:rsid w:val="00F636F2"/>
    <w:rsid w:val="00F639CD"/>
    <w:rsid w:val="00F63C2C"/>
    <w:rsid w:val="00F63D6D"/>
    <w:rsid w:val="00F63D92"/>
    <w:rsid w:val="00F6401C"/>
    <w:rsid w:val="00F6402D"/>
    <w:rsid w:val="00F642B4"/>
    <w:rsid w:val="00F644A1"/>
    <w:rsid w:val="00F64A3C"/>
    <w:rsid w:val="00F64AE0"/>
    <w:rsid w:val="00F64AFA"/>
    <w:rsid w:val="00F64C86"/>
    <w:rsid w:val="00F64D6D"/>
    <w:rsid w:val="00F64E31"/>
    <w:rsid w:val="00F65120"/>
    <w:rsid w:val="00F6516F"/>
    <w:rsid w:val="00F653B5"/>
    <w:rsid w:val="00F655B5"/>
    <w:rsid w:val="00F65C5D"/>
    <w:rsid w:val="00F65D43"/>
    <w:rsid w:val="00F65DC2"/>
    <w:rsid w:val="00F65ECF"/>
    <w:rsid w:val="00F66220"/>
    <w:rsid w:val="00F663F3"/>
    <w:rsid w:val="00F664AA"/>
    <w:rsid w:val="00F66501"/>
    <w:rsid w:val="00F665EB"/>
    <w:rsid w:val="00F66A11"/>
    <w:rsid w:val="00F6753B"/>
    <w:rsid w:val="00F67712"/>
    <w:rsid w:val="00F67955"/>
    <w:rsid w:val="00F679DC"/>
    <w:rsid w:val="00F704AD"/>
    <w:rsid w:val="00F70512"/>
    <w:rsid w:val="00F705F5"/>
    <w:rsid w:val="00F70610"/>
    <w:rsid w:val="00F70783"/>
    <w:rsid w:val="00F70B22"/>
    <w:rsid w:val="00F70DB6"/>
    <w:rsid w:val="00F70ECE"/>
    <w:rsid w:val="00F71254"/>
    <w:rsid w:val="00F71310"/>
    <w:rsid w:val="00F715B2"/>
    <w:rsid w:val="00F7192D"/>
    <w:rsid w:val="00F71933"/>
    <w:rsid w:val="00F719B8"/>
    <w:rsid w:val="00F71B59"/>
    <w:rsid w:val="00F7287C"/>
    <w:rsid w:val="00F72921"/>
    <w:rsid w:val="00F72AEE"/>
    <w:rsid w:val="00F72B6C"/>
    <w:rsid w:val="00F72D20"/>
    <w:rsid w:val="00F72F5F"/>
    <w:rsid w:val="00F731B5"/>
    <w:rsid w:val="00F74032"/>
    <w:rsid w:val="00F7405D"/>
    <w:rsid w:val="00F74061"/>
    <w:rsid w:val="00F74212"/>
    <w:rsid w:val="00F74611"/>
    <w:rsid w:val="00F74B19"/>
    <w:rsid w:val="00F753BB"/>
    <w:rsid w:val="00F75441"/>
    <w:rsid w:val="00F75532"/>
    <w:rsid w:val="00F7561A"/>
    <w:rsid w:val="00F7581F"/>
    <w:rsid w:val="00F7592E"/>
    <w:rsid w:val="00F75D38"/>
    <w:rsid w:val="00F76029"/>
    <w:rsid w:val="00F7638E"/>
    <w:rsid w:val="00F76507"/>
    <w:rsid w:val="00F76627"/>
    <w:rsid w:val="00F76832"/>
    <w:rsid w:val="00F769C8"/>
    <w:rsid w:val="00F76C98"/>
    <w:rsid w:val="00F76DA7"/>
    <w:rsid w:val="00F76E60"/>
    <w:rsid w:val="00F774D8"/>
    <w:rsid w:val="00F77841"/>
    <w:rsid w:val="00F77934"/>
    <w:rsid w:val="00F77BBC"/>
    <w:rsid w:val="00F77D1B"/>
    <w:rsid w:val="00F8013C"/>
    <w:rsid w:val="00F8018E"/>
    <w:rsid w:val="00F8022D"/>
    <w:rsid w:val="00F80B86"/>
    <w:rsid w:val="00F80BCA"/>
    <w:rsid w:val="00F80DAF"/>
    <w:rsid w:val="00F8139C"/>
    <w:rsid w:val="00F816E2"/>
    <w:rsid w:val="00F81854"/>
    <w:rsid w:val="00F81D95"/>
    <w:rsid w:val="00F81DCA"/>
    <w:rsid w:val="00F81E0A"/>
    <w:rsid w:val="00F81F66"/>
    <w:rsid w:val="00F81FF8"/>
    <w:rsid w:val="00F8214C"/>
    <w:rsid w:val="00F82240"/>
    <w:rsid w:val="00F8266B"/>
    <w:rsid w:val="00F82924"/>
    <w:rsid w:val="00F82D72"/>
    <w:rsid w:val="00F833B1"/>
    <w:rsid w:val="00F83E16"/>
    <w:rsid w:val="00F83F62"/>
    <w:rsid w:val="00F8402F"/>
    <w:rsid w:val="00F840EB"/>
    <w:rsid w:val="00F84120"/>
    <w:rsid w:val="00F84162"/>
    <w:rsid w:val="00F8459E"/>
    <w:rsid w:val="00F845B2"/>
    <w:rsid w:val="00F84634"/>
    <w:rsid w:val="00F84BCA"/>
    <w:rsid w:val="00F85203"/>
    <w:rsid w:val="00F85322"/>
    <w:rsid w:val="00F858FA"/>
    <w:rsid w:val="00F85E5F"/>
    <w:rsid w:val="00F85ECC"/>
    <w:rsid w:val="00F86598"/>
    <w:rsid w:val="00F86B8F"/>
    <w:rsid w:val="00F86BC0"/>
    <w:rsid w:val="00F87147"/>
    <w:rsid w:val="00F87172"/>
    <w:rsid w:val="00F875C0"/>
    <w:rsid w:val="00F87A87"/>
    <w:rsid w:val="00F90067"/>
    <w:rsid w:val="00F90169"/>
    <w:rsid w:val="00F9038F"/>
    <w:rsid w:val="00F906F7"/>
    <w:rsid w:val="00F911E8"/>
    <w:rsid w:val="00F9197D"/>
    <w:rsid w:val="00F91C60"/>
    <w:rsid w:val="00F91D3C"/>
    <w:rsid w:val="00F91EEF"/>
    <w:rsid w:val="00F92347"/>
    <w:rsid w:val="00F92A60"/>
    <w:rsid w:val="00F92AC8"/>
    <w:rsid w:val="00F92D83"/>
    <w:rsid w:val="00F92E2B"/>
    <w:rsid w:val="00F92E51"/>
    <w:rsid w:val="00F92E55"/>
    <w:rsid w:val="00F92EC9"/>
    <w:rsid w:val="00F93102"/>
    <w:rsid w:val="00F9314E"/>
    <w:rsid w:val="00F93339"/>
    <w:rsid w:val="00F93E77"/>
    <w:rsid w:val="00F93F02"/>
    <w:rsid w:val="00F9420D"/>
    <w:rsid w:val="00F9435B"/>
    <w:rsid w:val="00F94D08"/>
    <w:rsid w:val="00F94FD7"/>
    <w:rsid w:val="00F95361"/>
    <w:rsid w:val="00F953AD"/>
    <w:rsid w:val="00F954D8"/>
    <w:rsid w:val="00F95538"/>
    <w:rsid w:val="00F9569A"/>
    <w:rsid w:val="00F9575F"/>
    <w:rsid w:val="00F9584F"/>
    <w:rsid w:val="00F96308"/>
    <w:rsid w:val="00F96366"/>
    <w:rsid w:val="00F96371"/>
    <w:rsid w:val="00F963F0"/>
    <w:rsid w:val="00F978C4"/>
    <w:rsid w:val="00F979B5"/>
    <w:rsid w:val="00F97C35"/>
    <w:rsid w:val="00F97ED2"/>
    <w:rsid w:val="00FA072F"/>
    <w:rsid w:val="00FA08A3"/>
    <w:rsid w:val="00FA08AB"/>
    <w:rsid w:val="00FA0D11"/>
    <w:rsid w:val="00FA0DCB"/>
    <w:rsid w:val="00FA116F"/>
    <w:rsid w:val="00FA121B"/>
    <w:rsid w:val="00FA1666"/>
    <w:rsid w:val="00FA174E"/>
    <w:rsid w:val="00FA18E2"/>
    <w:rsid w:val="00FA19ED"/>
    <w:rsid w:val="00FA1A41"/>
    <w:rsid w:val="00FA1A99"/>
    <w:rsid w:val="00FA1EDB"/>
    <w:rsid w:val="00FA2017"/>
    <w:rsid w:val="00FA22C2"/>
    <w:rsid w:val="00FA2612"/>
    <w:rsid w:val="00FA2796"/>
    <w:rsid w:val="00FA2B65"/>
    <w:rsid w:val="00FA2BD7"/>
    <w:rsid w:val="00FA30F1"/>
    <w:rsid w:val="00FA3146"/>
    <w:rsid w:val="00FA32A9"/>
    <w:rsid w:val="00FA3300"/>
    <w:rsid w:val="00FA34E7"/>
    <w:rsid w:val="00FA3699"/>
    <w:rsid w:val="00FA3B60"/>
    <w:rsid w:val="00FA3D29"/>
    <w:rsid w:val="00FA456E"/>
    <w:rsid w:val="00FA4AE0"/>
    <w:rsid w:val="00FA4CA0"/>
    <w:rsid w:val="00FA5197"/>
    <w:rsid w:val="00FA52FA"/>
    <w:rsid w:val="00FA53C4"/>
    <w:rsid w:val="00FA5558"/>
    <w:rsid w:val="00FA5574"/>
    <w:rsid w:val="00FA598F"/>
    <w:rsid w:val="00FA59A7"/>
    <w:rsid w:val="00FA5B03"/>
    <w:rsid w:val="00FA5DD2"/>
    <w:rsid w:val="00FA63E0"/>
    <w:rsid w:val="00FA6574"/>
    <w:rsid w:val="00FA6623"/>
    <w:rsid w:val="00FA667A"/>
    <w:rsid w:val="00FA66E1"/>
    <w:rsid w:val="00FA6F57"/>
    <w:rsid w:val="00FA70B1"/>
    <w:rsid w:val="00FA71BF"/>
    <w:rsid w:val="00FA73B2"/>
    <w:rsid w:val="00FA7C89"/>
    <w:rsid w:val="00FA7D3A"/>
    <w:rsid w:val="00FA7D53"/>
    <w:rsid w:val="00FA7E0D"/>
    <w:rsid w:val="00FB0258"/>
    <w:rsid w:val="00FB051E"/>
    <w:rsid w:val="00FB06D4"/>
    <w:rsid w:val="00FB0FDC"/>
    <w:rsid w:val="00FB136C"/>
    <w:rsid w:val="00FB171A"/>
    <w:rsid w:val="00FB1B3F"/>
    <w:rsid w:val="00FB1C21"/>
    <w:rsid w:val="00FB1E0D"/>
    <w:rsid w:val="00FB1EE4"/>
    <w:rsid w:val="00FB1F03"/>
    <w:rsid w:val="00FB1FC0"/>
    <w:rsid w:val="00FB208C"/>
    <w:rsid w:val="00FB222E"/>
    <w:rsid w:val="00FB2273"/>
    <w:rsid w:val="00FB2CE7"/>
    <w:rsid w:val="00FB303E"/>
    <w:rsid w:val="00FB3295"/>
    <w:rsid w:val="00FB33B8"/>
    <w:rsid w:val="00FB3495"/>
    <w:rsid w:val="00FB3764"/>
    <w:rsid w:val="00FB3C03"/>
    <w:rsid w:val="00FB3C19"/>
    <w:rsid w:val="00FB43BB"/>
    <w:rsid w:val="00FB472D"/>
    <w:rsid w:val="00FB4B53"/>
    <w:rsid w:val="00FB4BB0"/>
    <w:rsid w:val="00FB5024"/>
    <w:rsid w:val="00FB5220"/>
    <w:rsid w:val="00FB5570"/>
    <w:rsid w:val="00FB57EF"/>
    <w:rsid w:val="00FB5983"/>
    <w:rsid w:val="00FB6370"/>
    <w:rsid w:val="00FB6448"/>
    <w:rsid w:val="00FB6552"/>
    <w:rsid w:val="00FB67CA"/>
    <w:rsid w:val="00FB6926"/>
    <w:rsid w:val="00FB6A6D"/>
    <w:rsid w:val="00FB6D93"/>
    <w:rsid w:val="00FB6E94"/>
    <w:rsid w:val="00FB726A"/>
    <w:rsid w:val="00FB7730"/>
    <w:rsid w:val="00FB7A5A"/>
    <w:rsid w:val="00FB7B96"/>
    <w:rsid w:val="00FB7CB5"/>
    <w:rsid w:val="00FC0B19"/>
    <w:rsid w:val="00FC1083"/>
    <w:rsid w:val="00FC11BE"/>
    <w:rsid w:val="00FC12E6"/>
    <w:rsid w:val="00FC14CD"/>
    <w:rsid w:val="00FC174D"/>
    <w:rsid w:val="00FC1926"/>
    <w:rsid w:val="00FC1C8D"/>
    <w:rsid w:val="00FC2213"/>
    <w:rsid w:val="00FC2699"/>
    <w:rsid w:val="00FC2FB1"/>
    <w:rsid w:val="00FC311A"/>
    <w:rsid w:val="00FC326B"/>
    <w:rsid w:val="00FC3279"/>
    <w:rsid w:val="00FC331D"/>
    <w:rsid w:val="00FC34BB"/>
    <w:rsid w:val="00FC36AF"/>
    <w:rsid w:val="00FC389A"/>
    <w:rsid w:val="00FC398D"/>
    <w:rsid w:val="00FC3ECC"/>
    <w:rsid w:val="00FC4404"/>
    <w:rsid w:val="00FC48DE"/>
    <w:rsid w:val="00FC493E"/>
    <w:rsid w:val="00FC4A63"/>
    <w:rsid w:val="00FC4E63"/>
    <w:rsid w:val="00FC533D"/>
    <w:rsid w:val="00FC5459"/>
    <w:rsid w:val="00FC55C1"/>
    <w:rsid w:val="00FC5616"/>
    <w:rsid w:val="00FC5AA0"/>
    <w:rsid w:val="00FC5B51"/>
    <w:rsid w:val="00FC5EA7"/>
    <w:rsid w:val="00FC5ED9"/>
    <w:rsid w:val="00FC5EEC"/>
    <w:rsid w:val="00FC6032"/>
    <w:rsid w:val="00FC6249"/>
    <w:rsid w:val="00FC634D"/>
    <w:rsid w:val="00FC658E"/>
    <w:rsid w:val="00FC66A7"/>
    <w:rsid w:val="00FC6940"/>
    <w:rsid w:val="00FC6BBC"/>
    <w:rsid w:val="00FC6E6B"/>
    <w:rsid w:val="00FC6F1C"/>
    <w:rsid w:val="00FC708C"/>
    <w:rsid w:val="00FC72D4"/>
    <w:rsid w:val="00FC7718"/>
    <w:rsid w:val="00FC785C"/>
    <w:rsid w:val="00FC7ABB"/>
    <w:rsid w:val="00FC7E64"/>
    <w:rsid w:val="00FD09F7"/>
    <w:rsid w:val="00FD0C8D"/>
    <w:rsid w:val="00FD0CA8"/>
    <w:rsid w:val="00FD0F16"/>
    <w:rsid w:val="00FD1260"/>
    <w:rsid w:val="00FD1319"/>
    <w:rsid w:val="00FD1431"/>
    <w:rsid w:val="00FD1EA8"/>
    <w:rsid w:val="00FD28C8"/>
    <w:rsid w:val="00FD2975"/>
    <w:rsid w:val="00FD2B87"/>
    <w:rsid w:val="00FD2C84"/>
    <w:rsid w:val="00FD2D15"/>
    <w:rsid w:val="00FD2EFC"/>
    <w:rsid w:val="00FD32A2"/>
    <w:rsid w:val="00FD35A8"/>
    <w:rsid w:val="00FD35F8"/>
    <w:rsid w:val="00FD3BEA"/>
    <w:rsid w:val="00FD3FEC"/>
    <w:rsid w:val="00FD3FF1"/>
    <w:rsid w:val="00FD464A"/>
    <w:rsid w:val="00FD4695"/>
    <w:rsid w:val="00FD5097"/>
    <w:rsid w:val="00FD5289"/>
    <w:rsid w:val="00FD5595"/>
    <w:rsid w:val="00FD55DF"/>
    <w:rsid w:val="00FD5687"/>
    <w:rsid w:val="00FD5853"/>
    <w:rsid w:val="00FD5D03"/>
    <w:rsid w:val="00FD5D77"/>
    <w:rsid w:val="00FD6129"/>
    <w:rsid w:val="00FD62B7"/>
    <w:rsid w:val="00FD6380"/>
    <w:rsid w:val="00FD6482"/>
    <w:rsid w:val="00FD67C7"/>
    <w:rsid w:val="00FD697D"/>
    <w:rsid w:val="00FD6EC0"/>
    <w:rsid w:val="00FD71C1"/>
    <w:rsid w:val="00FD7261"/>
    <w:rsid w:val="00FD7C6A"/>
    <w:rsid w:val="00FD7D4D"/>
    <w:rsid w:val="00FE0202"/>
    <w:rsid w:val="00FE04DD"/>
    <w:rsid w:val="00FE0532"/>
    <w:rsid w:val="00FE0571"/>
    <w:rsid w:val="00FE0595"/>
    <w:rsid w:val="00FE05DD"/>
    <w:rsid w:val="00FE0D6F"/>
    <w:rsid w:val="00FE0DD4"/>
    <w:rsid w:val="00FE1013"/>
    <w:rsid w:val="00FE1552"/>
    <w:rsid w:val="00FE1A7A"/>
    <w:rsid w:val="00FE1B4C"/>
    <w:rsid w:val="00FE1BAE"/>
    <w:rsid w:val="00FE1DFC"/>
    <w:rsid w:val="00FE1DFF"/>
    <w:rsid w:val="00FE1EF4"/>
    <w:rsid w:val="00FE1F4F"/>
    <w:rsid w:val="00FE209D"/>
    <w:rsid w:val="00FE221F"/>
    <w:rsid w:val="00FE2322"/>
    <w:rsid w:val="00FE24E0"/>
    <w:rsid w:val="00FE2C02"/>
    <w:rsid w:val="00FE3357"/>
    <w:rsid w:val="00FE33A8"/>
    <w:rsid w:val="00FE3503"/>
    <w:rsid w:val="00FE366B"/>
    <w:rsid w:val="00FE3ACD"/>
    <w:rsid w:val="00FE3B06"/>
    <w:rsid w:val="00FE3D2E"/>
    <w:rsid w:val="00FE3D72"/>
    <w:rsid w:val="00FE3E6F"/>
    <w:rsid w:val="00FE3E8F"/>
    <w:rsid w:val="00FE4852"/>
    <w:rsid w:val="00FE4901"/>
    <w:rsid w:val="00FE4A51"/>
    <w:rsid w:val="00FE4B44"/>
    <w:rsid w:val="00FE4FDF"/>
    <w:rsid w:val="00FE50A8"/>
    <w:rsid w:val="00FE510A"/>
    <w:rsid w:val="00FE512E"/>
    <w:rsid w:val="00FE521A"/>
    <w:rsid w:val="00FE54E4"/>
    <w:rsid w:val="00FE56C0"/>
    <w:rsid w:val="00FE5F5B"/>
    <w:rsid w:val="00FE6815"/>
    <w:rsid w:val="00FE686D"/>
    <w:rsid w:val="00FE6BD4"/>
    <w:rsid w:val="00FE6C1F"/>
    <w:rsid w:val="00FE6DB4"/>
    <w:rsid w:val="00FE708A"/>
    <w:rsid w:val="00FE723F"/>
    <w:rsid w:val="00FE72A8"/>
    <w:rsid w:val="00FE7724"/>
    <w:rsid w:val="00FE78DC"/>
    <w:rsid w:val="00FE794A"/>
    <w:rsid w:val="00FE7B3E"/>
    <w:rsid w:val="00FE7B5E"/>
    <w:rsid w:val="00FE7E79"/>
    <w:rsid w:val="00FE7EC3"/>
    <w:rsid w:val="00FF0040"/>
    <w:rsid w:val="00FF0377"/>
    <w:rsid w:val="00FF06ED"/>
    <w:rsid w:val="00FF08B4"/>
    <w:rsid w:val="00FF0F6F"/>
    <w:rsid w:val="00FF16CA"/>
    <w:rsid w:val="00FF17EB"/>
    <w:rsid w:val="00FF19CC"/>
    <w:rsid w:val="00FF1B6D"/>
    <w:rsid w:val="00FF1B9D"/>
    <w:rsid w:val="00FF1BF9"/>
    <w:rsid w:val="00FF1C94"/>
    <w:rsid w:val="00FF1F6D"/>
    <w:rsid w:val="00FF1FDE"/>
    <w:rsid w:val="00FF2026"/>
    <w:rsid w:val="00FF2206"/>
    <w:rsid w:val="00FF2490"/>
    <w:rsid w:val="00FF268F"/>
    <w:rsid w:val="00FF2A15"/>
    <w:rsid w:val="00FF2A18"/>
    <w:rsid w:val="00FF30C3"/>
    <w:rsid w:val="00FF363E"/>
    <w:rsid w:val="00FF431F"/>
    <w:rsid w:val="00FF4B80"/>
    <w:rsid w:val="00FF541F"/>
    <w:rsid w:val="00FF5494"/>
    <w:rsid w:val="00FF58E4"/>
    <w:rsid w:val="00FF5BA1"/>
    <w:rsid w:val="00FF5C3B"/>
    <w:rsid w:val="00FF5C5C"/>
    <w:rsid w:val="00FF6185"/>
    <w:rsid w:val="00FF651D"/>
    <w:rsid w:val="00FF68B8"/>
    <w:rsid w:val="00FF6C02"/>
    <w:rsid w:val="00FF6C63"/>
    <w:rsid w:val="00FF6CC7"/>
    <w:rsid w:val="00FF70C6"/>
    <w:rsid w:val="00FF71DE"/>
    <w:rsid w:val="00FF7351"/>
    <w:rsid w:val="00FF75BA"/>
    <w:rsid w:val="00FF7AA0"/>
    <w:rsid w:val="00FF7AC9"/>
    <w:rsid w:val="00FF7EA5"/>
    <w:rsid w:val="69A75E6F"/>
    <w:rsid w:val="7AEDBB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B43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uiPriority w:val="9"/>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aliases w:val="h2,h2 main heading,B Sub/Bold,Activity,A.B.C.,Level I for #'s,hoofd 2,Heading2-bio,Career Exp.,Heading 2 main heading,H2,Heading 2 main heading Char,h2 main heading Char,B Sub/Bold Char,Activity Char,h2 Char,A.B.C. Char,H2 Char,h"/>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aliases w:val="Activity head,h3,Mi,H3,h3 sub heading,C Sub-Sub/Italic,Level 1 - 2,Level 1 - 1,Normal Numbered,VS3,Para3,Head 3,Head 31,Head 32,C Sub-Sub/Italic1,3m,Heading 3 Sub Heading,3 bullet,Char,level 1 - 2,2,Normal + num,not in TOC,(a),a,paragraph"/>
    <w:basedOn w:val="Normal"/>
    <w:next w:val="Normalparatextnonumbers"/>
    <w:link w:val="Heading3Char"/>
    <w:uiPriority w:val="9"/>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15"/>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15"/>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paragraph" w:styleId="Heading7">
    <w:name w:val="heading 7"/>
    <w:basedOn w:val="Normal"/>
    <w:next w:val="Normal"/>
    <w:link w:val="Heading7Char"/>
    <w:uiPriority w:val="9"/>
    <w:unhideWhenUsed/>
    <w:qFormat/>
    <w:rsid w:val="000C23B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C23B6"/>
    <w:pPr>
      <w:keepNext/>
      <w:keepLines/>
      <w:spacing w:before="200" w:after="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C23B6"/>
    <w:pPr>
      <w:keepNext/>
      <w:keepLines/>
      <w:spacing w:before="200" w:after="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4"/>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4"/>
      </w:numPr>
      <w:pBdr>
        <w:bottom w:val="single" w:sz="4" w:space="8" w:color="auto"/>
      </w:pBdr>
      <w:spacing w:before="0"/>
    </w:pPr>
  </w:style>
  <w:style w:type="numbering" w:customStyle="1" w:styleId="Chapternumbering">
    <w:name w:val="Chapter numbering"/>
    <w:uiPriority w:val="99"/>
    <w:rsid w:val="005D0844"/>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link w:val="DashChar"/>
    <w:qFormat/>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tabs>
        <w:tab w:val="num" w:pos="360"/>
      </w:tabs>
      <w:ind w:left="0" w:firstLine="0"/>
    </w:pPr>
  </w:style>
  <w:style w:type="paragraph" w:customStyle="1" w:styleId="Dotpoint1">
    <w:name w:val="Dot point 1"/>
    <w:basedOn w:val="Normal"/>
    <w:link w:val="Dotpoint1Char"/>
    <w:uiPriority w:val="1"/>
    <w:qFormat/>
    <w:rsid w:val="00B07214"/>
    <w:pPr>
      <w:numPr>
        <w:numId w:val="11"/>
      </w:numPr>
      <w:ind w:left="1418" w:hanging="709"/>
    </w:pPr>
  </w:style>
  <w:style w:type="character" w:customStyle="1" w:styleId="Dotpoint1Char">
    <w:name w:val="Dot point 1 Char"/>
    <w:basedOn w:val="DefaultParagraphFont"/>
    <w:link w:val="Dotpoint1"/>
    <w:uiPriority w:val="1"/>
    <w:rsid w:val="00B07214"/>
    <w:rPr>
      <w:rFonts w:ascii="Times New Roman" w:hAnsi="Times New Roman"/>
    </w:rPr>
  </w:style>
  <w:style w:type="paragraph" w:customStyle="1" w:styleId="Dotpoint20">
    <w:name w:val="Dot point 2"/>
    <w:basedOn w:val="Dotpoint1"/>
    <w:uiPriority w:val="1"/>
    <w:qFormat/>
    <w:rsid w:val="000E521B"/>
    <w:pPr>
      <w:numPr>
        <w:numId w:val="6"/>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7"/>
      </w:numPr>
      <w:spacing w:before="120" w:after="120"/>
      <w:ind w:left="1843" w:right="862" w:hanging="709"/>
    </w:pPr>
  </w:style>
  <w:style w:type="paragraph" w:customStyle="1" w:styleId="Exampledotpoint2">
    <w:name w:val="Example dot point 2"/>
    <w:basedOn w:val="Exampledotpoint1"/>
    <w:uiPriority w:val="1"/>
    <w:rsid w:val="000E521B"/>
    <w:pPr>
      <w:numPr>
        <w:numId w:val="8"/>
      </w:numPr>
      <w:ind w:left="2552" w:hanging="709"/>
    </w:pPr>
  </w:style>
  <w:style w:type="paragraph" w:customStyle="1" w:styleId="ExampleHeading">
    <w:name w:val="Example Heading"/>
    <w:basedOn w:val="TableHeading"/>
    <w:next w:val="Exampletext"/>
    <w:uiPriority w:val="1"/>
    <w:rsid w:val="00492729"/>
    <w:pPr>
      <w:numPr>
        <w:ilvl w:val="3"/>
      </w:numPr>
      <w:tabs>
        <w:tab w:val="num" w:pos="360"/>
      </w:tabs>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rsid w:val="00F22F58"/>
    <w:pPr>
      <w:tabs>
        <w:tab w:val="center" w:pos="4153"/>
        <w:tab w:val="right" w:pos="8306"/>
      </w:tabs>
    </w:pPr>
  </w:style>
  <w:style w:type="character" w:customStyle="1" w:styleId="FooterChar">
    <w:name w:val="Footer Char"/>
    <w:basedOn w:val="DefaultParagraphFont"/>
    <w:link w:val="Footer"/>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rsid w:val="00F22F58"/>
    <w:pPr>
      <w:tabs>
        <w:tab w:val="center" w:pos="4153"/>
        <w:tab w:val="right" w:pos="8306"/>
      </w:tabs>
    </w:pPr>
  </w:style>
  <w:style w:type="character" w:customStyle="1" w:styleId="HeaderChar">
    <w:name w:val="Header Char"/>
    <w:basedOn w:val="DefaultParagraphFont"/>
    <w:link w:val="Header"/>
    <w:rsid w:val="00F22F58"/>
    <w:rPr>
      <w:rFonts w:ascii="Times New Roman" w:hAnsi="Times New Roman"/>
    </w:rPr>
  </w:style>
  <w:style w:type="character" w:customStyle="1" w:styleId="Heading2Char">
    <w:name w:val="Heading 2 Char"/>
    <w:aliases w:val="h2 Char1,h2 main heading Char1,B Sub/Bold Char1,Activity Char1,A.B.C. Char1,Level I for #'s Char,hoofd 2 Char,Heading2-bio Char,Career Exp. Char,Heading 2 main heading Char1,H2 Char1,Heading 2 main heading Char Char,B Sub/Bold Char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aliases w:val="Activity head Char,h3 Char,Mi Char,H3 Char,h3 sub heading Char,C Sub-Sub/Italic Char,Level 1 - 2 Char,Level 1 - 1 Char,Normal Numbered Char,VS3 Char,Para3 Char,Head 3 Char,Head 31 Char,Head 32 Char,C Sub-Sub/Italic1 Char,3m Char,Char Char"/>
    <w:basedOn w:val="DefaultParagraphFont"/>
    <w:link w:val="Heading3"/>
    <w:uiPriority w:val="9"/>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9"/>
      </w:numPr>
      <w:ind w:left="1080"/>
    </w:pPr>
    <w:rPr>
      <w:rFonts w:eastAsia="Calibri"/>
      <w:lang w:eastAsia="en-GB"/>
    </w:rPr>
  </w:style>
  <w:style w:type="paragraph" w:customStyle="1" w:styleId="Instructionalguidancenumbered">
    <w:name w:val="Instructional guidance numbered"/>
    <w:basedOn w:val="Normal"/>
    <w:uiPriority w:val="99"/>
    <w:semiHidden/>
    <w:rsid w:val="00F22F58"/>
    <w:pPr>
      <w:numPr>
        <w:numId w:val="10"/>
      </w:numPr>
      <w:ind w:left="1571"/>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4"/>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2"/>
      </w:numPr>
      <w:tabs>
        <w:tab w:val="clear" w:pos="567"/>
      </w:tabs>
      <w:ind w:left="786"/>
    </w:pPr>
  </w:style>
  <w:style w:type="paragraph" w:customStyle="1" w:styleId="Tabledotpoint1">
    <w:name w:val="Table dot point 1"/>
    <w:basedOn w:val="Normalparatextnonumbers"/>
    <w:uiPriority w:val="1"/>
    <w:rsid w:val="000E521B"/>
    <w:pPr>
      <w:numPr>
        <w:numId w:val="13"/>
      </w:numPr>
      <w:ind w:left="425" w:hanging="425"/>
    </w:pPr>
    <w:rPr>
      <w:sz w:val="20"/>
    </w:rPr>
  </w:style>
  <w:style w:type="paragraph" w:customStyle="1" w:styleId="Tabledotpoint2">
    <w:name w:val="Table dot point 2"/>
    <w:basedOn w:val="Tabledotpoint1"/>
    <w:uiPriority w:val="1"/>
    <w:rsid w:val="000E521B"/>
    <w:pPr>
      <w:numPr>
        <w:numId w:val="14"/>
      </w:numPr>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link w:val="TabletextChar"/>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uiPriority w:val="39"/>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link w:val="ReferenceafterdotpointChar"/>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aliases w:val="b,b + line,b1,Body,level 1,Bullet + line,BodyNum,Bullet Char1,Bullet Char1 Char Char Char,Bullet Char1 Char Char Char Char,Bullet Char1 Char Char Char Char Char,b1 Char Char Char,bulleted"/>
    <w:basedOn w:val="Normal"/>
    <w:link w:val="BulletChar"/>
    <w:rsid w:val="0027000D"/>
    <w:pPr>
      <w:tabs>
        <w:tab w:val="num" w:pos="520"/>
        <w:tab w:val="left" w:pos="720"/>
      </w:tabs>
      <w:ind w:left="520" w:hanging="520"/>
    </w:pPr>
    <w:rPr>
      <w:rFonts w:eastAsia="Calibri"/>
      <w:color w:val="2F5496" w:themeColor="accent1" w:themeShade="BF"/>
      <w:lang w:eastAsia="en-GB"/>
    </w:rPr>
  </w:style>
  <w:style w:type="character" w:customStyle="1" w:styleId="BulletChar">
    <w:name w:val="Bullet Char"/>
    <w:aliases w:val="b Char,b + line Char Char,b Char Char,b1 Char,b + line Char,Body Char,L Char,List Paragraph Char,List Paragraph1 Char,List Paragraph11 Char,Number Char,Recommendation Char,level 1 Char,Bullet + line Char,List Paragraph2 Char,Bullets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link w:val="DoubleDotChar"/>
    <w:qFormat/>
    <w:rsid w:val="0027000D"/>
    <w:pPr>
      <w:tabs>
        <w:tab w:val="left" w:pos="720"/>
        <w:tab w:val="num" w:pos="1560"/>
      </w:tabs>
      <w:ind w:left="1560" w:hanging="520"/>
    </w:pPr>
    <w:rPr>
      <w:rFonts w:eastAsia="Calibri"/>
      <w:color w:val="2F5496" w:themeColor="accent1" w:themeShade="BF"/>
      <w:lang w:eastAsia="en-GB"/>
    </w:rPr>
  </w:style>
  <w:style w:type="paragraph" w:styleId="NormalWeb">
    <w:name w:val="Normal (Web)"/>
    <w:basedOn w:val="Normal"/>
    <w:uiPriority w:val="99"/>
    <w:unhideWhenUsed/>
    <w:rsid w:val="000C23B6"/>
    <w:pPr>
      <w:spacing w:before="100" w:beforeAutospacing="1" w:after="100" w:afterAutospacing="1"/>
    </w:pPr>
    <w:rPr>
      <w:rFonts w:eastAsia="Times New Roman" w:cs="Times New Roman"/>
      <w:sz w:val="24"/>
      <w:szCs w:val="24"/>
      <w:lang w:eastAsia="en-AU"/>
    </w:rPr>
  </w:style>
  <w:style w:type="paragraph" w:customStyle="1" w:styleId="Default">
    <w:name w:val="Default"/>
    <w:link w:val="DefaultChar"/>
    <w:rsid w:val="000C23B6"/>
    <w:pPr>
      <w:autoSpaceDE w:val="0"/>
      <w:autoSpaceDN w:val="0"/>
      <w:adjustRightInd w:val="0"/>
      <w:spacing w:after="0" w:line="240" w:lineRule="auto"/>
    </w:pPr>
    <w:rPr>
      <w:rFonts w:ascii="Verdana" w:hAnsi="Verdana" w:cs="Verdana"/>
      <w:color w:val="000000"/>
      <w:sz w:val="24"/>
      <w:szCs w:val="24"/>
    </w:rPr>
  </w:style>
  <w:style w:type="character" w:customStyle="1" w:styleId="DefaultChar">
    <w:name w:val="Default Char"/>
    <w:basedOn w:val="DefaultParagraphFont"/>
    <w:link w:val="Default"/>
    <w:rsid w:val="000C23B6"/>
    <w:rPr>
      <w:rFonts w:ascii="Verdana" w:hAnsi="Verdana" w:cs="Verdana"/>
      <w:color w:val="000000"/>
      <w:sz w:val="24"/>
      <w:szCs w:val="24"/>
    </w:rPr>
  </w:style>
  <w:style w:type="character" w:customStyle="1" w:styleId="NormalparatextnonumbersChar">
    <w:name w:val="Normal para text (no numbers) Char"/>
    <w:basedOn w:val="DefaultParagraphFont"/>
    <w:link w:val="Normalparatextnonumbers"/>
    <w:rsid w:val="000C23B6"/>
    <w:rPr>
      <w:rFonts w:ascii="Times New Roman" w:hAnsi="Times New Roman"/>
    </w:rPr>
  </w:style>
  <w:style w:type="character" w:customStyle="1" w:styleId="NormalparatextwithnumbersChar">
    <w:name w:val="Normal para text (with numbers) Char"/>
    <w:basedOn w:val="DefaultParagraphFont"/>
    <w:link w:val="Normalparatextwithnumbers"/>
    <w:rsid w:val="000C23B6"/>
    <w:rPr>
      <w:rFonts w:ascii="Times New Roman" w:hAnsi="Times New Roman"/>
    </w:rPr>
  </w:style>
  <w:style w:type="character" w:customStyle="1" w:styleId="Heading7Char">
    <w:name w:val="Heading 7 Char"/>
    <w:basedOn w:val="DefaultParagraphFont"/>
    <w:link w:val="Heading7"/>
    <w:uiPriority w:val="9"/>
    <w:rsid w:val="000C23B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0C23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C23B6"/>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0C23B6"/>
    <w:rPr>
      <w:sz w:val="16"/>
      <w:szCs w:val="16"/>
    </w:rPr>
  </w:style>
  <w:style w:type="paragraph" w:styleId="CommentText">
    <w:name w:val="annotation text"/>
    <w:basedOn w:val="Normal"/>
    <w:link w:val="CommentTextChar"/>
    <w:uiPriority w:val="99"/>
    <w:unhideWhenUsed/>
    <w:rsid w:val="000C23B6"/>
    <w:rPr>
      <w:sz w:val="20"/>
      <w:szCs w:val="20"/>
    </w:rPr>
  </w:style>
  <w:style w:type="character" w:customStyle="1" w:styleId="CommentTextChar">
    <w:name w:val="Comment Text Char"/>
    <w:basedOn w:val="DefaultParagraphFont"/>
    <w:link w:val="CommentText"/>
    <w:uiPriority w:val="99"/>
    <w:rsid w:val="000C23B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23B6"/>
    <w:rPr>
      <w:b/>
      <w:bCs/>
    </w:rPr>
  </w:style>
  <w:style w:type="character" w:customStyle="1" w:styleId="CommentSubjectChar">
    <w:name w:val="Comment Subject Char"/>
    <w:basedOn w:val="CommentTextChar"/>
    <w:link w:val="CommentSubject"/>
    <w:uiPriority w:val="99"/>
    <w:semiHidden/>
    <w:rsid w:val="000C23B6"/>
    <w:rPr>
      <w:rFonts w:ascii="Times New Roman" w:hAnsi="Times New Roman"/>
      <w:b/>
      <w:bCs/>
      <w:sz w:val="20"/>
      <w:szCs w:val="20"/>
    </w:rPr>
  </w:style>
  <w:style w:type="character" w:styleId="Mention">
    <w:name w:val="Mention"/>
    <w:basedOn w:val="DefaultParagraphFont"/>
    <w:uiPriority w:val="99"/>
    <w:unhideWhenUsed/>
    <w:rsid w:val="000C23B6"/>
    <w:rPr>
      <w:color w:val="2B579A"/>
      <w:shd w:val="clear" w:color="auto" w:fill="E1DFDD"/>
    </w:rPr>
  </w:style>
  <w:style w:type="character" w:customStyle="1" w:styleId="DoubleDotChar">
    <w:name w:val="Double Dot Char"/>
    <w:basedOn w:val="InstructionalguidancedotpointChar"/>
    <w:link w:val="DoubleDot"/>
    <w:rsid w:val="000C23B6"/>
    <w:rPr>
      <w:rFonts w:ascii="Times New Roman" w:eastAsia="Calibri" w:hAnsi="Times New Roman"/>
      <w:color w:val="2F5496" w:themeColor="accent1" w:themeShade="BF"/>
      <w:lang w:eastAsia="en-GB"/>
    </w:rPr>
  </w:style>
  <w:style w:type="paragraph" w:styleId="TOC4">
    <w:name w:val="toc 4"/>
    <w:basedOn w:val="Normal"/>
    <w:next w:val="Normal"/>
    <w:autoRedefine/>
    <w:uiPriority w:val="39"/>
    <w:unhideWhenUsed/>
    <w:rsid w:val="000C23B6"/>
    <w:pPr>
      <w:spacing w:after="100"/>
      <w:ind w:left="660"/>
    </w:pPr>
  </w:style>
  <w:style w:type="paragraph" w:styleId="TOC5">
    <w:name w:val="toc 5"/>
    <w:basedOn w:val="Normal"/>
    <w:next w:val="Normal"/>
    <w:autoRedefine/>
    <w:uiPriority w:val="39"/>
    <w:unhideWhenUsed/>
    <w:rsid w:val="000C23B6"/>
    <w:pPr>
      <w:spacing w:after="100"/>
      <w:ind w:left="880"/>
    </w:pPr>
  </w:style>
  <w:style w:type="paragraph" w:styleId="TOC6">
    <w:name w:val="toc 6"/>
    <w:basedOn w:val="Normal"/>
    <w:next w:val="Normal"/>
    <w:autoRedefine/>
    <w:uiPriority w:val="39"/>
    <w:unhideWhenUsed/>
    <w:rsid w:val="000C23B6"/>
    <w:pPr>
      <w:spacing w:after="100"/>
      <w:ind w:left="1100"/>
    </w:pPr>
  </w:style>
  <w:style w:type="paragraph" w:styleId="TOC7">
    <w:name w:val="toc 7"/>
    <w:basedOn w:val="Normal"/>
    <w:next w:val="Normal"/>
    <w:autoRedefine/>
    <w:uiPriority w:val="39"/>
    <w:unhideWhenUsed/>
    <w:rsid w:val="000C23B6"/>
    <w:pPr>
      <w:spacing w:after="100"/>
      <w:ind w:left="1320"/>
    </w:pPr>
  </w:style>
  <w:style w:type="paragraph" w:styleId="TOC8">
    <w:name w:val="toc 8"/>
    <w:basedOn w:val="Normal"/>
    <w:next w:val="Normal"/>
    <w:autoRedefine/>
    <w:uiPriority w:val="39"/>
    <w:unhideWhenUsed/>
    <w:rsid w:val="000C23B6"/>
    <w:pPr>
      <w:spacing w:after="100"/>
      <w:ind w:left="1540"/>
    </w:pPr>
  </w:style>
  <w:style w:type="paragraph" w:styleId="TOC9">
    <w:name w:val="toc 9"/>
    <w:basedOn w:val="Normal"/>
    <w:next w:val="Normal"/>
    <w:autoRedefine/>
    <w:uiPriority w:val="39"/>
    <w:unhideWhenUsed/>
    <w:rsid w:val="000C23B6"/>
    <w:pPr>
      <w:spacing w:after="100"/>
      <w:ind w:left="1760"/>
    </w:pPr>
  </w:style>
  <w:style w:type="paragraph" w:customStyle="1" w:styleId="base-text-paragraph">
    <w:name w:val="base-text-paragraph"/>
    <w:link w:val="base-text-paragraphChar"/>
    <w:rsid w:val="000C23B6"/>
    <w:pPr>
      <w:numPr>
        <w:numId w:val="19"/>
      </w:numPr>
      <w:tabs>
        <w:tab w:val="clear" w:pos="1837"/>
        <w:tab w:val="num" w:pos="520"/>
      </w:tabs>
      <w:spacing w:before="120" w:after="120" w:line="240" w:lineRule="auto"/>
      <w:ind w:left="520" w:hanging="520"/>
    </w:pPr>
    <w:rPr>
      <w:rFonts w:ascii="Times New Roman" w:eastAsia="Times New Roman" w:hAnsi="Times New Roman" w:cs="Times New Roman"/>
      <w:szCs w:val="20"/>
      <w:lang w:eastAsia="en-AU"/>
    </w:rPr>
  </w:style>
  <w:style w:type="paragraph" w:customStyle="1" w:styleId="dotpoint">
    <w:name w:val="dot point"/>
    <w:basedOn w:val="Normal"/>
    <w:rsid w:val="000C23B6"/>
    <w:pPr>
      <w:numPr>
        <w:numId w:val="20"/>
      </w:numPr>
      <w:tabs>
        <w:tab w:val="clear" w:pos="1156"/>
        <w:tab w:val="num" w:pos="1701"/>
        <w:tab w:val="num" w:pos="3828"/>
      </w:tabs>
      <w:ind w:left="1701" w:hanging="425"/>
    </w:pPr>
    <w:rPr>
      <w:rFonts w:eastAsia="Times New Roman" w:cs="Times New Roman"/>
      <w:szCs w:val="20"/>
      <w:lang w:eastAsia="en-AU"/>
    </w:rPr>
  </w:style>
  <w:style w:type="paragraph" w:customStyle="1" w:styleId="dotpoint2">
    <w:name w:val="dot point 2"/>
    <w:basedOn w:val="Normal"/>
    <w:rsid w:val="000C23B6"/>
    <w:pPr>
      <w:numPr>
        <w:ilvl w:val="1"/>
        <w:numId w:val="20"/>
      </w:numPr>
      <w:tabs>
        <w:tab w:val="num" w:pos="2127"/>
      </w:tabs>
    </w:pPr>
    <w:rPr>
      <w:rFonts w:eastAsia="Times New Roman" w:cs="Times New Roman"/>
      <w:szCs w:val="20"/>
      <w:lang w:eastAsia="en-AU"/>
    </w:rPr>
  </w:style>
  <w:style w:type="character" w:customStyle="1" w:styleId="base-text-paragraphChar">
    <w:name w:val="base-text-paragraph Char"/>
    <w:basedOn w:val="DefaultParagraphFont"/>
    <w:link w:val="base-text-paragraph"/>
    <w:rsid w:val="000C23B6"/>
    <w:rPr>
      <w:rFonts w:ascii="Times New Roman" w:eastAsia="Times New Roman" w:hAnsi="Times New Roman" w:cs="Times New Roman"/>
      <w:szCs w:val="20"/>
      <w:lang w:eastAsia="en-AU"/>
    </w:rPr>
  </w:style>
  <w:style w:type="table" w:customStyle="1" w:styleId="Tableindent1">
    <w:name w:val="Table indent 1"/>
    <w:basedOn w:val="TableNormal"/>
    <w:rsid w:val="000C23B6"/>
    <w:pPr>
      <w:spacing w:after="0" w:line="240" w:lineRule="auto"/>
    </w:pPr>
    <w:rPr>
      <w:rFonts w:ascii="Times New Roman" w:eastAsia="Times New Roman" w:hAnsi="Times New Roman" w:cs="Times New Roman"/>
      <w:sz w:val="20"/>
      <w:szCs w:val="20"/>
      <w:lang w:eastAsia="zh-TW"/>
    </w:rPr>
    <w:tblP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dent12">
    <w:name w:val="Table indent 12"/>
    <w:basedOn w:val="TableNormal"/>
    <w:rsid w:val="000C23B6"/>
    <w:pPr>
      <w:spacing w:after="0" w:line="240" w:lineRule="auto"/>
    </w:pPr>
    <w:rPr>
      <w:rFonts w:ascii="Times New Roman" w:eastAsia="Times New Roman"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dotpoint10">
    <w:name w:val="example dot point 1"/>
    <w:basedOn w:val="Normal"/>
    <w:rsid w:val="000C23B6"/>
    <w:pPr>
      <w:numPr>
        <w:numId w:val="21"/>
      </w:numPr>
      <w:tabs>
        <w:tab w:val="clear" w:pos="2517"/>
        <w:tab w:val="num" w:pos="926"/>
      </w:tabs>
      <w:ind w:left="926" w:hanging="360"/>
    </w:pPr>
    <w:rPr>
      <w:rFonts w:eastAsia="Times New Roman" w:cs="Times New Roman"/>
      <w:sz w:val="20"/>
      <w:szCs w:val="20"/>
      <w:lang w:eastAsia="en-AU"/>
    </w:rPr>
  </w:style>
  <w:style w:type="paragraph" w:customStyle="1" w:styleId="exampledotpoint20">
    <w:name w:val="example dot point 2"/>
    <w:basedOn w:val="Normal"/>
    <w:rsid w:val="000C23B6"/>
    <w:pPr>
      <w:numPr>
        <w:ilvl w:val="1"/>
        <w:numId w:val="21"/>
      </w:numPr>
      <w:tabs>
        <w:tab w:val="clear" w:pos="3237"/>
        <w:tab w:val="num" w:pos="926"/>
      </w:tabs>
      <w:ind w:left="926" w:hanging="360"/>
    </w:pPr>
    <w:rPr>
      <w:rFonts w:eastAsia="Times New Roman" w:cs="Times New Roman"/>
      <w:sz w:val="20"/>
      <w:szCs w:val="20"/>
      <w:lang w:eastAsia="en-AU"/>
    </w:rPr>
  </w:style>
  <w:style w:type="paragraph" w:customStyle="1" w:styleId="FooterAddress">
    <w:name w:val="FooterAddress"/>
    <w:basedOn w:val="Normal"/>
    <w:next w:val="Normal"/>
    <w:rsid w:val="000C23B6"/>
    <w:pPr>
      <w:tabs>
        <w:tab w:val="center" w:pos="4820"/>
      </w:tabs>
      <w:spacing w:before="0" w:after="0"/>
      <w:jc w:val="center"/>
    </w:pPr>
    <w:rPr>
      <w:rFonts w:ascii="Arial" w:eastAsia="Times New Roman" w:hAnsi="Arial" w:cs="Times New Roman"/>
      <w:sz w:val="15"/>
      <w:szCs w:val="20"/>
      <w:lang w:eastAsia="en-AU"/>
    </w:rPr>
  </w:style>
  <w:style w:type="paragraph" w:styleId="ListParagraph">
    <w:name w:val="List Paragraph"/>
    <w:basedOn w:val="Normal"/>
    <w:uiPriority w:val="34"/>
    <w:qFormat/>
    <w:rsid w:val="000C23B6"/>
    <w:pPr>
      <w:ind w:left="720"/>
      <w:contextualSpacing/>
    </w:pPr>
  </w:style>
  <w:style w:type="character" w:customStyle="1" w:styleId="DashChar">
    <w:name w:val="Dash Char"/>
    <w:basedOn w:val="DefaultParagraphFont"/>
    <w:link w:val="Dash"/>
    <w:rsid w:val="000C23B6"/>
    <w:rPr>
      <w:rFonts w:ascii="Times New Roman" w:hAnsi="Times New Roman"/>
    </w:rPr>
  </w:style>
  <w:style w:type="paragraph" w:customStyle="1" w:styleId="Bulletpoint1">
    <w:name w:val="Bullet point 1"/>
    <w:basedOn w:val="Normal"/>
    <w:next w:val="Bullet"/>
    <w:link w:val="Bulletpoint1Char"/>
    <w:qFormat/>
    <w:rsid w:val="000C23B6"/>
    <w:pPr>
      <w:numPr>
        <w:numId w:val="22"/>
      </w:numPr>
      <w:spacing w:before="0" w:after="160"/>
      <w:ind w:left="0" w:firstLine="0"/>
    </w:pPr>
    <w:rPr>
      <w:rFonts w:eastAsia="Calibri"/>
      <w:color w:val="2F5496" w:themeColor="accent1" w:themeShade="BF"/>
      <w:lang w:eastAsia="en-GB"/>
    </w:rPr>
  </w:style>
  <w:style w:type="character" w:customStyle="1" w:styleId="Bulletpoint1Char">
    <w:name w:val="Bullet point 1 Char"/>
    <w:basedOn w:val="BulletChar"/>
    <w:link w:val="Bulletpoint1"/>
    <w:rsid w:val="000C23B6"/>
    <w:rPr>
      <w:rFonts w:ascii="Times New Roman" w:eastAsia="Calibri" w:hAnsi="Times New Roman"/>
      <w:color w:val="2F5496" w:themeColor="accent1" w:themeShade="BF"/>
      <w:lang w:eastAsia="en-GB"/>
    </w:rPr>
  </w:style>
  <w:style w:type="paragraph" w:customStyle="1" w:styleId="OutlineNumbered1">
    <w:name w:val="Outline Numbered 1"/>
    <w:basedOn w:val="Normal"/>
    <w:link w:val="OutlineNumbered1Char"/>
    <w:rsid w:val="000C23B6"/>
    <w:pPr>
      <w:numPr>
        <w:numId w:val="23"/>
      </w:numPr>
      <w:tabs>
        <w:tab w:val="clear" w:pos="520"/>
        <w:tab w:val="num" w:pos="3828"/>
      </w:tabs>
      <w:ind w:left="851" w:firstLine="0"/>
    </w:pPr>
    <w:rPr>
      <w:rFonts w:eastAsia="Times New Roman" w:cs="Times New Roman"/>
      <w:szCs w:val="20"/>
      <w:lang w:eastAsia="en-AU"/>
    </w:rPr>
  </w:style>
  <w:style w:type="character" w:customStyle="1" w:styleId="OutlineNumbered1Char">
    <w:name w:val="Outline Numbered 1 Char"/>
    <w:basedOn w:val="base-text-paragraphChar"/>
    <w:link w:val="OutlineNumbered1"/>
    <w:rsid w:val="000C23B6"/>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0C23B6"/>
    <w:pPr>
      <w:numPr>
        <w:ilvl w:val="1"/>
        <w:numId w:val="23"/>
      </w:numPr>
      <w:tabs>
        <w:tab w:val="clear" w:pos="1040"/>
        <w:tab w:val="num" w:pos="709"/>
      </w:tabs>
      <w:ind w:left="709" w:hanging="709"/>
    </w:pPr>
    <w:rPr>
      <w:rFonts w:eastAsia="Times New Roman" w:cs="Times New Roman"/>
      <w:szCs w:val="20"/>
      <w:lang w:eastAsia="en-AU"/>
    </w:rPr>
  </w:style>
  <w:style w:type="paragraph" w:customStyle="1" w:styleId="OutlineNumbered3">
    <w:name w:val="Outline Numbered 3"/>
    <w:basedOn w:val="Normal"/>
    <w:link w:val="OutlineNumbered3Char"/>
    <w:rsid w:val="000C23B6"/>
    <w:pPr>
      <w:numPr>
        <w:ilvl w:val="2"/>
        <w:numId w:val="23"/>
      </w:numPr>
      <w:tabs>
        <w:tab w:val="clear" w:pos="1560"/>
      </w:tabs>
      <w:ind w:left="1701" w:hanging="1701"/>
    </w:pPr>
    <w:rPr>
      <w:rFonts w:eastAsia="Times New Roman" w:cs="Times New Roman"/>
      <w:szCs w:val="20"/>
      <w:lang w:eastAsia="en-AU"/>
    </w:rPr>
  </w:style>
  <w:style w:type="numbering" w:customStyle="1" w:styleId="OPCBodyList">
    <w:name w:val="OPCBodyList"/>
    <w:uiPriority w:val="99"/>
    <w:rsid w:val="000C23B6"/>
    <w:pPr>
      <w:numPr>
        <w:numId w:val="24"/>
      </w:numPr>
    </w:pPr>
  </w:style>
  <w:style w:type="paragraph" w:customStyle="1" w:styleId="BodyPara">
    <w:name w:val="BodyPara"/>
    <w:aliases w:val="ba"/>
    <w:basedOn w:val="Normal"/>
    <w:rsid w:val="000C23B6"/>
    <w:pPr>
      <w:tabs>
        <w:tab w:val="num" w:pos="1440"/>
      </w:tabs>
      <w:spacing w:before="240" w:after="0"/>
      <w:ind w:left="1440" w:hanging="720"/>
    </w:pPr>
    <w:rPr>
      <w:rFonts w:eastAsia="Times New Roman" w:cs="Times New Roman"/>
      <w:sz w:val="24"/>
      <w:szCs w:val="20"/>
      <w:lang w:eastAsia="en-AU"/>
    </w:rPr>
  </w:style>
  <w:style w:type="paragraph" w:customStyle="1" w:styleId="BodyParaBullet">
    <w:name w:val="BodyParaBullet"/>
    <w:aliases w:val="bpb"/>
    <w:basedOn w:val="Normal"/>
    <w:rsid w:val="000C23B6"/>
    <w:pPr>
      <w:tabs>
        <w:tab w:val="num" w:pos="1440"/>
        <w:tab w:val="left" w:pos="2160"/>
      </w:tabs>
      <w:spacing w:before="240" w:after="0"/>
      <w:ind w:left="1440" w:hanging="720"/>
    </w:pPr>
    <w:rPr>
      <w:rFonts w:eastAsia="Times New Roman" w:cs="Times New Roman"/>
      <w:sz w:val="24"/>
      <w:szCs w:val="20"/>
      <w:lang w:eastAsia="en-AU"/>
    </w:rPr>
  </w:style>
  <w:style w:type="paragraph" w:customStyle="1" w:styleId="BodySubPara">
    <w:name w:val="BodySubPara"/>
    <w:aliases w:val="bi"/>
    <w:basedOn w:val="Normal"/>
    <w:rsid w:val="000C23B6"/>
    <w:pPr>
      <w:tabs>
        <w:tab w:val="num" w:pos="2160"/>
      </w:tabs>
      <w:spacing w:before="240" w:after="0"/>
      <w:ind w:left="2160" w:hanging="720"/>
    </w:pPr>
    <w:rPr>
      <w:rFonts w:eastAsia="Times New Roman" w:cs="Times New Roman"/>
      <w:sz w:val="24"/>
      <w:szCs w:val="20"/>
      <w:lang w:eastAsia="en-AU"/>
    </w:rPr>
  </w:style>
  <w:style w:type="character" w:styleId="Strong">
    <w:name w:val="Strong"/>
    <w:basedOn w:val="DefaultParagraphFont"/>
    <w:uiPriority w:val="22"/>
    <w:qFormat/>
    <w:rsid w:val="000C23B6"/>
    <w:rPr>
      <w:b/>
      <w:bCs/>
    </w:rPr>
  </w:style>
  <w:style w:type="paragraph" w:styleId="z-TopofForm">
    <w:name w:val="HTML Top of Form"/>
    <w:basedOn w:val="Normal"/>
    <w:next w:val="Normal"/>
    <w:link w:val="z-TopofFormChar"/>
    <w:hidden/>
    <w:uiPriority w:val="99"/>
    <w:semiHidden/>
    <w:unhideWhenUsed/>
    <w:rsid w:val="000C23B6"/>
    <w:pPr>
      <w:pBdr>
        <w:bottom w:val="single" w:sz="6" w:space="1" w:color="auto"/>
      </w:pBdr>
      <w:spacing w:before="0" w:after="0"/>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0C23B6"/>
    <w:rPr>
      <w:rFonts w:ascii="Arial" w:eastAsia="Times New Roman" w:hAnsi="Arial" w:cs="Arial"/>
      <w:vanish/>
      <w:sz w:val="16"/>
      <w:szCs w:val="16"/>
      <w:lang w:eastAsia="en-AU"/>
    </w:rPr>
  </w:style>
  <w:style w:type="character" w:customStyle="1" w:styleId="ui-provider">
    <w:name w:val="ui-provider"/>
    <w:basedOn w:val="DefaultParagraphFont"/>
    <w:rsid w:val="000C23B6"/>
  </w:style>
  <w:style w:type="paragraph" w:customStyle="1" w:styleId="ActHead2">
    <w:name w:val="ActHead 2"/>
    <w:aliases w:val="p"/>
    <w:basedOn w:val="Normal"/>
    <w:next w:val="Normal"/>
    <w:qFormat/>
    <w:rsid w:val="000C23B6"/>
    <w:pPr>
      <w:keepNext/>
      <w:keepLines/>
      <w:spacing w:before="280" w:after="0"/>
      <w:ind w:left="1134" w:hanging="1134"/>
      <w:outlineLvl w:val="1"/>
    </w:pPr>
    <w:rPr>
      <w:rFonts w:eastAsia="Times New Roman" w:cs="Times New Roman"/>
      <w:b/>
      <w:kern w:val="28"/>
      <w:sz w:val="32"/>
      <w:szCs w:val="20"/>
      <w:lang w:eastAsia="en-AU"/>
    </w:rPr>
  </w:style>
  <w:style w:type="character" w:customStyle="1" w:styleId="CharPartNo">
    <w:name w:val="CharPartNo"/>
    <w:basedOn w:val="DefaultParagraphFont"/>
    <w:uiPriority w:val="1"/>
    <w:qFormat/>
    <w:rsid w:val="000C23B6"/>
  </w:style>
  <w:style w:type="character" w:customStyle="1" w:styleId="CharSectno">
    <w:name w:val="CharSectno"/>
    <w:basedOn w:val="DefaultParagraphFont"/>
    <w:qFormat/>
    <w:rsid w:val="000C23B6"/>
  </w:style>
  <w:style w:type="numbering" w:customStyle="1" w:styleId="Chapternumbering1">
    <w:name w:val="Chapter numbering1"/>
    <w:uiPriority w:val="99"/>
    <w:rsid w:val="000C23B6"/>
  </w:style>
  <w:style w:type="numbering" w:customStyle="1" w:styleId="Chapternumbering2">
    <w:name w:val="Chapter numbering2"/>
    <w:uiPriority w:val="99"/>
    <w:rsid w:val="000C23B6"/>
  </w:style>
  <w:style w:type="numbering" w:customStyle="1" w:styleId="Chapternumbering3">
    <w:name w:val="Chapter numbering3"/>
    <w:uiPriority w:val="99"/>
    <w:rsid w:val="000C23B6"/>
  </w:style>
  <w:style w:type="character" w:customStyle="1" w:styleId="cf01">
    <w:name w:val="cf01"/>
    <w:basedOn w:val="DefaultParagraphFont"/>
    <w:rsid w:val="000C23B6"/>
    <w:rPr>
      <w:rFonts w:ascii="Segoe UI" w:hAnsi="Segoe UI" w:cs="Segoe UI" w:hint="default"/>
      <w:sz w:val="18"/>
      <w:szCs w:val="18"/>
    </w:rPr>
  </w:style>
  <w:style w:type="paragraph" w:styleId="ListNumber3">
    <w:name w:val="List Number 3"/>
    <w:basedOn w:val="Normal"/>
    <w:uiPriority w:val="99"/>
    <w:semiHidden/>
    <w:unhideWhenUsed/>
    <w:rsid w:val="000C23B6"/>
    <w:pPr>
      <w:numPr>
        <w:numId w:val="25"/>
      </w:numPr>
      <w:spacing w:before="0" w:after="0" w:line="260" w:lineRule="atLeast"/>
      <w:contextualSpacing/>
    </w:pPr>
    <w:rPr>
      <w:szCs w:val="20"/>
    </w:rPr>
  </w:style>
  <w:style w:type="character" w:customStyle="1" w:styleId="cf11">
    <w:name w:val="cf11"/>
    <w:basedOn w:val="DefaultParagraphFont"/>
    <w:rsid w:val="000C23B6"/>
    <w:rPr>
      <w:rFonts w:ascii="Segoe UI" w:hAnsi="Segoe UI" w:cs="Segoe UI" w:hint="default"/>
      <w:sz w:val="18"/>
      <w:szCs w:val="18"/>
    </w:rPr>
  </w:style>
  <w:style w:type="paragraph" w:customStyle="1" w:styleId="msonormal0">
    <w:name w:val="msonormal"/>
    <w:basedOn w:val="Normal"/>
    <w:rsid w:val="000C23B6"/>
    <w:pPr>
      <w:spacing w:before="100" w:beforeAutospacing="1" w:after="100" w:afterAutospacing="1"/>
    </w:pPr>
    <w:rPr>
      <w:rFonts w:eastAsia="Times New Roman" w:cs="Times New Roman"/>
      <w:sz w:val="24"/>
      <w:szCs w:val="24"/>
      <w:lang w:eastAsia="en-AU"/>
    </w:rPr>
  </w:style>
  <w:style w:type="paragraph" w:customStyle="1" w:styleId="font0">
    <w:name w:val="font0"/>
    <w:basedOn w:val="Normal"/>
    <w:rsid w:val="000C23B6"/>
    <w:pPr>
      <w:spacing w:before="100" w:beforeAutospacing="1" w:after="100" w:afterAutospacing="1"/>
    </w:pPr>
    <w:rPr>
      <w:rFonts w:ascii="Calibri" w:eastAsia="Times New Roman" w:hAnsi="Calibri" w:cs="Calibri"/>
      <w:color w:val="000000"/>
      <w:lang w:eastAsia="en-AU"/>
    </w:rPr>
  </w:style>
  <w:style w:type="paragraph" w:customStyle="1" w:styleId="font5">
    <w:name w:val="font5"/>
    <w:basedOn w:val="Normal"/>
    <w:rsid w:val="000C23B6"/>
    <w:pPr>
      <w:spacing w:before="100" w:beforeAutospacing="1" w:after="100" w:afterAutospacing="1"/>
    </w:pPr>
    <w:rPr>
      <w:rFonts w:ascii="Calibri" w:eastAsia="Times New Roman" w:hAnsi="Calibri" w:cs="Calibri"/>
      <w:b/>
      <w:bCs/>
      <w:color w:val="000000"/>
      <w:lang w:eastAsia="en-AU"/>
    </w:rPr>
  </w:style>
  <w:style w:type="paragraph" w:customStyle="1" w:styleId="font6">
    <w:name w:val="font6"/>
    <w:basedOn w:val="Normal"/>
    <w:rsid w:val="000C23B6"/>
    <w:pPr>
      <w:spacing w:before="100" w:beforeAutospacing="1" w:after="100" w:afterAutospacing="1"/>
    </w:pPr>
    <w:rPr>
      <w:rFonts w:ascii="Tahoma" w:eastAsia="Times New Roman" w:hAnsi="Tahoma" w:cs="Tahoma"/>
      <w:color w:val="000000"/>
      <w:sz w:val="18"/>
      <w:szCs w:val="18"/>
      <w:lang w:eastAsia="en-AU"/>
    </w:rPr>
  </w:style>
  <w:style w:type="paragraph" w:customStyle="1" w:styleId="font7">
    <w:name w:val="font7"/>
    <w:basedOn w:val="Normal"/>
    <w:rsid w:val="000C23B6"/>
    <w:pPr>
      <w:spacing w:before="100" w:beforeAutospacing="1" w:after="100" w:afterAutospacing="1"/>
    </w:pPr>
    <w:rPr>
      <w:rFonts w:ascii="Tahoma" w:eastAsia="Times New Roman" w:hAnsi="Tahoma" w:cs="Tahoma"/>
      <w:b/>
      <w:bCs/>
      <w:color w:val="000000"/>
      <w:sz w:val="18"/>
      <w:szCs w:val="18"/>
      <w:lang w:eastAsia="en-AU"/>
    </w:rPr>
  </w:style>
  <w:style w:type="paragraph" w:customStyle="1" w:styleId="xl65">
    <w:name w:val="xl65"/>
    <w:basedOn w:val="Normal"/>
    <w:rsid w:val="000C23B6"/>
    <w:pPr>
      <w:spacing w:before="100" w:beforeAutospacing="1" w:after="100" w:afterAutospacing="1"/>
    </w:pPr>
    <w:rPr>
      <w:rFonts w:eastAsia="Times New Roman" w:cs="Times New Roman"/>
      <w:b/>
      <w:bCs/>
      <w:sz w:val="24"/>
      <w:szCs w:val="24"/>
      <w:lang w:eastAsia="en-AU"/>
    </w:rPr>
  </w:style>
  <w:style w:type="paragraph" w:customStyle="1" w:styleId="xl66">
    <w:name w:val="xl66"/>
    <w:basedOn w:val="Normal"/>
    <w:rsid w:val="000C23B6"/>
    <w:pPr>
      <w:spacing w:before="100" w:beforeAutospacing="1" w:after="100" w:afterAutospacing="1"/>
      <w:jc w:val="right"/>
    </w:pPr>
    <w:rPr>
      <w:rFonts w:eastAsia="Times New Roman" w:cs="Times New Roman"/>
      <w:sz w:val="24"/>
      <w:szCs w:val="24"/>
      <w:lang w:eastAsia="en-AU"/>
    </w:rPr>
  </w:style>
  <w:style w:type="paragraph" w:customStyle="1" w:styleId="xl67">
    <w:name w:val="xl67"/>
    <w:basedOn w:val="Normal"/>
    <w:rsid w:val="000C23B6"/>
    <w:pPr>
      <w:spacing w:before="100" w:beforeAutospacing="1" w:after="100" w:afterAutospacing="1"/>
    </w:pPr>
    <w:rPr>
      <w:rFonts w:eastAsia="Times New Roman" w:cs="Times New Roman"/>
      <w:b/>
      <w:bCs/>
      <w:sz w:val="24"/>
      <w:szCs w:val="24"/>
      <w:lang w:eastAsia="en-AU"/>
    </w:rPr>
  </w:style>
  <w:style w:type="paragraph" w:customStyle="1" w:styleId="xl68">
    <w:name w:val="xl68"/>
    <w:basedOn w:val="Normal"/>
    <w:rsid w:val="000C23B6"/>
    <w:pPr>
      <w:spacing w:before="100" w:beforeAutospacing="1" w:after="100" w:afterAutospacing="1"/>
    </w:pPr>
    <w:rPr>
      <w:rFonts w:eastAsia="Times New Roman" w:cs="Times New Roman"/>
      <w:sz w:val="24"/>
      <w:szCs w:val="24"/>
      <w:lang w:eastAsia="en-AU"/>
    </w:rPr>
  </w:style>
  <w:style w:type="paragraph" w:customStyle="1" w:styleId="xl69">
    <w:name w:val="xl69"/>
    <w:basedOn w:val="Normal"/>
    <w:rsid w:val="000C23B6"/>
    <w:pPr>
      <w:spacing w:before="100" w:beforeAutospacing="1" w:after="100" w:afterAutospacing="1"/>
    </w:pPr>
    <w:rPr>
      <w:rFonts w:eastAsia="Times New Roman" w:cs="Times New Roman"/>
      <w:sz w:val="24"/>
      <w:szCs w:val="24"/>
      <w:lang w:eastAsia="en-AU"/>
    </w:rPr>
  </w:style>
  <w:style w:type="paragraph" w:customStyle="1" w:styleId="xl70">
    <w:name w:val="xl70"/>
    <w:basedOn w:val="Normal"/>
    <w:rsid w:val="000C23B6"/>
    <w:pPr>
      <w:spacing w:before="100" w:beforeAutospacing="1" w:after="100" w:afterAutospacing="1"/>
    </w:pPr>
    <w:rPr>
      <w:rFonts w:eastAsia="Times New Roman" w:cs="Times New Roman"/>
      <w:b/>
      <w:bCs/>
      <w:sz w:val="24"/>
      <w:szCs w:val="24"/>
      <w:lang w:eastAsia="en-AU"/>
    </w:rPr>
  </w:style>
  <w:style w:type="paragraph" w:customStyle="1" w:styleId="xl71">
    <w:name w:val="xl71"/>
    <w:basedOn w:val="Normal"/>
    <w:rsid w:val="000C23B6"/>
    <w:pPr>
      <w:spacing w:before="100" w:beforeAutospacing="1" w:after="100" w:afterAutospacing="1"/>
      <w:jc w:val="right"/>
    </w:pPr>
    <w:rPr>
      <w:rFonts w:eastAsia="Times New Roman" w:cs="Times New Roman"/>
      <w:b/>
      <w:bCs/>
      <w:sz w:val="24"/>
      <w:szCs w:val="24"/>
      <w:lang w:eastAsia="en-AU"/>
    </w:rPr>
  </w:style>
  <w:style w:type="paragraph" w:customStyle="1" w:styleId="xl72">
    <w:name w:val="xl72"/>
    <w:basedOn w:val="Normal"/>
    <w:rsid w:val="000C23B6"/>
    <w:pPr>
      <w:shd w:val="clear" w:color="000000" w:fill="E2EFDA"/>
      <w:spacing w:before="100" w:beforeAutospacing="1" w:after="100" w:afterAutospacing="1"/>
    </w:pPr>
    <w:rPr>
      <w:rFonts w:eastAsia="Times New Roman" w:cs="Times New Roman"/>
      <w:sz w:val="24"/>
      <w:szCs w:val="24"/>
      <w:lang w:eastAsia="en-AU"/>
    </w:rPr>
  </w:style>
  <w:style w:type="paragraph" w:customStyle="1" w:styleId="xl73">
    <w:name w:val="xl73"/>
    <w:basedOn w:val="Normal"/>
    <w:rsid w:val="000C23B6"/>
    <w:pPr>
      <w:shd w:val="clear" w:color="000000" w:fill="E2EFDA"/>
      <w:spacing w:before="100" w:beforeAutospacing="1" w:after="100" w:afterAutospacing="1"/>
    </w:pPr>
    <w:rPr>
      <w:rFonts w:eastAsia="Times New Roman" w:cs="Times New Roman"/>
      <w:sz w:val="24"/>
      <w:szCs w:val="24"/>
      <w:lang w:eastAsia="en-AU"/>
    </w:rPr>
  </w:style>
  <w:style w:type="paragraph" w:customStyle="1" w:styleId="xl74">
    <w:name w:val="xl74"/>
    <w:basedOn w:val="Normal"/>
    <w:rsid w:val="000C23B6"/>
    <w:pPr>
      <w:shd w:val="clear" w:color="000000" w:fill="E2EFDA"/>
      <w:spacing w:before="100" w:beforeAutospacing="1" w:after="100" w:afterAutospacing="1"/>
    </w:pPr>
    <w:rPr>
      <w:rFonts w:eastAsia="Times New Roman" w:cs="Times New Roman"/>
      <w:b/>
      <w:bCs/>
      <w:sz w:val="24"/>
      <w:szCs w:val="24"/>
      <w:lang w:eastAsia="en-AU"/>
    </w:rPr>
  </w:style>
  <w:style w:type="paragraph" w:customStyle="1" w:styleId="xl75">
    <w:name w:val="xl75"/>
    <w:basedOn w:val="Normal"/>
    <w:rsid w:val="000C23B6"/>
    <w:pPr>
      <w:shd w:val="clear" w:color="000000" w:fill="E2EFDA"/>
      <w:spacing w:before="100" w:beforeAutospacing="1" w:after="100" w:afterAutospacing="1"/>
      <w:jc w:val="right"/>
    </w:pPr>
    <w:rPr>
      <w:rFonts w:eastAsia="Times New Roman" w:cs="Times New Roman"/>
      <w:sz w:val="24"/>
      <w:szCs w:val="24"/>
      <w:lang w:eastAsia="en-AU"/>
    </w:rPr>
  </w:style>
  <w:style w:type="paragraph" w:customStyle="1" w:styleId="xl76">
    <w:name w:val="xl76"/>
    <w:basedOn w:val="Normal"/>
    <w:rsid w:val="000C23B6"/>
    <w:pPr>
      <w:shd w:val="clear" w:color="000000" w:fill="D9E1F2"/>
      <w:spacing w:before="100" w:beforeAutospacing="1" w:after="100" w:afterAutospacing="1"/>
    </w:pPr>
    <w:rPr>
      <w:rFonts w:eastAsia="Times New Roman" w:cs="Times New Roman"/>
      <w:sz w:val="24"/>
      <w:szCs w:val="24"/>
      <w:lang w:eastAsia="en-AU"/>
    </w:rPr>
  </w:style>
  <w:style w:type="paragraph" w:customStyle="1" w:styleId="xl77">
    <w:name w:val="xl77"/>
    <w:basedOn w:val="Normal"/>
    <w:rsid w:val="000C23B6"/>
    <w:pPr>
      <w:shd w:val="clear" w:color="000000" w:fill="D9E1F2"/>
      <w:spacing w:before="100" w:beforeAutospacing="1" w:after="100" w:afterAutospacing="1"/>
    </w:pPr>
    <w:rPr>
      <w:rFonts w:eastAsia="Times New Roman" w:cs="Times New Roman"/>
      <w:sz w:val="24"/>
      <w:szCs w:val="24"/>
      <w:lang w:eastAsia="en-AU"/>
    </w:rPr>
  </w:style>
  <w:style w:type="paragraph" w:customStyle="1" w:styleId="xl78">
    <w:name w:val="xl78"/>
    <w:basedOn w:val="Normal"/>
    <w:rsid w:val="000C23B6"/>
    <w:pPr>
      <w:shd w:val="clear" w:color="000000" w:fill="D9E1F2"/>
      <w:spacing w:before="100" w:beforeAutospacing="1" w:after="100" w:afterAutospacing="1"/>
    </w:pPr>
    <w:rPr>
      <w:rFonts w:eastAsia="Times New Roman" w:cs="Times New Roman"/>
      <w:sz w:val="24"/>
      <w:szCs w:val="24"/>
      <w:lang w:eastAsia="en-AU"/>
    </w:rPr>
  </w:style>
  <w:style w:type="paragraph" w:customStyle="1" w:styleId="xl79">
    <w:name w:val="xl79"/>
    <w:basedOn w:val="Normal"/>
    <w:rsid w:val="000C23B6"/>
    <w:pPr>
      <w:shd w:val="clear" w:color="000000" w:fill="D9E1F2"/>
      <w:spacing w:before="100" w:beforeAutospacing="1" w:after="100" w:afterAutospacing="1"/>
      <w:jc w:val="right"/>
    </w:pPr>
    <w:rPr>
      <w:rFonts w:eastAsia="Times New Roman" w:cs="Times New Roman"/>
      <w:sz w:val="24"/>
      <w:szCs w:val="24"/>
      <w:lang w:eastAsia="en-AU"/>
    </w:rPr>
  </w:style>
  <w:style w:type="paragraph" w:customStyle="1" w:styleId="xl80">
    <w:name w:val="xl80"/>
    <w:basedOn w:val="Normal"/>
    <w:rsid w:val="000C23B6"/>
    <w:pPr>
      <w:shd w:val="clear" w:color="000000" w:fill="FCE4D6"/>
      <w:spacing w:before="100" w:beforeAutospacing="1" w:after="100" w:afterAutospacing="1"/>
      <w:jc w:val="right"/>
    </w:pPr>
    <w:rPr>
      <w:rFonts w:eastAsia="Times New Roman" w:cs="Times New Roman"/>
      <w:sz w:val="24"/>
      <w:szCs w:val="24"/>
      <w:lang w:eastAsia="en-AU"/>
    </w:rPr>
  </w:style>
  <w:style w:type="paragraph" w:customStyle="1" w:styleId="xl81">
    <w:name w:val="xl81"/>
    <w:basedOn w:val="Normal"/>
    <w:rsid w:val="000C23B6"/>
    <w:pPr>
      <w:shd w:val="clear" w:color="000000" w:fill="FCE4D6"/>
      <w:spacing w:before="100" w:beforeAutospacing="1" w:after="100" w:afterAutospacing="1"/>
    </w:pPr>
    <w:rPr>
      <w:rFonts w:eastAsia="Times New Roman" w:cs="Times New Roman"/>
      <w:sz w:val="24"/>
      <w:szCs w:val="24"/>
      <w:lang w:eastAsia="en-AU"/>
    </w:rPr>
  </w:style>
  <w:style w:type="paragraph" w:customStyle="1" w:styleId="xl82">
    <w:name w:val="xl82"/>
    <w:basedOn w:val="Normal"/>
    <w:rsid w:val="000C23B6"/>
    <w:pPr>
      <w:shd w:val="clear" w:color="000000" w:fill="FCE4D6"/>
      <w:spacing w:before="100" w:beforeAutospacing="1" w:after="100" w:afterAutospacing="1"/>
    </w:pPr>
    <w:rPr>
      <w:rFonts w:eastAsia="Times New Roman" w:cs="Times New Roman"/>
      <w:sz w:val="24"/>
      <w:szCs w:val="24"/>
      <w:lang w:eastAsia="en-AU"/>
    </w:rPr>
  </w:style>
  <w:style w:type="paragraph" w:customStyle="1" w:styleId="xl83">
    <w:name w:val="xl83"/>
    <w:basedOn w:val="Normal"/>
    <w:rsid w:val="000C23B6"/>
    <w:pPr>
      <w:shd w:val="clear" w:color="000000" w:fill="D9E1F2"/>
      <w:spacing w:before="100" w:beforeAutospacing="1" w:after="100" w:afterAutospacing="1"/>
      <w:jc w:val="right"/>
    </w:pPr>
    <w:rPr>
      <w:rFonts w:eastAsia="Times New Roman" w:cs="Times New Roman"/>
      <w:sz w:val="24"/>
      <w:szCs w:val="24"/>
      <w:lang w:eastAsia="en-AU"/>
    </w:rPr>
  </w:style>
  <w:style w:type="paragraph" w:customStyle="1" w:styleId="xl84">
    <w:name w:val="xl84"/>
    <w:basedOn w:val="Normal"/>
    <w:rsid w:val="000C23B6"/>
    <w:pPr>
      <w:shd w:val="clear" w:color="000000" w:fill="D9E1F2"/>
      <w:spacing w:before="100" w:beforeAutospacing="1" w:after="100" w:afterAutospacing="1"/>
    </w:pPr>
    <w:rPr>
      <w:rFonts w:eastAsia="Times New Roman" w:cs="Times New Roman"/>
      <w:sz w:val="24"/>
      <w:szCs w:val="24"/>
      <w:lang w:eastAsia="en-AU"/>
    </w:rPr>
  </w:style>
  <w:style w:type="paragraph" w:customStyle="1" w:styleId="xl85">
    <w:name w:val="xl85"/>
    <w:basedOn w:val="Normal"/>
    <w:rsid w:val="000C23B6"/>
    <w:pPr>
      <w:shd w:val="clear" w:color="000000" w:fill="E2EFDA"/>
      <w:spacing w:before="100" w:beforeAutospacing="1" w:after="100" w:afterAutospacing="1"/>
    </w:pPr>
    <w:rPr>
      <w:rFonts w:eastAsia="Times New Roman" w:cs="Times New Roman"/>
      <w:sz w:val="24"/>
      <w:szCs w:val="24"/>
      <w:lang w:eastAsia="en-AU"/>
    </w:rPr>
  </w:style>
  <w:style w:type="paragraph" w:customStyle="1" w:styleId="xl86">
    <w:name w:val="xl86"/>
    <w:basedOn w:val="Normal"/>
    <w:rsid w:val="000C23B6"/>
    <w:pPr>
      <w:shd w:val="clear" w:color="000000" w:fill="E2EFDA"/>
      <w:spacing w:before="100" w:beforeAutospacing="1" w:after="100" w:afterAutospacing="1"/>
    </w:pPr>
    <w:rPr>
      <w:rFonts w:eastAsia="Times New Roman" w:cs="Times New Roman"/>
      <w:sz w:val="24"/>
      <w:szCs w:val="24"/>
      <w:lang w:eastAsia="en-AU"/>
    </w:rPr>
  </w:style>
  <w:style w:type="paragraph" w:customStyle="1" w:styleId="xl87">
    <w:name w:val="xl87"/>
    <w:basedOn w:val="Normal"/>
    <w:rsid w:val="000C23B6"/>
    <w:pPr>
      <w:shd w:val="clear" w:color="000000" w:fill="D9E1F2"/>
      <w:spacing w:before="100" w:beforeAutospacing="1" w:after="100" w:afterAutospacing="1"/>
    </w:pPr>
    <w:rPr>
      <w:rFonts w:eastAsia="Times New Roman" w:cs="Times New Roman"/>
      <w:sz w:val="24"/>
      <w:szCs w:val="24"/>
      <w:lang w:eastAsia="en-AU"/>
    </w:rPr>
  </w:style>
  <w:style w:type="paragraph" w:customStyle="1" w:styleId="xl88">
    <w:name w:val="xl88"/>
    <w:basedOn w:val="Normal"/>
    <w:rsid w:val="000C23B6"/>
    <w:pPr>
      <w:shd w:val="clear" w:color="000000" w:fill="D9E1F2"/>
      <w:spacing w:before="100" w:beforeAutospacing="1" w:after="100" w:afterAutospacing="1"/>
    </w:pPr>
    <w:rPr>
      <w:rFonts w:eastAsia="Times New Roman" w:cs="Times New Roman"/>
      <w:sz w:val="24"/>
      <w:szCs w:val="24"/>
      <w:lang w:eastAsia="en-AU"/>
    </w:rPr>
  </w:style>
  <w:style w:type="paragraph" w:customStyle="1" w:styleId="xl89">
    <w:name w:val="xl89"/>
    <w:basedOn w:val="Normal"/>
    <w:rsid w:val="000C23B6"/>
    <w:pPr>
      <w:shd w:val="clear" w:color="000000" w:fill="D9E1F2"/>
      <w:spacing w:before="100" w:beforeAutospacing="1" w:after="100" w:afterAutospacing="1"/>
    </w:pPr>
    <w:rPr>
      <w:rFonts w:eastAsia="Times New Roman" w:cs="Times New Roman"/>
      <w:sz w:val="24"/>
      <w:szCs w:val="24"/>
      <w:lang w:eastAsia="en-AU"/>
    </w:rPr>
  </w:style>
  <w:style w:type="paragraph" w:customStyle="1" w:styleId="xl90">
    <w:name w:val="xl90"/>
    <w:basedOn w:val="Normal"/>
    <w:rsid w:val="000C23B6"/>
    <w:pPr>
      <w:shd w:val="clear" w:color="000000" w:fill="D9E1F2"/>
      <w:spacing w:before="100" w:beforeAutospacing="1" w:after="100" w:afterAutospacing="1"/>
      <w:jc w:val="right"/>
    </w:pPr>
    <w:rPr>
      <w:rFonts w:eastAsia="Times New Roman" w:cs="Times New Roman"/>
      <w:b/>
      <w:bCs/>
      <w:sz w:val="24"/>
      <w:szCs w:val="24"/>
      <w:lang w:eastAsia="en-AU"/>
    </w:rPr>
  </w:style>
  <w:style w:type="paragraph" w:customStyle="1" w:styleId="xl91">
    <w:name w:val="xl91"/>
    <w:basedOn w:val="Normal"/>
    <w:rsid w:val="000C23B6"/>
    <w:pPr>
      <w:shd w:val="clear" w:color="000000" w:fill="D9E1F2"/>
      <w:spacing w:before="100" w:beforeAutospacing="1" w:after="100" w:afterAutospacing="1"/>
    </w:pPr>
    <w:rPr>
      <w:rFonts w:eastAsia="Times New Roman" w:cs="Times New Roman"/>
      <w:b/>
      <w:bCs/>
      <w:sz w:val="24"/>
      <w:szCs w:val="24"/>
      <w:lang w:eastAsia="en-AU"/>
    </w:rPr>
  </w:style>
  <w:style w:type="paragraph" w:customStyle="1" w:styleId="xl92">
    <w:name w:val="xl92"/>
    <w:basedOn w:val="Normal"/>
    <w:rsid w:val="000C23B6"/>
    <w:pPr>
      <w:shd w:val="clear" w:color="000000" w:fill="E2EFDA"/>
      <w:spacing w:before="100" w:beforeAutospacing="1" w:after="100" w:afterAutospacing="1"/>
    </w:pPr>
    <w:rPr>
      <w:rFonts w:eastAsia="Times New Roman" w:cs="Times New Roman"/>
      <w:sz w:val="24"/>
      <w:szCs w:val="24"/>
      <w:lang w:eastAsia="en-AU"/>
    </w:rPr>
  </w:style>
  <w:style w:type="paragraph" w:customStyle="1" w:styleId="xl93">
    <w:name w:val="xl93"/>
    <w:basedOn w:val="Normal"/>
    <w:rsid w:val="000C23B6"/>
    <w:pPr>
      <w:shd w:val="clear" w:color="000000" w:fill="E2EFDA"/>
      <w:spacing w:before="100" w:beforeAutospacing="1" w:after="100" w:afterAutospacing="1"/>
    </w:pPr>
    <w:rPr>
      <w:rFonts w:eastAsia="Times New Roman" w:cs="Times New Roman"/>
      <w:sz w:val="24"/>
      <w:szCs w:val="24"/>
      <w:lang w:eastAsia="en-AU"/>
    </w:rPr>
  </w:style>
  <w:style w:type="paragraph" w:customStyle="1" w:styleId="xl94">
    <w:name w:val="xl94"/>
    <w:basedOn w:val="Normal"/>
    <w:rsid w:val="000C23B6"/>
    <w:pPr>
      <w:shd w:val="clear" w:color="000000" w:fill="E2EFDA"/>
      <w:spacing w:before="100" w:beforeAutospacing="1" w:after="100" w:afterAutospacing="1"/>
    </w:pPr>
    <w:rPr>
      <w:rFonts w:eastAsia="Times New Roman" w:cs="Times New Roman"/>
      <w:color w:val="000000"/>
      <w:sz w:val="24"/>
      <w:szCs w:val="24"/>
      <w:lang w:eastAsia="en-AU"/>
    </w:rPr>
  </w:style>
  <w:style w:type="paragraph" w:customStyle="1" w:styleId="xl95">
    <w:name w:val="xl95"/>
    <w:basedOn w:val="Normal"/>
    <w:rsid w:val="000C23B6"/>
    <w:pPr>
      <w:shd w:val="clear" w:color="000000" w:fill="E2EFDA"/>
      <w:spacing w:before="100" w:beforeAutospacing="1" w:after="100" w:afterAutospacing="1"/>
    </w:pPr>
    <w:rPr>
      <w:rFonts w:eastAsia="Times New Roman" w:cs="Times New Roman"/>
      <w:sz w:val="24"/>
      <w:szCs w:val="24"/>
      <w:lang w:eastAsia="en-AU"/>
    </w:rPr>
  </w:style>
  <w:style w:type="paragraph" w:customStyle="1" w:styleId="xl96">
    <w:name w:val="xl96"/>
    <w:basedOn w:val="Normal"/>
    <w:rsid w:val="000C23B6"/>
    <w:pPr>
      <w:shd w:val="clear" w:color="000000" w:fill="D9E1F2"/>
      <w:spacing w:before="100" w:beforeAutospacing="1" w:after="100" w:afterAutospacing="1"/>
    </w:pPr>
    <w:rPr>
      <w:rFonts w:eastAsia="Times New Roman" w:cs="Times New Roman"/>
      <w:b/>
      <w:bCs/>
      <w:sz w:val="24"/>
      <w:szCs w:val="24"/>
      <w:lang w:eastAsia="en-AU"/>
    </w:rPr>
  </w:style>
  <w:style w:type="paragraph" w:customStyle="1" w:styleId="xl97">
    <w:name w:val="xl97"/>
    <w:basedOn w:val="Normal"/>
    <w:rsid w:val="000C23B6"/>
    <w:pPr>
      <w:spacing w:before="100" w:beforeAutospacing="1" w:after="100" w:afterAutospacing="1"/>
      <w:jc w:val="center"/>
    </w:pPr>
    <w:rPr>
      <w:rFonts w:eastAsia="Times New Roman" w:cs="Times New Roman"/>
      <w:b/>
      <w:bCs/>
      <w:sz w:val="24"/>
      <w:szCs w:val="24"/>
      <w:lang w:eastAsia="en-AU"/>
    </w:rPr>
  </w:style>
  <w:style w:type="paragraph" w:customStyle="1" w:styleId="font8">
    <w:name w:val="font8"/>
    <w:basedOn w:val="Normal"/>
    <w:rsid w:val="000C23B6"/>
    <w:pPr>
      <w:spacing w:before="100" w:beforeAutospacing="1" w:after="100" w:afterAutospacing="1"/>
    </w:pPr>
    <w:rPr>
      <w:rFonts w:ascii="Calibri" w:eastAsia="Times New Roman" w:hAnsi="Calibri" w:cs="Calibri"/>
      <w:i/>
      <w:iCs/>
      <w:color w:val="000000"/>
      <w:lang w:eastAsia="en-AU"/>
    </w:rPr>
  </w:style>
  <w:style w:type="paragraph" w:customStyle="1" w:styleId="xl98">
    <w:name w:val="xl98"/>
    <w:basedOn w:val="Normal"/>
    <w:rsid w:val="000C23B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eastAsia="Times New Roman" w:cs="Times New Roman"/>
      <w:sz w:val="24"/>
      <w:szCs w:val="24"/>
      <w:lang w:eastAsia="en-AU"/>
    </w:rPr>
  </w:style>
  <w:style w:type="paragraph" w:customStyle="1" w:styleId="xl99">
    <w:name w:val="xl99"/>
    <w:basedOn w:val="Normal"/>
    <w:rsid w:val="000C23B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pPr>
    <w:rPr>
      <w:rFonts w:eastAsia="Times New Roman" w:cs="Times New Roman"/>
      <w:sz w:val="24"/>
      <w:szCs w:val="24"/>
      <w:lang w:eastAsia="en-AU"/>
    </w:rPr>
  </w:style>
  <w:style w:type="paragraph" w:customStyle="1" w:styleId="xl100">
    <w:name w:val="xl100"/>
    <w:basedOn w:val="Normal"/>
    <w:rsid w:val="000C23B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eastAsia="Times New Roman" w:cs="Times New Roman"/>
      <w:sz w:val="24"/>
      <w:szCs w:val="24"/>
      <w:lang w:eastAsia="en-AU"/>
    </w:rPr>
  </w:style>
  <w:style w:type="paragraph" w:customStyle="1" w:styleId="xl101">
    <w:name w:val="xl101"/>
    <w:basedOn w:val="Normal"/>
    <w:rsid w:val="000C23B6"/>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eastAsia="Times New Roman" w:cs="Times New Roman"/>
      <w:sz w:val="24"/>
      <w:szCs w:val="24"/>
      <w:lang w:eastAsia="en-AU"/>
    </w:rPr>
  </w:style>
  <w:style w:type="paragraph" w:customStyle="1" w:styleId="xl102">
    <w:name w:val="xl102"/>
    <w:basedOn w:val="Normal"/>
    <w:rsid w:val="000C23B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eastAsia="Times New Roman" w:cs="Times New Roman"/>
      <w:b/>
      <w:bCs/>
      <w:sz w:val="24"/>
      <w:szCs w:val="24"/>
      <w:lang w:eastAsia="en-AU"/>
    </w:rPr>
  </w:style>
  <w:style w:type="paragraph" w:customStyle="1" w:styleId="xl103">
    <w:name w:val="xl103"/>
    <w:basedOn w:val="Normal"/>
    <w:rsid w:val="000C23B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Times New Roman"/>
      <w:sz w:val="24"/>
      <w:szCs w:val="24"/>
      <w:lang w:eastAsia="en-AU"/>
    </w:rPr>
  </w:style>
  <w:style w:type="paragraph" w:customStyle="1" w:styleId="xl104">
    <w:name w:val="xl104"/>
    <w:basedOn w:val="Normal"/>
    <w:rsid w:val="000C23B6"/>
    <w:pPr>
      <w:shd w:val="clear" w:color="000000" w:fill="D9E1F2"/>
      <w:spacing w:before="100" w:beforeAutospacing="1" w:after="100" w:afterAutospacing="1"/>
    </w:pPr>
    <w:rPr>
      <w:rFonts w:eastAsia="Times New Roman" w:cs="Times New Roman"/>
      <w:sz w:val="24"/>
      <w:szCs w:val="24"/>
      <w:lang w:eastAsia="en-AU"/>
    </w:rPr>
  </w:style>
  <w:style w:type="paragraph" w:customStyle="1" w:styleId="xl105">
    <w:name w:val="xl105"/>
    <w:basedOn w:val="Normal"/>
    <w:rsid w:val="000C23B6"/>
    <w:pPr>
      <w:pBdr>
        <w:left w:val="single" w:sz="4" w:space="0" w:color="auto"/>
        <w:right w:val="single" w:sz="4" w:space="0" w:color="auto"/>
      </w:pBdr>
      <w:shd w:val="clear" w:color="000000" w:fill="D9E1F2"/>
      <w:spacing w:before="100" w:beforeAutospacing="1" w:after="100" w:afterAutospacing="1"/>
      <w:jc w:val="right"/>
    </w:pPr>
    <w:rPr>
      <w:rFonts w:eastAsia="Times New Roman" w:cs="Times New Roman"/>
      <w:sz w:val="24"/>
      <w:szCs w:val="24"/>
      <w:lang w:eastAsia="en-AU"/>
    </w:rPr>
  </w:style>
  <w:style w:type="paragraph" w:customStyle="1" w:styleId="xl106">
    <w:name w:val="xl106"/>
    <w:basedOn w:val="Normal"/>
    <w:rsid w:val="000C23B6"/>
    <w:pPr>
      <w:pBdr>
        <w:left w:val="single" w:sz="4" w:space="0" w:color="auto"/>
        <w:right w:val="single" w:sz="4" w:space="0" w:color="auto"/>
      </w:pBdr>
      <w:shd w:val="clear" w:color="000000" w:fill="D9E1F2"/>
      <w:spacing w:before="100" w:beforeAutospacing="1" w:after="100" w:afterAutospacing="1"/>
    </w:pPr>
    <w:rPr>
      <w:rFonts w:eastAsia="Times New Roman" w:cs="Times New Roman"/>
      <w:sz w:val="24"/>
      <w:szCs w:val="24"/>
      <w:lang w:eastAsia="en-AU"/>
    </w:rPr>
  </w:style>
  <w:style w:type="numbering" w:customStyle="1" w:styleId="Chapternumbering4">
    <w:name w:val="Chapter numbering4"/>
    <w:uiPriority w:val="99"/>
    <w:rsid w:val="000C23B6"/>
  </w:style>
  <w:style w:type="paragraph" w:customStyle="1" w:styleId="Definition">
    <w:name w:val="Definition"/>
    <w:aliases w:val="dd"/>
    <w:basedOn w:val="Normal"/>
    <w:rsid w:val="000C23B6"/>
    <w:pPr>
      <w:spacing w:before="180" w:after="0"/>
      <w:ind w:left="1134"/>
    </w:pPr>
    <w:rPr>
      <w:rFonts w:eastAsia="Times New Roman" w:cs="Times New Roman"/>
      <w:szCs w:val="20"/>
      <w:lang w:eastAsia="en-AU"/>
    </w:rPr>
  </w:style>
  <w:style w:type="paragraph" w:customStyle="1" w:styleId="subsection2">
    <w:name w:val="subsection2"/>
    <w:aliases w:val="ss2"/>
    <w:basedOn w:val="Normal"/>
    <w:next w:val="Normal"/>
    <w:rsid w:val="000C23B6"/>
    <w:pPr>
      <w:spacing w:before="40" w:after="0"/>
      <w:ind w:left="1134"/>
    </w:pPr>
    <w:rPr>
      <w:rFonts w:eastAsia="Times New Roman" w:cs="Times New Roman"/>
      <w:szCs w:val="20"/>
      <w:lang w:eastAsia="en-AU"/>
    </w:rPr>
  </w:style>
  <w:style w:type="numbering" w:styleId="ArticleSection">
    <w:name w:val="Outline List 3"/>
    <w:basedOn w:val="NoList"/>
    <w:rsid w:val="000C23B6"/>
    <w:pPr>
      <w:numPr>
        <w:numId w:val="26"/>
      </w:numPr>
    </w:pPr>
  </w:style>
  <w:style w:type="character" w:customStyle="1" w:styleId="TabletextChar">
    <w:name w:val="Table text Char"/>
    <w:basedOn w:val="DefaultParagraphFont"/>
    <w:link w:val="Tabletext"/>
    <w:uiPriority w:val="1"/>
    <w:rsid w:val="000C23B6"/>
    <w:rPr>
      <w:rFonts w:ascii="Times New Roman" w:eastAsia="Times New Roman" w:hAnsi="Times New Roman" w:cs="Times New Roman"/>
      <w:sz w:val="20"/>
      <w:szCs w:val="20"/>
      <w:lang w:eastAsia="en-AU"/>
    </w:rPr>
  </w:style>
  <w:style w:type="paragraph" w:customStyle="1" w:styleId="subsection">
    <w:name w:val="subsection"/>
    <w:aliases w:val="ss"/>
    <w:basedOn w:val="Normal"/>
    <w:link w:val="subsectionChar"/>
    <w:rsid w:val="000C23B6"/>
    <w:pPr>
      <w:tabs>
        <w:tab w:val="right" w:pos="1021"/>
      </w:tabs>
      <w:spacing w:before="180" w:after="0"/>
      <w:ind w:left="1134" w:hanging="1134"/>
    </w:pPr>
    <w:rPr>
      <w:rFonts w:eastAsia="Times New Roman" w:cs="Times New Roman"/>
      <w:szCs w:val="20"/>
      <w:lang w:eastAsia="en-AU"/>
    </w:rPr>
  </w:style>
  <w:style w:type="character" w:customStyle="1" w:styleId="subsectionChar">
    <w:name w:val="subsection Char"/>
    <w:aliases w:val="ss Char"/>
    <w:basedOn w:val="DefaultParagraphFont"/>
    <w:link w:val="subsection"/>
    <w:locked/>
    <w:rsid w:val="000C23B6"/>
    <w:rPr>
      <w:rFonts w:ascii="Times New Roman" w:eastAsia="Times New Roman" w:hAnsi="Times New Roman" w:cs="Times New Roman"/>
      <w:szCs w:val="20"/>
      <w:lang w:eastAsia="en-AU"/>
    </w:rPr>
  </w:style>
  <w:style w:type="character" w:customStyle="1" w:styleId="paragraphChar">
    <w:name w:val="paragraph Char"/>
    <w:aliases w:val="a Char"/>
    <w:rsid w:val="000C23B6"/>
    <w:rPr>
      <w:rFonts w:eastAsia="Times New Roman" w:cs="Times New Roman"/>
      <w:sz w:val="22"/>
      <w:lang w:eastAsia="en-AU"/>
    </w:rPr>
  </w:style>
  <w:style w:type="character" w:customStyle="1" w:styleId="ReferenceafterdotpointChar">
    <w:name w:val="Reference after dot point Char"/>
    <w:basedOn w:val="Dotpoint1Char"/>
    <w:link w:val="Referenceafterdotpoint"/>
    <w:rsid w:val="000C23B6"/>
    <w:rPr>
      <w:rFonts w:ascii="Times New Roman" w:hAnsi="Times New Roman"/>
      <w:b/>
      <w:i/>
      <w:noProof/>
    </w:rPr>
  </w:style>
  <w:style w:type="numbering" w:customStyle="1" w:styleId="Chapternumbering5">
    <w:name w:val="Chapter numbering5"/>
    <w:uiPriority w:val="99"/>
    <w:rsid w:val="000C23B6"/>
  </w:style>
  <w:style w:type="numbering" w:customStyle="1" w:styleId="OPCBodyList1">
    <w:name w:val="OPCBodyList1"/>
    <w:uiPriority w:val="99"/>
    <w:rsid w:val="000C23B6"/>
  </w:style>
  <w:style w:type="numbering" w:customStyle="1" w:styleId="Chapternumbering6">
    <w:name w:val="Chapter numbering6"/>
    <w:uiPriority w:val="99"/>
    <w:rsid w:val="00EB655C"/>
  </w:style>
  <w:style w:type="numbering" w:customStyle="1" w:styleId="OPCBodyList2">
    <w:name w:val="OPCBodyList2"/>
    <w:uiPriority w:val="99"/>
    <w:rsid w:val="00EB655C"/>
    <w:pPr>
      <w:numPr>
        <w:numId w:val="23"/>
      </w:numPr>
    </w:pPr>
  </w:style>
  <w:style w:type="numbering" w:customStyle="1" w:styleId="ArticleSection1">
    <w:name w:val="Article / Section1"/>
    <w:basedOn w:val="NoList"/>
    <w:next w:val="ArticleSection"/>
    <w:rsid w:val="00EB655C"/>
    <w:pPr>
      <w:numPr>
        <w:numId w:val="47"/>
      </w:numPr>
    </w:pPr>
  </w:style>
  <w:style w:type="paragraph" w:customStyle="1" w:styleId="notedraft">
    <w:name w:val="note(draft)"/>
    <w:aliases w:val="nd"/>
    <w:basedOn w:val="Normal"/>
    <w:rsid w:val="00B816FD"/>
    <w:pPr>
      <w:spacing w:before="240" w:after="0"/>
      <w:ind w:left="284" w:hanging="284"/>
    </w:pPr>
    <w:rPr>
      <w:rFonts w:eastAsia="Times New Roman" w:cs="Times New Roman"/>
      <w:i/>
      <w:sz w:val="24"/>
      <w:szCs w:val="20"/>
      <w:lang w:eastAsia="en-AU"/>
    </w:rPr>
  </w:style>
  <w:style w:type="numbering" w:customStyle="1" w:styleId="Chapternumbering7">
    <w:name w:val="Chapter numbering7"/>
    <w:uiPriority w:val="99"/>
    <w:rsid w:val="001372E7"/>
  </w:style>
  <w:style w:type="character" w:customStyle="1" w:styleId="normaltextrun">
    <w:name w:val="normaltextrun"/>
    <w:basedOn w:val="DefaultParagraphFont"/>
    <w:rsid w:val="00871600"/>
  </w:style>
  <w:style w:type="character" w:customStyle="1" w:styleId="CharChapText">
    <w:name w:val="CharChapText"/>
    <w:basedOn w:val="DefaultParagraphFont"/>
    <w:uiPriority w:val="1"/>
    <w:qFormat/>
    <w:rsid w:val="000B7C92"/>
  </w:style>
  <w:style w:type="paragraph" w:customStyle="1" w:styleId="CTA2a">
    <w:name w:val="CTA 2(a)"/>
    <w:basedOn w:val="Normal"/>
    <w:rsid w:val="00840DA0"/>
    <w:pPr>
      <w:tabs>
        <w:tab w:val="right" w:pos="482"/>
      </w:tabs>
      <w:spacing w:before="40" w:after="0" w:line="240" w:lineRule="atLeast"/>
      <w:ind w:left="748" w:hanging="748"/>
    </w:pPr>
    <w:rPr>
      <w:rFonts w:eastAsia="Times New Roman" w:cs="Times New Roman"/>
      <w:sz w:val="20"/>
      <w:szCs w:val="20"/>
      <w:lang w:eastAsia="en-AU"/>
    </w:rPr>
  </w:style>
  <w:style w:type="character" w:customStyle="1" w:styleId="OutlineNumbered2Char">
    <w:name w:val="Outline Numbered 2 Char"/>
    <w:basedOn w:val="Dotpoint1Char"/>
    <w:link w:val="OutlineNumbered2"/>
    <w:rsid w:val="00717937"/>
    <w:rPr>
      <w:rFonts w:ascii="Times New Roman" w:eastAsia="Times New Roman" w:hAnsi="Times New Roman" w:cs="Times New Roman"/>
      <w:szCs w:val="20"/>
      <w:lang w:eastAsia="en-AU"/>
    </w:rPr>
  </w:style>
  <w:style w:type="character" w:customStyle="1" w:styleId="OutlineNumbered3Char">
    <w:name w:val="Outline Numbered 3 Char"/>
    <w:basedOn w:val="Dotpoint1Char"/>
    <w:link w:val="OutlineNumbered3"/>
    <w:rsid w:val="00717937"/>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96211">
      <w:bodyDiv w:val="1"/>
      <w:marLeft w:val="0"/>
      <w:marRight w:val="0"/>
      <w:marTop w:val="0"/>
      <w:marBottom w:val="0"/>
      <w:divBdr>
        <w:top w:val="none" w:sz="0" w:space="0" w:color="auto"/>
        <w:left w:val="none" w:sz="0" w:space="0" w:color="auto"/>
        <w:bottom w:val="none" w:sz="0" w:space="0" w:color="auto"/>
        <w:right w:val="none" w:sz="0" w:space="0" w:color="auto"/>
      </w:divBdr>
    </w:div>
    <w:div w:id="333461836">
      <w:bodyDiv w:val="1"/>
      <w:marLeft w:val="0"/>
      <w:marRight w:val="0"/>
      <w:marTop w:val="0"/>
      <w:marBottom w:val="0"/>
      <w:divBdr>
        <w:top w:val="none" w:sz="0" w:space="0" w:color="auto"/>
        <w:left w:val="none" w:sz="0" w:space="0" w:color="auto"/>
        <w:bottom w:val="none" w:sz="0" w:space="0" w:color="auto"/>
        <w:right w:val="none" w:sz="0" w:space="0" w:color="auto"/>
      </w:divBdr>
    </w:div>
    <w:div w:id="372312185">
      <w:bodyDiv w:val="1"/>
      <w:marLeft w:val="0"/>
      <w:marRight w:val="0"/>
      <w:marTop w:val="0"/>
      <w:marBottom w:val="0"/>
      <w:divBdr>
        <w:top w:val="none" w:sz="0" w:space="0" w:color="auto"/>
        <w:left w:val="none" w:sz="0" w:space="0" w:color="auto"/>
        <w:bottom w:val="none" w:sz="0" w:space="0" w:color="auto"/>
        <w:right w:val="none" w:sz="0" w:space="0" w:color="auto"/>
      </w:divBdr>
    </w:div>
    <w:div w:id="735786439">
      <w:bodyDiv w:val="1"/>
      <w:marLeft w:val="0"/>
      <w:marRight w:val="0"/>
      <w:marTop w:val="0"/>
      <w:marBottom w:val="0"/>
      <w:divBdr>
        <w:top w:val="none" w:sz="0" w:space="0" w:color="auto"/>
        <w:left w:val="none" w:sz="0" w:space="0" w:color="auto"/>
        <w:bottom w:val="none" w:sz="0" w:space="0" w:color="auto"/>
        <w:right w:val="none" w:sz="0" w:space="0" w:color="auto"/>
      </w:divBdr>
    </w:div>
    <w:div w:id="784883847">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879781212">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678578227">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 w:id="20586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emf"/><Relationship Id="rId21" Type="http://schemas.openxmlformats.org/officeDocument/2006/relationships/header" Target="header7.xml"/><Relationship Id="rId42" Type="http://schemas.openxmlformats.org/officeDocument/2006/relationships/header" Target="header11.xml"/><Relationship Id="rId63" Type="http://schemas.openxmlformats.org/officeDocument/2006/relationships/footer" Target="footer14.xml"/><Relationship Id="rId84" Type="http://schemas.openxmlformats.org/officeDocument/2006/relationships/footer" Target="footer19.xml"/><Relationship Id="rId16" Type="http://schemas.openxmlformats.org/officeDocument/2006/relationships/footer" Target="footer2.xml"/><Relationship Id="rId107" Type="http://schemas.openxmlformats.org/officeDocument/2006/relationships/footer" Target="footer28.xml"/><Relationship Id="rId11" Type="http://schemas.openxmlformats.org/officeDocument/2006/relationships/endnotes" Target="endnotes.xml"/><Relationship Id="rId32" Type="http://schemas.openxmlformats.org/officeDocument/2006/relationships/image" Target="media/image6.emf"/><Relationship Id="rId37" Type="http://schemas.openxmlformats.org/officeDocument/2006/relationships/image" Target="media/image11.png"/><Relationship Id="rId53" Type="http://schemas.openxmlformats.org/officeDocument/2006/relationships/footer" Target="footer11.xml"/><Relationship Id="rId58" Type="http://schemas.openxmlformats.org/officeDocument/2006/relationships/image" Target="media/image20.emf"/><Relationship Id="rId74" Type="http://schemas.openxmlformats.org/officeDocument/2006/relationships/image" Target="media/image30.emf"/><Relationship Id="rId79" Type="http://schemas.openxmlformats.org/officeDocument/2006/relationships/footer" Target="footer17.xml"/><Relationship Id="rId102" Type="http://schemas.openxmlformats.org/officeDocument/2006/relationships/header" Target="header30.xml"/><Relationship Id="rId123" Type="http://schemas.openxmlformats.org/officeDocument/2006/relationships/footer" Target="footer32.xml"/><Relationship Id="rId128" Type="http://schemas.openxmlformats.org/officeDocument/2006/relationships/header" Target="header39.xml"/><Relationship Id="rId5" Type="http://schemas.openxmlformats.org/officeDocument/2006/relationships/customXml" Target="../customXml/item5.xml"/><Relationship Id="rId90" Type="http://schemas.openxmlformats.org/officeDocument/2006/relationships/image" Target="media/image34.emf"/><Relationship Id="rId95" Type="http://schemas.openxmlformats.org/officeDocument/2006/relationships/header" Target="header27.xml"/><Relationship Id="rId22" Type="http://schemas.openxmlformats.org/officeDocument/2006/relationships/header" Target="header8.xml"/><Relationship Id="rId27" Type="http://schemas.openxmlformats.org/officeDocument/2006/relationships/image" Target="media/image1.png"/><Relationship Id="rId43" Type="http://schemas.openxmlformats.org/officeDocument/2006/relationships/footer" Target="footer7.xml"/><Relationship Id="rId48" Type="http://schemas.openxmlformats.org/officeDocument/2006/relationships/image" Target="media/image16.emf"/><Relationship Id="rId64" Type="http://schemas.openxmlformats.org/officeDocument/2006/relationships/header" Target="header18.xml"/><Relationship Id="rId69" Type="http://schemas.openxmlformats.org/officeDocument/2006/relationships/image" Target="media/image25.emf"/><Relationship Id="rId113" Type="http://schemas.openxmlformats.org/officeDocument/2006/relationships/image" Target="media/image39.emf"/><Relationship Id="rId118" Type="http://schemas.openxmlformats.org/officeDocument/2006/relationships/image" Target="media/image44.wmf"/><Relationship Id="rId134" Type="http://schemas.openxmlformats.org/officeDocument/2006/relationships/theme" Target="theme/theme1.xml"/><Relationship Id="rId80" Type="http://schemas.openxmlformats.org/officeDocument/2006/relationships/header" Target="header21.xml"/><Relationship Id="rId85" Type="http://schemas.openxmlformats.org/officeDocument/2006/relationships/footer" Target="footer20.xml"/><Relationship Id="rId12" Type="http://schemas.openxmlformats.org/officeDocument/2006/relationships/footer" Target="footer1.xml"/><Relationship Id="rId17" Type="http://schemas.openxmlformats.org/officeDocument/2006/relationships/header" Target="header4.xml"/><Relationship Id="rId33" Type="http://schemas.openxmlformats.org/officeDocument/2006/relationships/image" Target="media/image7.png"/><Relationship Id="rId38" Type="http://schemas.openxmlformats.org/officeDocument/2006/relationships/image" Target="media/image12.emf"/><Relationship Id="rId59" Type="http://schemas.openxmlformats.org/officeDocument/2006/relationships/image" Target="media/image21.emf"/><Relationship Id="rId103" Type="http://schemas.openxmlformats.org/officeDocument/2006/relationships/footer" Target="footer27.xml"/><Relationship Id="rId108" Type="http://schemas.openxmlformats.org/officeDocument/2006/relationships/footer" Target="footer29.xml"/><Relationship Id="rId124" Type="http://schemas.openxmlformats.org/officeDocument/2006/relationships/header" Target="header36.xml"/><Relationship Id="rId129" Type="http://schemas.openxmlformats.org/officeDocument/2006/relationships/header" Target="header40.xml"/><Relationship Id="rId54" Type="http://schemas.openxmlformats.org/officeDocument/2006/relationships/header" Target="header15.xml"/><Relationship Id="rId70" Type="http://schemas.openxmlformats.org/officeDocument/2006/relationships/image" Target="media/image26.emf"/><Relationship Id="rId75" Type="http://schemas.openxmlformats.org/officeDocument/2006/relationships/image" Target="media/image31.emf"/><Relationship Id="rId91" Type="http://schemas.openxmlformats.org/officeDocument/2006/relationships/header" Target="header25.xml"/><Relationship Id="rId96"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footer" Target="footer4.xml"/><Relationship Id="rId28" Type="http://schemas.openxmlformats.org/officeDocument/2006/relationships/image" Target="media/image2.png"/><Relationship Id="rId49" Type="http://schemas.openxmlformats.org/officeDocument/2006/relationships/image" Target="media/image17.emf"/><Relationship Id="rId114" Type="http://schemas.openxmlformats.org/officeDocument/2006/relationships/image" Target="media/image40.emf"/><Relationship Id="rId119" Type="http://schemas.openxmlformats.org/officeDocument/2006/relationships/image" Target="media/image45.png"/><Relationship Id="rId44" Type="http://schemas.openxmlformats.org/officeDocument/2006/relationships/footer" Target="footer8.xml"/><Relationship Id="rId60" Type="http://schemas.openxmlformats.org/officeDocument/2006/relationships/header" Target="header16.xml"/><Relationship Id="rId65" Type="http://schemas.openxmlformats.org/officeDocument/2006/relationships/footer" Target="footer15.xml"/><Relationship Id="rId81" Type="http://schemas.openxmlformats.org/officeDocument/2006/relationships/footer" Target="footer18.xml"/><Relationship Id="rId86" Type="http://schemas.openxmlformats.org/officeDocument/2006/relationships/header" Target="header24.xml"/><Relationship Id="rId130" Type="http://schemas.openxmlformats.org/officeDocument/2006/relationships/header" Target="header41.xml"/><Relationship Id="rId13" Type="http://schemas.openxmlformats.org/officeDocument/2006/relationships/header" Target="header1.xml"/><Relationship Id="rId18" Type="http://schemas.openxmlformats.org/officeDocument/2006/relationships/header" Target="header5.xml"/><Relationship Id="rId39" Type="http://schemas.openxmlformats.org/officeDocument/2006/relationships/image" Target="media/image13.emf"/><Relationship Id="rId109" Type="http://schemas.openxmlformats.org/officeDocument/2006/relationships/header" Target="header33.xml"/><Relationship Id="rId34" Type="http://schemas.openxmlformats.org/officeDocument/2006/relationships/image" Target="media/image8.png"/><Relationship Id="rId50" Type="http://schemas.openxmlformats.org/officeDocument/2006/relationships/header" Target="header13.xml"/><Relationship Id="rId55" Type="http://schemas.openxmlformats.org/officeDocument/2006/relationships/footer" Target="footer12.xml"/><Relationship Id="rId76" Type="http://schemas.openxmlformats.org/officeDocument/2006/relationships/header" Target="header19.xml"/><Relationship Id="rId97" Type="http://schemas.openxmlformats.org/officeDocument/2006/relationships/image" Target="media/image35.emf"/><Relationship Id="rId104" Type="http://schemas.openxmlformats.org/officeDocument/2006/relationships/image" Target="media/image36.emf"/><Relationship Id="rId120" Type="http://schemas.openxmlformats.org/officeDocument/2006/relationships/header" Target="header34.xml"/><Relationship Id="rId125" Type="http://schemas.openxmlformats.org/officeDocument/2006/relationships/footer" Target="footer33.xml"/><Relationship Id="rId7" Type="http://schemas.openxmlformats.org/officeDocument/2006/relationships/styles" Target="styles.xml"/><Relationship Id="rId71" Type="http://schemas.openxmlformats.org/officeDocument/2006/relationships/image" Target="media/image27.emf"/><Relationship Id="rId92" Type="http://schemas.openxmlformats.org/officeDocument/2006/relationships/header" Target="header26.xml"/><Relationship Id="rId2" Type="http://schemas.openxmlformats.org/officeDocument/2006/relationships/customXml" Target="../customXml/item2.xml"/><Relationship Id="rId29" Type="http://schemas.openxmlformats.org/officeDocument/2006/relationships/image" Target="media/image3.png"/><Relationship Id="rId24" Type="http://schemas.openxmlformats.org/officeDocument/2006/relationships/footer" Target="footer5.xml"/><Relationship Id="rId40" Type="http://schemas.openxmlformats.org/officeDocument/2006/relationships/image" Target="media/image14.emf"/><Relationship Id="rId45" Type="http://schemas.openxmlformats.org/officeDocument/2006/relationships/header" Target="header12.xml"/><Relationship Id="rId66" Type="http://schemas.openxmlformats.org/officeDocument/2006/relationships/image" Target="media/image22.png"/><Relationship Id="rId87" Type="http://schemas.openxmlformats.org/officeDocument/2006/relationships/footer" Target="footer21.xml"/><Relationship Id="rId110" Type="http://schemas.openxmlformats.org/officeDocument/2006/relationships/footer" Target="footer30.xml"/><Relationship Id="rId115" Type="http://schemas.openxmlformats.org/officeDocument/2006/relationships/image" Target="media/image41.wmf"/><Relationship Id="rId131" Type="http://schemas.openxmlformats.org/officeDocument/2006/relationships/header" Target="header42.xml"/><Relationship Id="rId61" Type="http://schemas.openxmlformats.org/officeDocument/2006/relationships/header" Target="header17.xml"/><Relationship Id="rId82" Type="http://schemas.openxmlformats.org/officeDocument/2006/relationships/header" Target="header22.xml"/><Relationship Id="rId19" Type="http://schemas.openxmlformats.org/officeDocument/2006/relationships/header" Target="header6.xml"/><Relationship Id="rId14" Type="http://schemas.openxmlformats.org/officeDocument/2006/relationships/header" Target="header2.xml"/><Relationship Id="rId30" Type="http://schemas.openxmlformats.org/officeDocument/2006/relationships/image" Target="media/image4.emf"/><Relationship Id="rId35" Type="http://schemas.openxmlformats.org/officeDocument/2006/relationships/image" Target="media/image9.png"/><Relationship Id="rId56" Type="http://schemas.openxmlformats.org/officeDocument/2006/relationships/image" Target="media/image18.emf"/><Relationship Id="rId77" Type="http://schemas.openxmlformats.org/officeDocument/2006/relationships/header" Target="header20.xml"/><Relationship Id="rId100" Type="http://schemas.openxmlformats.org/officeDocument/2006/relationships/footer" Target="footer25.xml"/><Relationship Id="rId105" Type="http://schemas.openxmlformats.org/officeDocument/2006/relationships/header" Target="header31.xml"/><Relationship Id="rId126" Type="http://schemas.openxmlformats.org/officeDocument/2006/relationships/header" Target="header37.xml"/><Relationship Id="rId8" Type="http://schemas.openxmlformats.org/officeDocument/2006/relationships/settings" Target="settings.xml"/><Relationship Id="rId51" Type="http://schemas.openxmlformats.org/officeDocument/2006/relationships/header" Target="header14.xml"/><Relationship Id="rId72" Type="http://schemas.openxmlformats.org/officeDocument/2006/relationships/image" Target="media/image28.emf"/><Relationship Id="rId93" Type="http://schemas.openxmlformats.org/officeDocument/2006/relationships/footer" Target="footer22.xml"/><Relationship Id="rId98" Type="http://schemas.openxmlformats.org/officeDocument/2006/relationships/header" Target="header28.xml"/><Relationship Id="rId121" Type="http://schemas.openxmlformats.org/officeDocument/2006/relationships/header" Target="header35.xml"/><Relationship Id="rId3" Type="http://schemas.openxmlformats.org/officeDocument/2006/relationships/customXml" Target="../customXml/item3.xml"/><Relationship Id="rId25" Type="http://schemas.openxmlformats.org/officeDocument/2006/relationships/header" Target="header9.xml"/><Relationship Id="rId46" Type="http://schemas.openxmlformats.org/officeDocument/2006/relationships/footer" Target="footer9.xml"/><Relationship Id="rId67" Type="http://schemas.openxmlformats.org/officeDocument/2006/relationships/image" Target="media/image23.emf"/><Relationship Id="rId116" Type="http://schemas.openxmlformats.org/officeDocument/2006/relationships/image" Target="media/image42.wmf"/><Relationship Id="rId20" Type="http://schemas.openxmlformats.org/officeDocument/2006/relationships/footer" Target="footer3.xml"/><Relationship Id="rId41" Type="http://schemas.openxmlformats.org/officeDocument/2006/relationships/header" Target="header10.xml"/><Relationship Id="rId62" Type="http://schemas.openxmlformats.org/officeDocument/2006/relationships/footer" Target="footer13.xml"/><Relationship Id="rId83" Type="http://schemas.openxmlformats.org/officeDocument/2006/relationships/header" Target="header23.xml"/><Relationship Id="rId88" Type="http://schemas.openxmlformats.org/officeDocument/2006/relationships/image" Target="media/image32.emf"/><Relationship Id="rId111" Type="http://schemas.openxmlformats.org/officeDocument/2006/relationships/image" Target="media/image37.emf"/><Relationship Id="rId132" Type="http://schemas.openxmlformats.org/officeDocument/2006/relationships/fontTable" Target="fontTable.xml"/><Relationship Id="rId15" Type="http://schemas.openxmlformats.org/officeDocument/2006/relationships/header" Target="header3.xml"/><Relationship Id="rId36" Type="http://schemas.openxmlformats.org/officeDocument/2006/relationships/image" Target="media/image10.png"/><Relationship Id="rId57" Type="http://schemas.openxmlformats.org/officeDocument/2006/relationships/image" Target="media/image19.emf"/><Relationship Id="rId106" Type="http://schemas.openxmlformats.org/officeDocument/2006/relationships/header" Target="header32.xml"/><Relationship Id="rId127" Type="http://schemas.openxmlformats.org/officeDocument/2006/relationships/header" Target="header38.xml"/><Relationship Id="rId10" Type="http://schemas.openxmlformats.org/officeDocument/2006/relationships/footnotes" Target="footnotes.xml"/><Relationship Id="rId31" Type="http://schemas.openxmlformats.org/officeDocument/2006/relationships/image" Target="media/image5.emf"/><Relationship Id="rId52" Type="http://schemas.openxmlformats.org/officeDocument/2006/relationships/footer" Target="footer10.xml"/><Relationship Id="rId73" Type="http://schemas.openxmlformats.org/officeDocument/2006/relationships/image" Target="media/image29.emf"/><Relationship Id="rId78" Type="http://schemas.openxmlformats.org/officeDocument/2006/relationships/footer" Target="footer16.xml"/><Relationship Id="rId94" Type="http://schemas.openxmlformats.org/officeDocument/2006/relationships/footer" Target="footer23.xml"/><Relationship Id="rId99" Type="http://schemas.openxmlformats.org/officeDocument/2006/relationships/header" Target="header29.xml"/><Relationship Id="rId101" Type="http://schemas.openxmlformats.org/officeDocument/2006/relationships/footer" Target="footer26.xml"/><Relationship Id="rId122" Type="http://schemas.openxmlformats.org/officeDocument/2006/relationships/footer" Target="footer31.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footer" Target="footer6.xml"/><Relationship Id="rId47" Type="http://schemas.openxmlformats.org/officeDocument/2006/relationships/image" Target="media/image15.emf"/><Relationship Id="rId68" Type="http://schemas.openxmlformats.org/officeDocument/2006/relationships/image" Target="media/image24.emf"/><Relationship Id="rId89" Type="http://schemas.openxmlformats.org/officeDocument/2006/relationships/image" Target="media/image33.emf"/><Relationship Id="rId112" Type="http://schemas.openxmlformats.org/officeDocument/2006/relationships/image" Target="media/image38.emf"/><Relationship Id="rId13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64A8D77ACF43D19BABE226B2A7448B"/>
        <w:category>
          <w:name w:val="General"/>
          <w:gallery w:val="placeholder"/>
        </w:category>
        <w:types>
          <w:type w:val="bbPlcHdr"/>
        </w:types>
        <w:behaviors>
          <w:behavior w:val="content"/>
        </w:behaviors>
        <w:guid w:val="{00DBAC10-63DA-4C5F-A957-483B45C43121}"/>
      </w:docPartPr>
      <w:docPartBody>
        <w:p w:rsidR="00EF5730" w:rsidRDefault="00C06F20" w:rsidP="00C06F20">
          <w:pPr>
            <w:pStyle w:val="3664A8D77ACF43D19BABE226B2A7448B"/>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20"/>
    <w:rsid w:val="000509E1"/>
    <w:rsid w:val="000B5F95"/>
    <w:rsid w:val="000E0D19"/>
    <w:rsid w:val="001450D7"/>
    <w:rsid w:val="0017169C"/>
    <w:rsid w:val="001E0D0F"/>
    <w:rsid w:val="002060C3"/>
    <w:rsid w:val="0029653C"/>
    <w:rsid w:val="002C03D9"/>
    <w:rsid w:val="002D0AE0"/>
    <w:rsid w:val="00381400"/>
    <w:rsid w:val="003D5A3F"/>
    <w:rsid w:val="003E79AF"/>
    <w:rsid w:val="003F3D93"/>
    <w:rsid w:val="00644904"/>
    <w:rsid w:val="00654851"/>
    <w:rsid w:val="007145FA"/>
    <w:rsid w:val="007D671A"/>
    <w:rsid w:val="008C17F2"/>
    <w:rsid w:val="009850F0"/>
    <w:rsid w:val="00A40B0C"/>
    <w:rsid w:val="00AB66DD"/>
    <w:rsid w:val="00B12610"/>
    <w:rsid w:val="00B80503"/>
    <w:rsid w:val="00BC0688"/>
    <w:rsid w:val="00C06F20"/>
    <w:rsid w:val="00C67B89"/>
    <w:rsid w:val="00CA0C28"/>
    <w:rsid w:val="00CE33DA"/>
    <w:rsid w:val="00D25615"/>
    <w:rsid w:val="00E956A7"/>
    <w:rsid w:val="00EF5730"/>
    <w:rsid w:val="00F20E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64A8D77ACF43D19BABE226B2A7448B">
    <w:name w:val="3664A8D77ACF43D19BABE226B2A7448B"/>
    <w:rsid w:val="00C06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S574FYTY5PW6-969949929-2171</_dlc_DocId>
    <_dlc_DocIdUrl xmlns="fe39d773-a83d-4623-ae74-f25711a76616">
      <Url>https://austreasury.sharepoint.com/sites/leg-cord-function/_layouts/15/DocIdRedir.aspx?ID=S574FYTY5PW6-969949929-2171</Url>
      <Description>S574FYTY5PW6-969949929-2171</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36</Value>
      <Value>35</Value>
      <Value>1</Value>
      <Value>42</Value>
    </TaxCatchAll>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A0CDC-C784-412C-965F-5B95A8D2B3A1}">
  <ds:schemaRefs>
    <ds:schemaRef ds:uri="http://schemas.microsoft.com/sharepoint/events"/>
  </ds:schemaRefs>
</ds:datastoreItem>
</file>

<file path=customXml/itemProps2.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3.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4.xml><?xml version="1.0" encoding="utf-8"?>
<ds:datastoreItem xmlns:ds="http://schemas.openxmlformats.org/officeDocument/2006/customXml" ds:itemID="{6AB365E2-A817-49FA-9295-CAB62986032D}">
  <ds:schemaRefs>
    <ds:schemaRef ds:uri="http://schemas.microsoft.com/office/2006/metadata/properties"/>
    <ds:schemaRef ds:uri="http://schemas.microsoft.com/office/infopath/2007/PartnerControls"/>
    <ds:schemaRef ds:uri="fe39d773-a83d-4623-ae74-f25711a76616"/>
    <ds:schemaRef ds:uri="ff38c824-6e29-4496-8487-69f397e7ed29"/>
    <ds:schemaRef ds:uri="30b813c2-29e2-43aa-bac2-1ed67b791ce7"/>
    <ds:schemaRef ds:uri="42f4cb5a-261c-4c59-b165-7132460581a3"/>
  </ds:schemaRefs>
</ds:datastoreItem>
</file>

<file path=customXml/itemProps5.xml><?xml version="1.0" encoding="utf-8"?>
<ds:datastoreItem xmlns:ds="http://schemas.openxmlformats.org/officeDocument/2006/customXml" ds:itemID="{E21A4786-B92C-4364-950A-D24303A9D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Pri-EM</Template>
  <TotalTime>16</TotalTime>
  <Pages>294</Pages>
  <Words>96280</Words>
  <Characters>494876</Characters>
  <Application>Microsoft Office Word</Application>
  <DocSecurity>0</DocSecurity>
  <PresentationFormat/>
  <Lines>12587</Lines>
  <Paragraphs>5467</Paragraphs>
  <ScaleCrop>false</ScaleCrop>
  <HeadingPairs>
    <vt:vector size="2" baseType="variant">
      <vt:variant>
        <vt:lpstr>Title</vt:lpstr>
      </vt:variant>
      <vt:variant>
        <vt:i4>1</vt:i4>
      </vt:variant>
    </vt:vector>
  </HeadingPairs>
  <TitlesOfParts>
    <vt:vector size="1" baseType="lpstr">
      <vt:lpstr>241120_New_ES_Master</vt:lpstr>
    </vt:vector>
  </TitlesOfParts>
  <Manager/>
  <Company/>
  <LinksUpToDate>false</LinksUpToDate>
  <CharactersWithSpaces>588212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2024-12-01T06:50:00Z</cp:lastPrinted>
  <dcterms:created xsi:type="dcterms:W3CDTF">2024-12-20T23:02:00Z</dcterms:created>
  <dcterms:modified xsi:type="dcterms:W3CDTF">2024-12-20T23:30:00Z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EM</vt:lpwstr>
  </property>
  <property fmtid="{D5CDD505-2E9C-101B-9397-08002B2CF9AE}" pid="3" name="_dlc_DocIdItemGuid">
    <vt:lpwstr>8fe5eaba-eb09-4da5-86df-5c5a5ce95a74</vt:lpwstr>
  </property>
  <property fmtid="{D5CDD505-2E9C-101B-9397-08002B2CF9AE}" pid="4" name="ContentTypeId">
    <vt:lpwstr>0x010100B569D256E75E71428C72445DFBB99E7A</vt:lpwstr>
  </property>
  <property fmtid="{D5CDD505-2E9C-101B-9397-08002B2CF9AE}" pid="5" name="TSYRecordClass">
    <vt:lpwstr>1;#AE-20260-Destroy 7 years after action completed|623f5ec9-ec5d-4824-8e13-9c9bfc51fe7e</vt:lpwstr>
  </property>
  <property fmtid="{D5CDD505-2E9C-101B-9397-08002B2CF9AE}" pid="6" name="TSYTopic">
    <vt:lpwstr/>
  </property>
  <property fmtid="{D5CDD505-2E9C-101B-9397-08002B2CF9AE}" pid="7" name="Version">
    <vt:lpwstr>p</vt:lpwstr>
  </property>
  <property fmtid="{D5CDD505-2E9C-101B-9397-08002B2CF9AE}" pid="8" name="eTheme">
    <vt:lpwstr>1;#Law Design|318dd2d2-18da-4b8e-a458-14db2c1af95f</vt:lpwstr>
  </property>
  <property fmtid="{D5CDD505-2E9C-101B-9397-08002B2CF9AE}" pid="9" name="eActivity">
    <vt:lpwstr>35;#Legislation management|cb630f2f-9155-496b-ad0f-d960eb1bf90c</vt:lpwstr>
  </property>
  <property fmtid="{D5CDD505-2E9C-101B-9397-08002B2CF9AE}" pid="10" name="TSYStatus">
    <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EmailAttachments">
    <vt:bool>false</vt:bool>
  </property>
  <property fmtid="{D5CDD505-2E9C-101B-9397-08002B2CF9AE}" pid="14" name="Order">
    <vt:r8>282400</vt:r8>
  </property>
  <property fmtid="{D5CDD505-2E9C-101B-9397-08002B2CF9AE}" pid="15" name="LMDivision">
    <vt:lpwstr/>
  </property>
  <property fmtid="{D5CDD505-2E9C-101B-9397-08002B2CF9AE}" pid="16" name="k8424359e03846678cc4a99dd97e9705">
    <vt:lpwstr/>
  </property>
  <property fmtid="{D5CDD505-2E9C-101B-9397-08002B2CF9AE}" pid="17" name="eDocumentType">
    <vt:lpwstr>153;#Explanatory Materials|ac61e78e-992e-40fd-ae93-2c9522960b05</vt:lpwstr>
  </property>
  <property fmtid="{D5CDD505-2E9C-101B-9397-08002B2CF9AE}" pid="18" name="MSIP_Label_4f932d64-9ab1-4d9b-81d2-a3a8b82dd47d_Enabled">
    <vt:lpwstr>true</vt:lpwstr>
  </property>
  <property fmtid="{D5CDD505-2E9C-101B-9397-08002B2CF9AE}" pid="19" name="MSIP_Label_4f932d64-9ab1-4d9b-81d2-a3a8b82dd47d_SetDate">
    <vt:lpwstr>2024-12-18T23:05:32Z</vt:lpwstr>
  </property>
  <property fmtid="{D5CDD505-2E9C-101B-9397-08002B2CF9AE}" pid="20" name="MSIP_Label_4f932d64-9ab1-4d9b-81d2-a3a8b82dd47d_Method">
    <vt:lpwstr>Privileged</vt:lpwstr>
  </property>
  <property fmtid="{D5CDD505-2E9C-101B-9397-08002B2CF9AE}" pid="21" name="MSIP_Label_4f932d64-9ab1-4d9b-81d2-a3a8b82dd47d_Name">
    <vt:lpwstr>OFFICIAL No Visual Marking</vt:lpwstr>
  </property>
  <property fmtid="{D5CDD505-2E9C-101B-9397-08002B2CF9AE}" pid="22" name="MSIP_Label_4f932d64-9ab1-4d9b-81d2-a3a8b82dd47d_SiteId">
    <vt:lpwstr>214f1646-2021-47cc-8397-e3d3a7ba7d9d</vt:lpwstr>
  </property>
  <property fmtid="{D5CDD505-2E9C-101B-9397-08002B2CF9AE}" pid="23" name="MSIP_Label_4f932d64-9ab1-4d9b-81d2-a3a8b82dd47d_ActionId">
    <vt:lpwstr>e0b7e66c-fd1c-4fc1-a759-d911551c3a50</vt:lpwstr>
  </property>
  <property fmtid="{D5CDD505-2E9C-101B-9397-08002B2CF9AE}" pid="24" name="MSIP_Label_4f932d64-9ab1-4d9b-81d2-a3a8b82dd47d_ContentBits">
    <vt:lpwstr>0</vt:lpwstr>
  </property>
  <property fmtid="{D5CDD505-2E9C-101B-9397-08002B2CF9AE}" pid="25" name="Topic">
    <vt:lpwstr>36;#Legislation Coordination|58c6712e-e847-48f4-81ab-b25e2bbd3986</vt:lpwstr>
  </property>
  <property fmtid="{D5CDD505-2E9C-101B-9397-08002B2CF9AE}" pid="26" name="Activity">
    <vt:lpwstr>35;#Legislation management|cb630f2f-9155-496b-ad0f-d960eb1bf90c</vt:lpwstr>
  </property>
  <property fmtid="{D5CDD505-2E9C-101B-9397-08002B2CF9AE}" pid="27" name="MediaServiceImageTags">
    <vt:lpwstr/>
  </property>
  <property fmtid="{D5CDD505-2E9C-101B-9397-08002B2CF9AE}" pid="28" name="Document Type">
    <vt:lpwstr>42;#Legislation|25c35cca-98fe-4d3e-a63c-3dda1c39f3ec</vt:lpwstr>
  </property>
  <property fmtid="{D5CDD505-2E9C-101B-9397-08002B2CF9AE}" pid="29" name="Document_x0020_Type">
    <vt:lpwstr>42;#Legislation|25c35cca-98fe-4d3e-a63c-3dda1c39f3ec</vt:lpwstr>
  </property>
</Properties>
</file>