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97FF" w14:textId="0533C3F2" w:rsidR="00584C92" w:rsidRPr="00EB58D4" w:rsidRDefault="008467D1" w:rsidP="00584C92">
      <w:pPr>
        <w:spacing w:after="80"/>
        <w:rPr>
          <w:rFonts w:cs="Arial"/>
          <w:b/>
        </w:rPr>
      </w:pPr>
      <w:r w:rsidRPr="00EB58D4">
        <w:rPr>
          <w:noProof/>
          <w:lang w:eastAsia="en-AU"/>
        </w:rPr>
        <w:drawing>
          <wp:inline distT="0" distB="0" distL="0" distR="0" wp14:anchorId="58096CA2" wp14:editId="7C99550B">
            <wp:extent cx="2409825" cy="704850"/>
            <wp:effectExtent l="0" t="0" r="9525" b="0"/>
            <wp:docPr id="3" name="Picture 3" descr="The ATO logo containing the Federal Government crest and the words Australian Taxation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TO_inl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9825" cy="704850"/>
                    </a:xfrm>
                    <a:prstGeom prst="rect">
                      <a:avLst/>
                    </a:prstGeom>
                    <a:noFill/>
                    <a:ln>
                      <a:noFill/>
                    </a:ln>
                  </pic:spPr>
                </pic:pic>
              </a:graphicData>
            </a:graphic>
          </wp:inline>
        </w:drawing>
      </w:r>
    </w:p>
    <w:p w14:paraId="608463A5" w14:textId="77777777" w:rsidR="00584C92" w:rsidRPr="00EB58D4" w:rsidRDefault="00584C92" w:rsidP="00584C92">
      <w:pPr>
        <w:spacing w:after="80"/>
        <w:rPr>
          <w:rFonts w:cs="Arial"/>
          <w:bCs/>
          <w:sz w:val="18"/>
          <w:szCs w:val="18"/>
        </w:rPr>
      </w:pPr>
    </w:p>
    <w:p w14:paraId="486E620F" w14:textId="11C6A0F5" w:rsidR="00584C92" w:rsidRPr="00EB58D4" w:rsidRDefault="00584C92" w:rsidP="00584C92">
      <w:pPr>
        <w:spacing w:after="80"/>
        <w:rPr>
          <w:rFonts w:cs="Arial"/>
          <w:b/>
          <w:sz w:val="28"/>
          <w:szCs w:val="28"/>
        </w:rPr>
      </w:pPr>
      <w:r w:rsidRPr="00EB58D4">
        <w:rPr>
          <w:rFonts w:cs="Arial"/>
          <w:b/>
          <w:sz w:val="28"/>
          <w:szCs w:val="28"/>
        </w:rPr>
        <w:t xml:space="preserve">Notice of Rulings </w:t>
      </w:r>
      <w:r w:rsidR="00E9386A">
        <w:rPr>
          <w:rFonts w:cs="Arial"/>
          <w:b/>
          <w:sz w:val="28"/>
          <w:szCs w:val="28"/>
        </w:rPr>
        <w:t>31</w:t>
      </w:r>
      <w:r w:rsidR="00FC3007">
        <w:rPr>
          <w:rFonts w:cs="Arial"/>
          <w:b/>
          <w:sz w:val="28"/>
          <w:szCs w:val="28"/>
        </w:rPr>
        <w:t xml:space="preserve"> January 2024</w:t>
      </w:r>
    </w:p>
    <w:p w14:paraId="6F8C0821" w14:textId="31C35611" w:rsidR="000E02CE" w:rsidRPr="00EB58D4" w:rsidRDefault="000E02CE" w:rsidP="000E02CE">
      <w:pPr>
        <w:rPr>
          <w:rFonts w:cs="Arial"/>
          <w:sz w:val="18"/>
          <w:szCs w:val="18"/>
        </w:rPr>
      </w:pPr>
      <w:r w:rsidRPr="00EB58D4">
        <w:rPr>
          <w:rFonts w:cs="Arial"/>
          <w:sz w:val="18"/>
          <w:szCs w:val="18"/>
        </w:rPr>
        <w:t xml:space="preserve">The Commissioner of Taxation, </w:t>
      </w:r>
      <w:smartTag w:uri="urn:schemas:contacts" w:element="GivenName">
        <w:smartTag w:uri="urn:schemas-microsoft-com:office:smarttags" w:element="PersonName">
          <w:r w:rsidRPr="00EB58D4">
            <w:rPr>
              <w:rFonts w:cs="Arial"/>
              <w:sz w:val="18"/>
              <w:szCs w:val="18"/>
            </w:rPr>
            <w:t>Chris</w:t>
          </w:r>
        </w:smartTag>
        <w:r w:rsidRPr="00EB58D4">
          <w:rPr>
            <w:rFonts w:cs="Arial"/>
            <w:sz w:val="18"/>
            <w:szCs w:val="18"/>
          </w:rPr>
          <w:t xml:space="preserve"> </w:t>
        </w:r>
        <w:smartTag w:uri="urn:schemas:contacts" w:element="Sn">
          <w:smartTag w:uri="urn:schemas-microsoft-com:office:smarttags" w:element="country-region">
            <w:r w:rsidRPr="00EB58D4">
              <w:rPr>
                <w:rFonts w:cs="Arial"/>
                <w:sz w:val="18"/>
                <w:szCs w:val="18"/>
              </w:rPr>
              <w:t>Jordan</w:t>
            </w:r>
          </w:smartTag>
        </w:smartTag>
      </w:smartTag>
      <w:r w:rsidRPr="00EB58D4">
        <w:rPr>
          <w:rFonts w:cs="Arial"/>
          <w:sz w:val="18"/>
          <w:szCs w:val="18"/>
        </w:rPr>
        <w:t xml:space="preserve">, gives notice by notifiable instrument under subsection 358-5(4) of Schedule 1 to the </w:t>
      </w:r>
      <w:r w:rsidRPr="00EB58D4">
        <w:rPr>
          <w:rFonts w:cs="Arial"/>
          <w:i/>
          <w:iCs/>
          <w:sz w:val="18"/>
          <w:szCs w:val="18"/>
        </w:rPr>
        <w:t>Taxation Administration Act 1953</w:t>
      </w:r>
      <w:r w:rsidRPr="00EB58D4">
        <w:rPr>
          <w:rFonts w:cs="Arial"/>
          <w:sz w:val="18"/>
          <w:szCs w:val="18"/>
        </w:rPr>
        <w:t xml:space="preserve"> of the following public rulings, copies of which can be obtained from </w:t>
      </w:r>
      <w:hyperlink r:id="rId9" w:history="1">
        <w:r w:rsidRPr="00EB58D4">
          <w:rPr>
            <w:rStyle w:val="Hyperlink"/>
            <w:rFonts w:cs="Arial"/>
            <w:sz w:val="18"/>
            <w:szCs w:val="18"/>
          </w:rPr>
          <w:t>ato.gov.au/law</w:t>
        </w:r>
      </w:hyperlink>
    </w:p>
    <w:tbl>
      <w:tblPr>
        <w:tblW w:w="9923" w:type="dxa"/>
        <w:tblLayout w:type="fixed"/>
        <w:tblLook w:val="0000" w:firstRow="0" w:lastRow="0" w:firstColumn="0" w:lastColumn="0" w:noHBand="0" w:noVBand="0"/>
      </w:tblPr>
      <w:tblGrid>
        <w:gridCol w:w="1984"/>
        <w:gridCol w:w="3686"/>
        <w:gridCol w:w="4253"/>
      </w:tblGrid>
      <w:tr w:rsidR="008D0A06" w:rsidRPr="00EB58D4" w14:paraId="60962CF4" w14:textId="77777777" w:rsidTr="00B4789B">
        <w:tc>
          <w:tcPr>
            <w:tcW w:w="9923" w:type="dxa"/>
            <w:gridSpan w:val="3"/>
            <w:tcBorders>
              <w:top w:val="single" w:sz="6" w:space="0" w:color="auto"/>
              <w:left w:val="single" w:sz="6" w:space="0" w:color="auto"/>
              <w:bottom w:val="single" w:sz="6" w:space="0" w:color="auto"/>
              <w:right w:val="single" w:sz="6" w:space="0" w:color="auto"/>
            </w:tcBorders>
          </w:tcPr>
          <w:p w14:paraId="1ED4B0FA" w14:textId="38D7B4B4" w:rsidR="008D0A06" w:rsidRPr="00EB58D4" w:rsidRDefault="008D0A06" w:rsidP="00C6757F">
            <w:pPr>
              <w:pStyle w:val="Heading3"/>
              <w:keepLines/>
              <w:spacing w:before="60"/>
              <w:jc w:val="center"/>
              <w:rPr>
                <w:sz w:val="20"/>
                <w:szCs w:val="20"/>
              </w:rPr>
            </w:pPr>
            <w:r w:rsidRPr="00EB58D4">
              <w:rPr>
                <w:sz w:val="20"/>
                <w:szCs w:val="20"/>
              </w:rPr>
              <w:t>NOTICE OF RULING</w:t>
            </w:r>
            <w:r w:rsidR="00783566">
              <w:rPr>
                <w:sz w:val="20"/>
                <w:szCs w:val="20"/>
              </w:rPr>
              <w:t>S</w:t>
            </w:r>
          </w:p>
        </w:tc>
      </w:tr>
      <w:tr w:rsidR="00114CB2" w:rsidRPr="00EB58D4" w14:paraId="616B955D" w14:textId="77777777" w:rsidTr="00B4789B">
        <w:tc>
          <w:tcPr>
            <w:tcW w:w="1984" w:type="dxa"/>
            <w:tcBorders>
              <w:top w:val="single" w:sz="6" w:space="0" w:color="auto"/>
              <w:left w:val="single" w:sz="6" w:space="0" w:color="auto"/>
              <w:bottom w:val="single" w:sz="6" w:space="0" w:color="auto"/>
              <w:right w:val="single" w:sz="6" w:space="0" w:color="auto"/>
            </w:tcBorders>
            <w:vAlign w:val="center"/>
          </w:tcPr>
          <w:p w14:paraId="7C476713" w14:textId="77777777" w:rsidR="00114CB2" w:rsidRPr="00EB58D4" w:rsidRDefault="004242FC" w:rsidP="00C6757F">
            <w:pPr>
              <w:pStyle w:val="Heading3"/>
              <w:keepLines/>
              <w:spacing w:before="60"/>
              <w:jc w:val="center"/>
              <w:rPr>
                <w:sz w:val="20"/>
                <w:szCs w:val="20"/>
              </w:rPr>
            </w:pPr>
            <w:r w:rsidRPr="00EB58D4">
              <w:rPr>
                <w:sz w:val="20"/>
                <w:szCs w:val="20"/>
              </w:rPr>
              <w:t>Ruling n</w:t>
            </w:r>
            <w:r w:rsidR="00114CB2" w:rsidRPr="00EB58D4">
              <w:rPr>
                <w:sz w:val="20"/>
                <w:szCs w:val="20"/>
              </w:rPr>
              <w:t>umber</w:t>
            </w:r>
          </w:p>
        </w:tc>
        <w:tc>
          <w:tcPr>
            <w:tcW w:w="3686" w:type="dxa"/>
            <w:tcBorders>
              <w:top w:val="single" w:sz="6" w:space="0" w:color="auto"/>
              <w:left w:val="single" w:sz="6" w:space="0" w:color="auto"/>
              <w:bottom w:val="single" w:sz="6" w:space="0" w:color="auto"/>
              <w:right w:val="single" w:sz="6" w:space="0" w:color="auto"/>
            </w:tcBorders>
            <w:vAlign w:val="center"/>
          </w:tcPr>
          <w:p w14:paraId="5A4A4D52" w14:textId="77777777" w:rsidR="00114CB2" w:rsidRPr="00EB58D4" w:rsidRDefault="00114CB2" w:rsidP="00C6757F">
            <w:pPr>
              <w:pStyle w:val="Heading3"/>
              <w:keepLines/>
              <w:spacing w:before="60"/>
              <w:jc w:val="center"/>
              <w:rPr>
                <w:sz w:val="20"/>
                <w:szCs w:val="20"/>
              </w:rPr>
            </w:pPr>
            <w:r w:rsidRPr="00EB58D4">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14:paraId="6F8521B8" w14:textId="77777777" w:rsidR="00114CB2" w:rsidRPr="00EB58D4" w:rsidRDefault="004242FC" w:rsidP="00C6757F">
            <w:pPr>
              <w:pStyle w:val="Heading3"/>
              <w:keepLines/>
              <w:spacing w:before="60"/>
              <w:jc w:val="center"/>
              <w:rPr>
                <w:sz w:val="20"/>
                <w:szCs w:val="20"/>
              </w:rPr>
            </w:pPr>
            <w:r w:rsidRPr="00EB58D4">
              <w:rPr>
                <w:sz w:val="20"/>
                <w:szCs w:val="20"/>
              </w:rPr>
              <w:t>Brief d</w:t>
            </w:r>
            <w:r w:rsidR="00114CB2" w:rsidRPr="00EB58D4">
              <w:rPr>
                <w:sz w:val="20"/>
                <w:szCs w:val="20"/>
              </w:rPr>
              <w:t>escription</w:t>
            </w:r>
          </w:p>
        </w:tc>
      </w:tr>
      <w:tr w:rsidR="002E3208" w:rsidRPr="00EB58D4" w14:paraId="329498E7" w14:textId="77777777" w:rsidTr="00B4789B">
        <w:tc>
          <w:tcPr>
            <w:tcW w:w="1984" w:type="dxa"/>
            <w:tcBorders>
              <w:top w:val="single" w:sz="6" w:space="0" w:color="auto"/>
              <w:left w:val="single" w:sz="6" w:space="0" w:color="auto"/>
              <w:bottom w:val="single" w:sz="6" w:space="0" w:color="auto"/>
              <w:right w:val="single" w:sz="6" w:space="0" w:color="auto"/>
            </w:tcBorders>
          </w:tcPr>
          <w:p w14:paraId="343E4A7F" w14:textId="7E856214" w:rsidR="002E3208" w:rsidRPr="00492E6F" w:rsidRDefault="002E3208" w:rsidP="002E3208">
            <w:pPr>
              <w:pStyle w:val="Header"/>
              <w:spacing w:before="60" w:after="60"/>
              <w:rPr>
                <w:rFonts w:cs="Arial"/>
                <w:color w:val="000000" w:themeColor="text1"/>
                <w:sz w:val="20"/>
                <w:szCs w:val="20"/>
              </w:rPr>
            </w:pPr>
            <w:r w:rsidRPr="00492E6F">
              <w:rPr>
                <w:rFonts w:cs="Arial"/>
                <w:color w:val="000000" w:themeColor="text1"/>
                <w:sz w:val="20"/>
                <w:szCs w:val="20"/>
              </w:rPr>
              <w:t>TR 2024/1</w:t>
            </w:r>
          </w:p>
        </w:tc>
        <w:tc>
          <w:tcPr>
            <w:tcW w:w="3686" w:type="dxa"/>
            <w:tcBorders>
              <w:top w:val="single" w:sz="6" w:space="0" w:color="auto"/>
              <w:left w:val="single" w:sz="6" w:space="0" w:color="auto"/>
              <w:bottom w:val="single" w:sz="6" w:space="0" w:color="auto"/>
              <w:right w:val="single" w:sz="6" w:space="0" w:color="auto"/>
            </w:tcBorders>
          </w:tcPr>
          <w:p w14:paraId="54BCCBB1" w14:textId="4AC1140F" w:rsidR="002E3208" w:rsidRPr="00492E6F" w:rsidRDefault="002E3208" w:rsidP="002E3208">
            <w:pPr>
              <w:spacing w:before="60" w:after="60"/>
              <w:rPr>
                <w:rFonts w:cs="Arial"/>
                <w:color w:val="000000" w:themeColor="text1"/>
                <w:sz w:val="20"/>
                <w:szCs w:val="20"/>
              </w:rPr>
            </w:pPr>
            <w:r w:rsidRPr="00492E6F">
              <w:rPr>
                <w:rFonts w:cs="Arial"/>
                <w:color w:val="000000" w:themeColor="text1"/>
                <w:sz w:val="20"/>
                <w:szCs w:val="20"/>
              </w:rPr>
              <w:t>Income tax:  composite items – identifying the relevant depreciati</w:t>
            </w:r>
            <w:r w:rsidR="006946BE">
              <w:rPr>
                <w:rFonts w:cs="Arial"/>
                <w:color w:val="000000" w:themeColor="text1"/>
                <w:sz w:val="20"/>
                <w:szCs w:val="20"/>
              </w:rPr>
              <w:t>ng</w:t>
            </w:r>
            <w:r w:rsidRPr="00492E6F">
              <w:rPr>
                <w:rFonts w:cs="Arial"/>
                <w:color w:val="000000" w:themeColor="text1"/>
                <w:sz w:val="20"/>
                <w:szCs w:val="20"/>
              </w:rPr>
              <w:t xml:space="preserve"> asset for capital allowances</w:t>
            </w:r>
          </w:p>
        </w:tc>
        <w:tc>
          <w:tcPr>
            <w:tcW w:w="4253" w:type="dxa"/>
            <w:tcBorders>
              <w:top w:val="single" w:sz="6" w:space="0" w:color="auto"/>
              <w:left w:val="single" w:sz="6" w:space="0" w:color="auto"/>
              <w:bottom w:val="single" w:sz="6" w:space="0" w:color="auto"/>
              <w:right w:val="single" w:sz="6" w:space="0" w:color="auto"/>
            </w:tcBorders>
          </w:tcPr>
          <w:p w14:paraId="07A9D6A0" w14:textId="6C2B4F93" w:rsidR="002E3208" w:rsidRPr="00492E6F" w:rsidRDefault="00C92E6D" w:rsidP="002E3208">
            <w:pPr>
              <w:spacing w:before="60" w:after="60"/>
              <w:rPr>
                <w:color w:val="000000" w:themeColor="text1"/>
                <w:sz w:val="20"/>
                <w:szCs w:val="20"/>
              </w:rPr>
            </w:pPr>
            <w:r w:rsidRPr="00492E6F">
              <w:rPr>
                <w:color w:val="000000" w:themeColor="text1"/>
                <w:sz w:val="20"/>
                <w:szCs w:val="20"/>
              </w:rPr>
              <w:t xml:space="preserve">This Ruling addresses the issue of whether an asset that is made up of </w:t>
            </w:r>
            <w:proofErr w:type="gramStart"/>
            <w:r w:rsidRPr="00492E6F">
              <w:rPr>
                <w:color w:val="000000" w:themeColor="text1"/>
                <w:sz w:val="20"/>
                <w:szCs w:val="20"/>
              </w:rPr>
              <w:t>a number of</w:t>
            </w:r>
            <w:proofErr w:type="gramEnd"/>
            <w:r w:rsidRPr="00492E6F">
              <w:rPr>
                <w:color w:val="000000" w:themeColor="text1"/>
                <w:sz w:val="20"/>
                <w:szCs w:val="20"/>
              </w:rPr>
              <w:t xml:space="preserve"> parts or components (the composite item) is itself a depreciating asset, or whether one or more of its components are separate depreciating assets.</w:t>
            </w:r>
          </w:p>
          <w:p w14:paraId="69DF322B" w14:textId="02363AD3" w:rsidR="00C92E6D" w:rsidRPr="00492E6F" w:rsidRDefault="00C92E6D" w:rsidP="002E3208">
            <w:pPr>
              <w:spacing w:before="60" w:after="60"/>
              <w:rPr>
                <w:color w:val="000000" w:themeColor="text1"/>
                <w:sz w:val="20"/>
                <w:szCs w:val="20"/>
              </w:rPr>
            </w:pPr>
            <w:r w:rsidRPr="00492E6F">
              <w:rPr>
                <w:color w:val="000000" w:themeColor="text1"/>
                <w:sz w:val="20"/>
                <w:szCs w:val="20"/>
              </w:rPr>
              <w:t>The Ruling applies to years of income commencing both before and after its date of issue.</w:t>
            </w:r>
          </w:p>
        </w:tc>
      </w:tr>
      <w:tr w:rsidR="00E111E4" w:rsidRPr="00EB58D4" w14:paraId="69F4B4C9" w14:textId="77777777" w:rsidTr="00B4789B">
        <w:tc>
          <w:tcPr>
            <w:tcW w:w="1984" w:type="dxa"/>
            <w:tcBorders>
              <w:top w:val="single" w:sz="6" w:space="0" w:color="auto"/>
              <w:left w:val="single" w:sz="6" w:space="0" w:color="auto"/>
              <w:bottom w:val="single" w:sz="6" w:space="0" w:color="auto"/>
              <w:right w:val="single" w:sz="6" w:space="0" w:color="auto"/>
            </w:tcBorders>
          </w:tcPr>
          <w:p w14:paraId="2FDADD74" w14:textId="475CA251" w:rsidR="00E111E4" w:rsidRPr="00492E6F" w:rsidRDefault="00E111E4" w:rsidP="002E3208">
            <w:pPr>
              <w:pStyle w:val="Header"/>
              <w:spacing w:before="60" w:after="60"/>
              <w:rPr>
                <w:rFonts w:cs="Arial"/>
                <w:color w:val="000000" w:themeColor="text1"/>
                <w:sz w:val="20"/>
                <w:szCs w:val="20"/>
              </w:rPr>
            </w:pPr>
            <w:r w:rsidRPr="00492E6F">
              <w:rPr>
                <w:rFonts w:cs="Arial"/>
                <w:color w:val="000000" w:themeColor="text1"/>
                <w:sz w:val="20"/>
                <w:szCs w:val="20"/>
              </w:rPr>
              <w:t>CR 2024/4</w:t>
            </w:r>
          </w:p>
        </w:tc>
        <w:tc>
          <w:tcPr>
            <w:tcW w:w="3686" w:type="dxa"/>
            <w:tcBorders>
              <w:top w:val="single" w:sz="6" w:space="0" w:color="auto"/>
              <w:left w:val="single" w:sz="6" w:space="0" w:color="auto"/>
              <w:bottom w:val="single" w:sz="6" w:space="0" w:color="auto"/>
              <w:right w:val="single" w:sz="6" w:space="0" w:color="auto"/>
            </w:tcBorders>
          </w:tcPr>
          <w:p w14:paraId="7A6E8AAC" w14:textId="2BF05D4A" w:rsidR="00E111E4" w:rsidRPr="00492E6F" w:rsidRDefault="00E111E4" w:rsidP="002E3208">
            <w:pPr>
              <w:spacing w:before="60" w:after="60"/>
              <w:rPr>
                <w:rFonts w:cs="Arial"/>
                <w:color w:val="000000" w:themeColor="text1"/>
                <w:sz w:val="20"/>
                <w:szCs w:val="20"/>
              </w:rPr>
            </w:pPr>
            <w:proofErr w:type="spellStart"/>
            <w:r w:rsidRPr="00492E6F">
              <w:rPr>
                <w:rFonts w:cs="Arial"/>
                <w:color w:val="000000" w:themeColor="text1"/>
                <w:sz w:val="20"/>
                <w:szCs w:val="20"/>
              </w:rPr>
              <w:t>Allkem</w:t>
            </w:r>
            <w:proofErr w:type="spellEnd"/>
            <w:r w:rsidRPr="00492E6F">
              <w:rPr>
                <w:rFonts w:cs="Arial"/>
                <w:color w:val="000000" w:themeColor="text1"/>
                <w:sz w:val="20"/>
                <w:szCs w:val="20"/>
              </w:rPr>
              <w:t xml:space="preserve"> Limited – scrip for scrip roll</w:t>
            </w:r>
            <w:r w:rsidRPr="00492E6F">
              <w:rPr>
                <w:rFonts w:cs="Arial"/>
                <w:color w:val="000000" w:themeColor="text1"/>
                <w:sz w:val="20"/>
                <w:szCs w:val="20"/>
              </w:rPr>
              <w:noBreakHyphen/>
              <w:t>over</w:t>
            </w:r>
          </w:p>
        </w:tc>
        <w:tc>
          <w:tcPr>
            <w:tcW w:w="4253" w:type="dxa"/>
            <w:tcBorders>
              <w:top w:val="single" w:sz="6" w:space="0" w:color="auto"/>
              <w:left w:val="single" w:sz="6" w:space="0" w:color="auto"/>
              <w:bottom w:val="single" w:sz="6" w:space="0" w:color="auto"/>
              <w:right w:val="single" w:sz="6" w:space="0" w:color="auto"/>
            </w:tcBorders>
          </w:tcPr>
          <w:p w14:paraId="0ED2C7BF" w14:textId="4B1AE199" w:rsidR="00E111E4" w:rsidRPr="00492E6F" w:rsidRDefault="00E111E4" w:rsidP="00E111E4">
            <w:pPr>
              <w:spacing w:before="60" w:after="60"/>
              <w:rPr>
                <w:color w:val="000000" w:themeColor="text1"/>
                <w:sz w:val="20"/>
                <w:szCs w:val="20"/>
              </w:rPr>
            </w:pPr>
            <w:r w:rsidRPr="00492E6F">
              <w:rPr>
                <w:color w:val="000000" w:themeColor="text1"/>
                <w:sz w:val="20"/>
                <w:szCs w:val="20"/>
              </w:rPr>
              <w:t xml:space="preserve">This Ruling </w:t>
            </w:r>
            <w:r w:rsidR="003551C8" w:rsidRPr="00492E6F">
              <w:rPr>
                <w:color w:val="000000" w:themeColor="text1"/>
                <w:sz w:val="20"/>
                <w:szCs w:val="20"/>
              </w:rPr>
              <w:t xml:space="preserve">sets out the income tax consequences for the holders of ordinary shares in </w:t>
            </w:r>
            <w:proofErr w:type="spellStart"/>
            <w:r w:rsidR="003551C8" w:rsidRPr="00492E6F">
              <w:rPr>
                <w:color w:val="000000" w:themeColor="text1"/>
                <w:sz w:val="20"/>
                <w:szCs w:val="20"/>
              </w:rPr>
              <w:t>Allkem</w:t>
            </w:r>
            <w:proofErr w:type="spellEnd"/>
            <w:r w:rsidR="003551C8" w:rsidRPr="00492E6F">
              <w:rPr>
                <w:color w:val="000000" w:themeColor="text1"/>
                <w:sz w:val="20"/>
                <w:szCs w:val="20"/>
              </w:rPr>
              <w:t xml:space="preserve"> Limited who disposed of those shares to </w:t>
            </w:r>
            <w:proofErr w:type="spellStart"/>
            <w:r w:rsidR="003551C8" w:rsidRPr="00492E6F">
              <w:rPr>
                <w:color w:val="000000" w:themeColor="text1"/>
                <w:sz w:val="20"/>
                <w:szCs w:val="20"/>
              </w:rPr>
              <w:t>Arcadium</w:t>
            </w:r>
            <w:proofErr w:type="spellEnd"/>
            <w:r w:rsidR="003551C8" w:rsidRPr="00492E6F">
              <w:rPr>
                <w:color w:val="000000" w:themeColor="text1"/>
                <w:sz w:val="20"/>
                <w:szCs w:val="20"/>
              </w:rPr>
              <w:t xml:space="preserve"> Lithium plc on 4 January 2024.</w:t>
            </w:r>
          </w:p>
          <w:p w14:paraId="7DCAD906" w14:textId="259D733C" w:rsidR="00E111E4" w:rsidRPr="00492E6F" w:rsidRDefault="00E111E4" w:rsidP="00E111E4">
            <w:pPr>
              <w:spacing w:before="60" w:after="60"/>
              <w:rPr>
                <w:color w:val="000000" w:themeColor="text1"/>
                <w:sz w:val="20"/>
                <w:szCs w:val="20"/>
              </w:rPr>
            </w:pPr>
            <w:r w:rsidRPr="00492E6F">
              <w:rPr>
                <w:color w:val="000000" w:themeColor="text1"/>
                <w:sz w:val="20"/>
                <w:szCs w:val="20"/>
              </w:rPr>
              <w:t xml:space="preserve">The Ruling applies </w:t>
            </w:r>
            <w:r w:rsidR="003551C8" w:rsidRPr="00492E6F">
              <w:rPr>
                <w:color w:val="000000" w:themeColor="text1"/>
                <w:sz w:val="20"/>
                <w:szCs w:val="20"/>
              </w:rPr>
              <w:t>from 1 July 2023 to 30 June 2024</w:t>
            </w:r>
            <w:r w:rsidRPr="00492E6F">
              <w:rPr>
                <w:color w:val="000000" w:themeColor="text1"/>
                <w:sz w:val="20"/>
                <w:szCs w:val="20"/>
              </w:rPr>
              <w:t>.</w:t>
            </w:r>
          </w:p>
        </w:tc>
      </w:tr>
      <w:tr w:rsidR="00A47E4F" w:rsidRPr="00EB58D4" w14:paraId="4BF43DE9" w14:textId="77777777" w:rsidTr="007E7C61">
        <w:tc>
          <w:tcPr>
            <w:tcW w:w="1984" w:type="dxa"/>
            <w:tcBorders>
              <w:top w:val="single" w:sz="6" w:space="0" w:color="auto"/>
              <w:left w:val="single" w:sz="6" w:space="0" w:color="auto"/>
              <w:bottom w:val="single" w:sz="6" w:space="0" w:color="auto"/>
              <w:right w:val="single" w:sz="6" w:space="0" w:color="auto"/>
            </w:tcBorders>
          </w:tcPr>
          <w:p w14:paraId="4967EF37" w14:textId="2C0FACBD" w:rsidR="00A47E4F" w:rsidRPr="00492E6F" w:rsidRDefault="00A47E4F" w:rsidP="00A47E4F">
            <w:pPr>
              <w:pStyle w:val="Header"/>
              <w:spacing w:before="60" w:after="60"/>
              <w:rPr>
                <w:rFonts w:cs="Arial"/>
                <w:color w:val="000000" w:themeColor="text1"/>
                <w:sz w:val="20"/>
                <w:szCs w:val="20"/>
              </w:rPr>
            </w:pPr>
            <w:r w:rsidRPr="00492E6F">
              <w:rPr>
                <w:rFonts w:cs="Arial"/>
                <w:color w:val="000000" w:themeColor="text1"/>
                <w:sz w:val="20"/>
                <w:szCs w:val="20"/>
              </w:rPr>
              <w:t>CR 2024/5</w:t>
            </w:r>
          </w:p>
        </w:tc>
        <w:tc>
          <w:tcPr>
            <w:tcW w:w="3686" w:type="dxa"/>
            <w:tcBorders>
              <w:top w:val="single" w:sz="6" w:space="0" w:color="auto"/>
              <w:left w:val="single" w:sz="6" w:space="0" w:color="auto"/>
              <w:bottom w:val="single" w:sz="6" w:space="0" w:color="auto"/>
              <w:right w:val="single" w:sz="6" w:space="0" w:color="auto"/>
            </w:tcBorders>
          </w:tcPr>
          <w:p w14:paraId="3350E7F9" w14:textId="5985817C" w:rsidR="00A47E4F" w:rsidRPr="00492E6F" w:rsidRDefault="00A47E4F" w:rsidP="00A47E4F">
            <w:pPr>
              <w:spacing w:before="60" w:after="60"/>
              <w:rPr>
                <w:rFonts w:cs="Arial"/>
                <w:color w:val="000000" w:themeColor="text1"/>
                <w:sz w:val="20"/>
                <w:szCs w:val="20"/>
              </w:rPr>
            </w:pPr>
            <w:proofErr w:type="spellStart"/>
            <w:r w:rsidRPr="00492E6F">
              <w:rPr>
                <w:rFonts w:cs="Arial"/>
                <w:color w:val="000000" w:themeColor="text1"/>
                <w:sz w:val="20"/>
                <w:szCs w:val="20"/>
              </w:rPr>
              <w:t>Sh</w:t>
            </w:r>
            <w:r w:rsidR="006946BE">
              <w:rPr>
                <w:rFonts w:cs="Arial"/>
                <w:color w:val="000000" w:themeColor="text1"/>
                <w:sz w:val="20"/>
                <w:szCs w:val="20"/>
              </w:rPr>
              <w:t>r</w:t>
            </w:r>
            <w:r w:rsidRPr="00492E6F">
              <w:rPr>
                <w:rFonts w:cs="Arial"/>
                <w:color w:val="000000" w:themeColor="text1"/>
                <w:sz w:val="20"/>
                <w:szCs w:val="20"/>
              </w:rPr>
              <w:t>iro</w:t>
            </w:r>
            <w:proofErr w:type="spellEnd"/>
            <w:r w:rsidRPr="00492E6F">
              <w:rPr>
                <w:rFonts w:cs="Arial"/>
                <w:color w:val="000000" w:themeColor="text1"/>
                <w:sz w:val="20"/>
                <w:szCs w:val="20"/>
              </w:rPr>
              <w:t xml:space="preserve"> Holdings Limited – return of capital</w:t>
            </w:r>
          </w:p>
        </w:tc>
        <w:tc>
          <w:tcPr>
            <w:tcW w:w="4253" w:type="dxa"/>
            <w:tcBorders>
              <w:top w:val="single" w:sz="6" w:space="0" w:color="auto"/>
              <w:left w:val="single" w:sz="6" w:space="0" w:color="auto"/>
              <w:bottom w:val="single" w:sz="6" w:space="0" w:color="auto"/>
              <w:right w:val="single" w:sz="6" w:space="0" w:color="auto"/>
            </w:tcBorders>
          </w:tcPr>
          <w:p w14:paraId="4D4237C5" w14:textId="7FA0BC0E" w:rsidR="00A47E4F" w:rsidRPr="00492E6F" w:rsidRDefault="00A47E4F" w:rsidP="00A47E4F">
            <w:pPr>
              <w:spacing w:before="60" w:after="60"/>
              <w:rPr>
                <w:color w:val="000000" w:themeColor="text1"/>
                <w:sz w:val="20"/>
                <w:szCs w:val="20"/>
              </w:rPr>
            </w:pPr>
            <w:r w:rsidRPr="00492E6F">
              <w:rPr>
                <w:color w:val="000000" w:themeColor="text1"/>
                <w:sz w:val="20"/>
                <w:szCs w:val="20"/>
              </w:rPr>
              <w:t xml:space="preserve">This Ruling sets out the income tax consequences for shareholders of </w:t>
            </w:r>
            <w:proofErr w:type="spellStart"/>
            <w:r w:rsidRPr="00492E6F">
              <w:rPr>
                <w:color w:val="000000" w:themeColor="text1"/>
                <w:sz w:val="20"/>
                <w:szCs w:val="20"/>
              </w:rPr>
              <w:t>Sh</w:t>
            </w:r>
            <w:r w:rsidR="006946BE">
              <w:rPr>
                <w:color w:val="000000" w:themeColor="text1"/>
                <w:sz w:val="20"/>
                <w:szCs w:val="20"/>
              </w:rPr>
              <w:t>r</w:t>
            </w:r>
            <w:r w:rsidRPr="00492E6F">
              <w:rPr>
                <w:color w:val="000000" w:themeColor="text1"/>
                <w:sz w:val="20"/>
                <w:szCs w:val="20"/>
              </w:rPr>
              <w:t>iro</w:t>
            </w:r>
            <w:proofErr w:type="spellEnd"/>
            <w:r w:rsidRPr="00492E6F">
              <w:rPr>
                <w:color w:val="000000" w:themeColor="text1"/>
                <w:sz w:val="20"/>
                <w:szCs w:val="20"/>
              </w:rPr>
              <w:t xml:space="preserve"> Holdings Limited who received </w:t>
            </w:r>
            <w:r w:rsidR="006946BE">
              <w:rPr>
                <w:color w:val="000000" w:themeColor="text1"/>
                <w:sz w:val="20"/>
                <w:szCs w:val="20"/>
              </w:rPr>
              <w:t>a</w:t>
            </w:r>
            <w:r w:rsidR="006946BE" w:rsidRPr="00492E6F">
              <w:rPr>
                <w:color w:val="000000" w:themeColor="text1"/>
                <w:sz w:val="20"/>
                <w:szCs w:val="20"/>
              </w:rPr>
              <w:t xml:space="preserve"> </w:t>
            </w:r>
            <w:r w:rsidRPr="00492E6F">
              <w:rPr>
                <w:color w:val="000000" w:themeColor="text1"/>
                <w:sz w:val="20"/>
                <w:szCs w:val="20"/>
              </w:rPr>
              <w:t>return of share capital on 4 January 2024.</w:t>
            </w:r>
          </w:p>
          <w:p w14:paraId="41E010E0" w14:textId="00624DD2" w:rsidR="00A47E4F" w:rsidRPr="00492E6F" w:rsidRDefault="00A47E4F" w:rsidP="00A47E4F">
            <w:pPr>
              <w:spacing w:before="60" w:after="60"/>
              <w:rPr>
                <w:color w:val="000000" w:themeColor="text1"/>
                <w:sz w:val="20"/>
                <w:szCs w:val="20"/>
              </w:rPr>
            </w:pPr>
            <w:r w:rsidRPr="00492E6F">
              <w:rPr>
                <w:color w:val="000000" w:themeColor="text1"/>
                <w:sz w:val="20"/>
                <w:szCs w:val="20"/>
              </w:rPr>
              <w:t>The Ruling applies from 1 July 2023 to 30 June 2024.</w:t>
            </w:r>
          </w:p>
        </w:tc>
      </w:tr>
      <w:tr w:rsidR="00A47E4F" w:rsidRPr="00EB58D4" w14:paraId="397BCEB6" w14:textId="77777777" w:rsidTr="00B4789B">
        <w:tc>
          <w:tcPr>
            <w:tcW w:w="1984" w:type="dxa"/>
            <w:tcBorders>
              <w:top w:val="single" w:sz="6" w:space="0" w:color="auto"/>
              <w:left w:val="single" w:sz="6" w:space="0" w:color="auto"/>
              <w:bottom w:val="single" w:sz="6" w:space="0" w:color="auto"/>
              <w:right w:val="single" w:sz="6" w:space="0" w:color="auto"/>
            </w:tcBorders>
          </w:tcPr>
          <w:p w14:paraId="370D3DD2" w14:textId="10CACC00" w:rsidR="00A47E4F" w:rsidRPr="00492E6F" w:rsidRDefault="00A47E4F" w:rsidP="00A47E4F">
            <w:pPr>
              <w:pStyle w:val="Header"/>
              <w:spacing w:before="60" w:after="60"/>
              <w:rPr>
                <w:rFonts w:cs="Arial"/>
                <w:color w:val="000000" w:themeColor="text1"/>
                <w:sz w:val="20"/>
                <w:szCs w:val="20"/>
              </w:rPr>
            </w:pPr>
            <w:r w:rsidRPr="00492E6F">
              <w:rPr>
                <w:rFonts w:cs="Arial"/>
                <w:color w:val="000000" w:themeColor="text1"/>
                <w:sz w:val="20"/>
                <w:szCs w:val="20"/>
              </w:rPr>
              <w:t>CR 2024/6</w:t>
            </w:r>
          </w:p>
        </w:tc>
        <w:tc>
          <w:tcPr>
            <w:tcW w:w="3686" w:type="dxa"/>
            <w:tcBorders>
              <w:top w:val="single" w:sz="6" w:space="0" w:color="auto"/>
              <w:left w:val="single" w:sz="6" w:space="0" w:color="auto"/>
              <w:bottom w:val="single" w:sz="6" w:space="0" w:color="auto"/>
              <w:right w:val="single" w:sz="6" w:space="0" w:color="auto"/>
            </w:tcBorders>
          </w:tcPr>
          <w:p w14:paraId="12096541" w14:textId="133DEAC6" w:rsidR="00A47E4F" w:rsidRPr="00492E6F" w:rsidRDefault="000F0DB1" w:rsidP="00A47E4F">
            <w:pPr>
              <w:spacing w:before="60" w:after="60"/>
              <w:rPr>
                <w:rFonts w:cs="Arial"/>
                <w:color w:val="000000" w:themeColor="text1"/>
                <w:sz w:val="20"/>
                <w:szCs w:val="20"/>
              </w:rPr>
            </w:pPr>
            <w:proofErr w:type="spellStart"/>
            <w:r w:rsidRPr="00492E6F">
              <w:rPr>
                <w:rFonts w:cs="Arial"/>
                <w:color w:val="000000" w:themeColor="text1"/>
                <w:sz w:val="20"/>
                <w:szCs w:val="20"/>
              </w:rPr>
              <w:t>Healthia</w:t>
            </w:r>
            <w:proofErr w:type="spellEnd"/>
            <w:r w:rsidR="00A47E4F" w:rsidRPr="00492E6F">
              <w:rPr>
                <w:rFonts w:cs="Arial"/>
                <w:color w:val="000000" w:themeColor="text1"/>
                <w:sz w:val="20"/>
                <w:szCs w:val="20"/>
              </w:rPr>
              <w:t xml:space="preserve"> Limited – </w:t>
            </w:r>
            <w:r w:rsidR="007F3630">
              <w:rPr>
                <w:rFonts w:cs="Arial"/>
                <w:color w:val="000000" w:themeColor="text1"/>
                <w:sz w:val="20"/>
                <w:szCs w:val="20"/>
              </w:rPr>
              <w:t>s</w:t>
            </w:r>
            <w:r w:rsidRPr="00492E6F">
              <w:rPr>
                <w:rFonts w:cs="Arial"/>
                <w:color w:val="000000" w:themeColor="text1"/>
                <w:sz w:val="20"/>
                <w:szCs w:val="20"/>
              </w:rPr>
              <w:t xml:space="preserve">cheme of </w:t>
            </w:r>
            <w:r w:rsidR="007F3630">
              <w:rPr>
                <w:rFonts w:cs="Arial"/>
                <w:color w:val="000000" w:themeColor="text1"/>
                <w:sz w:val="20"/>
                <w:szCs w:val="20"/>
              </w:rPr>
              <w:t>a</w:t>
            </w:r>
            <w:r w:rsidRPr="00492E6F">
              <w:rPr>
                <w:rFonts w:cs="Arial"/>
                <w:color w:val="000000" w:themeColor="text1"/>
                <w:sz w:val="20"/>
                <w:szCs w:val="20"/>
              </w:rPr>
              <w:t>rrangement</w:t>
            </w:r>
          </w:p>
        </w:tc>
        <w:tc>
          <w:tcPr>
            <w:tcW w:w="4253" w:type="dxa"/>
            <w:tcBorders>
              <w:top w:val="single" w:sz="6" w:space="0" w:color="auto"/>
              <w:left w:val="single" w:sz="6" w:space="0" w:color="auto"/>
              <w:bottom w:val="single" w:sz="6" w:space="0" w:color="auto"/>
              <w:right w:val="single" w:sz="6" w:space="0" w:color="auto"/>
            </w:tcBorders>
          </w:tcPr>
          <w:p w14:paraId="4E457B85" w14:textId="51D0B3A0" w:rsidR="00A47E4F" w:rsidRPr="00492E6F" w:rsidRDefault="00A47E4F" w:rsidP="00A47E4F">
            <w:pPr>
              <w:spacing w:before="60" w:after="60"/>
              <w:rPr>
                <w:color w:val="000000" w:themeColor="text1"/>
                <w:sz w:val="20"/>
                <w:szCs w:val="20"/>
              </w:rPr>
            </w:pPr>
            <w:r w:rsidRPr="00492E6F">
              <w:rPr>
                <w:color w:val="000000" w:themeColor="text1"/>
                <w:sz w:val="20"/>
                <w:szCs w:val="20"/>
              </w:rPr>
              <w:t xml:space="preserve">This Ruling sets out the income tax consequences for </w:t>
            </w:r>
            <w:proofErr w:type="spellStart"/>
            <w:r w:rsidR="000F0DB1" w:rsidRPr="00492E6F">
              <w:rPr>
                <w:color w:val="000000" w:themeColor="text1"/>
                <w:sz w:val="20"/>
                <w:szCs w:val="20"/>
              </w:rPr>
              <w:t>Healthia</w:t>
            </w:r>
            <w:proofErr w:type="spellEnd"/>
            <w:r w:rsidR="000F0DB1" w:rsidRPr="00492E6F">
              <w:rPr>
                <w:color w:val="000000" w:themeColor="text1"/>
                <w:sz w:val="20"/>
                <w:szCs w:val="20"/>
              </w:rPr>
              <w:t xml:space="preserve"> Limited shareholders who exchanged their </w:t>
            </w:r>
            <w:proofErr w:type="spellStart"/>
            <w:r w:rsidR="000F0DB1" w:rsidRPr="00492E6F">
              <w:rPr>
                <w:color w:val="000000" w:themeColor="text1"/>
                <w:sz w:val="20"/>
                <w:szCs w:val="20"/>
              </w:rPr>
              <w:t>Healthia</w:t>
            </w:r>
            <w:proofErr w:type="spellEnd"/>
            <w:r w:rsidRPr="00492E6F">
              <w:rPr>
                <w:color w:val="000000" w:themeColor="text1"/>
                <w:sz w:val="20"/>
                <w:szCs w:val="20"/>
              </w:rPr>
              <w:t xml:space="preserve"> shares </w:t>
            </w:r>
            <w:r w:rsidR="000F0DB1" w:rsidRPr="00492E6F">
              <w:rPr>
                <w:color w:val="000000" w:themeColor="text1"/>
                <w:sz w:val="20"/>
                <w:szCs w:val="20"/>
              </w:rPr>
              <w:t>on 11 December 2023 for Class B shares in Harold Topco Ltd, by way of a scheme of arrangement</w:t>
            </w:r>
            <w:r w:rsidRPr="00492E6F">
              <w:rPr>
                <w:color w:val="000000" w:themeColor="text1"/>
                <w:sz w:val="20"/>
                <w:szCs w:val="20"/>
              </w:rPr>
              <w:t>.</w:t>
            </w:r>
          </w:p>
          <w:p w14:paraId="0D7E186D" w14:textId="5AA0737C" w:rsidR="00A47E4F" w:rsidRPr="00492E6F" w:rsidRDefault="00A47E4F" w:rsidP="00A47E4F">
            <w:pPr>
              <w:spacing w:before="60" w:after="60"/>
              <w:rPr>
                <w:color w:val="000000" w:themeColor="text1"/>
                <w:sz w:val="20"/>
                <w:szCs w:val="20"/>
              </w:rPr>
            </w:pPr>
            <w:r w:rsidRPr="00492E6F">
              <w:rPr>
                <w:color w:val="000000" w:themeColor="text1"/>
                <w:sz w:val="20"/>
                <w:szCs w:val="20"/>
              </w:rPr>
              <w:t>The Ruling applies from 1 July 2023 to 30 June 2024.</w:t>
            </w:r>
          </w:p>
        </w:tc>
      </w:tr>
    </w:tbl>
    <w:p w14:paraId="71496C31" w14:textId="77777777" w:rsidR="0087097B" w:rsidRPr="00EB58D4" w:rsidRDefault="0087097B" w:rsidP="00E45A56">
      <w:pPr>
        <w:spacing w:after="60"/>
        <w:rPr>
          <w:sz w:val="18"/>
          <w:szCs w:val="18"/>
        </w:rPr>
      </w:pPr>
    </w:p>
    <w:sectPr w:rsidR="0087097B" w:rsidRPr="00EB58D4"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187C" w14:textId="77777777" w:rsidR="00114CB2" w:rsidRDefault="00114CB2" w:rsidP="003A707F">
      <w:pPr>
        <w:spacing w:after="0"/>
      </w:pPr>
      <w:r>
        <w:separator/>
      </w:r>
    </w:p>
  </w:endnote>
  <w:endnote w:type="continuationSeparator" w:id="0">
    <w:p w14:paraId="1DA9CA9C" w14:textId="77777777"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0912B" w14:textId="77777777" w:rsidR="00114CB2" w:rsidRDefault="00114CB2" w:rsidP="003A707F">
      <w:pPr>
        <w:spacing w:after="0"/>
      </w:pPr>
      <w:r>
        <w:separator/>
      </w:r>
    </w:p>
  </w:footnote>
  <w:footnote w:type="continuationSeparator" w:id="0">
    <w:p w14:paraId="77115E5F" w14:textId="77777777" w:rsidR="00114CB2" w:rsidRDefault="00114CB2" w:rsidP="003A7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5AA3" w14:textId="77777777" w:rsidR="00114CB2" w:rsidRPr="003A707F" w:rsidRDefault="00114CB2" w:rsidP="00F40885">
    <w:pPr>
      <w:pStyle w:val="Header"/>
      <w:rPr>
        <w:sz w:val="2"/>
        <w:szCs w:val="2"/>
      </w:rPr>
    </w:pPr>
  </w:p>
  <w:p w14:paraId="6B6CD8FB" w14:textId="77777777" w:rsidR="00114CB2" w:rsidRPr="00F40885" w:rsidRDefault="00114CB2">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83A06"/>
    <w:multiLevelType w:val="hybridMultilevel"/>
    <w:tmpl w:val="7C3A501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57945D4"/>
    <w:multiLevelType w:val="hybridMultilevel"/>
    <w:tmpl w:val="2D8E0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16cid:durableId="1197621709">
    <w:abstractNumId w:val="2"/>
  </w:num>
  <w:num w:numId="2" w16cid:durableId="176577212">
    <w:abstractNumId w:val="0"/>
  </w:num>
  <w:num w:numId="3" w16cid:durableId="14076035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hideSpellingErrors/>
  <w:hideGrammaticalErrors/>
  <w:proofState w:spelling="clean" w:grammar="clean"/>
  <w:documentProtection w:edit="forms" w:enforcement="0"/>
  <w:defaultTabStop w:val="720"/>
  <w:characterSpacingControl w:val="doNotCompress"/>
  <w:hdrShapeDefaults>
    <o:shapedefaults v:ext="edit" spidmax="190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07360"/>
    <w:rsid w:val="00051432"/>
    <w:rsid w:val="00071777"/>
    <w:rsid w:val="00072705"/>
    <w:rsid w:val="00084784"/>
    <w:rsid w:val="000970F2"/>
    <w:rsid w:val="000B28A8"/>
    <w:rsid w:val="000D1D43"/>
    <w:rsid w:val="000E02CE"/>
    <w:rsid w:val="000E1F2B"/>
    <w:rsid w:val="000E5D61"/>
    <w:rsid w:val="000F0DB1"/>
    <w:rsid w:val="00105CCA"/>
    <w:rsid w:val="00114CB2"/>
    <w:rsid w:val="00141674"/>
    <w:rsid w:val="00151647"/>
    <w:rsid w:val="00160BA0"/>
    <w:rsid w:val="00162794"/>
    <w:rsid w:val="00171921"/>
    <w:rsid w:val="00174BD4"/>
    <w:rsid w:val="00180A9A"/>
    <w:rsid w:val="001C2AAD"/>
    <w:rsid w:val="001C3060"/>
    <w:rsid w:val="001E062D"/>
    <w:rsid w:val="001F30A0"/>
    <w:rsid w:val="001F6733"/>
    <w:rsid w:val="001F6E54"/>
    <w:rsid w:val="0020000F"/>
    <w:rsid w:val="00212459"/>
    <w:rsid w:val="00237961"/>
    <w:rsid w:val="00257336"/>
    <w:rsid w:val="00276144"/>
    <w:rsid w:val="00276FAE"/>
    <w:rsid w:val="00280BCD"/>
    <w:rsid w:val="002843FD"/>
    <w:rsid w:val="002C0CCE"/>
    <w:rsid w:val="002C1614"/>
    <w:rsid w:val="002C7B06"/>
    <w:rsid w:val="002D493C"/>
    <w:rsid w:val="002E1A8C"/>
    <w:rsid w:val="002E3208"/>
    <w:rsid w:val="002F3FFB"/>
    <w:rsid w:val="00304E50"/>
    <w:rsid w:val="00325B6B"/>
    <w:rsid w:val="00335AB1"/>
    <w:rsid w:val="003551C8"/>
    <w:rsid w:val="0036599C"/>
    <w:rsid w:val="00372678"/>
    <w:rsid w:val="00394E1E"/>
    <w:rsid w:val="0039702D"/>
    <w:rsid w:val="003A0276"/>
    <w:rsid w:val="003A707F"/>
    <w:rsid w:val="003B0EC1"/>
    <w:rsid w:val="003B573B"/>
    <w:rsid w:val="003D05C0"/>
    <w:rsid w:val="003F2CBD"/>
    <w:rsid w:val="00402A68"/>
    <w:rsid w:val="00413DA1"/>
    <w:rsid w:val="004242FC"/>
    <w:rsid w:val="00424B97"/>
    <w:rsid w:val="004453CF"/>
    <w:rsid w:val="00456620"/>
    <w:rsid w:val="00475FF1"/>
    <w:rsid w:val="00492E6F"/>
    <w:rsid w:val="004B1588"/>
    <w:rsid w:val="004B2753"/>
    <w:rsid w:val="004C5A5D"/>
    <w:rsid w:val="004D6052"/>
    <w:rsid w:val="004E56BF"/>
    <w:rsid w:val="004E672E"/>
    <w:rsid w:val="00517DF8"/>
    <w:rsid w:val="00520873"/>
    <w:rsid w:val="005238F7"/>
    <w:rsid w:val="0053511E"/>
    <w:rsid w:val="005501BC"/>
    <w:rsid w:val="00573D44"/>
    <w:rsid w:val="00584C92"/>
    <w:rsid w:val="0058754D"/>
    <w:rsid w:val="00591D51"/>
    <w:rsid w:val="005A77FC"/>
    <w:rsid w:val="005B3569"/>
    <w:rsid w:val="005D61EA"/>
    <w:rsid w:val="005D7EFC"/>
    <w:rsid w:val="005E7AE5"/>
    <w:rsid w:val="00616661"/>
    <w:rsid w:val="00622E61"/>
    <w:rsid w:val="006234C3"/>
    <w:rsid w:val="00636F01"/>
    <w:rsid w:val="00646143"/>
    <w:rsid w:val="006479F6"/>
    <w:rsid w:val="006539A6"/>
    <w:rsid w:val="006937A0"/>
    <w:rsid w:val="006946BE"/>
    <w:rsid w:val="006A0B1F"/>
    <w:rsid w:val="006B1A9D"/>
    <w:rsid w:val="006B38CC"/>
    <w:rsid w:val="006B61D3"/>
    <w:rsid w:val="006D66A7"/>
    <w:rsid w:val="006F12E6"/>
    <w:rsid w:val="007075B1"/>
    <w:rsid w:val="00713E66"/>
    <w:rsid w:val="007140D2"/>
    <w:rsid w:val="007569CE"/>
    <w:rsid w:val="007637CF"/>
    <w:rsid w:val="00773255"/>
    <w:rsid w:val="00783566"/>
    <w:rsid w:val="00792582"/>
    <w:rsid w:val="00793D58"/>
    <w:rsid w:val="007C490F"/>
    <w:rsid w:val="007D2640"/>
    <w:rsid w:val="007D41FB"/>
    <w:rsid w:val="007E2CA6"/>
    <w:rsid w:val="007F191A"/>
    <w:rsid w:val="007F3630"/>
    <w:rsid w:val="007F47F3"/>
    <w:rsid w:val="00804121"/>
    <w:rsid w:val="00827D16"/>
    <w:rsid w:val="00840A06"/>
    <w:rsid w:val="008439B7"/>
    <w:rsid w:val="008467D1"/>
    <w:rsid w:val="00851B19"/>
    <w:rsid w:val="00851F51"/>
    <w:rsid w:val="00862E51"/>
    <w:rsid w:val="008639C6"/>
    <w:rsid w:val="0087097B"/>
    <w:rsid w:val="0087253F"/>
    <w:rsid w:val="00873E5F"/>
    <w:rsid w:val="00874074"/>
    <w:rsid w:val="00874399"/>
    <w:rsid w:val="00886FC3"/>
    <w:rsid w:val="00893D7A"/>
    <w:rsid w:val="008A25CE"/>
    <w:rsid w:val="008A414E"/>
    <w:rsid w:val="008D0A06"/>
    <w:rsid w:val="008D17C9"/>
    <w:rsid w:val="008D30A5"/>
    <w:rsid w:val="008E4F6C"/>
    <w:rsid w:val="00910AC7"/>
    <w:rsid w:val="00916ADC"/>
    <w:rsid w:val="00930E40"/>
    <w:rsid w:val="0094219E"/>
    <w:rsid w:val="00943B8D"/>
    <w:rsid w:val="009539C7"/>
    <w:rsid w:val="0095650D"/>
    <w:rsid w:val="00963963"/>
    <w:rsid w:val="009641EC"/>
    <w:rsid w:val="00995840"/>
    <w:rsid w:val="009D1CB0"/>
    <w:rsid w:val="009D6AA1"/>
    <w:rsid w:val="009F07E1"/>
    <w:rsid w:val="009F72D9"/>
    <w:rsid w:val="00A00F21"/>
    <w:rsid w:val="00A10A8C"/>
    <w:rsid w:val="00A14AE1"/>
    <w:rsid w:val="00A4113A"/>
    <w:rsid w:val="00A41F5C"/>
    <w:rsid w:val="00A47D2C"/>
    <w:rsid w:val="00A47E4F"/>
    <w:rsid w:val="00A60CE8"/>
    <w:rsid w:val="00A729A0"/>
    <w:rsid w:val="00A75B9B"/>
    <w:rsid w:val="00A82066"/>
    <w:rsid w:val="00A83BCC"/>
    <w:rsid w:val="00A85D11"/>
    <w:rsid w:val="00A9541B"/>
    <w:rsid w:val="00AD0943"/>
    <w:rsid w:val="00AE1163"/>
    <w:rsid w:val="00AE64B6"/>
    <w:rsid w:val="00B04E06"/>
    <w:rsid w:val="00B05622"/>
    <w:rsid w:val="00B10857"/>
    <w:rsid w:val="00B1254B"/>
    <w:rsid w:val="00B211EA"/>
    <w:rsid w:val="00B216AF"/>
    <w:rsid w:val="00B4706B"/>
    <w:rsid w:val="00B4789B"/>
    <w:rsid w:val="00B6495D"/>
    <w:rsid w:val="00B72DF8"/>
    <w:rsid w:val="00B84226"/>
    <w:rsid w:val="00BB4D13"/>
    <w:rsid w:val="00BC0E22"/>
    <w:rsid w:val="00BC26BC"/>
    <w:rsid w:val="00BC3F4D"/>
    <w:rsid w:val="00BC5467"/>
    <w:rsid w:val="00BE2C61"/>
    <w:rsid w:val="00BE35F3"/>
    <w:rsid w:val="00BE3600"/>
    <w:rsid w:val="00BF2DF1"/>
    <w:rsid w:val="00C22D0C"/>
    <w:rsid w:val="00C26E41"/>
    <w:rsid w:val="00C33FB6"/>
    <w:rsid w:val="00C51D3C"/>
    <w:rsid w:val="00C63C4E"/>
    <w:rsid w:val="00C6757F"/>
    <w:rsid w:val="00C92A0E"/>
    <w:rsid w:val="00C92E6D"/>
    <w:rsid w:val="00CA77E9"/>
    <w:rsid w:val="00CF7558"/>
    <w:rsid w:val="00D27F4D"/>
    <w:rsid w:val="00D4639E"/>
    <w:rsid w:val="00D61839"/>
    <w:rsid w:val="00D77A88"/>
    <w:rsid w:val="00D8538D"/>
    <w:rsid w:val="00DA5918"/>
    <w:rsid w:val="00DA6712"/>
    <w:rsid w:val="00DC142B"/>
    <w:rsid w:val="00DD63D9"/>
    <w:rsid w:val="00E111E4"/>
    <w:rsid w:val="00E11D4B"/>
    <w:rsid w:val="00E17ED8"/>
    <w:rsid w:val="00E45A56"/>
    <w:rsid w:val="00E468D7"/>
    <w:rsid w:val="00E5306A"/>
    <w:rsid w:val="00E6384F"/>
    <w:rsid w:val="00E71E90"/>
    <w:rsid w:val="00E823AE"/>
    <w:rsid w:val="00E84708"/>
    <w:rsid w:val="00E856D7"/>
    <w:rsid w:val="00E9386A"/>
    <w:rsid w:val="00E93891"/>
    <w:rsid w:val="00EB0EA8"/>
    <w:rsid w:val="00EB3C1D"/>
    <w:rsid w:val="00EB58D4"/>
    <w:rsid w:val="00EB5CFD"/>
    <w:rsid w:val="00EB77BB"/>
    <w:rsid w:val="00ED2E52"/>
    <w:rsid w:val="00F05324"/>
    <w:rsid w:val="00F14519"/>
    <w:rsid w:val="00F232E7"/>
    <w:rsid w:val="00F278A7"/>
    <w:rsid w:val="00F40885"/>
    <w:rsid w:val="00F44FF5"/>
    <w:rsid w:val="00F62A39"/>
    <w:rsid w:val="00F71461"/>
    <w:rsid w:val="00F831F5"/>
    <w:rsid w:val="00F847E2"/>
    <w:rsid w:val="00F90BD0"/>
    <w:rsid w:val="00F934BE"/>
    <w:rsid w:val="00F957F0"/>
    <w:rsid w:val="00F95869"/>
    <w:rsid w:val="00FA0A9F"/>
    <w:rsid w:val="00FA3043"/>
    <w:rsid w:val="00FC16C8"/>
    <w:rsid w:val="00FC1DCD"/>
    <w:rsid w:val="00FC3007"/>
    <w:rsid w:val="00FF0119"/>
    <w:rsid w:val="00FF03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190465"/>
    <o:shapelayout v:ext="edit">
      <o:idmap v:ext="edit" data="1"/>
    </o:shapelayout>
  </w:shapeDefaults>
  <w:decimalSymbol w:val="."/>
  <w:listSeparator w:val=","/>
  <w14:docId w14:val="06AC0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CommentReference">
    <w:name w:val="annotation reference"/>
    <w:basedOn w:val="DefaultParagraphFont"/>
    <w:uiPriority w:val="99"/>
    <w:semiHidden/>
    <w:unhideWhenUsed/>
    <w:rsid w:val="00BE2C61"/>
    <w:rPr>
      <w:sz w:val="16"/>
      <w:szCs w:val="16"/>
    </w:rPr>
  </w:style>
  <w:style w:type="paragraph" w:styleId="CommentText">
    <w:name w:val="annotation text"/>
    <w:basedOn w:val="Normal"/>
    <w:link w:val="CommentTextChar"/>
    <w:uiPriority w:val="99"/>
    <w:semiHidden/>
    <w:unhideWhenUsed/>
    <w:rsid w:val="00BE2C61"/>
    <w:rPr>
      <w:sz w:val="20"/>
      <w:szCs w:val="20"/>
    </w:rPr>
  </w:style>
  <w:style w:type="character" w:customStyle="1" w:styleId="CommentTextChar">
    <w:name w:val="Comment Text Char"/>
    <w:basedOn w:val="DefaultParagraphFont"/>
    <w:link w:val="CommentText"/>
    <w:uiPriority w:val="99"/>
    <w:semiHidden/>
    <w:rsid w:val="00BE2C61"/>
    <w:rPr>
      <w:rFonts w:ascii="Arial" w:hAnsi="Arial"/>
      <w:sz w:val="20"/>
      <w:szCs w:val="20"/>
      <w:lang w:eastAsia="en-US"/>
    </w:rPr>
  </w:style>
  <w:style w:type="paragraph" w:styleId="CommentSubject">
    <w:name w:val="annotation subject"/>
    <w:basedOn w:val="CommentText"/>
    <w:next w:val="CommentText"/>
    <w:link w:val="CommentSubjectChar"/>
    <w:uiPriority w:val="99"/>
    <w:semiHidden/>
    <w:unhideWhenUsed/>
    <w:rsid w:val="00BE2C61"/>
    <w:rPr>
      <w:b/>
      <w:bCs/>
    </w:rPr>
  </w:style>
  <w:style w:type="character" w:customStyle="1" w:styleId="CommentSubjectChar">
    <w:name w:val="Comment Subject Char"/>
    <w:basedOn w:val="CommentTextChar"/>
    <w:link w:val="CommentSubject"/>
    <w:uiPriority w:val="99"/>
    <w:semiHidden/>
    <w:rsid w:val="00BE2C61"/>
    <w:rPr>
      <w:rFonts w:ascii="Arial" w:hAnsi="Arial"/>
      <w:b/>
      <w:bCs/>
      <w:sz w:val="20"/>
      <w:szCs w:val="20"/>
      <w:lang w:eastAsia="en-US"/>
    </w:rPr>
  </w:style>
  <w:style w:type="character" w:styleId="FollowedHyperlink">
    <w:name w:val="FollowedHyperlink"/>
    <w:basedOn w:val="DefaultParagraphFont"/>
    <w:uiPriority w:val="99"/>
    <w:semiHidden/>
    <w:unhideWhenUsed/>
    <w:rsid w:val="009D1CB0"/>
    <w:rPr>
      <w:color w:val="800080" w:themeColor="followedHyperlink"/>
      <w:u w:val="single"/>
    </w:rPr>
  </w:style>
  <w:style w:type="paragraph" w:styleId="Revision">
    <w:name w:val="Revision"/>
    <w:hidden/>
    <w:uiPriority w:val="99"/>
    <w:semiHidden/>
    <w:rsid w:val="00A10A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0689">
      <w:bodyDiv w:val="1"/>
      <w:marLeft w:val="0"/>
      <w:marRight w:val="0"/>
      <w:marTop w:val="0"/>
      <w:marBottom w:val="0"/>
      <w:divBdr>
        <w:top w:val="none" w:sz="0" w:space="0" w:color="auto"/>
        <w:left w:val="none" w:sz="0" w:space="0" w:color="auto"/>
        <w:bottom w:val="none" w:sz="0" w:space="0" w:color="auto"/>
        <w:right w:val="none" w:sz="0" w:space="0" w:color="auto"/>
      </w:divBdr>
    </w:div>
    <w:div w:id="141193991">
      <w:bodyDiv w:val="1"/>
      <w:marLeft w:val="0"/>
      <w:marRight w:val="0"/>
      <w:marTop w:val="0"/>
      <w:marBottom w:val="0"/>
      <w:divBdr>
        <w:top w:val="none" w:sz="0" w:space="0" w:color="auto"/>
        <w:left w:val="none" w:sz="0" w:space="0" w:color="auto"/>
        <w:bottom w:val="none" w:sz="0" w:space="0" w:color="auto"/>
        <w:right w:val="none" w:sz="0" w:space="0" w:color="auto"/>
      </w:divBdr>
    </w:div>
    <w:div w:id="268239506">
      <w:bodyDiv w:val="1"/>
      <w:marLeft w:val="0"/>
      <w:marRight w:val="0"/>
      <w:marTop w:val="0"/>
      <w:marBottom w:val="0"/>
      <w:divBdr>
        <w:top w:val="none" w:sz="0" w:space="0" w:color="auto"/>
        <w:left w:val="none" w:sz="0" w:space="0" w:color="auto"/>
        <w:bottom w:val="none" w:sz="0" w:space="0" w:color="auto"/>
        <w:right w:val="none" w:sz="0" w:space="0" w:color="auto"/>
      </w:divBdr>
    </w:div>
    <w:div w:id="347021305">
      <w:bodyDiv w:val="1"/>
      <w:marLeft w:val="0"/>
      <w:marRight w:val="0"/>
      <w:marTop w:val="0"/>
      <w:marBottom w:val="0"/>
      <w:divBdr>
        <w:top w:val="none" w:sz="0" w:space="0" w:color="auto"/>
        <w:left w:val="none" w:sz="0" w:space="0" w:color="auto"/>
        <w:bottom w:val="none" w:sz="0" w:space="0" w:color="auto"/>
        <w:right w:val="none" w:sz="0" w:space="0" w:color="auto"/>
      </w:divBdr>
    </w:div>
    <w:div w:id="485125241">
      <w:bodyDiv w:val="1"/>
      <w:marLeft w:val="0"/>
      <w:marRight w:val="0"/>
      <w:marTop w:val="0"/>
      <w:marBottom w:val="0"/>
      <w:divBdr>
        <w:top w:val="none" w:sz="0" w:space="0" w:color="auto"/>
        <w:left w:val="none" w:sz="0" w:space="0" w:color="auto"/>
        <w:bottom w:val="none" w:sz="0" w:space="0" w:color="auto"/>
        <w:right w:val="none" w:sz="0" w:space="0" w:color="auto"/>
      </w:divBdr>
    </w:div>
    <w:div w:id="522474549">
      <w:bodyDiv w:val="1"/>
      <w:marLeft w:val="0"/>
      <w:marRight w:val="0"/>
      <w:marTop w:val="0"/>
      <w:marBottom w:val="0"/>
      <w:divBdr>
        <w:top w:val="none" w:sz="0" w:space="0" w:color="auto"/>
        <w:left w:val="none" w:sz="0" w:space="0" w:color="auto"/>
        <w:bottom w:val="none" w:sz="0" w:space="0" w:color="auto"/>
        <w:right w:val="none" w:sz="0" w:space="0" w:color="auto"/>
      </w:divBdr>
    </w:div>
    <w:div w:id="759521024">
      <w:bodyDiv w:val="1"/>
      <w:marLeft w:val="0"/>
      <w:marRight w:val="0"/>
      <w:marTop w:val="0"/>
      <w:marBottom w:val="0"/>
      <w:divBdr>
        <w:top w:val="none" w:sz="0" w:space="0" w:color="auto"/>
        <w:left w:val="none" w:sz="0" w:space="0" w:color="auto"/>
        <w:bottom w:val="none" w:sz="0" w:space="0" w:color="auto"/>
        <w:right w:val="none" w:sz="0" w:space="0" w:color="auto"/>
      </w:divBdr>
    </w:div>
    <w:div w:id="973369356">
      <w:bodyDiv w:val="1"/>
      <w:marLeft w:val="0"/>
      <w:marRight w:val="0"/>
      <w:marTop w:val="0"/>
      <w:marBottom w:val="0"/>
      <w:divBdr>
        <w:top w:val="none" w:sz="0" w:space="0" w:color="auto"/>
        <w:left w:val="none" w:sz="0" w:space="0" w:color="auto"/>
        <w:bottom w:val="none" w:sz="0" w:space="0" w:color="auto"/>
        <w:right w:val="none" w:sz="0" w:space="0" w:color="auto"/>
      </w:divBdr>
    </w:div>
    <w:div w:id="995887639">
      <w:bodyDiv w:val="1"/>
      <w:marLeft w:val="0"/>
      <w:marRight w:val="0"/>
      <w:marTop w:val="0"/>
      <w:marBottom w:val="0"/>
      <w:divBdr>
        <w:top w:val="none" w:sz="0" w:space="0" w:color="auto"/>
        <w:left w:val="none" w:sz="0" w:space="0" w:color="auto"/>
        <w:bottom w:val="none" w:sz="0" w:space="0" w:color="auto"/>
        <w:right w:val="none" w:sz="0" w:space="0" w:color="auto"/>
      </w:divBdr>
    </w:div>
    <w:div w:id="1318539116">
      <w:bodyDiv w:val="1"/>
      <w:marLeft w:val="0"/>
      <w:marRight w:val="0"/>
      <w:marTop w:val="0"/>
      <w:marBottom w:val="0"/>
      <w:divBdr>
        <w:top w:val="none" w:sz="0" w:space="0" w:color="auto"/>
        <w:left w:val="none" w:sz="0" w:space="0" w:color="auto"/>
        <w:bottom w:val="none" w:sz="0" w:space="0" w:color="auto"/>
        <w:right w:val="none" w:sz="0" w:space="0" w:color="auto"/>
      </w:divBdr>
    </w:div>
    <w:div w:id="1327780788">
      <w:bodyDiv w:val="1"/>
      <w:marLeft w:val="0"/>
      <w:marRight w:val="0"/>
      <w:marTop w:val="0"/>
      <w:marBottom w:val="0"/>
      <w:divBdr>
        <w:top w:val="none" w:sz="0" w:space="0" w:color="auto"/>
        <w:left w:val="none" w:sz="0" w:space="0" w:color="auto"/>
        <w:bottom w:val="none" w:sz="0" w:space="0" w:color="auto"/>
        <w:right w:val="none" w:sz="0" w:space="0" w:color="auto"/>
      </w:divBdr>
    </w:div>
    <w:div w:id="1375496538">
      <w:bodyDiv w:val="1"/>
      <w:marLeft w:val="0"/>
      <w:marRight w:val="0"/>
      <w:marTop w:val="0"/>
      <w:marBottom w:val="0"/>
      <w:divBdr>
        <w:top w:val="none" w:sz="0" w:space="0" w:color="auto"/>
        <w:left w:val="none" w:sz="0" w:space="0" w:color="auto"/>
        <w:bottom w:val="none" w:sz="0" w:space="0" w:color="auto"/>
        <w:right w:val="none" w:sz="0" w:space="0" w:color="auto"/>
      </w:divBdr>
    </w:div>
    <w:div w:id="1443111627">
      <w:bodyDiv w:val="1"/>
      <w:marLeft w:val="0"/>
      <w:marRight w:val="0"/>
      <w:marTop w:val="0"/>
      <w:marBottom w:val="0"/>
      <w:divBdr>
        <w:top w:val="none" w:sz="0" w:space="0" w:color="auto"/>
        <w:left w:val="none" w:sz="0" w:space="0" w:color="auto"/>
        <w:bottom w:val="none" w:sz="0" w:space="0" w:color="auto"/>
        <w:right w:val="none" w:sz="0" w:space="0" w:color="auto"/>
      </w:divBdr>
    </w:div>
    <w:div w:id="1453213074">
      <w:bodyDiv w:val="1"/>
      <w:marLeft w:val="0"/>
      <w:marRight w:val="0"/>
      <w:marTop w:val="0"/>
      <w:marBottom w:val="0"/>
      <w:divBdr>
        <w:top w:val="none" w:sz="0" w:space="0" w:color="auto"/>
        <w:left w:val="none" w:sz="0" w:space="0" w:color="auto"/>
        <w:bottom w:val="none" w:sz="0" w:space="0" w:color="auto"/>
        <w:right w:val="none" w:sz="0" w:space="0" w:color="auto"/>
      </w:divBdr>
    </w:div>
    <w:div w:id="1499226494">
      <w:bodyDiv w:val="1"/>
      <w:marLeft w:val="0"/>
      <w:marRight w:val="0"/>
      <w:marTop w:val="0"/>
      <w:marBottom w:val="0"/>
      <w:divBdr>
        <w:top w:val="none" w:sz="0" w:space="0" w:color="auto"/>
        <w:left w:val="none" w:sz="0" w:space="0" w:color="auto"/>
        <w:bottom w:val="none" w:sz="0" w:space="0" w:color="auto"/>
        <w:right w:val="none" w:sz="0" w:space="0" w:color="auto"/>
      </w:divBdr>
    </w:div>
    <w:div w:id="1507672094">
      <w:bodyDiv w:val="1"/>
      <w:marLeft w:val="0"/>
      <w:marRight w:val="0"/>
      <w:marTop w:val="0"/>
      <w:marBottom w:val="0"/>
      <w:divBdr>
        <w:top w:val="none" w:sz="0" w:space="0" w:color="auto"/>
        <w:left w:val="none" w:sz="0" w:space="0" w:color="auto"/>
        <w:bottom w:val="none" w:sz="0" w:space="0" w:color="auto"/>
        <w:right w:val="none" w:sz="0" w:space="0" w:color="auto"/>
      </w:divBdr>
    </w:div>
    <w:div w:id="1915580224">
      <w:bodyDiv w:val="1"/>
      <w:marLeft w:val="0"/>
      <w:marRight w:val="0"/>
      <w:marTop w:val="0"/>
      <w:marBottom w:val="0"/>
      <w:divBdr>
        <w:top w:val="none" w:sz="0" w:space="0" w:color="auto"/>
        <w:left w:val="none" w:sz="0" w:space="0" w:color="auto"/>
        <w:bottom w:val="none" w:sz="0" w:space="0" w:color="auto"/>
        <w:right w:val="none" w:sz="0" w:space="0" w:color="auto"/>
      </w:divBdr>
    </w:div>
    <w:div w:id="1955020270">
      <w:bodyDiv w:val="1"/>
      <w:marLeft w:val="0"/>
      <w:marRight w:val="0"/>
      <w:marTop w:val="0"/>
      <w:marBottom w:val="0"/>
      <w:divBdr>
        <w:top w:val="none" w:sz="0" w:space="0" w:color="auto"/>
        <w:left w:val="none" w:sz="0" w:space="0" w:color="auto"/>
        <w:bottom w:val="none" w:sz="0" w:space="0" w:color="auto"/>
        <w:right w:val="none" w:sz="0" w:space="0" w:color="auto"/>
      </w:divBdr>
    </w:div>
    <w:div w:id="2011104997">
      <w:bodyDiv w:val="1"/>
      <w:marLeft w:val="0"/>
      <w:marRight w:val="0"/>
      <w:marTop w:val="0"/>
      <w:marBottom w:val="0"/>
      <w:divBdr>
        <w:top w:val="none" w:sz="0" w:space="0" w:color="auto"/>
        <w:left w:val="none" w:sz="0" w:space="0" w:color="auto"/>
        <w:bottom w:val="none" w:sz="0" w:space="0" w:color="auto"/>
        <w:right w:val="none" w:sz="0" w:space="0" w:color="auto"/>
      </w:divBdr>
    </w:div>
    <w:div w:id="21356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to.gov.au/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5E138-2C00-4357-B25A-463475C0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2024-01-17T05:31:00Z</dcterms:created>
  <dcterms:modified xsi:type="dcterms:W3CDTF">2024-01-25T00:19:00Z</dcterms:modified>
  <cp:category/>
</cp:coreProperties>
</file>