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21AFA98E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40B3BA27" w:rsidR="00086BF0" w:rsidRDefault="00BA21D9" w:rsidP="00086BF0">
      <w:pPr>
        <w:pStyle w:val="ShortT"/>
      </w:pPr>
      <w:r w:rsidRPr="00BA21D9">
        <w:t xml:space="preserve">Radiocommunications (Significant Event – </w:t>
      </w:r>
      <w:r w:rsidR="00DB6B93" w:rsidRPr="00DB6B93">
        <w:t>Australian Formula One Grand Prix</w:t>
      </w:r>
      <w:r w:rsidRPr="00BA21D9">
        <w:t>) Declaration 202</w:t>
      </w:r>
      <w:r w:rsidR="008A5DC3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C15DFA7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315F5">
        <w:rPr>
          <w:szCs w:val="22"/>
        </w:rPr>
        <w:t>declaration under subsection 54</w:t>
      </w:r>
      <w:proofErr w:type="gramStart"/>
      <w:r w:rsidR="00A315F5">
        <w:rPr>
          <w:szCs w:val="22"/>
        </w:rPr>
        <w:t>A(</w:t>
      </w:r>
      <w:proofErr w:type="gramEnd"/>
      <w:r w:rsidR="00A315F5">
        <w:rPr>
          <w:szCs w:val="22"/>
        </w:rPr>
        <w:t xml:space="preserve">2) of the </w:t>
      </w:r>
      <w:r w:rsidR="00A315F5" w:rsidRPr="00153FDC">
        <w:rPr>
          <w:i/>
          <w:iCs/>
          <w:szCs w:val="22"/>
        </w:rPr>
        <w:t>Radiocommunications Equipment (General) Rules 2021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2CC0A17B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A957BE">
        <w:rPr>
          <w:rFonts w:ascii="Times New Roman" w:hAnsi="Times New Roman" w:cs="Times New Roman"/>
        </w:rPr>
        <w:t xml:space="preserve"> 14</w:t>
      </w:r>
      <w:r w:rsidR="00A67186">
        <w:rPr>
          <w:rFonts w:ascii="Times New Roman" w:hAnsi="Times New Roman" w:cs="Times New Roman"/>
        </w:rPr>
        <w:t xml:space="preserve"> March 2024</w:t>
      </w:r>
    </w:p>
    <w:p w14:paraId="117DE181" w14:textId="77777777" w:rsidR="00B347CB" w:rsidRDefault="00B347CB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</w:p>
    <w:p w14:paraId="614B806F" w14:textId="0CDE9BE0" w:rsidR="003834B1" w:rsidRDefault="00BE489A" w:rsidP="00A67186">
      <w:pPr>
        <w:tabs>
          <w:tab w:val="left" w:pos="3119"/>
        </w:tabs>
        <w:spacing w:before="120" w:after="120" w:line="300" w:lineRule="atLeast"/>
        <w:ind w:right="374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Allan Major</w:t>
      </w:r>
    </w:p>
    <w:p w14:paraId="3359ECB1" w14:textId="3843F235" w:rsidR="00A67186" w:rsidRDefault="00A67186" w:rsidP="00A67186">
      <w:pPr>
        <w:tabs>
          <w:tab w:val="left" w:pos="3119"/>
        </w:tabs>
        <w:spacing w:before="120" w:after="12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bookmarkEnd w:id="1"/>
    <w:p w14:paraId="5F356EE0" w14:textId="7693C077" w:rsidR="00086BF0" w:rsidRDefault="00BE489A" w:rsidP="008466A1">
      <w:pPr>
        <w:tabs>
          <w:tab w:val="left" w:pos="3119"/>
        </w:tabs>
        <w:spacing w:before="12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Manager</w:t>
      </w:r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513B5AE1" w14:textId="77777777" w:rsidR="002435CD" w:rsidRDefault="002435CD" w:rsidP="002435CD">
      <w:pPr>
        <w:rPr>
          <w:rFonts w:ascii="Times New Roman" w:hAnsi="Times New Roman" w:cs="Times New Roman"/>
        </w:rPr>
      </w:pPr>
    </w:p>
    <w:p w14:paraId="1EFDD9FA" w14:textId="77777777" w:rsidR="00086BF0" w:rsidRDefault="00086BF0" w:rsidP="00056256">
      <w:pPr>
        <w:pStyle w:val="ActHead5"/>
        <w:ind w:left="0" w:firstLine="0"/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0BA01627" w14:textId="0C3E0FDF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DB6B93" w:rsidRPr="00DB6B93">
        <w:rPr>
          <w:i/>
          <w:iCs/>
        </w:rPr>
        <w:t>Radiocommunications (Significant Event – Australian Formula One Grand Prix) Declaration 2024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56A112A1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registered. </w:t>
      </w:r>
    </w:p>
    <w:p w14:paraId="795025ED" w14:textId="71E856D0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F9328D" w:rsidRPr="00F9328D">
        <w:t xml:space="preserve">This instrument is a notifiable instrument and is available, free of charge, from the Federal Register of Legislation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5CFE162F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02A9B" w:rsidRPr="00C02A9B">
        <w:t>subsection 54</w:t>
      </w:r>
      <w:proofErr w:type="gramStart"/>
      <w:r w:rsidR="00C02A9B" w:rsidRPr="00C02A9B">
        <w:t>A(</w:t>
      </w:r>
      <w:proofErr w:type="gramEnd"/>
      <w:r w:rsidR="00C02A9B" w:rsidRPr="00C02A9B">
        <w:t xml:space="preserve">2) of the </w:t>
      </w:r>
      <w:r w:rsidR="00C02A9B" w:rsidRPr="005F1B54">
        <w:rPr>
          <w:i/>
          <w:iCs/>
        </w:rPr>
        <w:t>Radiocommunications Equipment (General) Rules 2021</w:t>
      </w:r>
      <w:r w:rsidR="00C02A9B" w:rsidRPr="00C02A9B">
        <w:t xml:space="preserve">. </w:t>
      </w:r>
    </w:p>
    <w:p w14:paraId="616032F1" w14:textId="01B90E94" w:rsidR="00086BF0" w:rsidRDefault="0074735D" w:rsidP="005B34DF">
      <w:pPr>
        <w:pStyle w:val="ActHead5"/>
      </w:pPr>
      <w:bookmarkStart w:id="6" w:name="_Toc444596034"/>
      <w:proofErr w:type="gramStart"/>
      <w:r>
        <w:rPr>
          <w:rStyle w:val="CharSectno"/>
        </w:rPr>
        <w:lastRenderedPageBreak/>
        <w:t>4</w:t>
      </w:r>
      <w:r w:rsidR="00086BF0">
        <w:t xml:space="preserve">  Definitions</w:t>
      </w:r>
      <w:bookmarkEnd w:id="6"/>
      <w:proofErr w:type="gramEnd"/>
    </w:p>
    <w:p w14:paraId="428F2C2E" w14:textId="77777777" w:rsidR="00086BF0" w:rsidRDefault="00086BF0" w:rsidP="005B34DF">
      <w:pPr>
        <w:pStyle w:val="subsection"/>
        <w:keepNext/>
      </w:pPr>
      <w:r>
        <w:tab/>
      </w:r>
      <w:r>
        <w:tab/>
        <w:t>In this instrument:</w:t>
      </w:r>
    </w:p>
    <w:p w14:paraId="5590449C" w14:textId="5B556FF4" w:rsidR="00660CF3" w:rsidRDefault="00400973" w:rsidP="00086BF0">
      <w:pPr>
        <w:pStyle w:val="Definition"/>
        <w:rPr>
          <w:bCs/>
          <w:iCs/>
        </w:rPr>
      </w:pPr>
      <w:r w:rsidRPr="00400973">
        <w:rPr>
          <w:b/>
          <w:i/>
        </w:rPr>
        <w:t xml:space="preserve">Australian Formula One Grand Prix </w:t>
      </w:r>
      <w:r w:rsidR="00E34C85" w:rsidRPr="00660CF3">
        <w:rPr>
          <w:bCs/>
          <w:iCs/>
        </w:rPr>
        <w:t>has</w:t>
      </w:r>
      <w:r w:rsidR="008835E9" w:rsidRPr="008835E9">
        <w:rPr>
          <w:bCs/>
          <w:iCs/>
        </w:rPr>
        <w:t xml:space="preserve"> the meaning given to “Formula One event” in the </w:t>
      </w:r>
      <w:r w:rsidR="00E34C85" w:rsidRPr="00660CF3">
        <w:rPr>
          <w:bCs/>
          <w:i/>
        </w:rPr>
        <w:t>Australian Grand</w:t>
      </w:r>
      <w:r w:rsidR="00CD05EB">
        <w:rPr>
          <w:bCs/>
          <w:i/>
        </w:rPr>
        <w:t>s</w:t>
      </w:r>
      <w:r w:rsidR="00E34C85" w:rsidRPr="00660CF3">
        <w:rPr>
          <w:bCs/>
          <w:i/>
        </w:rPr>
        <w:t xml:space="preserve"> Prix Act 1994 </w:t>
      </w:r>
      <w:r w:rsidR="00E34C85" w:rsidRPr="00BB1C33">
        <w:rPr>
          <w:bCs/>
          <w:iCs/>
        </w:rPr>
        <w:t>(Vic)</w:t>
      </w:r>
      <w:r w:rsidR="00660CF3" w:rsidRPr="00BB1C33">
        <w:rPr>
          <w:bCs/>
          <w:iCs/>
        </w:rPr>
        <w:t>.</w:t>
      </w:r>
    </w:p>
    <w:p w14:paraId="698961E5" w14:textId="2854B5FA" w:rsidR="0074735D" w:rsidRPr="00914490" w:rsidRDefault="0074735D" w:rsidP="0074735D">
      <w:pPr>
        <w:pStyle w:val="Definition"/>
        <w:rPr>
          <w:bCs/>
          <w:iCs/>
        </w:rPr>
      </w:pPr>
      <w:r>
        <w:rPr>
          <w:b/>
          <w:i/>
        </w:rPr>
        <w:t xml:space="preserve">GDA94 </w:t>
      </w:r>
      <w:r w:rsidR="00A42B41" w:rsidRPr="00A42B41">
        <w:rPr>
          <w:bCs/>
          <w:iCs/>
        </w:rPr>
        <w:t xml:space="preserve">means the geodetic datum designated as the “Geocentric Datum of Australia (GDA)”, gazetted in the Commonwealth of Australia </w:t>
      </w:r>
      <w:r w:rsidR="00A42B41" w:rsidRPr="00A42B41">
        <w:rPr>
          <w:bCs/>
          <w:i/>
        </w:rPr>
        <w:t xml:space="preserve">Gazette </w:t>
      </w:r>
      <w:r w:rsidR="00A42B41" w:rsidRPr="00A42B41">
        <w:rPr>
          <w:bCs/>
          <w:iCs/>
        </w:rPr>
        <w:t>No. GN 35 on 6 September 1995, as existing on that date</w:t>
      </w:r>
      <w:r>
        <w:rPr>
          <w:bCs/>
          <w:iCs/>
        </w:rPr>
        <w:t>.</w:t>
      </w:r>
    </w:p>
    <w:p w14:paraId="7A406733" w14:textId="238439B3" w:rsidR="00086BF0" w:rsidRPr="00EE18B2" w:rsidRDefault="0074735D" w:rsidP="00EE18B2">
      <w:pPr>
        <w:pStyle w:val="notetext"/>
        <w:rPr>
          <w:bCs/>
          <w:iCs/>
        </w:rPr>
      </w:pPr>
      <w:r w:rsidRPr="00914490">
        <w:rPr>
          <w:bCs/>
          <w:iCs/>
        </w:rPr>
        <w:t>Note:</w:t>
      </w:r>
      <w:r w:rsidRPr="00914490">
        <w:rPr>
          <w:bCs/>
          <w:iCs/>
        </w:rPr>
        <w:tab/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hyperlink r:id="rId13" w:history="1">
        <w:r w:rsidRPr="00B565E0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 xml:space="preserve">. </w:t>
      </w:r>
    </w:p>
    <w:p w14:paraId="13C406F7" w14:textId="1906A276" w:rsidR="00086BF0" w:rsidRDefault="001E1EC0" w:rsidP="00086BF0">
      <w:pPr>
        <w:pStyle w:val="ActHead5"/>
      </w:pPr>
      <w:proofErr w:type="gramStart"/>
      <w:r>
        <w:t>5</w:t>
      </w:r>
      <w:r w:rsidR="00086BF0">
        <w:t xml:space="preserve">  </w:t>
      </w:r>
      <w:r w:rsidR="002C1818" w:rsidRPr="002C1818">
        <w:t>Declaration</w:t>
      </w:r>
      <w:proofErr w:type="gramEnd"/>
      <w:r w:rsidR="002C1818" w:rsidRPr="002C1818">
        <w:t xml:space="preserve"> of significant event</w:t>
      </w:r>
    </w:p>
    <w:p w14:paraId="25F63FC0" w14:textId="32FB847E" w:rsidR="00196A55" w:rsidRPr="001505EF" w:rsidRDefault="00196A55" w:rsidP="00196A55">
      <w:pPr>
        <w:pStyle w:val="subsection"/>
      </w:pPr>
      <w:r>
        <w:tab/>
      </w:r>
      <w:r>
        <w:tab/>
        <w:t xml:space="preserve">For the purposes of section 54A of the </w:t>
      </w:r>
      <w:r>
        <w:rPr>
          <w:i/>
          <w:iCs/>
        </w:rPr>
        <w:t>Radiocommunications Equipment (General) Rules 2021</w:t>
      </w:r>
      <w:r>
        <w:t>:</w:t>
      </w:r>
    </w:p>
    <w:p w14:paraId="72F881D6" w14:textId="3B6CB171" w:rsidR="00196A55" w:rsidRDefault="00196A55" w:rsidP="001E3B8E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(a)</w:t>
      </w:r>
      <w:r>
        <w:tab/>
      </w:r>
      <w:r w:rsidR="00C41955">
        <w:t>the Australian Formula One Grand Prix to be held in 202</w:t>
      </w:r>
      <w:r w:rsidR="001E3B8E">
        <w:t>4</w:t>
      </w:r>
      <w:r w:rsidR="00C41955">
        <w:t xml:space="preserve"> is declared to be a </w:t>
      </w:r>
      <w:r w:rsidR="00C41955" w:rsidRPr="00853D43">
        <w:t>significant event</w:t>
      </w:r>
      <w:r w:rsidR="00C41955">
        <w:t xml:space="preserve"> (the </w:t>
      </w:r>
      <w:r w:rsidR="00C41955">
        <w:rPr>
          <w:b/>
          <w:bCs/>
          <w:i/>
          <w:iCs/>
        </w:rPr>
        <w:t>significant event</w:t>
      </w:r>
      <w:r w:rsidR="00C41955">
        <w:t>);</w:t>
      </w:r>
      <w:r w:rsidR="001E3B8E">
        <w:t xml:space="preserve"> </w:t>
      </w:r>
      <w:r w:rsidR="00660862">
        <w:t>and</w:t>
      </w:r>
    </w:p>
    <w:p w14:paraId="4299EDD2" w14:textId="23A34E57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(b)</w:t>
      </w:r>
      <w:r>
        <w:tab/>
        <w:t xml:space="preserve">the period commencing on </w:t>
      </w:r>
      <w:r w:rsidR="002B2ADB">
        <w:t>1</w:t>
      </w:r>
      <w:r w:rsidR="00573545">
        <w:t>9</w:t>
      </w:r>
      <w:r>
        <w:t xml:space="preserve"> </w:t>
      </w:r>
      <w:r w:rsidR="00573545">
        <w:t>March</w:t>
      </w:r>
      <w:r>
        <w:t xml:space="preserve"> 202</w:t>
      </w:r>
      <w:r w:rsidR="00573545">
        <w:t>4</w:t>
      </w:r>
      <w:r>
        <w:t xml:space="preserve"> and ending on </w:t>
      </w:r>
      <w:r w:rsidR="00571364">
        <w:t>25 March 2024</w:t>
      </w:r>
      <w:r>
        <w:t xml:space="preserve"> is the period of the significant event; and</w:t>
      </w:r>
    </w:p>
    <w:p w14:paraId="26456D87" w14:textId="77777777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(c)</w:t>
      </w:r>
      <w:r>
        <w:tab/>
        <w:t>the location of the significant event is a circle that:</w:t>
      </w:r>
    </w:p>
    <w:p w14:paraId="50879E85" w14:textId="1BDB8B1E" w:rsidR="00196A55" w:rsidRPr="00D032E3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  <w:rPr>
          <w:color w:val="000000"/>
          <w:szCs w:val="22"/>
        </w:rPr>
      </w:pPr>
      <w:r>
        <w:tab/>
        <w:t>(i)</w:t>
      </w:r>
      <w:r>
        <w:tab/>
        <w:t xml:space="preserve">is centred on the following GDA94 coordinates: </w:t>
      </w:r>
      <w:r w:rsidR="00807813" w:rsidRPr="00807813">
        <w:t xml:space="preserve">-37.846702°, </w:t>
      </w:r>
      <w:proofErr w:type="gramStart"/>
      <w:r w:rsidR="00807813" w:rsidRPr="00807813">
        <w:t>144.971342°</w:t>
      </w:r>
      <w:r>
        <w:rPr>
          <w:color w:val="000000"/>
          <w:szCs w:val="22"/>
        </w:rPr>
        <w:t>;</w:t>
      </w:r>
      <w:proofErr w:type="gramEnd"/>
    </w:p>
    <w:p w14:paraId="7DD94348" w14:textId="1AD7B113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ab/>
        <w:t>(ii)</w:t>
      </w:r>
      <w:r>
        <w:tab/>
        <w:t xml:space="preserve">has a </w:t>
      </w:r>
      <w:proofErr w:type="gramStart"/>
      <w:r w:rsidR="006C26F7">
        <w:t>1.6</w:t>
      </w:r>
      <w:r>
        <w:t xml:space="preserve"> kilometre</w:t>
      </w:r>
      <w:proofErr w:type="gramEnd"/>
      <w:r>
        <w:t xml:space="preserve"> radius.</w:t>
      </w:r>
    </w:p>
    <w:p w14:paraId="12F721BC" w14:textId="382D2D61" w:rsidR="00196A55" w:rsidRDefault="00196A55" w:rsidP="0071400B">
      <w:pPr>
        <w:pStyle w:val="notetext"/>
      </w:pPr>
      <w:r>
        <w:t>Note 1:</w:t>
      </w:r>
      <w:r>
        <w:tab/>
      </w:r>
      <w:r w:rsidR="0071400B">
        <w:t xml:space="preserve">The location of the significant event covers the Albert Park Grand Prix circuit in Melbourne, and parts of </w:t>
      </w:r>
      <w:r w:rsidR="00975963">
        <w:t xml:space="preserve">the </w:t>
      </w:r>
      <w:r w:rsidR="0071400B">
        <w:t xml:space="preserve">surrounding </w:t>
      </w:r>
      <w:r w:rsidR="00655492">
        <w:t>area</w:t>
      </w:r>
      <w:r w:rsidR="0071400B">
        <w:t>.</w:t>
      </w:r>
    </w:p>
    <w:p w14:paraId="5DBE3CD3" w14:textId="4BF9D31E" w:rsidR="00086BF0" w:rsidRDefault="00196A55" w:rsidP="0030267B">
      <w:pPr>
        <w:pStyle w:val="notetext"/>
        <w:rPr>
          <w:i/>
          <w:iCs/>
        </w:rPr>
      </w:pPr>
      <w:r w:rsidRPr="00F61B09">
        <w:t>Note</w:t>
      </w:r>
      <w:r>
        <w:t xml:space="preserve"> 2</w:t>
      </w:r>
      <w:r w:rsidRPr="00F61B09">
        <w:t>:</w:t>
      </w:r>
      <w:r w:rsidRPr="00F61B09">
        <w:tab/>
      </w:r>
      <w:r>
        <w:t xml:space="preserve">The declaration of the </w:t>
      </w:r>
      <w:r w:rsidR="00FD35C6" w:rsidRPr="00FD35C6">
        <w:t xml:space="preserve">Australian Formula One Grand Prix </w:t>
      </w:r>
      <w:r>
        <w:t>as a significant event has consequences for the operation, possession and supply of certain d</w:t>
      </w:r>
      <w:r w:rsidRPr="005C0ACB">
        <w:rPr>
          <w:bCs/>
          <w:iCs/>
        </w:rPr>
        <w:t>evices</w:t>
      </w:r>
      <w:r>
        <w:t xml:space="preserve"> under the </w:t>
      </w:r>
      <w:r>
        <w:rPr>
          <w:i/>
          <w:iCs/>
        </w:rPr>
        <w:t>Radiocommunications Equipment (General) Rules 2021</w:t>
      </w:r>
      <w:r>
        <w:t xml:space="preserve">. See also the </w:t>
      </w:r>
      <w:r w:rsidRPr="00CC1A91">
        <w:rPr>
          <w:i/>
          <w:iCs/>
        </w:rPr>
        <w:t>Radiocommunications (Low Interference Potential Devices) Class Licence 2015</w:t>
      </w:r>
      <w:r>
        <w:t xml:space="preserve">, the </w:t>
      </w:r>
      <w:r w:rsidRPr="00CC1A91">
        <w:rPr>
          <w:i/>
          <w:iCs/>
        </w:rPr>
        <w:t xml:space="preserve">Telecommunications (Labelling Notice for Customer Equipment and Customer Cabling) Instrument 2015 </w:t>
      </w:r>
      <w:r>
        <w:t xml:space="preserve">and the </w:t>
      </w:r>
      <w:r w:rsidRPr="00CC1A91">
        <w:rPr>
          <w:i/>
          <w:iCs/>
        </w:rPr>
        <w:t>Telecommunications (Types of Cabling Work) Declaration 2013</w:t>
      </w:r>
      <w:r>
        <w:t>.</w:t>
      </w:r>
      <w:bookmarkEnd w:id="2"/>
    </w:p>
    <w:p w14:paraId="72EEDDC7" w14:textId="77777777" w:rsidR="007C685C" w:rsidRPr="007C685C" w:rsidRDefault="007C685C" w:rsidP="007C685C">
      <w:pPr>
        <w:jc w:val="center"/>
        <w:rPr>
          <w:lang w:eastAsia="en-AU"/>
        </w:rPr>
      </w:pPr>
    </w:p>
    <w:sectPr w:rsidR="007C685C" w:rsidRPr="007C685C" w:rsidSect="00677ACB">
      <w:footerReference w:type="default" r:id="rId14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7CE0" w14:textId="77777777" w:rsidR="000F49EB" w:rsidRDefault="000F49EB" w:rsidP="0017734A">
      <w:pPr>
        <w:spacing w:after="0" w:line="240" w:lineRule="auto"/>
      </w:pPr>
      <w:r>
        <w:separator/>
      </w:r>
    </w:p>
  </w:endnote>
  <w:endnote w:type="continuationSeparator" w:id="0">
    <w:p w14:paraId="77E24EAD" w14:textId="77777777" w:rsidR="000F49EB" w:rsidRDefault="000F49EB" w:rsidP="0017734A">
      <w:pPr>
        <w:spacing w:after="0" w:line="240" w:lineRule="auto"/>
      </w:pPr>
      <w:r>
        <w:continuationSeparator/>
      </w:r>
    </w:p>
  </w:endnote>
  <w:endnote w:type="continuationNotice" w:id="1">
    <w:p w14:paraId="22BABD19" w14:textId="77777777" w:rsidR="000F49EB" w:rsidRDefault="000F4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B709CE" w14:textId="1A908E3E" w:rsidR="0030267B" w:rsidRDefault="0030267B" w:rsidP="0030267B">
        <w:pPr>
          <w:pStyle w:val="Footer"/>
          <w:jc w:val="right"/>
        </w:pPr>
      </w:p>
      <w:p w14:paraId="76FFF07C" w14:textId="77777777" w:rsidR="0030267B" w:rsidRPr="007053CD" w:rsidRDefault="0030267B" w:rsidP="0030267B">
        <w:pPr>
          <w:pStyle w:val="Header"/>
          <w:pBdr>
            <w:bottom w:val="single" w:sz="4" w:space="1" w:color="auto"/>
          </w:pBdr>
        </w:pPr>
      </w:p>
      <w:p w14:paraId="53B9BE48" w14:textId="50FE3593" w:rsidR="0030267B" w:rsidRPr="00F500BA" w:rsidRDefault="0030267B" w:rsidP="0030267B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30267B">
          <w:rPr>
            <w:rFonts w:ascii="Times New Roman" w:hAnsi="Times New Roman" w:cs="Times New Roman"/>
            <w:i/>
            <w:iCs/>
          </w:rPr>
          <w:t>Radiocommunications (</w:t>
        </w:r>
        <w:r w:rsidR="007B3F94" w:rsidRPr="007B3F94">
          <w:rPr>
            <w:rFonts w:ascii="Times New Roman" w:hAnsi="Times New Roman" w:cs="Times New Roman"/>
            <w:i/>
            <w:iCs/>
          </w:rPr>
          <w:t>Significant Event – Australian Formula One Grand Prix</w:t>
        </w:r>
        <w:r w:rsidRPr="0030267B">
          <w:rPr>
            <w:rFonts w:ascii="Times New Roman" w:hAnsi="Times New Roman" w:cs="Times New Roman"/>
            <w:i/>
            <w:iCs/>
          </w:rPr>
          <w:t>) Declaration 202</w:t>
        </w:r>
        <w:r w:rsidR="00B85622">
          <w:rPr>
            <w:rFonts w:ascii="Times New Roman" w:hAnsi="Times New Roman" w:cs="Times New Roman"/>
            <w:i/>
            <w:iCs/>
          </w:rPr>
          <w:t>4</w:t>
        </w:r>
      </w:p>
      <w:p w14:paraId="17C5A61A" w14:textId="5D278EE9" w:rsidR="0030267B" w:rsidRDefault="0030267B" w:rsidP="0030267B">
        <w:pPr>
          <w:pStyle w:val="Footer"/>
          <w:jc w:val="right"/>
        </w:pPr>
      </w:p>
      <w:p w14:paraId="1481F409" w14:textId="77777777" w:rsidR="0030267B" w:rsidRPr="00F500BA" w:rsidRDefault="0030267B" w:rsidP="0030267B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B48055" w14:textId="77777777" w:rsidR="00677ACB" w:rsidRDefault="00677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6CA2" w14:textId="77777777" w:rsidR="000F49EB" w:rsidRDefault="000F49EB" w:rsidP="0017734A">
      <w:pPr>
        <w:spacing w:after="0" w:line="240" w:lineRule="auto"/>
      </w:pPr>
      <w:r>
        <w:separator/>
      </w:r>
    </w:p>
  </w:footnote>
  <w:footnote w:type="continuationSeparator" w:id="0">
    <w:p w14:paraId="66F8D093" w14:textId="77777777" w:rsidR="000F49EB" w:rsidRDefault="000F49EB" w:rsidP="0017734A">
      <w:pPr>
        <w:spacing w:after="0" w:line="240" w:lineRule="auto"/>
      </w:pPr>
      <w:r>
        <w:continuationSeparator/>
      </w:r>
    </w:p>
  </w:footnote>
  <w:footnote w:type="continuationNotice" w:id="1">
    <w:p w14:paraId="61776DA6" w14:textId="77777777" w:rsidR="000F49EB" w:rsidRDefault="000F49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6"/>
  </w:num>
  <w:num w:numId="3" w16cid:durableId="1111827069">
    <w:abstractNumId w:val="4"/>
  </w:num>
  <w:num w:numId="4" w16cid:durableId="1089496974">
    <w:abstractNumId w:val="5"/>
  </w:num>
  <w:num w:numId="5" w16cid:durableId="469714542">
    <w:abstractNumId w:val="3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340E0"/>
    <w:rsid w:val="00044E44"/>
    <w:rsid w:val="00056256"/>
    <w:rsid w:val="0005796B"/>
    <w:rsid w:val="00086BF0"/>
    <w:rsid w:val="00087F5A"/>
    <w:rsid w:val="00097890"/>
    <w:rsid w:val="000A34CA"/>
    <w:rsid w:val="000D6066"/>
    <w:rsid w:val="000E35B9"/>
    <w:rsid w:val="000F1010"/>
    <w:rsid w:val="000F1CE3"/>
    <w:rsid w:val="000F2057"/>
    <w:rsid w:val="000F2718"/>
    <w:rsid w:val="000F49EB"/>
    <w:rsid w:val="00105198"/>
    <w:rsid w:val="00107715"/>
    <w:rsid w:val="001210D8"/>
    <w:rsid w:val="00152CE6"/>
    <w:rsid w:val="00160F8E"/>
    <w:rsid w:val="0017734A"/>
    <w:rsid w:val="00183F81"/>
    <w:rsid w:val="00196A55"/>
    <w:rsid w:val="001A2B69"/>
    <w:rsid w:val="001A4B39"/>
    <w:rsid w:val="001B2574"/>
    <w:rsid w:val="001C3477"/>
    <w:rsid w:val="001E0709"/>
    <w:rsid w:val="001E1EC0"/>
    <w:rsid w:val="001E3B8E"/>
    <w:rsid w:val="001E45EA"/>
    <w:rsid w:val="00224046"/>
    <w:rsid w:val="00226A2E"/>
    <w:rsid w:val="002332A2"/>
    <w:rsid w:val="002359DE"/>
    <w:rsid w:val="002435CD"/>
    <w:rsid w:val="002569B5"/>
    <w:rsid w:val="00291C8D"/>
    <w:rsid w:val="002A56A7"/>
    <w:rsid w:val="002B2ADB"/>
    <w:rsid w:val="002B73D8"/>
    <w:rsid w:val="002C1818"/>
    <w:rsid w:val="002C5461"/>
    <w:rsid w:val="002D6AAE"/>
    <w:rsid w:val="002E5B01"/>
    <w:rsid w:val="002E6796"/>
    <w:rsid w:val="002F0E3F"/>
    <w:rsid w:val="002F7598"/>
    <w:rsid w:val="0030267B"/>
    <w:rsid w:val="00303C84"/>
    <w:rsid w:val="003166CF"/>
    <w:rsid w:val="00322392"/>
    <w:rsid w:val="00352AEA"/>
    <w:rsid w:val="00372D68"/>
    <w:rsid w:val="003834B1"/>
    <w:rsid w:val="00395204"/>
    <w:rsid w:val="003973D0"/>
    <w:rsid w:val="003B2C48"/>
    <w:rsid w:val="003B64CF"/>
    <w:rsid w:val="003C0096"/>
    <w:rsid w:val="003E4CD6"/>
    <w:rsid w:val="003E4D6E"/>
    <w:rsid w:val="00400973"/>
    <w:rsid w:val="00401A31"/>
    <w:rsid w:val="00416E07"/>
    <w:rsid w:val="00417B8B"/>
    <w:rsid w:val="00424038"/>
    <w:rsid w:val="00434B53"/>
    <w:rsid w:val="004361D9"/>
    <w:rsid w:val="00440610"/>
    <w:rsid w:val="00472FFA"/>
    <w:rsid w:val="004B4796"/>
    <w:rsid w:val="004D6B79"/>
    <w:rsid w:val="004E3164"/>
    <w:rsid w:val="00502445"/>
    <w:rsid w:val="00507D03"/>
    <w:rsid w:val="005231C0"/>
    <w:rsid w:val="005322BF"/>
    <w:rsid w:val="00571364"/>
    <w:rsid w:val="00573545"/>
    <w:rsid w:val="00577E00"/>
    <w:rsid w:val="00583F0E"/>
    <w:rsid w:val="00591456"/>
    <w:rsid w:val="005957A6"/>
    <w:rsid w:val="005A3582"/>
    <w:rsid w:val="005B34DF"/>
    <w:rsid w:val="005B433B"/>
    <w:rsid w:val="005C0555"/>
    <w:rsid w:val="005C5B39"/>
    <w:rsid w:val="005D43B5"/>
    <w:rsid w:val="005F1B54"/>
    <w:rsid w:val="005F474D"/>
    <w:rsid w:val="00627563"/>
    <w:rsid w:val="00634EE0"/>
    <w:rsid w:val="00637C2E"/>
    <w:rsid w:val="00640849"/>
    <w:rsid w:val="006437D6"/>
    <w:rsid w:val="006453A3"/>
    <w:rsid w:val="00655492"/>
    <w:rsid w:val="00660862"/>
    <w:rsid w:val="00660CF3"/>
    <w:rsid w:val="00677ACB"/>
    <w:rsid w:val="00681361"/>
    <w:rsid w:val="00693D4F"/>
    <w:rsid w:val="006947E0"/>
    <w:rsid w:val="006C0251"/>
    <w:rsid w:val="006C26F7"/>
    <w:rsid w:val="006C3B4C"/>
    <w:rsid w:val="006C7725"/>
    <w:rsid w:val="006D36DE"/>
    <w:rsid w:val="006D7EC0"/>
    <w:rsid w:val="006E1E03"/>
    <w:rsid w:val="006E5B82"/>
    <w:rsid w:val="006F5CF2"/>
    <w:rsid w:val="006F662B"/>
    <w:rsid w:val="00703828"/>
    <w:rsid w:val="0071142C"/>
    <w:rsid w:val="0071400B"/>
    <w:rsid w:val="00721966"/>
    <w:rsid w:val="00733FB0"/>
    <w:rsid w:val="0074735D"/>
    <w:rsid w:val="00763880"/>
    <w:rsid w:val="00770264"/>
    <w:rsid w:val="007718ED"/>
    <w:rsid w:val="00782ADA"/>
    <w:rsid w:val="007B3C6A"/>
    <w:rsid w:val="007B3F94"/>
    <w:rsid w:val="007C685C"/>
    <w:rsid w:val="007D093E"/>
    <w:rsid w:val="007F4940"/>
    <w:rsid w:val="00800926"/>
    <w:rsid w:val="00807813"/>
    <w:rsid w:val="0081244E"/>
    <w:rsid w:val="00812A22"/>
    <w:rsid w:val="00814838"/>
    <w:rsid w:val="00830678"/>
    <w:rsid w:val="008466A1"/>
    <w:rsid w:val="00854E86"/>
    <w:rsid w:val="0086093D"/>
    <w:rsid w:val="0086239F"/>
    <w:rsid w:val="008835E9"/>
    <w:rsid w:val="0088570A"/>
    <w:rsid w:val="00892659"/>
    <w:rsid w:val="0089278F"/>
    <w:rsid w:val="00895EE2"/>
    <w:rsid w:val="00896A23"/>
    <w:rsid w:val="008A5DC3"/>
    <w:rsid w:val="008D642E"/>
    <w:rsid w:val="008E59CD"/>
    <w:rsid w:val="008F015D"/>
    <w:rsid w:val="008F0D09"/>
    <w:rsid w:val="00903870"/>
    <w:rsid w:val="0091792E"/>
    <w:rsid w:val="00933064"/>
    <w:rsid w:val="00936E66"/>
    <w:rsid w:val="00954745"/>
    <w:rsid w:val="00957210"/>
    <w:rsid w:val="00966602"/>
    <w:rsid w:val="00966DA5"/>
    <w:rsid w:val="00975963"/>
    <w:rsid w:val="00987A5F"/>
    <w:rsid w:val="009A7812"/>
    <w:rsid w:val="009B3E70"/>
    <w:rsid w:val="009E2417"/>
    <w:rsid w:val="009E42EB"/>
    <w:rsid w:val="009F5C58"/>
    <w:rsid w:val="00A30CD3"/>
    <w:rsid w:val="00A315F5"/>
    <w:rsid w:val="00A42B41"/>
    <w:rsid w:val="00A43A7A"/>
    <w:rsid w:val="00A475E0"/>
    <w:rsid w:val="00A533E4"/>
    <w:rsid w:val="00A67186"/>
    <w:rsid w:val="00A87309"/>
    <w:rsid w:val="00A957BE"/>
    <w:rsid w:val="00A965A3"/>
    <w:rsid w:val="00AA36F7"/>
    <w:rsid w:val="00AB488E"/>
    <w:rsid w:val="00AC5FC8"/>
    <w:rsid w:val="00AD14AA"/>
    <w:rsid w:val="00AD1EEA"/>
    <w:rsid w:val="00AE1ECA"/>
    <w:rsid w:val="00AE50D5"/>
    <w:rsid w:val="00B13B65"/>
    <w:rsid w:val="00B22FA4"/>
    <w:rsid w:val="00B32345"/>
    <w:rsid w:val="00B347CB"/>
    <w:rsid w:val="00B34A4D"/>
    <w:rsid w:val="00B7359B"/>
    <w:rsid w:val="00B85622"/>
    <w:rsid w:val="00B90F17"/>
    <w:rsid w:val="00B94518"/>
    <w:rsid w:val="00BA21D9"/>
    <w:rsid w:val="00BA4326"/>
    <w:rsid w:val="00BA7DB7"/>
    <w:rsid w:val="00BB1C33"/>
    <w:rsid w:val="00BC30F7"/>
    <w:rsid w:val="00BD77C9"/>
    <w:rsid w:val="00BE095C"/>
    <w:rsid w:val="00BE489A"/>
    <w:rsid w:val="00BE4BC7"/>
    <w:rsid w:val="00C02A9B"/>
    <w:rsid w:val="00C04BC4"/>
    <w:rsid w:val="00C227FB"/>
    <w:rsid w:val="00C25DB4"/>
    <w:rsid w:val="00C34CDB"/>
    <w:rsid w:val="00C41955"/>
    <w:rsid w:val="00C5287B"/>
    <w:rsid w:val="00C76D9C"/>
    <w:rsid w:val="00C9448D"/>
    <w:rsid w:val="00CB7288"/>
    <w:rsid w:val="00CC64DD"/>
    <w:rsid w:val="00CD05EB"/>
    <w:rsid w:val="00CD2FCD"/>
    <w:rsid w:val="00CD47EB"/>
    <w:rsid w:val="00CE7F7D"/>
    <w:rsid w:val="00CF4A41"/>
    <w:rsid w:val="00D15825"/>
    <w:rsid w:val="00D31F3F"/>
    <w:rsid w:val="00D510ED"/>
    <w:rsid w:val="00D56CCA"/>
    <w:rsid w:val="00D56E34"/>
    <w:rsid w:val="00D62DCD"/>
    <w:rsid w:val="00D65F59"/>
    <w:rsid w:val="00DA3F1E"/>
    <w:rsid w:val="00DA578C"/>
    <w:rsid w:val="00DB6B93"/>
    <w:rsid w:val="00DC0CDF"/>
    <w:rsid w:val="00DC0FD7"/>
    <w:rsid w:val="00DC31AF"/>
    <w:rsid w:val="00DF1482"/>
    <w:rsid w:val="00DF736B"/>
    <w:rsid w:val="00E1191F"/>
    <w:rsid w:val="00E13491"/>
    <w:rsid w:val="00E318F7"/>
    <w:rsid w:val="00E32B4B"/>
    <w:rsid w:val="00E34C85"/>
    <w:rsid w:val="00E43CFB"/>
    <w:rsid w:val="00E458FD"/>
    <w:rsid w:val="00E469AF"/>
    <w:rsid w:val="00E618B6"/>
    <w:rsid w:val="00E666F5"/>
    <w:rsid w:val="00E7332E"/>
    <w:rsid w:val="00E90B30"/>
    <w:rsid w:val="00E934DA"/>
    <w:rsid w:val="00EA5404"/>
    <w:rsid w:val="00EC54C3"/>
    <w:rsid w:val="00EC5B45"/>
    <w:rsid w:val="00ED2E8B"/>
    <w:rsid w:val="00ED7BA2"/>
    <w:rsid w:val="00EE18B2"/>
    <w:rsid w:val="00F07A2C"/>
    <w:rsid w:val="00F1448E"/>
    <w:rsid w:val="00F2252B"/>
    <w:rsid w:val="00F23E1F"/>
    <w:rsid w:val="00F31EC9"/>
    <w:rsid w:val="00F55D21"/>
    <w:rsid w:val="00F62C1E"/>
    <w:rsid w:val="00F63280"/>
    <w:rsid w:val="00F63E50"/>
    <w:rsid w:val="00F77DB5"/>
    <w:rsid w:val="00F856A6"/>
    <w:rsid w:val="00F85ED9"/>
    <w:rsid w:val="00F87D34"/>
    <w:rsid w:val="00F90642"/>
    <w:rsid w:val="00F9328D"/>
    <w:rsid w:val="00F93466"/>
    <w:rsid w:val="00FB1145"/>
    <w:rsid w:val="00FB59C1"/>
    <w:rsid w:val="00FC69E6"/>
    <w:rsid w:val="00FD0C5A"/>
    <w:rsid w:val="00FD323F"/>
    <w:rsid w:val="00FD35C6"/>
    <w:rsid w:val="00FD5A5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9252991E47F4BBB80A1A6BA49B26B" ma:contentTypeVersion="9" ma:contentTypeDescription="Create a new document." ma:contentTypeScope="" ma:versionID="47166a1d37b8e7a0c4299c24dcf8a386">
  <xsd:schema xmlns:xsd="http://www.w3.org/2001/XMLSchema" xmlns:xs="http://www.w3.org/2001/XMLSchema" xmlns:p="http://schemas.microsoft.com/office/2006/metadata/properties" xmlns:ns2="15facfb0-f078-428d-8c79-7c4acc7fe54f" xmlns:ns3="09b0419b-d431-4754-8c5c-522eb6afa1c7" targetNamespace="http://schemas.microsoft.com/office/2006/metadata/properties" ma:root="true" ma:fieldsID="777f30b25025b22b1b6a458db83d9ec1" ns2:_="" ns3:_="">
    <xsd:import namespace="15facfb0-f078-428d-8c79-7c4acc7fe54f"/>
    <xsd:import namespace="09b0419b-d431-4754-8c5c-522eb6afa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acfb0-f078-428d-8c79-7c4acc7fe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419b-d431-4754-8c5c-522eb6afa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C0A1E-8D47-472E-A252-2D803184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acfb0-f078-428d-8c79-7c4acc7fe54f"/>
    <ds:schemaRef ds:uri="09b0419b-d431-4754-8c5c-522eb6afa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2599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38</cp:revision>
  <cp:lastPrinted>2024-02-26T00:45:00Z</cp:lastPrinted>
  <dcterms:created xsi:type="dcterms:W3CDTF">2024-02-21T00:22:00Z</dcterms:created>
  <dcterms:modified xsi:type="dcterms:W3CDTF">2024-03-14T05:16:00Z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0x01010017E9252991E47F4BBB80A1A6BA49B26B</vt:lpwstr>
  </property>
  <property fmtid="{D5CDD505-2E9C-101B-9397-08002B2CF9AE}" pid="3" name="_dlc_DocIdItemGuid">
    <vt:lpwstr>e4c28bde-d957-4cf1-99eb-78cbcd1423f9</vt:lpwstr>
  </property>
</Properties>
</file>