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ED49A5" w:rsidRDefault="009D38FE" w:rsidP="00BE02B7">
      <w:pPr>
        <w:rPr>
          <w:sz w:val="19"/>
          <w:szCs w:val="19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386C319" wp14:editId="3E8D5C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0C3AB56B" w:rsidR="00BE02B7" w:rsidRPr="00A20961" w:rsidRDefault="005E6EED" w:rsidP="00BE02B7">
      <w:pPr>
        <w:pStyle w:val="ShortT"/>
      </w:pPr>
      <w:r>
        <w:t>Competition and Consumer (Australian Competition Tribunal Acting President</w:t>
      </w:r>
      <w:r w:rsidR="005867CB">
        <w:t>) Appointment (</w:t>
      </w:r>
      <w:r w:rsidR="005867CB" w:rsidRPr="0073258E">
        <w:t xml:space="preserve">No. </w:t>
      </w:r>
      <w:r w:rsidR="00FD770A" w:rsidRPr="0038259E">
        <w:t>1</w:t>
      </w:r>
      <w:r w:rsidR="005867CB">
        <w:t xml:space="preserve">) </w:t>
      </w:r>
      <w:r w:rsidR="00AB70AE">
        <w:t>202</w:t>
      </w:r>
      <w:r w:rsidR="001E26D1">
        <w:t>4</w:t>
      </w:r>
    </w:p>
    <w:p w14:paraId="7DCF9F1C" w14:textId="21CBDFFC" w:rsidR="00004B53" w:rsidRDefault="005867CB" w:rsidP="003A4803">
      <w:pPr>
        <w:pStyle w:val="SignCoverPageStart"/>
        <w:spacing w:before="240"/>
        <w:ind w:right="340"/>
      </w:pPr>
      <w:r w:rsidRPr="00A20961">
        <w:rPr>
          <w:szCs w:val="22"/>
        </w:rPr>
        <w:t xml:space="preserve">I, </w:t>
      </w:r>
      <w:r w:rsidR="003536E0">
        <w:rPr>
          <w:szCs w:val="22"/>
        </w:rPr>
        <w:t>Andrew Leigh</w:t>
      </w:r>
      <w:r>
        <w:rPr>
          <w:szCs w:val="22"/>
        </w:rPr>
        <w:t xml:space="preserve">, </w:t>
      </w:r>
      <w:r w:rsidR="00C976FA">
        <w:rPr>
          <w:szCs w:val="22"/>
        </w:rPr>
        <w:t>Assistant Minister for Competition, Charities and Treasury</w:t>
      </w:r>
      <w:r>
        <w:rPr>
          <w:szCs w:val="22"/>
        </w:rPr>
        <w:t xml:space="preserve">, </w:t>
      </w:r>
      <w:r w:rsidRPr="00A20961">
        <w:t xml:space="preserve">under </w:t>
      </w:r>
      <w:r w:rsidR="00CB7F36">
        <w:t>sub</w:t>
      </w:r>
      <w:r w:rsidR="001E26D1">
        <w:t>section 34(1</w:t>
      </w:r>
      <w:r w:rsidR="00F3158C">
        <w:t>)</w:t>
      </w:r>
      <w:r>
        <w:t xml:space="preserve"> of the </w:t>
      </w:r>
      <w:r w:rsidR="00F3158C">
        <w:rPr>
          <w:i/>
          <w:iCs/>
        </w:rPr>
        <w:t>Competition and Consumer Act 2010</w:t>
      </w:r>
      <w:r w:rsidR="00CB7F36" w:rsidRPr="0089138A">
        <w:t xml:space="preserve"> and</w:t>
      </w:r>
      <w:r w:rsidR="0089138A">
        <w:t xml:space="preserve"> subsection 33</w:t>
      </w:r>
      <w:proofErr w:type="gramStart"/>
      <w:r w:rsidR="0089138A">
        <w:t>A(</w:t>
      </w:r>
      <w:proofErr w:type="gramEnd"/>
      <w:r w:rsidR="0089138A">
        <w:t xml:space="preserve">1) of the </w:t>
      </w:r>
      <w:r w:rsidR="0089138A" w:rsidRPr="00CE2412">
        <w:rPr>
          <w:i/>
          <w:iCs/>
        </w:rPr>
        <w:t>Acts Interpretation Act 1901</w:t>
      </w:r>
      <w:r w:rsidR="00A71845" w:rsidRPr="0073258E">
        <w:t>:</w:t>
      </w:r>
    </w:p>
    <w:p w14:paraId="53C4239D" w14:textId="191A6FE9" w:rsidR="00B24490" w:rsidRPr="00B24490" w:rsidRDefault="005867CB" w:rsidP="007513AD">
      <w:pPr>
        <w:pStyle w:val="SignCoverPageStart"/>
        <w:numPr>
          <w:ilvl w:val="0"/>
          <w:numId w:val="14"/>
        </w:numPr>
        <w:pBdr>
          <w:top w:val="none" w:sz="0" w:space="0" w:color="auto"/>
        </w:pBdr>
        <w:spacing w:before="240"/>
        <w:ind w:right="340"/>
        <w:rPr>
          <w:szCs w:val="22"/>
        </w:rPr>
      </w:pPr>
      <w:r w:rsidRPr="00A20961">
        <w:t xml:space="preserve">appoint </w:t>
      </w:r>
      <w:r w:rsidR="001E26D1">
        <w:t>John Halley</w:t>
      </w:r>
      <w:r w:rsidRPr="00A20961">
        <w:t xml:space="preserve"> as </w:t>
      </w:r>
      <w:r w:rsidR="00BB393C">
        <w:t xml:space="preserve">the acting </w:t>
      </w:r>
      <w:r w:rsidR="001E26D1">
        <w:t>President</w:t>
      </w:r>
      <w:r>
        <w:t xml:space="preserve"> of the </w:t>
      </w:r>
      <w:r w:rsidR="00BB393C">
        <w:t xml:space="preserve">Australian Competition </w:t>
      </w:r>
      <w:r w:rsidR="001E26D1">
        <w:t>Tribunal</w:t>
      </w:r>
      <w:r>
        <w:t>,</w:t>
      </w:r>
      <w:r w:rsidRPr="00A20961">
        <w:t xml:space="preserve"> </w:t>
      </w:r>
      <w:r>
        <w:t xml:space="preserve">on a </w:t>
      </w:r>
      <w:r w:rsidR="001E26D1">
        <w:t>part</w:t>
      </w:r>
      <w:r>
        <w:t xml:space="preserve">-time basis, </w:t>
      </w:r>
      <w:r w:rsidRPr="00A20961">
        <w:t xml:space="preserve">for </w:t>
      </w:r>
      <w:r w:rsidR="00FD770A">
        <w:t>the</w:t>
      </w:r>
      <w:r>
        <w:t xml:space="preserve"> period </w:t>
      </w:r>
      <w:r w:rsidR="00BB393C">
        <w:t xml:space="preserve">beginning on </w:t>
      </w:r>
      <w:r w:rsidR="001E26D1">
        <w:t>2 April 2024</w:t>
      </w:r>
      <w:r w:rsidR="00BA4F11">
        <w:t xml:space="preserve"> </w:t>
      </w:r>
      <w:r w:rsidR="00FD770A">
        <w:t>until</w:t>
      </w:r>
      <w:r w:rsidR="00BA4F11">
        <w:t xml:space="preserve"> </w:t>
      </w:r>
      <w:r w:rsidR="001E26D1">
        <w:t>28 June 2024</w:t>
      </w:r>
      <w:r w:rsidR="00004B53">
        <w:t xml:space="preserve">; </w:t>
      </w:r>
      <w:r w:rsidR="0043692F">
        <w:t>and</w:t>
      </w:r>
      <w:r w:rsidR="00E85B33">
        <w:t xml:space="preserve"> </w:t>
      </w:r>
    </w:p>
    <w:p w14:paraId="4EB17D51" w14:textId="53BB95F8" w:rsidR="00525AB5" w:rsidRPr="001E6E06" w:rsidRDefault="00CE2412" w:rsidP="001E6E06">
      <w:pPr>
        <w:pStyle w:val="SignCoverPageStart"/>
        <w:numPr>
          <w:ilvl w:val="0"/>
          <w:numId w:val="14"/>
        </w:numPr>
        <w:pBdr>
          <w:top w:val="none" w:sz="0" w:space="0" w:color="auto"/>
        </w:pBdr>
        <w:spacing w:before="240"/>
        <w:ind w:right="340"/>
        <w:rPr>
          <w:szCs w:val="22"/>
        </w:rPr>
      </w:pPr>
      <w:r>
        <w:t>d</w:t>
      </w:r>
      <w:r w:rsidR="00B24490">
        <w:t>etermine that</w:t>
      </w:r>
      <w:r w:rsidR="00486C44">
        <w:t xml:space="preserve">, during the period of appointment </w:t>
      </w:r>
      <w:r w:rsidR="00BD7A8F">
        <w:t xml:space="preserve">referred to in paragraph (a), </w:t>
      </w:r>
      <w:r w:rsidR="001F551A">
        <w:t xml:space="preserve">an allowance of </w:t>
      </w:r>
      <w:r w:rsidR="005322BC">
        <w:t xml:space="preserve">$2,588 </w:t>
      </w:r>
      <w:r w:rsidR="000131C5">
        <w:t xml:space="preserve">per year (pro-rated for that period of appointment) </w:t>
      </w:r>
      <w:r w:rsidR="00F3479B">
        <w:t xml:space="preserve">is payable to the </w:t>
      </w:r>
      <w:r w:rsidR="00C42EEA">
        <w:t xml:space="preserve">appointee, consistent with the allowance </w:t>
      </w:r>
      <w:r w:rsidR="00197A5B">
        <w:t xml:space="preserve">that would be payable to the </w:t>
      </w:r>
      <w:r w:rsidR="007D0ED7">
        <w:t xml:space="preserve">President of the Australian Competition Tribunal under section 11 of the </w:t>
      </w:r>
      <w:r w:rsidR="00712396" w:rsidRPr="00C6648C">
        <w:rPr>
          <w:i/>
          <w:iCs/>
        </w:rPr>
        <w:t xml:space="preserve">Remuneration Tribunal </w:t>
      </w:r>
      <w:r w:rsidR="00C6648C" w:rsidRPr="00C6648C">
        <w:rPr>
          <w:i/>
          <w:iCs/>
        </w:rPr>
        <w:t>(Judicial and Related Offices – Remuneration and Allowances) Determination (No. 2) 20</w:t>
      </w:r>
      <w:r w:rsidR="00732ACC">
        <w:rPr>
          <w:i/>
          <w:iCs/>
        </w:rPr>
        <w:t>2</w:t>
      </w:r>
      <w:r w:rsidR="00C6648C" w:rsidRPr="00C6648C">
        <w:rPr>
          <w:i/>
          <w:iCs/>
        </w:rPr>
        <w:t>3</w:t>
      </w:r>
      <w:r w:rsidR="00C6648C">
        <w:t>.</w:t>
      </w:r>
    </w:p>
    <w:p w14:paraId="19F26D42" w14:textId="290CF8D8" w:rsidR="00525AB5" w:rsidRPr="0075357F" w:rsidRDefault="009D38FE" w:rsidP="00F4489D">
      <w:pPr>
        <w:keepNext/>
        <w:spacing w:before="720" w:line="240" w:lineRule="atLeast"/>
        <w:ind w:right="340"/>
        <w:jc w:val="both"/>
      </w:pPr>
      <w:r>
        <w:t>Dated</w:t>
      </w:r>
      <w:r>
        <w:tab/>
      </w:r>
      <w:r>
        <w:tab/>
      </w:r>
      <w:r w:rsidR="0094124A">
        <w:t xml:space="preserve">19 March </w:t>
      </w:r>
      <w:r w:rsidR="00525AB5">
        <w:t>202</w:t>
      </w:r>
      <w:r w:rsidR="00514707">
        <w:t>4</w:t>
      </w:r>
    </w:p>
    <w:p w14:paraId="129B125B" w14:textId="77777777" w:rsidR="008F0C9B" w:rsidRPr="00A20961" w:rsidRDefault="008F0C9B" w:rsidP="008F0C9B">
      <w:pPr>
        <w:keepNext/>
        <w:tabs>
          <w:tab w:val="left" w:pos="3402"/>
        </w:tabs>
        <w:spacing w:before="1440" w:line="300" w:lineRule="atLeast"/>
        <w:ind w:right="340"/>
        <w:rPr>
          <w:b/>
          <w:szCs w:val="22"/>
        </w:rPr>
      </w:pPr>
      <w:r>
        <w:rPr>
          <w:szCs w:val="22"/>
        </w:rPr>
        <w:t>Dr Andrew Leigh</w:t>
      </w:r>
    </w:p>
    <w:p w14:paraId="621BEBB2" w14:textId="77777777" w:rsidR="008F0C9B" w:rsidRDefault="008F0C9B" w:rsidP="008F0C9B">
      <w:pPr>
        <w:pStyle w:val="Default"/>
        <w:spacing w:line="300" w:lineRule="atLeast"/>
      </w:pPr>
      <w:r>
        <w:rPr>
          <w:sz w:val="22"/>
        </w:rPr>
        <w:t>Assistant Minister for Competition, Charities and Treasury</w:t>
      </w:r>
    </w:p>
    <w:p w14:paraId="642E062C" w14:textId="77777777" w:rsidR="008F0C9B" w:rsidRPr="0078351A" w:rsidRDefault="008F0C9B" w:rsidP="008F0C9B">
      <w:pPr>
        <w:pStyle w:val="SignCoverPageEnd"/>
        <w:ind w:right="340"/>
        <w:rPr>
          <w:sz w:val="22"/>
        </w:rPr>
      </w:pPr>
      <w:r>
        <w:rPr>
          <w:sz w:val="22"/>
          <w:szCs w:val="22"/>
        </w:rPr>
        <w:t>Parliamentary Secretary to the Treasurer</w:t>
      </w: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5D25" w14:textId="77777777" w:rsidR="00246C75" w:rsidRDefault="00246C75">
      <w:pPr>
        <w:spacing w:line="240" w:lineRule="auto"/>
      </w:pPr>
      <w:r>
        <w:separator/>
      </w:r>
    </w:p>
  </w:endnote>
  <w:endnote w:type="continuationSeparator" w:id="0">
    <w:p w14:paraId="5026298D" w14:textId="77777777" w:rsidR="00246C75" w:rsidRDefault="00246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2F21CB9F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6A73E7F8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48358618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8E23" w14:textId="77777777" w:rsidR="00246C75" w:rsidRDefault="00246C75">
      <w:pPr>
        <w:spacing w:line="240" w:lineRule="auto"/>
      </w:pPr>
      <w:r>
        <w:separator/>
      </w:r>
    </w:p>
  </w:footnote>
  <w:footnote w:type="continuationSeparator" w:id="0">
    <w:p w14:paraId="5F111B4D" w14:textId="77777777" w:rsidR="00246C75" w:rsidRDefault="00246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2435480D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3FA33AC8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39DCB11E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53F3C61"/>
    <w:multiLevelType w:val="hybridMultilevel"/>
    <w:tmpl w:val="A4585B64"/>
    <w:lvl w:ilvl="0" w:tplc="C52807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49952">
    <w:abstractNumId w:val="9"/>
  </w:num>
  <w:num w:numId="2" w16cid:durableId="1713849653">
    <w:abstractNumId w:val="7"/>
  </w:num>
  <w:num w:numId="3" w16cid:durableId="2146848887">
    <w:abstractNumId w:val="6"/>
  </w:num>
  <w:num w:numId="4" w16cid:durableId="305359966">
    <w:abstractNumId w:val="5"/>
  </w:num>
  <w:num w:numId="5" w16cid:durableId="1767382286">
    <w:abstractNumId w:val="4"/>
  </w:num>
  <w:num w:numId="6" w16cid:durableId="995105354">
    <w:abstractNumId w:val="8"/>
  </w:num>
  <w:num w:numId="7" w16cid:durableId="1693219667">
    <w:abstractNumId w:val="3"/>
  </w:num>
  <w:num w:numId="8" w16cid:durableId="439959411">
    <w:abstractNumId w:val="2"/>
  </w:num>
  <w:num w:numId="9" w16cid:durableId="2065593718">
    <w:abstractNumId w:val="1"/>
  </w:num>
  <w:num w:numId="10" w16cid:durableId="834495708">
    <w:abstractNumId w:val="0"/>
  </w:num>
  <w:num w:numId="11" w16cid:durableId="1917593520">
    <w:abstractNumId w:val="12"/>
  </w:num>
  <w:num w:numId="12" w16cid:durableId="250117314">
    <w:abstractNumId w:val="10"/>
  </w:num>
  <w:num w:numId="13" w16cid:durableId="1849901412">
    <w:abstractNumId w:val="11"/>
  </w:num>
  <w:num w:numId="14" w16cid:durableId="866541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04B53"/>
    <w:rsid w:val="000131C5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143F"/>
    <w:rsid w:val="000E2261"/>
    <w:rsid w:val="000E5C5C"/>
    <w:rsid w:val="000E78B7"/>
    <w:rsid w:val="000F21C1"/>
    <w:rsid w:val="0010745C"/>
    <w:rsid w:val="00107918"/>
    <w:rsid w:val="00121FAF"/>
    <w:rsid w:val="00131EB5"/>
    <w:rsid w:val="00132CEB"/>
    <w:rsid w:val="00142B62"/>
    <w:rsid w:val="001441B7"/>
    <w:rsid w:val="00157B8B"/>
    <w:rsid w:val="00166C2F"/>
    <w:rsid w:val="00174C9C"/>
    <w:rsid w:val="001809D7"/>
    <w:rsid w:val="001939E1"/>
    <w:rsid w:val="00194C3E"/>
    <w:rsid w:val="00195382"/>
    <w:rsid w:val="0019689D"/>
    <w:rsid w:val="00197A5B"/>
    <w:rsid w:val="001C61C5"/>
    <w:rsid w:val="001C69C4"/>
    <w:rsid w:val="001D37EF"/>
    <w:rsid w:val="001E26D1"/>
    <w:rsid w:val="001E3590"/>
    <w:rsid w:val="001E6E06"/>
    <w:rsid w:val="001E7407"/>
    <w:rsid w:val="001F551A"/>
    <w:rsid w:val="001F5D5E"/>
    <w:rsid w:val="001F6219"/>
    <w:rsid w:val="001F6CD4"/>
    <w:rsid w:val="00206C4D"/>
    <w:rsid w:val="00215AF1"/>
    <w:rsid w:val="00223B65"/>
    <w:rsid w:val="002321E8"/>
    <w:rsid w:val="00232329"/>
    <w:rsid w:val="0024010F"/>
    <w:rsid w:val="00240749"/>
    <w:rsid w:val="00243018"/>
    <w:rsid w:val="00246C75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B1A98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536E0"/>
    <w:rsid w:val="00353C3D"/>
    <w:rsid w:val="00360459"/>
    <w:rsid w:val="0037333B"/>
    <w:rsid w:val="0038259E"/>
    <w:rsid w:val="00395103"/>
    <w:rsid w:val="003974BD"/>
    <w:rsid w:val="003A4488"/>
    <w:rsid w:val="003A4803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692F"/>
    <w:rsid w:val="004379E3"/>
    <w:rsid w:val="0044015E"/>
    <w:rsid w:val="0044291A"/>
    <w:rsid w:val="00446131"/>
    <w:rsid w:val="004474A9"/>
    <w:rsid w:val="00467661"/>
    <w:rsid w:val="00472DBE"/>
    <w:rsid w:val="00474A19"/>
    <w:rsid w:val="00477830"/>
    <w:rsid w:val="00486C44"/>
    <w:rsid w:val="00496F97"/>
    <w:rsid w:val="004B45D3"/>
    <w:rsid w:val="004E063A"/>
    <w:rsid w:val="004E7BEC"/>
    <w:rsid w:val="00505D3D"/>
    <w:rsid w:val="00506AF6"/>
    <w:rsid w:val="00514707"/>
    <w:rsid w:val="00516B8D"/>
    <w:rsid w:val="00525AB5"/>
    <w:rsid w:val="00527035"/>
    <w:rsid w:val="005322BC"/>
    <w:rsid w:val="00537FBC"/>
    <w:rsid w:val="00537FDB"/>
    <w:rsid w:val="005413D8"/>
    <w:rsid w:val="0055130C"/>
    <w:rsid w:val="00577689"/>
    <w:rsid w:val="00584811"/>
    <w:rsid w:val="00585784"/>
    <w:rsid w:val="005867CB"/>
    <w:rsid w:val="0059340D"/>
    <w:rsid w:val="00593AA6"/>
    <w:rsid w:val="00594161"/>
    <w:rsid w:val="00594324"/>
    <w:rsid w:val="00594749"/>
    <w:rsid w:val="005B4067"/>
    <w:rsid w:val="005B557E"/>
    <w:rsid w:val="005C2CFD"/>
    <w:rsid w:val="005C3F41"/>
    <w:rsid w:val="005D0CDF"/>
    <w:rsid w:val="005D1D92"/>
    <w:rsid w:val="005D2D09"/>
    <w:rsid w:val="005E6EED"/>
    <w:rsid w:val="005F3FBF"/>
    <w:rsid w:val="005F5DC6"/>
    <w:rsid w:val="00600219"/>
    <w:rsid w:val="006011D1"/>
    <w:rsid w:val="00607EE0"/>
    <w:rsid w:val="00615BE4"/>
    <w:rsid w:val="00620076"/>
    <w:rsid w:val="006438A5"/>
    <w:rsid w:val="006527AD"/>
    <w:rsid w:val="006614EF"/>
    <w:rsid w:val="00670EA1"/>
    <w:rsid w:val="0067610B"/>
    <w:rsid w:val="00677CC2"/>
    <w:rsid w:val="0068744B"/>
    <w:rsid w:val="00687EE9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2396"/>
    <w:rsid w:val="00713084"/>
    <w:rsid w:val="00714F20"/>
    <w:rsid w:val="0071590F"/>
    <w:rsid w:val="00715914"/>
    <w:rsid w:val="00731E00"/>
    <w:rsid w:val="0073258E"/>
    <w:rsid w:val="00732ACC"/>
    <w:rsid w:val="00735178"/>
    <w:rsid w:val="0074264F"/>
    <w:rsid w:val="007440B7"/>
    <w:rsid w:val="007500C8"/>
    <w:rsid w:val="007513AD"/>
    <w:rsid w:val="0075357F"/>
    <w:rsid w:val="00756272"/>
    <w:rsid w:val="00764F26"/>
    <w:rsid w:val="007715C9"/>
    <w:rsid w:val="00771613"/>
    <w:rsid w:val="00774EDD"/>
    <w:rsid w:val="007757EC"/>
    <w:rsid w:val="00783E89"/>
    <w:rsid w:val="00790037"/>
    <w:rsid w:val="00793915"/>
    <w:rsid w:val="007A1328"/>
    <w:rsid w:val="007B15D9"/>
    <w:rsid w:val="007C2253"/>
    <w:rsid w:val="007C6784"/>
    <w:rsid w:val="007D0ED7"/>
    <w:rsid w:val="007E163D"/>
    <w:rsid w:val="007E667A"/>
    <w:rsid w:val="007F28C9"/>
    <w:rsid w:val="008067B4"/>
    <w:rsid w:val="008117E9"/>
    <w:rsid w:val="00824498"/>
    <w:rsid w:val="00830B62"/>
    <w:rsid w:val="00856A31"/>
    <w:rsid w:val="00860B4E"/>
    <w:rsid w:val="00867B37"/>
    <w:rsid w:val="008754D0"/>
    <w:rsid w:val="008855C9"/>
    <w:rsid w:val="00886456"/>
    <w:rsid w:val="0089138A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0C9B"/>
    <w:rsid w:val="008F54E7"/>
    <w:rsid w:val="009009EF"/>
    <w:rsid w:val="00903422"/>
    <w:rsid w:val="00904E43"/>
    <w:rsid w:val="00911BA0"/>
    <w:rsid w:val="00916CF2"/>
    <w:rsid w:val="00917EC1"/>
    <w:rsid w:val="009213A2"/>
    <w:rsid w:val="009254C3"/>
    <w:rsid w:val="00932334"/>
    <w:rsid w:val="00932377"/>
    <w:rsid w:val="0094124A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38FE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71845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4490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A4F11"/>
    <w:rsid w:val="00BA6A8F"/>
    <w:rsid w:val="00BB393C"/>
    <w:rsid w:val="00BB4E1A"/>
    <w:rsid w:val="00BC015E"/>
    <w:rsid w:val="00BC5CD0"/>
    <w:rsid w:val="00BC76AC"/>
    <w:rsid w:val="00BD0ECB"/>
    <w:rsid w:val="00BD7A8F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40BE"/>
    <w:rsid w:val="00C25E7F"/>
    <w:rsid w:val="00C2746F"/>
    <w:rsid w:val="00C324A0"/>
    <w:rsid w:val="00C42BF8"/>
    <w:rsid w:val="00C42EEA"/>
    <w:rsid w:val="00C437A3"/>
    <w:rsid w:val="00C50043"/>
    <w:rsid w:val="00C6648C"/>
    <w:rsid w:val="00C7573B"/>
    <w:rsid w:val="00C976FA"/>
    <w:rsid w:val="00CA1A2F"/>
    <w:rsid w:val="00CB602E"/>
    <w:rsid w:val="00CB7E90"/>
    <w:rsid w:val="00CB7F36"/>
    <w:rsid w:val="00CC6E04"/>
    <w:rsid w:val="00CC7C9D"/>
    <w:rsid w:val="00CD2361"/>
    <w:rsid w:val="00CE051D"/>
    <w:rsid w:val="00CE1335"/>
    <w:rsid w:val="00CE2412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6738D"/>
    <w:rsid w:val="00D70DFB"/>
    <w:rsid w:val="00D766DF"/>
    <w:rsid w:val="00D91F10"/>
    <w:rsid w:val="00D9678B"/>
    <w:rsid w:val="00DA186E"/>
    <w:rsid w:val="00DA4116"/>
    <w:rsid w:val="00DB251C"/>
    <w:rsid w:val="00DB4630"/>
    <w:rsid w:val="00DC36F0"/>
    <w:rsid w:val="00DC4F88"/>
    <w:rsid w:val="00DC7FC2"/>
    <w:rsid w:val="00DF2831"/>
    <w:rsid w:val="00E01B96"/>
    <w:rsid w:val="00E05704"/>
    <w:rsid w:val="00E07B6A"/>
    <w:rsid w:val="00E14817"/>
    <w:rsid w:val="00E24922"/>
    <w:rsid w:val="00E26D36"/>
    <w:rsid w:val="00E30793"/>
    <w:rsid w:val="00E338EF"/>
    <w:rsid w:val="00E33C1C"/>
    <w:rsid w:val="00E544BB"/>
    <w:rsid w:val="00E74DC7"/>
    <w:rsid w:val="00E8075A"/>
    <w:rsid w:val="00E85B33"/>
    <w:rsid w:val="00E94D5E"/>
    <w:rsid w:val="00EA7100"/>
    <w:rsid w:val="00EA7F9F"/>
    <w:rsid w:val="00EB1274"/>
    <w:rsid w:val="00EC48F2"/>
    <w:rsid w:val="00ED2BB6"/>
    <w:rsid w:val="00ED34E1"/>
    <w:rsid w:val="00ED3B8D"/>
    <w:rsid w:val="00ED49A5"/>
    <w:rsid w:val="00ED5304"/>
    <w:rsid w:val="00ED79B6"/>
    <w:rsid w:val="00EE1372"/>
    <w:rsid w:val="00EF2E3A"/>
    <w:rsid w:val="00F072A7"/>
    <w:rsid w:val="00F078DC"/>
    <w:rsid w:val="00F3158C"/>
    <w:rsid w:val="00F32483"/>
    <w:rsid w:val="00F32BA8"/>
    <w:rsid w:val="00F3479B"/>
    <w:rsid w:val="00F349F1"/>
    <w:rsid w:val="00F34D82"/>
    <w:rsid w:val="00F36365"/>
    <w:rsid w:val="00F4350D"/>
    <w:rsid w:val="00F43E72"/>
    <w:rsid w:val="00F4489D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D770A"/>
    <w:rsid w:val="00FE4688"/>
    <w:rsid w:val="00FF57E6"/>
    <w:rsid w:val="59466743"/>
    <w:rsid w:val="70B1C175"/>
    <w:rsid w:val="7C5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FD770A"/>
    <w:rPr>
      <w:sz w:val="22"/>
    </w:rPr>
  </w:style>
  <w:style w:type="paragraph" w:customStyle="1" w:styleId="Default">
    <w:name w:val="Default"/>
    <w:rsid w:val="008F0C9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8" ma:contentTypeDescription="Create a new document." ma:contentTypeScope="" ma:versionID="716eae1b0526bb5a094827cd1cebbeb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aff8fd8d13efa679f179f3e943812b5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Url xmlns="fe39d773-a83d-4623-ae74-f25711a76616">
      <Url>https://austreasury.sharepoint.com/sites/leg-cord-function/_layouts/15/DocIdRedir.aspx?ID=S574FYTY5PW6-969949929-1275</Url>
      <Description>S574FYTY5PW6-969949929-1275</Description>
    </_dlc_DocIdUrl>
    <_dlc_DocId xmlns="fe39d773-a83d-4623-ae74-f25711a76616">S574FYTY5PW6-969949929-1275</_dlc_DocId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5AB16-7C9D-4AB8-8008-00DF74786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C5702-4B86-4CC0-84E8-D354D55936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E13D90-16DF-4186-81FC-21D4B4C8EF44}">
  <ds:schemaRefs>
    <ds:schemaRef ds:uri="http://purl.org/dc/dcmitype/"/>
    <ds:schemaRef ds:uri="30b813c2-29e2-43aa-bac2-1ed67b791ce7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ff38c824-6e29-4496-8487-69f397e7ed29"/>
    <ds:schemaRef ds:uri="http://schemas.microsoft.com/office/infopath/2007/PartnerControls"/>
    <ds:schemaRef ds:uri="http://schemas.microsoft.com/office/2006/documentManagement/types"/>
    <ds:schemaRef ds:uri="fe39d773-a83d-4623-ae74-f25711a76616"/>
    <ds:schemaRef ds:uri="42f4cb5a-261c-4c59-b165-7132460581a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20240313-NI-TSY_47_XXXX-ACTActingPresidentNo.1of2024</dc:title>
  <dc:subject>APPOINTMENTS - FINAL SIGNOFF - Part-Time Member, Tax Practitioners Board</dc:subject>
  <dc:creator>Gallop, Nina</dc:creator>
  <cp:lastModifiedBy>Cuming, Anita</cp:lastModifiedBy>
  <cp:revision>2</cp:revision>
  <dcterms:created xsi:type="dcterms:W3CDTF">2024-03-19T05:17:00Z</dcterms:created>
  <dcterms:modified xsi:type="dcterms:W3CDTF">2024-03-19T05:17:00Z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0x010100B569D256E75E71428C72445DFBB99E7A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f222abda-012e-4912-81b9-c51d1e9c9327</vt:lpwstr>
  </property>
  <property fmtid="{D5CDD505-2E9C-101B-9397-08002B2CF9AE}" pid="76" name="_NewReviewCycle">
    <vt:lpwstr/>
  </property>
  <property fmtid="{D5CDD505-2E9C-101B-9397-08002B2CF9AE}" pid="77" name="eTheme">
    <vt:lpwstr>1;#Law Design|318dd2d2-18da-4b8e-a458-14db2c1af95f</vt:lpwstr>
  </property>
  <property fmtid="{D5CDD505-2E9C-101B-9397-08002B2CF9AE}" pid="78" name="eActivity">
    <vt:lpwstr>5</vt:lpwstr>
  </property>
  <property fmtid="{D5CDD505-2E9C-101B-9397-08002B2CF9AE}" pid="79" name="eDocumentType">
    <vt:lpwstr>839;#Word|270adea1-da01-495e-b2a5-9b72b53e88b0</vt:lpwstr>
  </property>
  <property fmtid="{D5CDD505-2E9C-101B-9397-08002B2CF9AE}" pid="80" name="eTopic">
    <vt:lpwstr>43;#Governance|171463dd-b5ce-41ab-bc5b-55cbda90a249</vt:lpwstr>
  </property>
  <property fmtid="{D5CDD505-2E9C-101B-9397-08002B2CF9AE}" pid="81" name="Division">
    <vt:lpwstr>714</vt:lpwstr>
  </property>
  <property fmtid="{D5CDD505-2E9C-101B-9397-08002B2CF9AE}" pid="82" name="Legislation">
    <vt:lpwstr/>
  </property>
  <property fmtid="{D5CDD505-2E9C-101B-9397-08002B2CF9AE}" pid="83" name="LegalIssues">
    <vt:lpwstr/>
  </property>
  <property fmtid="{D5CDD505-2E9C-101B-9397-08002B2CF9AE}" pid="84" name="Firm engaged">
    <vt:lpwstr/>
  </property>
  <property fmtid="{D5CDD505-2E9C-101B-9397-08002B2CF9AE}" pid="85" name="Branch/Unit">
    <vt:lpwstr/>
  </property>
  <property fmtid="{D5CDD505-2E9C-101B-9397-08002B2CF9AE}" pid="86" name="Activity">
    <vt:lpwstr>35;#Legislation management|cb630f2f-9155-496b-ad0f-d960eb1bf90c</vt:lpwstr>
  </property>
  <property fmtid="{D5CDD505-2E9C-101B-9397-08002B2CF9AE}" pid="87" name="Topic">
    <vt:lpwstr>36;#Legislation Coordination|58c6712e-e847-48f4-81ab-b25e2bbd3986</vt:lpwstr>
  </property>
  <property fmtid="{D5CDD505-2E9C-101B-9397-08002B2CF9AE}" pid="88" name="TSYStatus">
    <vt:lpwstr/>
  </property>
  <property fmtid="{D5CDD505-2E9C-101B-9397-08002B2CF9AE}" pid="89" name="_docset_NoMedatataSyncRequired">
    <vt:lpwstr>False</vt:lpwstr>
  </property>
  <property fmtid="{D5CDD505-2E9C-101B-9397-08002B2CF9AE}" pid="90" name="Document Type">
    <vt:lpwstr>42;#Legislation|25c35cca-98fe-4d3e-a63c-3dda1c39f3ec</vt:lpwstr>
  </property>
  <property fmtid="{D5CDD505-2E9C-101B-9397-08002B2CF9AE}" pid="91" name="MediaServiceImageTags">
    <vt:lpwstr/>
  </property>
  <property fmtid="{D5CDD505-2E9C-101B-9397-08002B2CF9AE}" pid="92" name="MSIP_Label_a26a63cb-9763-453c-8b18-d473b0fc95f9_Enabled">
    <vt:lpwstr>true</vt:lpwstr>
  </property>
  <property fmtid="{D5CDD505-2E9C-101B-9397-08002B2CF9AE}" pid="93" name="MSIP_Label_a26a63cb-9763-453c-8b18-d473b0fc95f9_SetDate">
    <vt:lpwstr>2024-03-19T05:16:57Z</vt:lpwstr>
  </property>
  <property fmtid="{D5CDD505-2E9C-101B-9397-08002B2CF9AE}" pid="94" name="MSIP_Label_a26a63cb-9763-453c-8b18-d473b0fc95f9_Method">
    <vt:lpwstr>Privileged</vt:lpwstr>
  </property>
  <property fmtid="{D5CDD505-2E9C-101B-9397-08002B2CF9AE}" pid="95" name="MSIP_Label_a26a63cb-9763-453c-8b18-d473b0fc95f9_Name">
    <vt:lpwstr>OFFICIAL No Visual Marking</vt:lpwstr>
  </property>
  <property fmtid="{D5CDD505-2E9C-101B-9397-08002B2CF9AE}" pid="96" name="MSIP_Label_a26a63cb-9763-453c-8b18-d473b0fc95f9_SiteId">
    <vt:lpwstr>214f1646-2021-47cc-8397-e3d3a7ba7d9d</vt:lpwstr>
  </property>
  <property fmtid="{D5CDD505-2E9C-101B-9397-08002B2CF9AE}" pid="97" name="MSIP_Label_a26a63cb-9763-453c-8b18-d473b0fc95f9_ActionId">
    <vt:lpwstr>12bba181-16cb-446b-866b-91345f51c626</vt:lpwstr>
  </property>
  <property fmtid="{D5CDD505-2E9C-101B-9397-08002B2CF9AE}" pid="98" name="MSIP_Label_a26a63cb-9763-453c-8b18-d473b0fc95f9_ContentBits">
    <vt:lpwstr>0</vt:lpwstr>
  </property>
</Properties>
</file>