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2884FEFB" w:rsidR="00584C92" w:rsidRPr="00EB58D4" w:rsidRDefault="00584C92" w:rsidP="00584C92">
      <w:pPr>
        <w:spacing w:after="80"/>
        <w:rPr>
          <w:rFonts w:cs="Arial"/>
          <w:b/>
          <w:sz w:val="28"/>
          <w:szCs w:val="28"/>
        </w:rPr>
      </w:pPr>
      <w:r w:rsidRPr="00EB58D4">
        <w:rPr>
          <w:rFonts w:cs="Arial"/>
          <w:b/>
          <w:sz w:val="28"/>
          <w:szCs w:val="28"/>
        </w:rPr>
        <w:t>Notice of Ruling</w:t>
      </w:r>
      <w:r w:rsidR="00AE2C72">
        <w:rPr>
          <w:rFonts w:cs="Arial"/>
          <w:b/>
          <w:sz w:val="28"/>
          <w:szCs w:val="28"/>
        </w:rPr>
        <w:t>s</w:t>
      </w:r>
      <w:r w:rsidRPr="00EB58D4">
        <w:rPr>
          <w:rFonts w:cs="Arial"/>
          <w:b/>
          <w:sz w:val="28"/>
          <w:szCs w:val="28"/>
        </w:rPr>
        <w:t xml:space="preserve"> </w:t>
      </w:r>
      <w:r w:rsidR="00383A21">
        <w:rPr>
          <w:rFonts w:cs="Arial"/>
          <w:b/>
          <w:sz w:val="28"/>
          <w:szCs w:val="28"/>
        </w:rPr>
        <w:t xml:space="preserve">and Withdrawal </w:t>
      </w:r>
      <w:r w:rsidR="00383A21" w:rsidRPr="00EB58D4">
        <w:rPr>
          <w:rFonts w:cs="Arial"/>
          <w:b/>
          <w:sz w:val="28"/>
          <w:szCs w:val="28"/>
        </w:rPr>
        <w:t>of Ruling</w:t>
      </w:r>
      <w:r w:rsidR="00383A21">
        <w:rPr>
          <w:rFonts w:cs="Arial"/>
          <w:b/>
          <w:sz w:val="28"/>
          <w:szCs w:val="28"/>
        </w:rPr>
        <w:t>s</w:t>
      </w:r>
      <w:r w:rsidR="00383A21" w:rsidRPr="00EB58D4">
        <w:rPr>
          <w:rFonts w:cs="Arial"/>
          <w:b/>
          <w:sz w:val="28"/>
          <w:szCs w:val="28"/>
        </w:rPr>
        <w:t xml:space="preserve"> </w:t>
      </w:r>
      <w:r w:rsidR="00577E81">
        <w:rPr>
          <w:rFonts w:cs="Arial"/>
          <w:b/>
          <w:sz w:val="28"/>
          <w:szCs w:val="28"/>
        </w:rPr>
        <w:t>24</w:t>
      </w:r>
      <w:r w:rsidR="00266BEC">
        <w:rPr>
          <w:rFonts w:cs="Arial"/>
          <w:b/>
          <w:sz w:val="28"/>
          <w:szCs w:val="28"/>
        </w:rPr>
        <w:t xml:space="preserve"> April</w:t>
      </w:r>
      <w:r w:rsidR="00FC3007">
        <w:rPr>
          <w:rFonts w:cs="Arial"/>
          <w:b/>
          <w:sz w:val="28"/>
          <w:szCs w:val="28"/>
        </w:rPr>
        <w:t xml:space="preserve"> 2024</w:t>
      </w:r>
    </w:p>
    <w:p w14:paraId="2E87CFDE" w14:textId="2282C125" w:rsidR="00C01DF2" w:rsidRPr="00EB58D4" w:rsidRDefault="00C01DF2" w:rsidP="00C01DF2">
      <w:pPr>
        <w:rPr>
          <w:rFonts w:cs="Arial"/>
          <w:sz w:val="18"/>
          <w:szCs w:val="18"/>
        </w:rPr>
      </w:pPr>
      <w:r w:rsidRPr="00EB58D4">
        <w:rPr>
          <w:rFonts w:cs="Arial"/>
          <w:sz w:val="18"/>
          <w:szCs w:val="18"/>
        </w:rPr>
        <w:t xml:space="preserve">The Commissioner of Taxation, </w:t>
      </w:r>
      <w:r w:rsidR="00737A1C">
        <w:rPr>
          <w:rFonts w:cs="Arial"/>
          <w:sz w:val="18"/>
          <w:szCs w:val="18"/>
        </w:rPr>
        <w:t xml:space="preserve">Rob </w:t>
      </w:r>
      <w:proofErr w:type="spellStart"/>
      <w:r w:rsidR="00737A1C">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w:t>
      </w:r>
      <w:r w:rsidR="002412B8">
        <w:rPr>
          <w:rFonts w:cs="Arial"/>
          <w:sz w:val="18"/>
          <w:szCs w:val="18"/>
        </w:rPr>
        <w:t>s</w:t>
      </w:r>
      <w:r w:rsidRPr="00EB58D4">
        <w:rPr>
          <w:rFonts w:cs="Arial"/>
          <w:sz w:val="18"/>
          <w:szCs w:val="18"/>
        </w:rPr>
        <w:t xml:space="preserve">, </w:t>
      </w:r>
      <w:r w:rsidR="00383A21">
        <w:rPr>
          <w:rFonts w:cs="Arial"/>
          <w:sz w:val="18"/>
          <w:szCs w:val="18"/>
        </w:rPr>
        <w:t xml:space="preserve">and under subsection 358-20(1) of Schedule 1 to the </w:t>
      </w:r>
      <w:r w:rsidR="00383A21" w:rsidRPr="00EB58D4">
        <w:rPr>
          <w:rFonts w:cs="Arial"/>
          <w:i/>
          <w:iCs/>
          <w:sz w:val="18"/>
          <w:szCs w:val="18"/>
        </w:rPr>
        <w:t>Taxation Administration Act 1953</w:t>
      </w:r>
      <w:r w:rsidR="00383A21" w:rsidRPr="00EB58D4">
        <w:rPr>
          <w:rFonts w:cs="Arial"/>
          <w:sz w:val="18"/>
          <w:szCs w:val="18"/>
        </w:rPr>
        <w:t xml:space="preserve"> </w:t>
      </w:r>
      <w:r w:rsidR="00383A21">
        <w:rPr>
          <w:rFonts w:cs="Arial"/>
          <w:sz w:val="18"/>
          <w:szCs w:val="18"/>
        </w:rPr>
        <w:t xml:space="preserve">of the withdrawal of the following pubic rulings, </w:t>
      </w:r>
      <w:r w:rsidRPr="00EB58D4">
        <w:rPr>
          <w:rFonts w:cs="Arial"/>
          <w:sz w:val="18"/>
          <w:szCs w:val="18"/>
        </w:rPr>
        <w:t xml:space="preserve">copies of which can be obtained from </w:t>
      </w:r>
      <w:hyperlink r:id="rId9" w:history="1">
        <w:r w:rsidRPr="00EB58D4">
          <w:rPr>
            <w:rStyle w:val="Hyperlink"/>
            <w:rFonts w:cs="Arial"/>
            <w:sz w:val="18"/>
            <w:szCs w:val="18"/>
          </w:rPr>
          <w:t>ato.gov.au/law</w:t>
        </w:r>
      </w:hyperlink>
    </w:p>
    <w:p w14:paraId="71496C31" w14:textId="0E98B255" w:rsidR="0087097B" w:rsidRDefault="0087097B" w:rsidP="00E45A5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C01DF2" w:rsidRPr="00EB58D4" w14:paraId="6C9717DB" w14:textId="77777777" w:rsidTr="00C01DF2">
        <w:tc>
          <w:tcPr>
            <w:tcW w:w="9923" w:type="dxa"/>
            <w:gridSpan w:val="3"/>
            <w:tcBorders>
              <w:top w:val="single" w:sz="6" w:space="0" w:color="auto"/>
              <w:left w:val="single" w:sz="6" w:space="0" w:color="auto"/>
              <w:bottom w:val="single" w:sz="6" w:space="0" w:color="auto"/>
              <w:right w:val="single" w:sz="6" w:space="0" w:color="auto"/>
            </w:tcBorders>
          </w:tcPr>
          <w:p w14:paraId="36942689" w14:textId="7D1275C4" w:rsidR="00C01DF2" w:rsidRPr="00EB58D4" w:rsidRDefault="00C01DF2" w:rsidP="00D25524">
            <w:pPr>
              <w:pStyle w:val="Heading3"/>
              <w:keepLines/>
              <w:spacing w:before="60"/>
              <w:jc w:val="center"/>
              <w:rPr>
                <w:sz w:val="20"/>
                <w:szCs w:val="20"/>
              </w:rPr>
            </w:pPr>
            <w:r w:rsidRPr="00EB58D4">
              <w:rPr>
                <w:sz w:val="20"/>
                <w:szCs w:val="20"/>
              </w:rPr>
              <w:t xml:space="preserve">NOTICE OF </w:t>
            </w:r>
            <w:r w:rsidR="00D25524">
              <w:rPr>
                <w:sz w:val="20"/>
                <w:szCs w:val="20"/>
              </w:rPr>
              <w:t>RULING</w:t>
            </w:r>
            <w:r w:rsidR="003C5997">
              <w:rPr>
                <w:sz w:val="20"/>
                <w:szCs w:val="20"/>
              </w:rPr>
              <w:t>S</w:t>
            </w:r>
          </w:p>
        </w:tc>
      </w:tr>
      <w:tr w:rsidR="00C01DF2" w:rsidRPr="00EB58D4" w14:paraId="36888AD9" w14:textId="77777777" w:rsidTr="008F6FF3">
        <w:tc>
          <w:tcPr>
            <w:tcW w:w="1984" w:type="dxa"/>
            <w:tcBorders>
              <w:top w:val="single" w:sz="6" w:space="0" w:color="auto"/>
              <w:left w:val="single" w:sz="6" w:space="0" w:color="auto"/>
              <w:bottom w:val="single" w:sz="6" w:space="0" w:color="auto"/>
              <w:right w:val="single" w:sz="6" w:space="0" w:color="auto"/>
            </w:tcBorders>
            <w:vAlign w:val="center"/>
          </w:tcPr>
          <w:p w14:paraId="7B7B0E56" w14:textId="77777777" w:rsidR="00C01DF2" w:rsidRPr="00EB58D4" w:rsidRDefault="00C01DF2" w:rsidP="00D25524">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3AE1FB18" w14:textId="77777777" w:rsidR="00C01DF2" w:rsidRPr="00EB58D4" w:rsidRDefault="00C01DF2" w:rsidP="00D25524">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0A6A9952" w14:textId="77777777" w:rsidR="00C01DF2" w:rsidRPr="00EB58D4" w:rsidRDefault="00C01DF2" w:rsidP="00D25524">
            <w:pPr>
              <w:pStyle w:val="Heading3"/>
              <w:keepLines/>
              <w:spacing w:before="60"/>
              <w:jc w:val="center"/>
              <w:rPr>
                <w:sz w:val="20"/>
                <w:szCs w:val="20"/>
              </w:rPr>
            </w:pPr>
            <w:r w:rsidRPr="00EB58D4">
              <w:rPr>
                <w:sz w:val="20"/>
                <w:szCs w:val="20"/>
              </w:rPr>
              <w:t>Brief description</w:t>
            </w:r>
          </w:p>
        </w:tc>
      </w:tr>
      <w:tr w:rsidR="00A62E9F" w:rsidRPr="006C2351" w14:paraId="6A7DA78D" w14:textId="77777777" w:rsidTr="0038207F">
        <w:tc>
          <w:tcPr>
            <w:tcW w:w="1984" w:type="dxa"/>
            <w:tcBorders>
              <w:top w:val="single" w:sz="6" w:space="0" w:color="auto"/>
              <w:left w:val="single" w:sz="6" w:space="0" w:color="auto"/>
              <w:bottom w:val="single" w:sz="6" w:space="0" w:color="auto"/>
              <w:right w:val="single" w:sz="6" w:space="0" w:color="auto"/>
            </w:tcBorders>
          </w:tcPr>
          <w:p w14:paraId="4DD4F053" w14:textId="7BA470A2" w:rsidR="00A62E9F" w:rsidRPr="00492E6F" w:rsidRDefault="00AD33EB" w:rsidP="00D25524">
            <w:pPr>
              <w:pStyle w:val="Header"/>
              <w:spacing w:before="60" w:after="60"/>
              <w:rPr>
                <w:rFonts w:cs="Arial"/>
                <w:color w:val="000000" w:themeColor="text1"/>
                <w:sz w:val="20"/>
                <w:szCs w:val="20"/>
              </w:rPr>
            </w:pPr>
            <w:r>
              <w:rPr>
                <w:rFonts w:cs="Arial"/>
                <w:color w:val="000000" w:themeColor="text1"/>
                <w:sz w:val="20"/>
                <w:szCs w:val="20"/>
              </w:rPr>
              <w:t>CR</w:t>
            </w:r>
            <w:r w:rsidR="00A62E9F">
              <w:rPr>
                <w:rFonts w:cs="Arial"/>
                <w:color w:val="000000" w:themeColor="text1"/>
                <w:sz w:val="20"/>
                <w:szCs w:val="20"/>
              </w:rPr>
              <w:t xml:space="preserve"> 2024/</w:t>
            </w:r>
            <w:r>
              <w:rPr>
                <w:rFonts w:cs="Arial"/>
                <w:color w:val="000000" w:themeColor="text1"/>
                <w:sz w:val="20"/>
                <w:szCs w:val="20"/>
              </w:rPr>
              <w:t>2</w:t>
            </w:r>
            <w:r w:rsidR="00577E81">
              <w:rPr>
                <w:rFonts w:cs="Arial"/>
                <w:color w:val="000000" w:themeColor="text1"/>
                <w:sz w:val="20"/>
                <w:szCs w:val="20"/>
              </w:rPr>
              <w:t>7</w:t>
            </w:r>
          </w:p>
        </w:tc>
        <w:tc>
          <w:tcPr>
            <w:tcW w:w="3686" w:type="dxa"/>
            <w:tcBorders>
              <w:top w:val="single" w:sz="6" w:space="0" w:color="auto"/>
              <w:left w:val="single" w:sz="6" w:space="0" w:color="auto"/>
              <w:bottom w:val="single" w:sz="6" w:space="0" w:color="auto"/>
              <w:right w:val="single" w:sz="6" w:space="0" w:color="auto"/>
            </w:tcBorders>
          </w:tcPr>
          <w:p w14:paraId="7D148F6B" w14:textId="5F2FA384" w:rsidR="00A62E9F" w:rsidRPr="00492E6F" w:rsidRDefault="00577E81" w:rsidP="00D25524">
            <w:pPr>
              <w:spacing w:before="60" w:after="60"/>
              <w:rPr>
                <w:rFonts w:cs="Arial"/>
                <w:color w:val="000000" w:themeColor="text1"/>
                <w:sz w:val="20"/>
                <w:szCs w:val="20"/>
              </w:rPr>
            </w:pPr>
            <w:r>
              <w:rPr>
                <w:rFonts w:cs="Arial"/>
                <w:color w:val="000000" w:themeColor="text1"/>
                <w:sz w:val="20"/>
                <w:szCs w:val="20"/>
              </w:rPr>
              <w:t>Insurance Australia Group Limited</w:t>
            </w:r>
            <w:r w:rsidR="008F21CD">
              <w:rPr>
                <w:rFonts w:cs="Arial"/>
                <w:color w:val="000000" w:themeColor="text1"/>
                <w:sz w:val="20"/>
                <w:szCs w:val="20"/>
              </w:rPr>
              <w:t xml:space="preserve"> – </w:t>
            </w:r>
            <w:r>
              <w:rPr>
                <w:rFonts w:cs="Arial"/>
                <w:color w:val="000000" w:themeColor="text1"/>
                <w:sz w:val="20"/>
                <w:szCs w:val="20"/>
              </w:rPr>
              <w:t xml:space="preserve">IAG </w:t>
            </w:r>
            <w:r w:rsidR="005D3A51">
              <w:rPr>
                <w:rFonts w:cs="Arial"/>
                <w:color w:val="000000" w:themeColor="text1"/>
                <w:sz w:val="20"/>
                <w:szCs w:val="20"/>
              </w:rPr>
              <w:t xml:space="preserve">Capital Notes </w:t>
            </w:r>
            <w:r>
              <w:rPr>
                <w:rFonts w:cs="Arial"/>
                <w:color w:val="000000" w:themeColor="text1"/>
                <w:sz w:val="20"/>
                <w:szCs w:val="20"/>
              </w:rPr>
              <w:t>3</w:t>
            </w:r>
          </w:p>
        </w:tc>
        <w:tc>
          <w:tcPr>
            <w:tcW w:w="4253" w:type="dxa"/>
            <w:tcBorders>
              <w:top w:val="single" w:sz="6" w:space="0" w:color="auto"/>
              <w:left w:val="single" w:sz="6" w:space="0" w:color="auto"/>
              <w:bottom w:val="single" w:sz="6" w:space="0" w:color="auto"/>
              <w:right w:val="single" w:sz="6" w:space="0" w:color="auto"/>
            </w:tcBorders>
          </w:tcPr>
          <w:p w14:paraId="18CEF1F6" w14:textId="664E5D0F" w:rsidR="00A62E9F" w:rsidRDefault="00A62E9F" w:rsidP="00D25524">
            <w:pPr>
              <w:spacing w:before="60" w:after="60"/>
              <w:rPr>
                <w:rFonts w:cs="Arial"/>
                <w:sz w:val="20"/>
                <w:szCs w:val="20"/>
                <w:lang w:eastAsia="en-AU"/>
              </w:rPr>
            </w:pPr>
            <w:r>
              <w:rPr>
                <w:rFonts w:cs="Arial"/>
                <w:sz w:val="20"/>
                <w:szCs w:val="20"/>
              </w:rPr>
              <w:t xml:space="preserve">This </w:t>
            </w:r>
            <w:r w:rsidR="008049D1">
              <w:rPr>
                <w:rFonts w:cs="Arial"/>
                <w:sz w:val="20"/>
                <w:szCs w:val="20"/>
              </w:rPr>
              <w:t xml:space="preserve">Ruling sets out </w:t>
            </w:r>
            <w:r w:rsidR="005D3A51">
              <w:rPr>
                <w:rFonts w:cs="Arial"/>
                <w:sz w:val="20"/>
                <w:szCs w:val="20"/>
              </w:rPr>
              <w:t xml:space="preserve">the </w:t>
            </w:r>
            <w:r w:rsidR="00577E81">
              <w:rPr>
                <w:rFonts w:cs="Arial"/>
                <w:sz w:val="20"/>
                <w:szCs w:val="20"/>
              </w:rPr>
              <w:t xml:space="preserve">income tax consequences for entities who subscribed for and acquired Insurance Australia Group Limited Capital Notes 3 issued by Insurance Australia Group </w:t>
            </w:r>
            <w:r w:rsidR="005D3A51">
              <w:rPr>
                <w:rFonts w:cs="Arial"/>
                <w:sz w:val="20"/>
                <w:szCs w:val="20"/>
              </w:rPr>
              <w:t>Limited.</w:t>
            </w:r>
          </w:p>
          <w:p w14:paraId="56252808" w14:textId="227BDC03" w:rsidR="00A62E9F" w:rsidRPr="006C2351" w:rsidRDefault="00A62E9F" w:rsidP="00D25524">
            <w:pPr>
              <w:spacing w:before="60" w:after="60"/>
              <w:rPr>
                <w:color w:val="000000" w:themeColor="text1"/>
                <w:sz w:val="20"/>
                <w:szCs w:val="20"/>
              </w:rPr>
            </w:pPr>
            <w:r w:rsidRPr="00402808">
              <w:rPr>
                <w:sz w:val="20"/>
                <w:szCs w:val="20"/>
              </w:rPr>
              <w:t>Th</w:t>
            </w:r>
            <w:r>
              <w:rPr>
                <w:sz w:val="20"/>
                <w:szCs w:val="20"/>
              </w:rPr>
              <w:t>is</w:t>
            </w:r>
            <w:r w:rsidRPr="00402808">
              <w:rPr>
                <w:sz w:val="20"/>
                <w:szCs w:val="20"/>
              </w:rPr>
              <w:t xml:space="preserve"> </w:t>
            </w:r>
            <w:r w:rsidR="008049D1">
              <w:rPr>
                <w:sz w:val="20"/>
                <w:szCs w:val="20"/>
              </w:rPr>
              <w:t xml:space="preserve">Ruling applies </w:t>
            </w:r>
            <w:r w:rsidR="001F3F6A">
              <w:rPr>
                <w:sz w:val="20"/>
                <w:szCs w:val="20"/>
              </w:rPr>
              <w:t xml:space="preserve">to </w:t>
            </w:r>
            <w:r w:rsidR="005D3A51">
              <w:rPr>
                <w:sz w:val="20"/>
                <w:szCs w:val="20"/>
              </w:rPr>
              <w:t xml:space="preserve">investors specified in the Ruling from </w:t>
            </w:r>
            <w:r w:rsidR="008049D1">
              <w:rPr>
                <w:sz w:val="20"/>
                <w:szCs w:val="20"/>
              </w:rPr>
              <w:t>1</w:t>
            </w:r>
            <w:r w:rsidR="00414173">
              <w:rPr>
                <w:sz w:val="20"/>
                <w:szCs w:val="20"/>
              </w:rPr>
              <w:t> </w:t>
            </w:r>
            <w:r w:rsidR="008049D1">
              <w:rPr>
                <w:sz w:val="20"/>
                <w:szCs w:val="20"/>
              </w:rPr>
              <w:t>July 202</w:t>
            </w:r>
            <w:r w:rsidR="005D3A51">
              <w:rPr>
                <w:sz w:val="20"/>
                <w:szCs w:val="20"/>
              </w:rPr>
              <w:t>3</w:t>
            </w:r>
            <w:r w:rsidR="008049D1">
              <w:rPr>
                <w:sz w:val="20"/>
                <w:szCs w:val="20"/>
              </w:rPr>
              <w:t xml:space="preserve"> to 30 June 20</w:t>
            </w:r>
            <w:r w:rsidR="005D3A51">
              <w:rPr>
                <w:sz w:val="20"/>
                <w:szCs w:val="20"/>
              </w:rPr>
              <w:t>3</w:t>
            </w:r>
            <w:r w:rsidR="008049D1">
              <w:rPr>
                <w:sz w:val="20"/>
                <w:szCs w:val="20"/>
              </w:rPr>
              <w:t>4.</w:t>
            </w:r>
          </w:p>
        </w:tc>
      </w:tr>
    </w:tbl>
    <w:p w14:paraId="11759ADF" w14:textId="112E58B9" w:rsidR="00F033F3" w:rsidRDefault="00F033F3" w:rsidP="00F033F3">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9612DE" w:rsidRPr="00EB58D4" w14:paraId="2EBA4AF7" w14:textId="77777777" w:rsidTr="00640ECC">
        <w:tc>
          <w:tcPr>
            <w:tcW w:w="9923" w:type="dxa"/>
            <w:gridSpan w:val="3"/>
            <w:tcBorders>
              <w:top w:val="single" w:sz="6" w:space="0" w:color="auto"/>
              <w:left w:val="single" w:sz="6" w:space="0" w:color="auto"/>
              <w:bottom w:val="single" w:sz="6" w:space="0" w:color="auto"/>
              <w:right w:val="single" w:sz="6" w:space="0" w:color="auto"/>
            </w:tcBorders>
          </w:tcPr>
          <w:p w14:paraId="54A3E5F8" w14:textId="14D94799" w:rsidR="009612DE" w:rsidRPr="00EB58D4" w:rsidRDefault="009612DE" w:rsidP="00742951">
            <w:pPr>
              <w:pStyle w:val="Heading3"/>
              <w:keepLines/>
              <w:spacing w:before="60"/>
              <w:jc w:val="center"/>
              <w:rPr>
                <w:sz w:val="20"/>
                <w:szCs w:val="20"/>
              </w:rPr>
            </w:pPr>
            <w:r w:rsidRPr="00EB58D4">
              <w:rPr>
                <w:sz w:val="20"/>
                <w:szCs w:val="20"/>
              </w:rPr>
              <w:t xml:space="preserve">NOTICE OF </w:t>
            </w:r>
            <w:r>
              <w:rPr>
                <w:sz w:val="20"/>
                <w:szCs w:val="20"/>
              </w:rPr>
              <w:t>ADDENDA</w:t>
            </w:r>
          </w:p>
        </w:tc>
      </w:tr>
      <w:tr w:rsidR="009612DE" w:rsidRPr="00EB58D4" w14:paraId="4BBD054E" w14:textId="77777777" w:rsidTr="00640ECC">
        <w:tc>
          <w:tcPr>
            <w:tcW w:w="1984" w:type="dxa"/>
            <w:tcBorders>
              <w:top w:val="single" w:sz="6" w:space="0" w:color="auto"/>
              <w:left w:val="single" w:sz="6" w:space="0" w:color="auto"/>
              <w:bottom w:val="single" w:sz="6" w:space="0" w:color="auto"/>
              <w:right w:val="single" w:sz="6" w:space="0" w:color="auto"/>
            </w:tcBorders>
            <w:vAlign w:val="center"/>
          </w:tcPr>
          <w:p w14:paraId="3BDAA07A" w14:textId="77777777" w:rsidR="009612DE" w:rsidRPr="00EB58D4" w:rsidRDefault="009612DE" w:rsidP="00742951">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4D4B2B61" w14:textId="77777777" w:rsidR="009612DE" w:rsidRPr="00EB58D4" w:rsidRDefault="009612DE" w:rsidP="00742951">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57CC17E1" w14:textId="77777777" w:rsidR="009612DE" w:rsidRPr="00EB58D4" w:rsidRDefault="009612DE" w:rsidP="00742951">
            <w:pPr>
              <w:pStyle w:val="Heading3"/>
              <w:keepLines/>
              <w:spacing w:before="60"/>
              <w:jc w:val="center"/>
              <w:rPr>
                <w:sz w:val="20"/>
                <w:szCs w:val="20"/>
              </w:rPr>
            </w:pPr>
            <w:r w:rsidRPr="00EB58D4">
              <w:rPr>
                <w:sz w:val="20"/>
                <w:szCs w:val="20"/>
              </w:rPr>
              <w:t>Brief description</w:t>
            </w:r>
          </w:p>
        </w:tc>
      </w:tr>
      <w:tr w:rsidR="009612DE" w:rsidRPr="006C2351" w14:paraId="6D69E925" w14:textId="77777777" w:rsidTr="00640ECC">
        <w:tc>
          <w:tcPr>
            <w:tcW w:w="1984" w:type="dxa"/>
            <w:tcBorders>
              <w:top w:val="single" w:sz="6" w:space="0" w:color="auto"/>
              <w:left w:val="single" w:sz="6" w:space="0" w:color="auto"/>
              <w:bottom w:val="single" w:sz="6" w:space="0" w:color="auto"/>
              <w:right w:val="single" w:sz="6" w:space="0" w:color="auto"/>
            </w:tcBorders>
          </w:tcPr>
          <w:p w14:paraId="2D8150C3" w14:textId="4161D6E3" w:rsidR="009612DE" w:rsidRPr="00492E6F" w:rsidRDefault="009612DE" w:rsidP="00742951">
            <w:pPr>
              <w:pStyle w:val="Header"/>
              <w:spacing w:before="60" w:after="60"/>
              <w:rPr>
                <w:rFonts w:cs="Arial"/>
                <w:color w:val="000000" w:themeColor="text1"/>
                <w:sz w:val="20"/>
                <w:szCs w:val="20"/>
              </w:rPr>
            </w:pPr>
            <w:r>
              <w:rPr>
                <w:rFonts w:cs="Arial"/>
                <w:color w:val="000000" w:themeColor="text1"/>
                <w:sz w:val="20"/>
                <w:szCs w:val="20"/>
              </w:rPr>
              <w:t>TR 2020/1</w:t>
            </w:r>
          </w:p>
        </w:tc>
        <w:tc>
          <w:tcPr>
            <w:tcW w:w="3686" w:type="dxa"/>
            <w:tcBorders>
              <w:top w:val="single" w:sz="6" w:space="0" w:color="auto"/>
              <w:left w:val="single" w:sz="6" w:space="0" w:color="auto"/>
              <w:bottom w:val="single" w:sz="6" w:space="0" w:color="auto"/>
              <w:right w:val="single" w:sz="6" w:space="0" w:color="auto"/>
            </w:tcBorders>
          </w:tcPr>
          <w:p w14:paraId="550410FF" w14:textId="07B2ABA2" w:rsidR="009612DE" w:rsidRPr="00492E6F" w:rsidRDefault="009612DE" w:rsidP="00CE7173">
            <w:pPr>
              <w:spacing w:before="60" w:after="60"/>
              <w:rPr>
                <w:rFonts w:cs="Arial"/>
                <w:color w:val="000000" w:themeColor="text1"/>
                <w:sz w:val="20"/>
                <w:szCs w:val="20"/>
              </w:rPr>
            </w:pPr>
            <w:r>
              <w:rPr>
                <w:rFonts w:cs="Arial"/>
                <w:sz w:val="20"/>
                <w:szCs w:val="20"/>
              </w:rPr>
              <w:t>Income tax:  employees:  deductions for work expenses under section 8</w:t>
            </w:r>
            <w:r w:rsidR="00742951">
              <w:rPr>
                <w:rFonts w:cs="Arial"/>
                <w:sz w:val="20"/>
                <w:szCs w:val="20"/>
              </w:rPr>
              <w:t>-</w:t>
            </w:r>
            <w:r>
              <w:rPr>
                <w:rFonts w:cs="Arial"/>
                <w:sz w:val="20"/>
                <w:szCs w:val="20"/>
              </w:rPr>
              <w:t xml:space="preserve">1 of the </w:t>
            </w:r>
            <w:r>
              <w:rPr>
                <w:rFonts w:cs="Arial"/>
                <w:i/>
                <w:iCs/>
                <w:sz w:val="20"/>
                <w:szCs w:val="20"/>
              </w:rPr>
              <w:t>Income Tax Assessment Act 1997</w:t>
            </w:r>
          </w:p>
        </w:tc>
        <w:tc>
          <w:tcPr>
            <w:tcW w:w="4253" w:type="dxa"/>
            <w:tcBorders>
              <w:top w:val="single" w:sz="6" w:space="0" w:color="auto"/>
              <w:left w:val="single" w:sz="6" w:space="0" w:color="auto"/>
              <w:bottom w:val="single" w:sz="6" w:space="0" w:color="auto"/>
              <w:right w:val="single" w:sz="6" w:space="0" w:color="auto"/>
            </w:tcBorders>
          </w:tcPr>
          <w:p w14:paraId="0FCEC159" w14:textId="5D075C09" w:rsidR="009612DE" w:rsidRDefault="00B52F82" w:rsidP="00742951">
            <w:pPr>
              <w:spacing w:before="60" w:after="60"/>
              <w:rPr>
                <w:color w:val="000000" w:themeColor="text1"/>
                <w:sz w:val="20"/>
                <w:szCs w:val="20"/>
              </w:rPr>
            </w:pPr>
            <w:r>
              <w:rPr>
                <w:color w:val="000000" w:themeColor="text1"/>
                <w:sz w:val="20"/>
                <w:szCs w:val="20"/>
              </w:rPr>
              <w:t>This Ad</w:t>
            </w:r>
            <w:r w:rsidR="006D788A">
              <w:rPr>
                <w:color w:val="000000" w:themeColor="text1"/>
                <w:sz w:val="20"/>
                <w:szCs w:val="20"/>
              </w:rPr>
              <w:t>d</w:t>
            </w:r>
            <w:r>
              <w:rPr>
                <w:color w:val="000000" w:themeColor="text1"/>
                <w:sz w:val="20"/>
                <w:szCs w:val="20"/>
              </w:rPr>
              <w:t xml:space="preserve">endum amends Taxation Ruling TR 2020/1 to </w:t>
            </w:r>
            <w:r w:rsidR="00745C94">
              <w:rPr>
                <w:color w:val="000000" w:themeColor="text1"/>
                <w:sz w:val="20"/>
                <w:szCs w:val="20"/>
              </w:rPr>
              <w:t xml:space="preserve">update the references to </w:t>
            </w:r>
            <w:r>
              <w:rPr>
                <w:color w:val="000000" w:themeColor="text1"/>
                <w:sz w:val="20"/>
                <w:szCs w:val="20"/>
              </w:rPr>
              <w:t>TR</w:t>
            </w:r>
            <w:r w:rsidR="00745C94">
              <w:rPr>
                <w:color w:val="000000" w:themeColor="text1"/>
                <w:sz w:val="20"/>
                <w:szCs w:val="20"/>
              </w:rPr>
              <w:t> </w:t>
            </w:r>
            <w:r>
              <w:rPr>
                <w:color w:val="000000" w:themeColor="text1"/>
                <w:sz w:val="20"/>
                <w:szCs w:val="20"/>
              </w:rPr>
              <w:t xml:space="preserve">98/9 </w:t>
            </w:r>
            <w:r w:rsidR="00745C94">
              <w:rPr>
                <w:color w:val="000000" w:themeColor="text1"/>
                <w:sz w:val="20"/>
                <w:szCs w:val="20"/>
              </w:rPr>
              <w:t xml:space="preserve">which is </w:t>
            </w:r>
            <w:r>
              <w:rPr>
                <w:color w:val="000000" w:themeColor="text1"/>
                <w:sz w:val="20"/>
                <w:szCs w:val="20"/>
              </w:rPr>
              <w:t>now withdrawn</w:t>
            </w:r>
            <w:r w:rsidRPr="00B52F82">
              <w:rPr>
                <w:i/>
                <w:iCs/>
                <w:color w:val="000000" w:themeColor="text1"/>
                <w:sz w:val="20"/>
                <w:szCs w:val="20"/>
              </w:rPr>
              <w:t>.</w:t>
            </w:r>
          </w:p>
          <w:p w14:paraId="40969F4B" w14:textId="3C3EE82D" w:rsidR="00B52F82" w:rsidRPr="001C0A45" w:rsidRDefault="00B52F82" w:rsidP="00742951">
            <w:pPr>
              <w:spacing w:before="60" w:after="60"/>
              <w:rPr>
                <w:color w:val="000000" w:themeColor="text1"/>
                <w:sz w:val="20"/>
                <w:szCs w:val="20"/>
              </w:rPr>
            </w:pPr>
            <w:r>
              <w:rPr>
                <w:color w:val="000000" w:themeColor="text1"/>
                <w:sz w:val="20"/>
                <w:szCs w:val="20"/>
              </w:rPr>
              <w:t>This Addendum applies from 21 February 2024.</w:t>
            </w:r>
          </w:p>
        </w:tc>
      </w:tr>
      <w:tr w:rsidR="009612DE" w:rsidRPr="006C2351" w14:paraId="0ACDB7B9" w14:textId="77777777" w:rsidTr="00640ECC">
        <w:tc>
          <w:tcPr>
            <w:tcW w:w="1984" w:type="dxa"/>
            <w:tcBorders>
              <w:top w:val="single" w:sz="6" w:space="0" w:color="auto"/>
              <w:left w:val="single" w:sz="6" w:space="0" w:color="auto"/>
              <w:bottom w:val="single" w:sz="6" w:space="0" w:color="auto"/>
              <w:right w:val="single" w:sz="6" w:space="0" w:color="auto"/>
            </w:tcBorders>
          </w:tcPr>
          <w:p w14:paraId="132215AC" w14:textId="0BC5547E" w:rsidR="009612DE" w:rsidRDefault="009612DE" w:rsidP="00742951">
            <w:pPr>
              <w:pStyle w:val="Header"/>
              <w:spacing w:before="60" w:after="60"/>
              <w:rPr>
                <w:rFonts w:cs="Arial"/>
                <w:color w:val="000000" w:themeColor="text1"/>
                <w:sz w:val="20"/>
                <w:szCs w:val="20"/>
              </w:rPr>
            </w:pPr>
            <w:r>
              <w:rPr>
                <w:rFonts w:cs="Arial"/>
                <w:color w:val="000000" w:themeColor="text1"/>
                <w:sz w:val="20"/>
                <w:szCs w:val="20"/>
              </w:rPr>
              <w:t>TR 2021/1</w:t>
            </w:r>
          </w:p>
        </w:tc>
        <w:tc>
          <w:tcPr>
            <w:tcW w:w="3686" w:type="dxa"/>
            <w:tcBorders>
              <w:top w:val="single" w:sz="6" w:space="0" w:color="auto"/>
              <w:left w:val="single" w:sz="6" w:space="0" w:color="auto"/>
              <w:bottom w:val="single" w:sz="6" w:space="0" w:color="auto"/>
              <w:right w:val="single" w:sz="6" w:space="0" w:color="auto"/>
            </w:tcBorders>
          </w:tcPr>
          <w:p w14:paraId="1DA62A3F" w14:textId="08610874" w:rsidR="009612DE" w:rsidRDefault="009612DE" w:rsidP="00CE7173">
            <w:pPr>
              <w:spacing w:before="60" w:after="60"/>
              <w:rPr>
                <w:rFonts w:cs="Arial"/>
                <w:color w:val="000000" w:themeColor="text1"/>
                <w:sz w:val="20"/>
                <w:szCs w:val="20"/>
              </w:rPr>
            </w:pPr>
            <w:r>
              <w:rPr>
                <w:rFonts w:cs="Arial"/>
                <w:sz w:val="20"/>
                <w:szCs w:val="20"/>
              </w:rPr>
              <w:t>Income tax:  when are deductions allowed for employees’ transport expenses?</w:t>
            </w:r>
          </w:p>
        </w:tc>
        <w:tc>
          <w:tcPr>
            <w:tcW w:w="4253" w:type="dxa"/>
            <w:tcBorders>
              <w:top w:val="single" w:sz="6" w:space="0" w:color="auto"/>
              <w:left w:val="single" w:sz="6" w:space="0" w:color="auto"/>
              <w:bottom w:val="single" w:sz="6" w:space="0" w:color="auto"/>
              <w:right w:val="single" w:sz="6" w:space="0" w:color="auto"/>
            </w:tcBorders>
          </w:tcPr>
          <w:p w14:paraId="77C3397A" w14:textId="27CF6EBC" w:rsidR="00B52F82" w:rsidRDefault="00B52F82" w:rsidP="00742951">
            <w:pPr>
              <w:spacing w:before="60" w:after="60"/>
              <w:rPr>
                <w:color w:val="000000" w:themeColor="text1"/>
                <w:sz w:val="20"/>
                <w:szCs w:val="20"/>
              </w:rPr>
            </w:pPr>
            <w:r>
              <w:rPr>
                <w:color w:val="000000" w:themeColor="text1"/>
                <w:sz w:val="20"/>
                <w:szCs w:val="20"/>
              </w:rPr>
              <w:t>This Ad</w:t>
            </w:r>
            <w:r w:rsidR="006D788A">
              <w:rPr>
                <w:color w:val="000000" w:themeColor="text1"/>
                <w:sz w:val="20"/>
                <w:szCs w:val="20"/>
              </w:rPr>
              <w:t>d</w:t>
            </w:r>
            <w:r>
              <w:rPr>
                <w:color w:val="000000" w:themeColor="text1"/>
                <w:sz w:val="20"/>
                <w:szCs w:val="20"/>
              </w:rPr>
              <w:t>endum amends Taxation Ruling TR 2021/1 to</w:t>
            </w:r>
            <w:r w:rsidR="00745C94">
              <w:rPr>
                <w:color w:val="000000" w:themeColor="text1"/>
                <w:sz w:val="20"/>
                <w:szCs w:val="20"/>
              </w:rPr>
              <w:t xml:space="preserve"> update the references to TR 98/9 which is now withdrawn.</w:t>
            </w:r>
          </w:p>
          <w:p w14:paraId="0AAF86A9" w14:textId="1780F6B5" w:rsidR="009612DE" w:rsidRDefault="00B52F82" w:rsidP="00742951">
            <w:pPr>
              <w:spacing w:before="60" w:after="60"/>
              <w:rPr>
                <w:rFonts w:cs="Arial"/>
                <w:sz w:val="20"/>
                <w:szCs w:val="20"/>
              </w:rPr>
            </w:pPr>
            <w:r>
              <w:rPr>
                <w:color w:val="000000" w:themeColor="text1"/>
                <w:sz w:val="20"/>
                <w:szCs w:val="20"/>
              </w:rPr>
              <w:t>This Addendum applies from 21 February 2024.</w:t>
            </w:r>
          </w:p>
        </w:tc>
      </w:tr>
      <w:tr w:rsidR="009612DE" w:rsidRPr="006C2351" w14:paraId="1F60ACC3" w14:textId="77777777" w:rsidTr="00640ECC">
        <w:tc>
          <w:tcPr>
            <w:tcW w:w="1984" w:type="dxa"/>
            <w:tcBorders>
              <w:top w:val="single" w:sz="6" w:space="0" w:color="auto"/>
              <w:left w:val="single" w:sz="6" w:space="0" w:color="auto"/>
              <w:bottom w:val="single" w:sz="6" w:space="0" w:color="auto"/>
              <w:right w:val="single" w:sz="6" w:space="0" w:color="auto"/>
            </w:tcBorders>
          </w:tcPr>
          <w:p w14:paraId="0CF0B8FE" w14:textId="5B3622FD" w:rsidR="009612DE" w:rsidRDefault="009612DE" w:rsidP="00742951">
            <w:pPr>
              <w:pStyle w:val="Header"/>
              <w:spacing w:before="60" w:after="60"/>
              <w:rPr>
                <w:rFonts w:cs="Arial"/>
                <w:color w:val="000000" w:themeColor="text1"/>
                <w:sz w:val="20"/>
                <w:szCs w:val="20"/>
              </w:rPr>
            </w:pPr>
            <w:r>
              <w:rPr>
                <w:rFonts w:cs="Arial"/>
                <w:color w:val="000000" w:themeColor="text1"/>
                <w:sz w:val="20"/>
                <w:szCs w:val="20"/>
              </w:rPr>
              <w:t>TR 2021/4</w:t>
            </w:r>
          </w:p>
        </w:tc>
        <w:tc>
          <w:tcPr>
            <w:tcW w:w="3686" w:type="dxa"/>
            <w:tcBorders>
              <w:top w:val="single" w:sz="6" w:space="0" w:color="auto"/>
              <w:left w:val="single" w:sz="6" w:space="0" w:color="auto"/>
              <w:bottom w:val="single" w:sz="6" w:space="0" w:color="auto"/>
              <w:right w:val="single" w:sz="6" w:space="0" w:color="auto"/>
            </w:tcBorders>
          </w:tcPr>
          <w:p w14:paraId="461BF1DA" w14:textId="7A187430" w:rsidR="00742951" w:rsidRDefault="009612DE" w:rsidP="006324C1">
            <w:pPr>
              <w:spacing w:before="60" w:after="60"/>
              <w:rPr>
                <w:rFonts w:cs="Arial"/>
                <w:sz w:val="20"/>
                <w:szCs w:val="20"/>
              </w:rPr>
            </w:pPr>
            <w:r>
              <w:rPr>
                <w:rFonts w:cs="Arial"/>
                <w:sz w:val="20"/>
                <w:szCs w:val="20"/>
              </w:rPr>
              <w:t>Income tax and fringe benefits tax:  employees:</w:t>
            </w:r>
          </w:p>
          <w:p w14:paraId="7EB4D429" w14:textId="6C6F0B77" w:rsidR="00742951" w:rsidRPr="00CE7173" w:rsidRDefault="009612DE" w:rsidP="00CE7173">
            <w:pPr>
              <w:pStyle w:val="ListParagraph"/>
              <w:numPr>
                <w:ilvl w:val="3"/>
                <w:numId w:val="4"/>
              </w:numPr>
              <w:spacing w:before="60" w:after="60"/>
              <w:rPr>
                <w:rFonts w:cs="Arial"/>
                <w:sz w:val="20"/>
                <w:szCs w:val="20"/>
              </w:rPr>
            </w:pPr>
            <w:r w:rsidRPr="00CE7173">
              <w:rPr>
                <w:rFonts w:cs="Arial"/>
                <w:sz w:val="20"/>
                <w:szCs w:val="20"/>
              </w:rPr>
              <w:t>accommodation and food and drink expenses</w:t>
            </w:r>
          </w:p>
          <w:p w14:paraId="2D04E522" w14:textId="77777777" w:rsidR="00742951" w:rsidRPr="00CE7173" w:rsidRDefault="009612DE" w:rsidP="00CE7173">
            <w:pPr>
              <w:pStyle w:val="ListParagraph"/>
              <w:numPr>
                <w:ilvl w:val="3"/>
                <w:numId w:val="4"/>
              </w:numPr>
              <w:spacing w:before="60" w:after="60"/>
              <w:rPr>
                <w:rFonts w:cs="Arial"/>
                <w:sz w:val="20"/>
                <w:szCs w:val="20"/>
              </w:rPr>
            </w:pPr>
            <w:r w:rsidRPr="00CE7173">
              <w:rPr>
                <w:rFonts w:cs="Arial"/>
                <w:sz w:val="20"/>
                <w:szCs w:val="20"/>
              </w:rPr>
              <w:t xml:space="preserve">travel allowances, and </w:t>
            </w:r>
          </w:p>
          <w:p w14:paraId="09F59370" w14:textId="74AD077B" w:rsidR="009612DE" w:rsidRPr="00CE7173" w:rsidRDefault="009612DE" w:rsidP="00CE7173">
            <w:pPr>
              <w:pStyle w:val="ListParagraph"/>
              <w:numPr>
                <w:ilvl w:val="3"/>
                <w:numId w:val="4"/>
              </w:numPr>
              <w:spacing w:before="60" w:after="60"/>
              <w:rPr>
                <w:rFonts w:cs="Arial"/>
                <w:sz w:val="20"/>
                <w:szCs w:val="20"/>
              </w:rPr>
            </w:pPr>
            <w:r w:rsidRPr="00CE7173">
              <w:rPr>
                <w:rFonts w:cs="Arial"/>
                <w:sz w:val="20"/>
                <w:szCs w:val="20"/>
              </w:rPr>
              <w:t>living-away-from-home allowances</w:t>
            </w:r>
          </w:p>
        </w:tc>
        <w:tc>
          <w:tcPr>
            <w:tcW w:w="4253" w:type="dxa"/>
            <w:tcBorders>
              <w:top w:val="single" w:sz="6" w:space="0" w:color="auto"/>
              <w:left w:val="single" w:sz="6" w:space="0" w:color="auto"/>
              <w:bottom w:val="single" w:sz="6" w:space="0" w:color="auto"/>
              <w:right w:val="single" w:sz="6" w:space="0" w:color="auto"/>
            </w:tcBorders>
          </w:tcPr>
          <w:p w14:paraId="49853B1F" w14:textId="054FFAA7" w:rsidR="00B52F82" w:rsidRDefault="00B52F82" w:rsidP="00742951">
            <w:pPr>
              <w:spacing w:before="60" w:after="60"/>
              <w:rPr>
                <w:color w:val="000000" w:themeColor="text1"/>
                <w:sz w:val="20"/>
                <w:szCs w:val="20"/>
              </w:rPr>
            </w:pPr>
            <w:r>
              <w:rPr>
                <w:color w:val="000000" w:themeColor="text1"/>
                <w:sz w:val="20"/>
                <w:szCs w:val="20"/>
              </w:rPr>
              <w:t>This Ad</w:t>
            </w:r>
            <w:r w:rsidR="006D788A">
              <w:rPr>
                <w:color w:val="000000" w:themeColor="text1"/>
                <w:sz w:val="20"/>
                <w:szCs w:val="20"/>
              </w:rPr>
              <w:t>d</w:t>
            </w:r>
            <w:r>
              <w:rPr>
                <w:color w:val="000000" w:themeColor="text1"/>
                <w:sz w:val="20"/>
                <w:szCs w:val="20"/>
              </w:rPr>
              <w:t>endum amends Taxation Ruling TR 2021/4 to</w:t>
            </w:r>
            <w:r w:rsidR="00745C94">
              <w:rPr>
                <w:color w:val="000000" w:themeColor="text1"/>
                <w:sz w:val="20"/>
                <w:szCs w:val="20"/>
              </w:rPr>
              <w:t xml:space="preserve"> update the references to TR 98/9 which is now withdrawn.</w:t>
            </w:r>
          </w:p>
          <w:p w14:paraId="2D25D4C7" w14:textId="1739E50A" w:rsidR="009612DE" w:rsidRDefault="00B52F82" w:rsidP="00742951">
            <w:pPr>
              <w:spacing w:before="60" w:after="60"/>
              <w:rPr>
                <w:rFonts w:cs="Arial"/>
                <w:sz w:val="20"/>
                <w:szCs w:val="20"/>
              </w:rPr>
            </w:pPr>
            <w:r>
              <w:rPr>
                <w:color w:val="000000" w:themeColor="text1"/>
                <w:sz w:val="20"/>
                <w:szCs w:val="20"/>
              </w:rPr>
              <w:t>This Addendum applies from 21 February 2024.</w:t>
            </w:r>
          </w:p>
        </w:tc>
      </w:tr>
    </w:tbl>
    <w:p w14:paraId="110DDBC6" w14:textId="77777777" w:rsidR="009612DE" w:rsidRDefault="009612DE" w:rsidP="009612DE">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383A21" w:rsidRPr="00EB58D4" w14:paraId="4A0F8E5A" w14:textId="77777777" w:rsidTr="00B063BB">
        <w:tc>
          <w:tcPr>
            <w:tcW w:w="9923" w:type="dxa"/>
            <w:gridSpan w:val="3"/>
            <w:tcBorders>
              <w:top w:val="single" w:sz="6" w:space="0" w:color="auto"/>
              <w:left w:val="single" w:sz="6" w:space="0" w:color="auto"/>
              <w:bottom w:val="single" w:sz="6" w:space="0" w:color="auto"/>
              <w:right w:val="single" w:sz="6" w:space="0" w:color="auto"/>
            </w:tcBorders>
          </w:tcPr>
          <w:p w14:paraId="017A40AB" w14:textId="31604915" w:rsidR="00383A21" w:rsidRPr="00EB58D4" w:rsidRDefault="00383A21" w:rsidP="00B063BB">
            <w:pPr>
              <w:pStyle w:val="Heading3"/>
              <w:keepLines/>
              <w:spacing w:before="60"/>
              <w:jc w:val="center"/>
              <w:rPr>
                <w:sz w:val="20"/>
                <w:szCs w:val="20"/>
              </w:rPr>
            </w:pPr>
            <w:r w:rsidRPr="00EB58D4">
              <w:rPr>
                <w:sz w:val="20"/>
                <w:szCs w:val="20"/>
              </w:rPr>
              <w:t xml:space="preserve">NOTICE OF </w:t>
            </w:r>
            <w:r>
              <w:rPr>
                <w:sz w:val="20"/>
                <w:szCs w:val="20"/>
              </w:rPr>
              <w:t>WTHDRAWALS</w:t>
            </w:r>
          </w:p>
        </w:tc>
      </w:tr>
      <w:tr w:rsidR="00383A21" w:rsidRPr="00EB58D4" w14:paraId="0B28C321" w14:textId="77777777" w:rsidTr="00B063BB">
        <w:tc>
          <w:tcPr>
            <w:tcW w:w="1984" w:type="dxa"/>
            <w:tcBorders>
              <w:top w:val="single" w:sz="6" w:space="0" w:color="auto"/>
              <w:left w:val="single" w:sz="6" w:space="0" w:color="auto"/>
              <w:bottom w:val="single" w:sz="6" w:space="0" w:color="auto"/>
              <w:right w:val="single" w:sz="6" w:space="0" w:color="auto"/>
            </w:tcBorders>
            <w:vAlign w:val="center"/>
          </w:tcPr>
          <w:p w14:paraId="51D4EF4F" w14:textId="77777777" w:rsidR="00383A21" w:rsidRPr="00EB58D4" w:rsidRDefault="00383A21" w:rsidP="00B063BB">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70ED7C1E" w14:textId="77777777" w:rsidR="00383A21" w:rsidRPr="00EB58D4" w:rsidRDefault="00383A21" w:rsidP="00B063BB">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1BF839B" w14:textId="77777777" w:rsidR="00383A21" w:rsidRPr="00EB58D4" w:rsidRDefault="00383A21" w:rsidP="00B063BB">
            <w:pPr>
              <w:pStyle w:val="Heading3"/>
              <w:keepLines/>
              <w:spacing w:before="60"/>
              <w:jc w:val="center"/>
              <w:rPr>
                <w:sz w:val="20"/>
                <w:szCs w:val="20"/>
              </w:rPr>
            </w:pPr>
            <w:r w:rsidRPr="00EB58D4">
              <w:rPr>
                <w:sz w:val="20"/>
                <w:szCs w:val="20"/>
              </w:rPr>
              <w:t>Brief description</w:t>
            </w:r>
          </w:p>
        </w:tc>
      </w:tr>
      <w:tr w:rsidR="0055598A" w:rsidRPr="006C2351" w14:paraId="6C78D96E" w14:textId="77777777" w:rsidTr="00B063BB">
        <w:tc>
          <w:tcPr>
            <w:tcW w:w="1984" w:type="dxa"/>
            <w:tcBorders>
              <w:top w:val="single" w:sz="6" w:space="0" w:color="auto"/>
              <w:left w:val="single" w:sz="6" w:space="0" w:color="auto"/>
              <w:bottom w:val="single" w:sz="6" w:space="0" w:color="auto"/>
              <w:right w:val="single" w:sz="6" w:space="0" w:color="auto"/>
            </w:tcBorders>
          </w:tcPr>
          <w:p w14:paraId="7543EDDE" w14:textId="6C64F05A" w:rsidR="0055598A" w:rsidRDefault="0055598A" w:rsidP="00B063BB">
            <w:pPr>
              <w:pStyle w:val="Header"/>
              <w:spacing w:before="60" w:after="60"/>
              <w:rPr>
                <w:rFonts w:cs="Arial"/>
                <w:color w:val="000000" w:themeColor="text1"/>
                <w:sz w:val="20"/>
                <w:szCs w:val="20"/>
              </w:rPr>
            </w:pPr>
            <w:r>
              <w:rPr>
                <w:rFonts w:cs="Arial"/>
                <w:color w:val="000000" w:themeColor="text1"/>
                <w:sz w:val="20"/>
                <w:szCs w:val="20"/>
              </w:rPr>
              <w:t>TD 93/97</w:t>
            </w:r>
          </w:p>
        </w:tc>
        <w:tc>
          <w:tcPr>
            <w:tcW w:w="3686" w:type="dxa"/>
            <w:tcBorders>
              <w:top w:val="single" w:sz="6" w:space="0" w:color="auto"/>
              <w:left w:val="single" w:sz="6" w:space="0" w:color="auto"/>
              <w:bottom w:val="single" w:sz="6" w:space="0" w:color="auto"/>
              <w:right w:val="single" w:sz="6" w:space="0" w:color="auto"/>
            </w:tcBorders>
          </w:tcPr>
          <w:p w14:paraId="4A094E6A" w14:textId="1B04A712" w:rsidR="0055598A" w:rsidRDefault="0055598A" w:rsidP="0055598A">
            <w:pPr>
              <w:pStyle w:val="Header"/>
              <w:rPr>
                <w:rFonts w:cs="Arial"/>
                <w:color w:val="000000"/>
                <w:sz w:val="20"/>
                <w:szCs w:val="20"/>
              </w:rPr>
            </w:pPr>
            <w:r w:rsidRPr="0055598A">
              <w:rPr>
                <w:rFonts w:cs="Arial"/>
                <w:color w:val="000000"/>
                <w:sz w:val="20"/>
                <w:szCs w:val="20"/>
              </w:rPr>
              <w:t>Income tax:</w:t>
            </w:r>
            <w:r w:rsidR="006324C1">
              <w:rPr>
                <w:rFonts w:cs="Arial"/>
                <w:color w:val="000000"/>
                <w:sz w:val="20"/>
                <w:szCs w:val="20"/>
              </w:rPr>
              <w:t xml:space="preserve"> </w:t>
            </w:r>
            <w:r w:rsidRPr="0055598A">
              <w:rPr>
                <w:rFonts w:cs="Arial"/>
                <w:color w:val="000000"/>
                <w:sz w:val="20"/>
                <w:szCs w:val="20"/>
              </w:rPr>
              <w:t xml:space="preserve"> if a taxpayer claims a deduction for </w:t>
            </w:r>
            <w:proofErr w:type="spellStart"/>
            <w:r w:rsidRPr="0055598A">
              <w:rPr>
                <w:rFonts w:cs="Arial"/>
                <w:color w:val="000000"/>
                <w:sz w:val="20"/>
                <w:szCs w:val="20"/>
              </w:rPr>
              <w:t>self education</w:t>
            </w:r>
            <w:proofErr w:type="spellEnd"/>
            <w:r w:rsidRPr="0055598A">
              <w:rPr>
                <w:rFonts w:cs="Arial"/>
                <w:color w:val="000000"/>
                <w:sz w:val="20"/>
                <w:szCs w:val="20"/>
              </w:rPr>
              <w:t xml:space="preserve"> expenses under section 8-1 of the </w:t>
            </w:r>
            <w:r w:rsidRPr="0055598A">
              <w:rPr>
                <w:rFonts w:cs="Arial"/>
                <w:i/>
                <w:iCs/>
                <w:color w:val="000000"/>
                <w:sz w:val="20"/>
                <w:szCs w:val="20"/>
              </w:rPr>
              <w:t>Income Tax Assessment Act 1997</w:t>
            </w:r>
            <w:r w:rsidRPr="0055598A">
              <w:rPr>
                <w:rFonts w:cs="Arial"/>
                <w:color w:val="000000"/>
                <w:sz w:val="20"/>
                <w:szCs w:val="20"/>
              </w:rPr>
              <w:t xml:space="preserve">, is the amount of $250 spent, but disallowed as a deduction under section 82A of the </w:t>
            </w:r>
            <w:r w:rsidRPr="0055598A">
              <w:rPr>
                <w:rFonts w:cs="Arial"/>
                <w:i/>
                <w:iCs/>
                <w:color w:val="000000"/>
                <w:sz w:val="20"/>
                <w:szCs w:val="20"/>
              </w:rPr>
              <w:t>Income Tax Assessment Act 1936</w:t>
            </w:r>
            <w:r w:rsidRPr="0055598A">
              <w:rPr>
                <w:rFonts w:cs="Arial"/>
                <w:color w:val="000000"/>
                <w:sz w:val="20"/>
                <w:szCs w:val="20"/>
              </w:rPr>
              <w:t>, excluded from the substantiation provisions?</w:t>
            </w:r>
          </w:p>
        </w:tc>
        <w:tc>
          <w:tcPr>
            <w:tcW w:w="4253" w:type="dxa"/>
            <w:tcBorders>
              <w:top w:val="single" w:sz="6" w:space="0" w:color="auto"/>
              <w:left w:val="single" w:sz="6" w:space="0" w:color="auto"/>
              <w:bottom w:val="single" w:sz="6" w:space="0" w:color="auto"/>
              <w:right w:val="single" w:sz="6" w:space="0" w:color="auto"/>
            </w:tcBorders>
          </w:tcPr>
          <w:p w14:paraId="62122095" w14:textId="0801B061" w:rsidR="0055598A" w:rsidRPr="00F50771" w:rsidRDefault="00C9661C" w:rsidP="00B063BB">
            <w:pPr>
              <w:spacing w:before="60" w:after="60"/>
              <w:rPr>
                <w:color w:val="000000" w:themeColor="text1"/>
                <w:sz w:val="20"/>
                <w:szCs w:val="20"/>
              </w:rPr>
            </w:pPr>
            <w:r w:rsidRPr="00F50771">
              <w:rPr>
                <w:color w:val="000000" w:themeColor="text1"/>
                <w:sz w:val="20"/>
                <w:szCs w:val="20"/>
              </w:rPr>
              <w:t xml:space="preserve">Taxation Determination </w:t>
            </w:r>
            <w:r w:rsidR="00742951">
              <w:rPr>
                <w:color w:val="000000" w:themeColor="text1"/>
                <w:sz w:val="20"/>
                <w:szCs w:val="20"/>
              </w:rPr>
              <w:t xml:space="preserve">TD </w:t>
            </w:r>
            <w:r w:rsidRPr="00F50771">
              <w:rPr>
                <w:color w:val="000000" w:themeColor="text1"/>
                <w:sz w:val="20"/>
                <w:szCs w:val="20"/>
              </w:rPr>
              <w:t>93/97 is withdrawn with effect from 25 April 2024</w:t>
            </w:r>
            <w:r w:rsidR="00F50771" w:rsidRPr="00F50771">
              <w:rPr>
                <w:sz w:val="20"/>
                <w:szCs w:val="20"/>
              </w:rPr>
              <w:t>.</w:t>
            </w:r>
          </w:p>
        </w:tc>
      </w:tr>
      <w:tr w:rsidR="00383A21" w:rsidRPr="006C2351" w14:paraId="0959F140" w14:textId="77777777" w:rsidTr="00B063BB">
        <w:tc>
          <w:tcPr>
            <w:tcW w:w="1984" w:type="dxa"/>
            <w:tcBorders>
              <w:top w:val="single" w:sz="6" w:space="0" w:color="auto"/>
              <w:left w:val="single" w:sz="6" w:space="0" w:color="auto"/>
              <w:bottom w:val="single" w:sz="6" w:space="0" w:color="auto"/>
              <w:right w:val="single" w:sz="6" w:space="0" w:color="auto"/>
            </w:tcBorders>
          </w:tcPr>
          <w:p w14:paraId="35D27918" w14:textId="4F68C715" w:rsidR="00383A21" w:rsidRPr="00492E6F" w:rsidRDefault="00383A21" w:rsidP="00B063BB">
            <w:pPr>
              <w:pStyle w:val="Header"/>
              <w:spacing w:before="60" w:after="60"/>
              <w:rPr>
                <w:rFonts w:cs="Arial"/>
                <w:color w:val="000000" w:themeColor="text1"/>
                <w:sz w:val="20"/>
                <w:szCs w:val="20"/>
              </w:rPr>
            </w:pPr>
            <w:r>
              <w:rPr>
                <w:rFonts w:cs="Arial"/>
                <w:color w:val="000000" w:themeColor="text1"/>
                <w:sz w:val="20"/>
                <w:szCs w:val="20"/>
              </w:rPr>
              <w:lastRenderedPageBreak/>
              <w:t>TD 2018/1</w:t>
            </w:r>
          </w:p>
        </w:tc>
        <w:tc>
          <w:tcPr>
            <w:tcW w:w="3686" w:type="dxa"/>
            <w:tcBorders>
              <w:top w:val="single" w:sz="6" w:space="0" w:color="auto"/>
              <w:left w:val="single" w:sz="6" w:space="0" w:color="auto"/>
              <w:bottom w:val="single" w:sz="6" w:space="0" w:color="auto"/>
              <w:right w:val="single" w:sz="6" w:space="0" w:color="auto"/>
            </w:tcBorders>
          </w:tcPr>
          <w:p w14:paraId="667C58B8" w14:textId="4D22B3E6" w:rsidR="00383A21" w:rsidRPr="00492E6F" w:rsidRDefault="00383A21" w:rsidP="00383A21">
            <w:pPr>
              <w:spacing w:after="0"/>
              <w:rPr>
                <w:rFonts w:cs="Arial"/>
                <w:color w:val="000000" w:themeColor="text1"/>
                <w:sz w:val="20"/>
                <w:szCs w:val="20"/>
              </w:rPr>
            </w:pPr>
            <w:r>
              <w:rPr>
                <w:rFonts w:cs="Arial"/>
                <w:color w:val="000000"/>
                <w:sz w:val="20"/>
                <w:szCs w:val="20"/>
              </w:rPr>
              <w:t>Fringe benefits tax:</w:t>
            </w:r>
            <w:r w:rsidR="006324C1">
              <w:rPr>
                <w:rFonts w:cs="Arial"/>
                <w:color w:val="000000"/>
                <w:sz w:val="20"/>
                <w:szCs w:val="20"/>
              </w:rPr>
              <w:t xml:space="preserve"> </w:t>
            </w:r>
            <w:r>
              <w:rPr>
                <w:rFonts w:cs="Arial"/>
                <w:color w:val="000000"/>
                <w:sz w:val="20"/>
                <w:szCs w:val="20"/>
              </w:rPr>
              <w:t xml:space="preserve"> for the purposes of section 28 of the </w:t>
            </w:r>
            <w:r w:rsidRPr="00383A21">
              <w:rPr>
                <w:rFonts w:cs="Arial"/>
                <w:i/>
                <w:iCs/>
                <w:color w:val="000000"/>
                <w:sz w:val="20"/>
                <w:szCs w:val="20"/>
              </w:rPr>
              <w:t>Fringe Benefits Tax Assessment Act 1986</w:t>
            </w:r>
            <w:r>
              <w:rPr>
                <w:rFonts w:cs="Arial"/>
                <w:color w:val="000000"/>
                <w:sz w:val="20"/>
                <w:szCs w:val="20"/>
              </w:rPr>
              <w:t xml:space="preserve"> what are the indexation factors for valuing non-remote housing for the fringe benefits tax year commencing on 1 April 2018?</w:t>
            </w:r>
          </w:p>
        </w:tc>
        <w:tc>
          <w:tcPr>
            <w:tcW w:w="4253" w:type="dxa"/>
            <w:tcBorders>
              <w:top w:val="single" w:sz="6" w:space="0" w:color="auto"/>
              <w:left w:val="single" w:sz="6" w:space="0" w:color="auto"/>
              <w:bottom w:val="single" w:sz="6" w:space="0" w:color="auto"/>
              <w:right w:val="single" w:sz="6" w:space="0" w:color="auto"/>
            </w:tcBorders>
          </w:tcPr>
          <w:p w14:paraId="3CD8BF46" w14:textId="6FF6B799" w:rsidR="00383A21" w:rsidRDefault="001D1F31" w:rsidP="00B063BB">
            <w:pPr>
              <w:spacing w:before="60" w:after="60"/>
              <w:rPr>
                <w:color w:val="000000" w:themeColor="text1"/>
                <w:sz w:val="20"/>
                <w:szCs w:val="20"/>
              </w:rPr>
            </w:pPr>
            <w:r>
              <w:rPr>
                <w:color w:val="000000" w:themeColor="text1"/>
                <w:sz w:val="20"/>
                <w:szCs w:val="20"/>
              </w:rPr>
              <w:t>T</w:t>
            </w:r>
            <w:r w:rsidR="00E547E1">
              <w:rPr>
                <w:color w:val="000000" w:themeColor="text1"/>
                <w:sz w:val="20"/>
                <w:szCs w:val="20"/>
              </w:rPr>
              <w:t>axation Determination</w:t>
            </w:r>
            <w:r>
              <w:rPr>
                <w:color w:val="000000" w:themeColor="text1"/>
                <w:sz w:val="20"/>
                <w:szCs w:val="20"/>
              </w:rPr>
              <w:t xml:space="preserve"> </w:t>
            </w:r>
            <w:r w:rsidR="00742951">
              <w:rPr>
                <w:color w:val="000000" w:themeColor="text1"/>
                <w:sz w:val="20"/>
                <w:szCs w:val="20"/>
              </w:rPr>
              <w:t xml:space="preserve">TD </w:t>
            </w:r>
            <w:r>
              <w:rPr>
                <w:color w:val="000000" w:themeColor="text1"/>
                <w:sz w:val="20"/>
                <w:szCs w:val="20"/>
              </w:rPr>
              <w:t>2018/1 is withdrawn with effect from 2</w:t>
            </w:r>
            <w:r w:rsidR="00C9661C">
              <w:rPr>
                <w:color w:val="000000" w:themeColor="text1"/>
                <w:sz w:val="20"/>
                <w:szCs w:val="20"/>
              </w:rPr>
              <w:t>5</w:t>
            </w:r>
            <w:r w:rsidR="00E547E1">
              <w:rPr>
                <w:color w:val="000000" w:themeColor="text1"/>
                <w:sz w:val="20"/>
                <w:szCs w:val="20"/>
              </w:rPr>
              <w:t> </w:t>
            </w:r>
            <w:r>
              <w:rPr>
                <w:color w:val="000000" w:themeColor="text1"/>
                <w:sz w:val="20"/>
                <w:szCs w:val="20"/>
              </w:rPr>
              <w:t>April 2024</w:t>
            </w:r>
            <w:r w:rsidR="00E547E1">
              <w:rPr>
                <w:color w:val="000000" w:themeColor="text1"/>
                <w:sz w:val="20"/>
                <w:szCs w:val="20"/>
              </w:rPr>
              <w:t xml:space="preserve"> as its period of effect has passed</w:t>
            </w:r>
            <w:r>
              <w:rPr>
                <w:color w:val="000000" w:themeColor="text1"/>
                <w:sz w:val="20"/>
                <w:szCs w:val="20"/>
              </w:rPr>
              <w:t>.</w:t>
            </w:r>
          </w:p>
          <w:p w14:paraId="6A3188CC" w14:textId="2B58C3FA" w:rsidR="00E547E1" w:rsidRPr="006C2351" w:rsidRDefault="00E547E1" w:rsidP="00B063BB">
            <w:pPr>
              <w:spacing w:before="60" w:after="60"/>
              <w:rPr>
                <w:color w:val="000000" w:themeColor="text1"/>
                <w:sz w:val="20"/>
                <w:szCs w:val="20"/>
              </w:rPr>
            </w:pPr>
            <w:r>
              <w:rPr>
                <w:color w:val="000000" w:themeColor="text1"/>
                <w:sz w:val="20"/>
                <w:szCs w:val="20"/>
              </w:rPr>
              <w:t>The Determination will continue to be legally binding on the Commissioner for the relevant period to which it relates.</w:t>
            </w:r>
          </w:p>
        </w:tc>
      </w:tr>
      <w:tr w:rsidR="00383A21" w:rsidRPr="006C2351" w14:paraId="7330E768" w14:textId="77777777" w:rsidTr="00B063BB">
        <w:tc>
          <w:tcPr>
            <w:tcW w:w="1984" w:type="dxa"/>
            <w:tcBorders>
              <w:top w:val="single" w:sz="6" w:space="0" w:color="auto"/>
              <w:left w:val="single" w:sz="6" w:space="0" w:color="auto"/>
              <w:bottom w:val="single" w:sz="6" w:space="0" w:color="auto"/>
              <w:right w:val="single" w:sz="6" w:space="0" w:color="auto"/>
            </w:tcBorders>
          </w:tcPr>
          <w:p w14:paraId="17219978" w14:textId="29B1D821" w:rsidR="00383A21" w:rsidRDefault="00383A21" w:rsidP="00B063BB">
            <w:pPr>
              <w:pStyle w:val="Header"/>
              <w:spacing w:before="60" w:after="60"/>
              <w:rPr>
                <w:rFonts w:cs="Arial"/>
                <w:color w:val="000000" w:themeColor="text1"/>
                <w:sz w:val="20"/>
                <w:szCs w:val="20"/>
              </w:rPr>
            </w:pPr>
            <w:r>
              <w:rPr>
                <w:rFonts w:cs="Arial"/>
                <w:color w:val="000000" w:themeColor="text1"/>
                <w:sz w:val="20"/>
                <w:szCs w:val="20"/>
              </w:rPr>
              <w:t>TD 2018/2</w:t>
            </w:r>
          </w:p>
        </w:tc>
        <w:tc>
          <w:tcPr>
            <w:tcW w:w="3686" w:type="dxa"/>
            <w:tcBorders>
              <w:top w:val="single" w:sz="6" w:space="0" w:color="auto"/>
              <w:left w:val="single" w:sz="6" w:space="0" w:color="auto"/>
              <w:bottom w:val="single" w:sz="6" w:space="0" w:color="auto"/>
              <w:right w:val="single" w:sz="6" w:space="0" w:color="auto"/>
            </w:tcBorders>
          </w:tcPr>
          <w:p w14:paraId="7F094544" w14:textId="7090DFD5" w:rsidR="00383A21" w:rsidRDefault="00383A21" w:rsidP="00383A21">
            <w:pPr>
              <w:spacing w:after="0"/>
              <w:rPr>
                <w:rFonts w:cs="Arial"/>
                <w:color w:val="000000"/>
                <w:sz w:val="20"/>
                <w:szCs w:val="20"/>
              </w:rPr>
            </w:pPr>
            <w:r>
              <w:rPr>
                <w:rFonts w:cs="Arial"/>
                <w:color w:val="000000"/>
                <w:sz w:val="20"/>
                <w:szCs w:val="20"/>
              </w:rPr>
              <w:t xml:space="preserve">Fringe benefits tax: </w:t>
            </w:r>
            <w:r w:rsidR="006324C1">
              <w:rPr>
                <w:rFonts w:cs="Arial"/>
                <w:color w:val="000000"/>
                <w:sz w:val="20"/>
                <w:szCs w:val="20"/>
              </w:rPr>
              <w:t xml:space="preserve"> </w:t>
            </w:r>
            <w:r>
              <w:rPr>
                <w:rFonts w:cs="Arial"/>
                <w:color w:val="000000"/>
                <w:sz w:val="20"/>
                <w:szCs w:val="20"/>
              </w:rPr>
              <w:t>what is the benchmark interest rate to be used for the fringe benefits tax year commencing on 1 April 2018?</w:t>
            </w:r>
          </w:p>
        </w:tc>
        <w:tc>
          <w:tcPr>
            <w:tcW w:w="4253" w:type="dxa"/>
            <w:tcBorders>
              <w:top w:val="single" w:sz="6" w:space="0" w:color="auto"/>
              <w:left w:val="single" w:sz="6" w:space="0" w:color="auto"/>
              <w:bottom w:val="single" w:sz="6" w:space="0" w:color="auto"/>
              <w:right w:val="single" w:sz="6" w:space="0" w:color="auto"/>
            </w:tcBorders>
          </w:tcPr>
          <w:p w14:paraId="1685CE31" w14:textId="4806BCA1" w:rsidR="00E547E1" w:rsidRDefault="00E547E1" w:rsidP="00B063BB">
            <w:pPr>
              <w:spacing w:before="60" w:after="60"/>
              <w:rPr>
                <w:color w:val="000000" w:themeColor="text1"/>
                <w:sz w:val="20"/>
                <w:szCs w:val="20"/>
              </w:rPr>
            </w:pPr>
            <w:r>
              <w:rPr>
                <w:color w:val="000000" w:themeColor="text1"/>
                <w:sz w:val="20"/>
                <w:szCs w:val="20"/>
              </w:rPr>
              <w:t xml:space="preserve">Taxation Determination </w:t>
            </w:r>
            <w:r w:rsidR="00742951">
              <w:rPr>
                <w:color w:val="000000" w:themeColor="text1"/>
                <w:sz w:val="20"/>
                <w:szCs w:val="20"/>
              </w:rPr>
              <w:t xml:space="preserve">TD </w:t>
            </w:r>
            <w:r>
              <w:rPr>
                <w:color w:val="000000" w:themeColor="text1"/>
                <w:sz w:val="20"/>
                <w:szCs w:val="20"/>
              </w:rPr>
              <w:t>2018/2 is withdrawn with effect from 25 April 2024 as its period of effect has passed.</w:t>
            </w:r>
          </w:p>
          <w:p w14:paraId="21B33625" w14:textId="52FD9B9E" w:rsidR="00383A21" w:rsidRPr="006C2351" w:rsidRDefault="00E547E1" w:rsidP="00B063BB">
            <w:pPr>
              <w:spacing w:before="60" w:after="60"/>
              <w:rPr>
                <w:color w:val="000000" w:themeColor="text1"/>
                <w:sz w:val="20"/>
                <w:szCs w:val="20"/>
              </w:rPr>
            </w:pPr>
            <w:r>
              <w:rPr>
                <w:color w:val="000000" w:themeColor="text1"/>
                <w:sz w:val="20"/>
                <w:szCs w:val="20"/>
              </w:rPr>
              <w:t>The Determination will continue to be legally binding on the Commissioner for the relevant period to which it relates.</w:t>
            </w:r>
          </w:p>
        </w:tc>
      </w:tr>
      <w:tr w:rsidR="00383A21" w:rsidRPr="006C2351" w14:paraId="066A93B0" w14:textId="77777777" w:rsidTr="00B063BB">
        <w:tc>
          <w:tcPr>
            <w:tcW w:w="1984" w:type="dxa"/>
            <w:tcBorders>
              <w:top w:val="single" w:sz="6" w:space="0" w:color="auto"/>
              <w:left w:val="single" w:sz="6" w:space="0" w:color="auto"/>
              <w:bottom w:val="single" w:sz="6" w:space="0" w:color="auto"/>
              <w:right w:val="single" w:sz="6" w:space="0" w:color="auto"/>
            </w:tcBorders>
          </w:tcPr>
          <w:p w14:paraId="25D62839" w14:textId="7581DFE7" w:rsidR="00383A21" w:rsidRDefault="00383A21" w:rsidP="00383A21">
            <w:pPr>
              <w:pStyle w:val="Header"/>
              <w:spacing w:before="60" w:after="60"/>
              <w:rPr>
                <w:rFonts w:cs="Arial"/>
                <w:color w:val="000000" w:themeColor="text1"/>
                <w:sz w:val="20"/>
                <w:szCs w:val="20"/>
              </w:rPr>
            </w:pPr>
            <w:r w:rsidRPr="007356AC">
              <w:rPr>
                <w:rFonts w:cs="Arial"/>
                <w:color w:val="000000" w:themeColor="text1"/>
                <w:sz w:val="20"/>
                <w:szCs w:val="20"/>
              </w:rPr>
              <w:t>TD 2018</w:t>
            </w:r>
            <w:r>
              <w:rPr>
                <w:rFonts w:cs="Arial"/>
                <w:color w:val="000000" w:themeColor="text1"/>
                <w:sz w:val="20"/>
                <w:szCs w:val="20"/>
              </w:rPr>
              <w:t>/3</w:t>
            </w:r>
          </w:p>
        </w:tc>
        <w:tc>
          <w:tcPr>
            <w:tcW w:w="3686" w:type="dxa"/>
            <w:tcBorders>
              <w:top w:val="single" w:sz="6" w:space="0" w:color="auto"/>
              <w:left w:val="single" w:sz="6" w:space="0" w:color="auto"/>
              <w:bottom w:val="single" w:sz="6" w:space="0" w:color="auto"/>
              <w:right w:val="single" w:sz="6" w:space="0" w:color="auto"/>
            </w:tcBorders>
          </w:tcPr>
          <w:p w14:paraId="23D1E7D4" w14:textId="3C9FB4C6" w:rsidR="00383A21" w:rsidRDefault="00383A21" w:rsidP="00383A21">
            <w:pPr>
              <w:spacing w:after="0"/>
              <w:rPr>
                <w:rFonts w:cs="Arial"/>
                <w:color w:val="000000"/>
                <w:sz w:val="20"/>
                <w:szCs w:val="20"/>
              </w:rPr>
            </w:pPr>
            <w:r>
              <w:rPr>
                <w:rFonts w:cs="Arial"/>
                <w:color w:val="000000"/>
                <w:sz w:val="20"/>
                <w:szCs w:val="20"/>
              </w:rPr>
              <w:t xml:space="preserve">Fringe benefits tax: </w:t>
            </w:r>
            <w:r w:rsidR="006324C1">
              <w:rPr>
                <w:rFonts w:cs="Arial"/>
                <w:color w:val="000000"/>
                <w:sz w:val="20"/>
                <w:szCs w:val="20"/>
              </w:rPr>
              <w:t xml:space="preserve"> </w:t>
            </w:r>
            <w:r>
              <w:rPr>
                <w:rFonts w:cs="Arial"/>
                <w:color w:val="000000"/>
                <w:sz w:val="20"/>
                <w:szCs w:val="20"/>
              </w:rPr>
              <w:t xml:space="preserve">reasonable amounts under section 31G of the </w:t>
            </w:r>
            <w:r w:rsidRPr="00383A21">
              <w:rPr>
                <w:rFonts w:cs="Arial"/>
                <w:i/>
                <w:iCs/>
                <w:color w:val="000000"/>
                <w:sz w:val="20"/>
                <w:szCs w:val="20"/>
              </w:rPr>
              <w:t>Fringe Benefits Tax Assessment Act 1986</w:t>
            </w:r>
            <w:r>
              <w:rPr>
                <w:rFonts w:cs="Arial"/>
                <w:color w:val="000000"/>
                <w:sz w:val="20"/>
                <w:szCs w:val="20"/>
              </w:rPr>
              <w:t xml:space="preserve"> for food and drink expenses incurred by employees receiving a living-away-from-home allowance fringe benefit for the fringe benefits tax year commencing on 1 April 2018?</w:t>
            </w:r>
          </w:p>
        </w:tc>
        <w:tc>
          <w:tcPr>
            <w:tcW w:w="4253" w:type="dxa"/>
            <w:tcBorders>
              <w:top w:val="single" w:sz="6" w:space="0" w:color="auto"/>
              <w:left w:val="single" w:sz="6" w:space="0" w:color="auto"/>
              <w:bottom w:val="single" w:sz="6" w:space="0" w:color="auto"/>
              <w:right w:val="single" w:sz="6" w:space="0" w:color="auto"/>
            </w:tcBorders>
          </w:tcPr>
          <w:p w14:paraId="5D7714D4" w14:textId="6355E13C" w:rsidR="00E547E1" w:rsidRDefault="00E547E1" w:rsidP="00E547E1">
            <w:pPr>
              <w:spacing w:before="60" w:after="60"/>
              <w:rPr>
                <w:color w:val="000000" w:themeColor="text1"/>
                <w:sz w:val="20"/>
                <w:szCs w:val="20"/>
              </w:rPr>
            </w:pPr>
            <w:r>
              <w:rPr>
                <w:color w:val="000000" w:themeColor="text1"/>
                <w:sz w:val="20"/>
                <w:szCs w:val="20"/>
              </w:rPr>
              <w:t>Taxation Determination</w:t>
            </w:r>
            <w:r w:rsidR="006324C1">
              <w:rPr>
                <w:color w:val="000000" w:themeColor="text1"/>
                <w:sz w:val="20"/>
                <w:szCs w:val="20"/>
              </w:rPr>
              <w:t xml:space="preserve"> TD</w:t>
            </w:r>
            <w:r>
              <w:rPr>
                <w:color w:val="000000" w:themeColor="text1"/>
                <w:sz w:val="20"/>
                <w:szCs w:val="20"/>
              </w:rPr>
              <w:t xml:space="preserve"> 2018/3 is withdrawn with effect from 25 April 2024 as its period of effect has passed.</w:t>
            </w:r>
          </w:p>
          <w:p w14:paraId="46B770AE" w14:textId="5B8A9F2B" w:rsidR="00383A21" w:rsidRPr="006C2351" w:rsidRDefault="00E547E1" w:rsidP="00383A21">
            <w:pPr>
              <w:spacing w:before="60" w:after="60"/>
              <w:rPr>
                <w:color w:val="000000" w:themeColor="text1"/>
                <w:sz w:val="20"/>
                <w:szCs w:val="20"/>
              </w:rPr>
            </w:pPr>
            <w:r>
              <w:rPr>
                <w:color w:val="000000" w:themeColor="text1"/>
                <w:sz w:val="20"/>
                <w:szCs w:val="20"/>
              </w:rPr>
              <w:t>The Determination will continue to be legally binding on the Commissioner for the relevant period to which it relates.</w:t>
            </w:r>
          </w:p>
        </w:tc>
      </w:tr>
      <w:tr w:rsidR="00383A21" w:rsidRPr="006C2351" w14:paraId="3BFEA316" w14:textId="77777777" w:rsidTr="00B063BB">
        <w:tc>
          <w:tcPr>
            <w:tcW w:w="1984" w:type="dxa"/>
            <w:tcBorders>
              <w:top w:val="single" w:sz="6" w:space="0" w:color="auto"/>
              <w:left w:val="single" w:sz="6" w:space="0" w:color="auto"/>
              <w:bottom w:val="single" w:sz="6" w:space="0" w:color="auto"/>
              <w:right w:val="single" w:sz="6" w:space="0" w:color="auto"/>
            </w:tcBorders>
          </w:tcPr>
          <w:p w14:paraId="6625982F" w14:textId="1005CFB0" w:rsidR="00383A21" w:rsidRDefault="00383A21" w:rsidP="00383A21">
            <w:pPr>
              <w:pStyle w:val="Header"/>
              <w:spacing w:before="60" w:after="60"/>
              <w:rPr>
                <w:rFonts w:cs="Arial"/>
                <w:color w:val="000000" w:themeColor="text1"/>
                <w:sz w:val="20"/>
                <w:szCs w:val="20"/>
              </w:rPr>
            </w:pPr>
            <w:r w:rsidRPr="007356AC">
              <w:rPr>
                <w:rFonts w:cs="Arial"/>
                <w:color w:val="000000" w:themeColor="text1"/>
                <w:sz w:val="20"/>
                <w:szCs w:val="20"/>
              </w:rPr>
              <w:t>TD 2018</w:t>
            </w:r>
            <w:r>
              <w:rPr>
                <w:rFonts w:cs="Arial"/>
                <w:color w:val="000000" w:themeColor="text1"/>
                <w:sz w:val="20"/>
                <w:szCs w:val="20"/>
              </w:rPr>
              <w:t>/4</w:t>
            </w:r>
          </w:p>
        </w:tc>
        <w:tc>
          <w:tcPr>
            <w:tcW w:w="3686" w:type="dxa"/>
            <w:tcBorders>
              <w:top w:val="single" w:sz="6" w:space="0" w:color="auto"/>
              <w:left w:val="single" w:sz="6" w:space="0" w:color="auto"/>
              <w:bottom w:val="single" w:sz="6" w:space="0" w:color="auto"/>
              <w:right w:val="single" w:sz="6" w:space="0" w:color="auto"/>
            </w:tcBorders>
          </w:tcPr>
          <w:p w14:paraId="4B4C3ABC" w14:textId="2B88A388" w:rsidR="00383A21" w:rsidRDefault="00383A21" w:rsidP="00383A21">
            <w:pPr>
              <w:spacing w:after="0"/>
              <w:rPr>
                <w:rFonts w:cs="Arial"/>
                <w:color w:val="000000"/>
                <w:sz w:val="20"/>
                <w:szCs w:val="20"/>
              </w:rPr>
            </w:pPr>
            <w:r>
              <w:rPr>
                <w:rFonts w:cs="Arial"/>
                <w:color w:val="000000"/>
                <w:sz w:val="20"/>
                <w:szCs w:val="20"/>
              </w:rPr>
              <w:t xml:space="preserve">Fringe benefits tax: </w:t>
            </w:r>
            <w:r w:rsidR="006324C1">
              <w:rPr>
                <w:rFonts w:cs="Arial"/>
                <w:color w:val="000000"/>
                <w:sz w:val="20"/>
                <w:szCs w:val="20"/>
              </w:rPr>
              <w:t xml:space="preserve"> </w:t>
            </w:r>
            <w:r>
              <w:rPr>
                <w:rFonts w:cs="Arial"/>
                <w:color w:val="000000"/>
                <w:sz w:val="20"/>
                <w:szCs w:val="20"/>
              </w:rPr>
              <w:t>what are the rates to be applied on a cents per kilometre basis for calculating the taxable value of a fringe benefit arising from the private use of a motor vehicle other than a car for the fringe benefits tax year commencing on 1 April 2018?</w:t>
            </w:r>
          </w:p>
        </w:tc>
        <w:tc>
          <w:tcPr>
            <w:tcW w:w="4253" w:type="dxa"/>
            <w:tcBorders>
              <w:top w:val="single" w:sz="6" w:space="0" w:color="auto"/>
              <w:left w:val="single" w:sz="6" w:space="0" w:color="auto"/>
              <w:bottom w:val="single" w:sz="6" w:space="0" w:color="auto"/>
              <w:right w:val="single" w:sz="6" w:space="0" w:color="auto"/>
            </w:tcBorders>
          </w:tcPr>
          <w:p w14:paraId="0C6C0A5C" w14:textId="380E9963" w:rsidR="00FC4639" w:rsidRDefault="00FC4639" w:rsidP="00FC4639">
            <w:pPr>
              <w:spacing w:before="60" w:after="60"/>
              <w:rPr>
                <w:color w:val="000000" w:themeColor="text1"/>
                <w:sz w:val="20"/>
                <w:szCs w:val="20"/>
              </w:rPr>
            </w:pPr>
            <w:r>
              <w:rPr>
                <w:color w:val="000000" w:themeColor="text1"/>
                <w:sz w:val="20"/>
                <w:szCs w:val="20"/>
              </w:rPr>
              <w:t xml:space="preserve">Taxation Determination </w:t>
            </w:r>
            <w:r w:rsidR="006324C1">
              <w:rPr>
                <w:color w:val="000000" w:themeColor="text1"/>
                <w:sz w:val="20"/>
                <w:szCs w:val="20"/>
              </w:rPr>
              <w:t xml:space="preserve">TD </w:t>
            </w:r>
            <w:r>
              <w:rPr>
                <w:color w:val="000000" w:themeColor="text1"/>
                <w:sz w:val="20"/>
                <w:szCs w:val="20"/>
              </w:rPr>
              <w:t>2018/4 is withdrawn with effect from 25 April 2024 as its period of effect has passed.</w:t>
            </w:r>
          </w:p>
          <w:p w14:paraId="46761B35" w14:textId="27D6298A" w:rsidR="00383A21" w:rsidRPr="006C2351" w:rsidRDefault="00FC4639" w:rsidP="00FC4639">
            <w:pPr>
              <w:spacing w:before="60" w:after="60"/>
              <w:rPr>
                <w:color w:val="000000" w:themeColor="text1"/>
                <w:sz w:val="20"/>
                <w:szCs w:val="20"/>
              </w:rPr>
            </w:pPr>
            <w:r>
              <w:rPr>
                <w:color w:val="000000" w:themeColor="text1"/>
                <w:sz w:val="20"/>
                <w:szCs w:val="20"/>
              </w:rPr>
              <w:t>The Determination will continue to be legally binding on the Commissioner for the relevant period to which it relates.</w:t>
            </w:r>
          </w:p>
        </w:tc>
      </w:tr>
      <w:tr w:rsidR="00383A21" w:rsidRPr="006C2351" w14:paraId="3594B892" w14:textId="77777777" w:rsidTr="00B063BB">
        <w:tc>
          <w:tcPr>
            <w:tcW w:w="1984" w:type="dxa"/>
            <w:tcBorders>
              <w:top w:val="single" w:sz="6" w:space="0" w:color="auto"/>
              <w:left w:val="single" w:sz="6" w:space="0" w:color="auto"/>
              <w:bottom w:val="single" w:sz="6" w:space="0" w:color="auto"/>
              <w:right w:val="single" w:sz="6" w:space="0" w:color="auto"/>
            </w:tcBorders>
          </w:tcPr>
          <w:p w14:paraId="32C34CDF" w14:textId="156BF7B5" w:rsidR="00383A21" w:rsidRDefault="00383A21" w:rsidP="00383A21">
            <w:pPr>
              <w:pStyle w:val="Header"/>
              <w:spacing w:before="60" w:after="60"/>
              <w:rPr>
                <w:rFonts w:cs="Arial"/>
                <w:color w:val="000000" w:themeColor="text1"/>
                <w:sz w:val="20"/>
                <w:szCs w:val="20"/>
              </w:rPr>
            </w:pPr>
            <w:r w:rsidRPr="007356AC">
              <w:rPr>
                <w:rFonts w:cs="Arial"/>
                <w:color w:val="000000" w:themeColor="text1"/>
                <w:sz w:val="20"/>
                <w:szCs w:val="20"/>
              </w:rPr>
              <w:t>TD 2018</w:t>
            </w:r>
            <w:r>
              <w:rPr>
                <w:rFonts w:cs="Arial"/>
                <w:color w:val="000000" w:themeColor="text1"/>
                <w:sz w:val="20"/>
                <w:szCs w:val="20"/>
              </w:rPr>
              <w:t>/5</w:t>
            </w:r>
          </w:p>
        </w:tc>
        <w:tc>
          <w:tcPr>
            <w:tcW w:w="3686" w:type="dxa"/>
            <w:tcBorders>
              <w:top w:val="single" w:sz="6" w:space="0" w:color="auto"/>
              <w:left w:val="single" w:sz="6" w:space="0" w:color="auto"/>
              <w:bottom w:val="single" w:sz="6" w:space="0" w:color="auto"/>
              <w:right w:val="single" w:sz="6" w:space="0" w:color="auto"/>
            </w:tcBorders>
          </w:tcPr>
          <w:p w14:paraId="0968E49A" w14:textId="55FB1C33" w:rsidR="00383A21" w:rsidRDefault="00383A21" w:rsidP="00383A21">
            <w:pPr>
              <w:spacing w:after="0"/>
              <w:rPr>
                <w:rFonts w:cs="Arial"/>
                <w:color w:val="000000"/>
                <w:sz w:val="20"/>
                <w:szCs w:val="20"/>
              </w:rPr>
            </w:pPr>
            <w:r>
              <w:rPr>
                <w:rFonts w:cs="Arial"/>
                <w:color w:val="000000"/>
                <w:sz w:val="20"/>
                <w:szCs w:val="20"/>
              </w:rPr>
              <w:t>Fringe benefits tax:</w:t>
            </w:r>
            <w:r w:rsidR="006324C1">
              <w:rPr>
                <w:rFonts w:cs="Arial"/>
                <w:color w:val="000000"/>
                <w:sz w:val="20"/>
                <w:szCs w:val="20"/>
              </w:rPr>
              <w:t xml:space="preserve"> </w:t>
            </w:r>
            <w:r>
              <w:rPr>
                <w:rFonts w:cs="Arial"/>
                <w:color w:val="000000"/>
                <w:sz w:val="20"/>
                <w:szCs w:val="20"/>
              </w:rPr>
              <w:t xml:space="preserve"> for the purposes of section 135C of the </w:t>
            </w:r>
            <w:r w:rsidRPr="00383A21">
              <w:rPr>
                <w:rFonts w:cs="Arial"/>
                <w:i/>
                <w:iCs/>
                <w:color w:val="000000"/>
                <w:sz w:val="20"/>
                <w:szCs w:val="20"/>
              </w:rPr>
              <w:t>Fringe Benefits Tax Assessment Act 1986</w:t>
            </w:r>
            <w:r>
              <w:rPr>
                <w:rFonts w:cs="Arial"/>
                <w:color w:val="000000"/>
                <w:sz w:val="20"/>
                <w:szCs w:val="20"/>
              </w:rPr>
              <w:t>, what is the exemption threshold for the fringe benefits tax year commencing on 1 April 2018?</w:t>
            </w:r>
          </w:p>
        </w:tc>
        <w:tc>
          <w:tcPr>
            <w:tcW w:w="4253" w:type="dxa"/>
            <w:tcBorders>
              <w:top w:val="single" w:sz="6" w:space="0" w:color="auto"/>
              <w:left w:val="single" w:sz="6" w:space="0" w:color="auto"/>
              <w:bottom w:val="single" w:sz="6" w:space="0" w:color="auto"/>
              <w:right w:val="single" w:sz="6" w:space="0" w:color="auto"/>
            </w:tcBorders>
          </w:tcPr>
          <w:p w14:paraId="64F23DDB" w14:textId="6994AD7C" w:rsidR="00FC4639" w:rsidRDefault="00FC4639" w:rsidP="00FC4639">
            <w:pPr>
              <w:spacing w:before="60" w:after="60"/>
              <w:rPr>
                <w:color w:val="000000" w:themeColor="text1"/>
                <w:sz w:val="20"/>
                <w:szCs w:val="20"/>
              </w:rPr>
            </w:pPr>
            <w:r>
              <w:rPr>
                <w:color w:val="000000" w:themeColor="text1"/>
                <w:sz w:val="20"/>
                <w:szCs w:val="20"/>
              </w:rPr>
              <w:t>Taxation Determination</w:t>
            </w:r>
            <w:r w:rsidR="006324C1">
              <w:rPr>
                <w:color w:val="000000" w:themeColor="text1"/>
                <w:sz w:val="20"/>
                <w:szCs w:val="20"/>
              </w:rPr>
              <w:t xml:space="preserve"> TD</w:t>
            </w:r>
            <w:r>
              <w:rPr>
                <w:color w:val="000000" w:themeColor="text1"/>
                <w:sz w:val="20"/>
                <w:szCs w:val="20"/>
              </w:rPr>
              <w:t xml:space="preserve"> 2018/5 is withdrawn with effect from 25 April 2024 as its period of effect has passed.</w:t>
            </w:r>
          </w:p>
          <w:p w14:paraId="18169667" w14:textId="3C3BEAF4" w:rsidR="00383A21" w:rsidRPr="006C2351" w:rsidRDefault="00FC4639" w:rsidP="00FC4639">
            <w:pPr>
              <w:spacing w:before="60" w:after="60"/>
              <w:rPr>
                <w:color w:val="000000" w:themeColor="text1"/>
                <w:sz w:val="20"/>
                <w:szCs w:val="20"/>
              </w:rPr>
            </w:pPr>
            <w:r>
              <w:rPr>
                <w:color w:val="000000" w:themeColor="text1"/>
                <w:sz w:val="20"/>
                <w:szCs w:val="20"/>
              </w:rPr>
              <w:t>The Determination will continue to be legally binding on the Commissioner for the relevant period to which it relates.</w:t>
            </w:r>
          </w:p>
        </w:tc>
      </w:tr>
      <w:tr w:rsidR="00383A21" w:rsidRPr="006C2351" w14:paraId="63A17EF7" w14:textId="77777777" w:rsidTr="00B063BB">
        <w:tc>
          <w:tcPr>
            <w:tcW w:w="1984" w:type="dxa"/>
            <w:tcBorders>
              <w:top w:val="single" w:sz="6" w:space="0" w:color="auto"/>
              <w:left w:val="single" w:sz="6" w:space="0" w:color="auto"/>
              <w:bottom w:val="single" w:sz="6" w:space="0" w:color="auto"/>
              <w:right w:val="single" w:sz="6" w:space="0" w:color="auto"/>
            </w:tcBorders>
          </w:tcPr>
          <w:p w14:paraId="6111A541" w14:textId="33A5CC18" w:rsidR="00383A21" w:rsidRDefault="00383A21" w:rsidP="00383A21">
            <w:pPr>
              <w:pStyle w:val="Header"/>
              <w:spacing w:before="60" w:after="60"/>
              <w:rPr>
                <w:rFonts w:cs="Arial"/>
                <w:color w:val="000000" w:themeColor="text1"/>
                <w:sz w:val="20"/>
                <w:szCs w:val="20"/>
              </w:rPr>
            </w:pPr>
            <w:r w:rsidRPr="007356AC">
              <w:rPr>
                <w:rFonts w:cs="Arial"/>
                <w:color w:val="000000" w:themeColor="text1"/>
                <w:sz w:val="20"/>
                <w:szCs w:val="20"/>
              </w:rPr>
              <w:t>TD 2018</w:t>
            </w:r>
            <w:r>
              <w:rPr>
                <w:rFonts w:cs="Arial"/>
                <w:color w:val="000000" w:themeColor="text1"/>
                <w:sz w:val="20"/>
                <w:szCs w:val="20"/>
              </w:rPr>
              <w:t>/7</w:t>
            </w:r>
          </w:p>
        </w:tc>
        <w:tc>
          <w:tcPr>
            <w:tcW w:w="3686" w:type="dxa"/>
            <w:tcBorders>
              <w:top w:val="single" w:sz="6" w:space="0" w:color="auto"/>
              <w:left w:val="single" w:sz="6" w:space="0" w:color="auto"/>
              <w:bottom w:val="single" w:sz="6" w:space="0" w:color="auto"/>
              <w:right w:val="single" w:sz="6" w:space="0" w:color="auto"/>
            </w:tcBorders>
          </w:tcPr>
          <w:p w14:paraId="7CFDAB71" w14:textId="43C8C6E8" w:rsidR="00383A21" w:rsidRDefault="00383A21" w:rsidP="00383A21">
            <w:pPr>
              <w:spacing w:after="0"/>
              <w:rPr>
                <w:rFonts w:cs="Arial"/>
                <w:color w:val="000000"/>
                <w:sz w:val="20"/>
                <w:szCs w:val="20"/>
              </w:rPr>
            </w:pPr>
            <w:r>
              <w:rPr>
                <w:rFonts w:cs="Arial"/>
                <w:color w:val="000000"/>
                <w:sz w:val="20"/>
                <w:szCs w:val="20"/>
              </w:rPr>
              <w:t>Fringe benefits tax:</w:t>
            </w:r>
            <w:r w:rsidR="006324C1">
              <w:rPr>
                <w:rFonts w:cs="Arial"/>
                <w:color w:val="000000"/>
                <w:sz w:val="20"/>
                <w:szCs w:val="20"/>
              </w:rPr>
              <w:t xml:space="preserve"> </w:t>
            </w:r>
            <w:r>
              <w:rPr>
                <w:rFonts w:cs="Arial"/>
                <w:color w:val="000000"/>
                <w:sz w:val="20"/>
                <w:szCs w:val="20"/>
              </w:rPr>
              <w:t xml:space="preserve"> for the purposes of section 39A of the </w:t>
            </w:r>
            <w:r w:rsidRPr="00383A21">
              <w:rPr>
                <w:rFonts w:cs="Arial"/>
                <w:i/>
                <w:iCs/>
                <w:color w:val="000000"/>
                <w:sz w:val="20"/>
                <w:szCs w:val="20"/>
              </w:rPr>
              <w:t>Fringe Benefits Tax Assessment Act 1986</w:t>
            </w:r>
            <w:r>
              <w:rPr>
                <w:rFonts w:cs="Arial"/>
                <w:color w:val="000000"/>
                <w:sz w:val="20"/>
                <w:szCs w:val="20"/>
              </w:rPr>
              <w:t xml:space="preserve"> what is the car parking threshold for the fringe benefits tax year commencing on 1 April 2018?</w:t>
            </w:r>
          </w:p>
        </w:tc>
        <w:tc>
          <w:tcPr>
            <w:tcW w:w="4253" w:type="dxa"/>
            <w:tcBorders>
              <w:top w:val="single" w:sz="6" w:space="0" w:color="auto"/>
              <w:left w:val="single" w:sz="6" w:space="0" w:color="auto"/>
              <w:bottom w:val="single" w:sz="6" w:space="0" w:color="auto"/>
              <w:right w:val="single" w:sz="6" w:space="0" w:color="auto"/>
            </w:tcBorders>
          </w:tcPr>
          <w:p w14:paraId="61B157CC" w14:textId="61203720" w:rsidR="00FC4639" w:rsidRDefault="00FC4639" w:rsidP="00FC4639">
            <w:pPr>
              <w:spacing w:before="60" w:after="60"/>
              <w:rPr>
                <w:color w:val="000000" w:themeColor="text1"/>
                <w:sz w:val="20"/>
                <w:szCs w:val="20"/>
              </w:rPr>
            </w:pPr>
            <w:r>
              <w:rPr>
                <w:color w:val="000000" w:themeColor="text1"/>
                <w:sz w:val="20"/>
                <w:szCs w:val="20"/>
              </w:rPr>
              <w:t xml:space="preserve">Taxation Determination </w:t>
            </w:r>
            <w:r w:rsidR="006324C1">
              <w:rPr>
                <w:color w:val="000000" w:themeColor="text1"/>
                <w:sz w:val="20"/>
                <w:szCs w:val="20"/>
              </w:rPr>
              <w:t xml:space="preserve">TD </w:t>
            </w:r>
            <w:r>
              <w:rPr>
                <w:color w:val="000000" w:themeColor="text1"/>
                <w:sz w:val="20"/>
                <w:szCs w:val="20"/>
              </w:rPr>
              <w:t>2018/7 is withdrawn with effect from 25 April 2024 as its period of effect has passed.</w:t>
            </w:r>
          </w:p>
          <w:p w14:paraId="2AA6FF6B" w14:textId="6B82200C" w:rsidR="00383A21" w:rsidRPr="006C2351" w:rsidRDefault="00FC4639" w:rsidP="00FC4639">
            <w:pPr>
              <w:spacing w:before="60" w:after="60"/>
              <w:rPr>
                <w:color w:val="000000" w:themeColor="text1"/>
                <w:sz w:val="20"/>
                <w:szCs w:val="20"/>
              </w:rPr>
            </w:pPr>
            <w:r>
              <w:rPr>
                <w:color w:val="000000" w:themeColor="text1"/>
                <w:sz w:val="20"/>
                <w:szCs w:val="20"/>
              </w:rPr>
              <w:t>The Determination will continue to be legally binding on the Commissioner for the relevant period to which it relates.</w:t>
            </w:r>
          </w:p>
        </w:tc>
      </w:tr>
    </w:tbl>
    <w:p w14:paraId="79245267" w14:textId="77777777" w:rsidR="00383A21" w:rsidRPr="00EB58D4" w:rsidRDefault="00383A21" w:rsidP="00F033F3">
      <w:pPr>
        <w:spacing w:after="60"/>
        <w:rPr>
          <w:sz w:val="18"/>
          <w:szCs w:val="18"/>
        </w:rPr>
      </w:pPr>
    </w:p>
    <w:sectPr w:rsidR="00383A21" w:rsidRPr="00EB58D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0CE2"/>
    <w:multiLevelType w:val="hybridMultilevel"/>
    <w:tmpl w:val="AD900B2E"/>
    <w:lvl w:ilvl="0" w:tplc="8DF80428">
      <w:start w:val="1"/>
      <w:numFmt w:val="bullet"/>
      <w:pStyle w:val="Dotpoint1"/>
      <w:lvlText w:val=""/>
      <w:lvlJc w:val="left"/>
      <w:pPr>
        <w:ind w:left="720" w:hanging="360"/>
      </w:pPr>
      <w:rPr>
        <w:rFonts w:ascii="Symbol" w:hAnsi="Symbol" w:hint="default"/>
      </w:rPr>
    </w:lvl>
    <w:lvl w:ilvl="1" w:tplc="C690156C">
      <w:start w:val="1"/>
      <w:numFmt w:val="bullet"/>
      <w:pStyle w:val="Dotpoint2"/>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7946E5"/>
    <w:multiLevelType w:val="hybridMultilevel"/>
    <w:tmpl w:val="818EBE5C"/>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4"/>
  </w:num>
  <w:num w:numId="2" w16cid:durableId="176577212">
    <w:abstractNumId w:val="2"/>
  </w:num>
  <w:num w:numId="3" w16cid:durableId="1407603569">
    <w:abstractNumId w:val="3"/>
  </w:num>
  <w:num w:numId="4" w16cid:durableId="2013141901">
    <w:abstractNumId w:val="0"/>
  </w:num>
  <w:num w:numId="5" w16cid:durableId="28115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trackRevisions/>
  <w:documentProtection w:edit="forms" w:enforcement="0"/>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8F"/>
    <w:rsid w:val="00002898"/>
    <w:rsid w:val="00007360"/>
    <w:rsid w:val="00007BEE"/>
    <w:rsid w:val="00040813"/>
    <w:rsid w:val="00041366"/>
    <w:rsid w:val="00051432"/>
    <w:rsid w:val="00071777"/>
    <w:rsid w:val="00072705"/>
    <w:rsid w:val="00072757"/>
    <w:rsid w:val="00084784"/>
    <w:rsid w:val="000970F2"/>
    <w:rsid w:val="000B28A8"/>
    <w:rsid w:val="000D1D43"/>
    <w:rsid w:val="000E02CE"/>
    <w:rsid w:val="000E1F2B"/>
    <w:rsid w:val="000E5D61"/>
    <w:rsid w:val="000F011C"/>
    <w:rsid w:val="000F0DB1"/>
    <w:rsid w:val="00105CCA"/>
    <w:rsid w:val="00114CB2"/>
    <w:rsid w:val="001336AA"/>
    <w:rsid w:val="00141674"/>
    <w:rsid w:val="00151647"/>
    <w:rsid w:val="00160BA0"/>
    <w:rsid w:val="00162794"/>
    <w:rsid w:val="00171921"/>
    <w:rsid w:val="00174BD4"/>
    <w:rsid w:val="00180A9A"/>
    <w:rsid w:val="00190C5A"/>
    <w:rsid w:val="001A7663"/>
    <w:rsid w:val="001B2475"/>
    <w:rsid w:val="001C0A45"/>
    <w:rsid w:val="001C2AAD"/>
    <w:rsid w:val="001C3060"/>
    <w:rsid w:val="001D1F31"/>
    <w:rsid w:val="001E062D"/>
    <w:rsid w:val="001F30A0"/>
    <w:rsid w:val="001F3F6A"/>
    <w:rsid w:val="001F6733"/>
    <w:rsid w:val="001F6E54"/>
    <w:rsid w:val="001F7130"/>
    <w:rsid w:val="0020000F"/>
    <w:rsid w:val="002074D9"/>
    <w:rsid w:val="00212459"/>
    <w:rsid w:val="00214E16"/>
    <w:rsid w:val="0023133C"/>
    <w:rsid w:val="00237961"/>
    <w:rsid w:val="002412B8"/>
    <w:rsid w:val="00245ECE"/>
    <w:rsid w:val="00254158"/>
    <w:rsid w:val="00257336"/>
    <w:rsid w:val="00266BEC"/>
    <w:rsid w:val="00276144"/>
    <w:rsid w:val="00276FAE"/>
    <w:rsid w:val="00280BCD"/>
    <w:rsid w:val="002843FD"/>
    <w:rsid w:val="002C0CCE"/>
    <w:rsid w:val="002C1614"/>
    <w:rsid w:val="002C7B06"/>
    <w:rsid w:val="002D493C"/>
    <w:rsid w:val="002E1A8C"/>
    <w:rsid w:val="002E3208"/>
    <w:rsid w:val="002F3FFB"/>
    <w:rsid w:val="00304E50"/>
    <w:rsid w:val="00314F29"/>
    <w:rsid w:val="00325B6B"/>
    <w:rsid w:val="00332505"/>
    <w:rsid w:val="00335AB1"/>
    <w:rsid w:val="00340545"/>
    <w:rsid w:val="003551C8"/>
    <w:rsid w:val="0036599C"/>
    <w:rsid w:val="00372678"/>
    <w:rsid w:val="00383A21"/>
    <w:rsid w:val="00394E1E"/>
    <w:rsid w:val="0039702D"/>
    <w:rsid w:val="003A0276"/>
    <w:rsid w:val="003A45F7"/>
    <w:rsid w:val="003A707F"/>
    <w:rsid w:val="003B0EC1"/>
    <w:rsid w:val="003B573B"/>
    <w:rsid w:val="003C5997"/>
    <w:rsid w:val="003C6D3F"/>
    <w:rsid w:val="003D05C0"/>
    <w:rsid w:val="003E1DB2"/>
    <w:rsid w:val="003F2CBD"/>
    <w:rsid w:val="003F7FA7"/>
    <w:rsid w:val="00402808"/>
    <w:rsid w:val="00402A68"/>
    <w:rsid w:val="004066D4"/>
    <w:rsid w:val="00412EC5"/>
    <w:rsid w:val="00413DA1"/>
    <w:rsid w:val="00414173"/>
    <w:rsid w:val="00421CA6"/>
    <w:rsid w:val="004242FC"/>
    <w:rsid w:val="00424B97"/>
    <w:rsid w:val="004453CF"/>
    <w:rsid w:val="00456620"/>
    <w:rsid w:val="00472314"/>
    <w:rsid w:val="00475FF1"/>
    <w:rsid w:val="00492E6F"/>
    <w:rsid w:val="004B1588"/>
    <w:rsid w:val="004B2753"/>
    <w:rsid w:val="004B49C1"/>
    <w:rsid w:val="004C5A5D"/>
    <w:rsid w:val="004D6052"/>
    <w:rsid w:val="004E4D69"/>
    <w:rsid w:val="004E56BF"/>
    <w:rsid w:val="004E672E"/>
    <w:rsid w:val="004F5615"/>
    <w:rsid w:val="00517DF8"/>
    <w:rsid w:val="00520873"/>
    <w:rsid w:val="005238F7"/>
    <w:rsid w:val="00523B4B"/>
    <w:rsid w:val="0053476B"/>
    <w:rsid w:val="0053511E"/>
    <w:rsid w:val="005501BC"/>
    <w:rsid w:val="00555165"/>
    <w:rsid w:val="0055598A"/>
    <w:rsid w:val="005634B4"/>
    <w:rsid w:val="00573D44"/>
    <w:rsid w:val="00577E81"/>
    <w:rsid w:val="00584C92"/>
    <w:rsid w:val="0058754D"/>
    <w:rsid w:val="00591D51"/>
    <w:rsid w:val="0059270A"/>
    <w:rsid w:val="0059392B"/>
    <w:rsid w:val="005A77FC"/>
    <w:rsid w:val="005B2481"/>
    <w:rsid w:val="005B3569"/>
    <w:rsid w:val="005B3694"/>
    <w:rsid w:val="005D3A51"/>
    <w:rsid w:val="005D61EA"/>
    <w:rsid w:val="005D7EFC"/>
    <w:rsid w:val="005E7AE5"/>
    <w:rsid w:val="00601B68"/>
    <w:rsid w:val="00616661"/>
    <w:rsid w:val="00616998"/>
    <w:rsid w:val="00622E61"/>
    <w:rsid w:val="006234C3"/>
    <w:rsid w:val="006324C1"/>
    <w:rsid w:val="00636F01"/>
    <w:rsid w:val="00637D69"/>
    <w:rsid w:val="00644A6B"/>
    <w:rsid w:val="00646143"/>
    <w:rsid w:val="006479F6"/>
    <w:rsid w:val="006539A6"/>
    <w:rsid w:val="006937A0"/>
    <w:rsid w:val="006946BE"/>
    <w:rsid w:val="006A0B1F"/>
    <w:rsid w:val="006B0009"/>
    <w:rsid w:val="006B1038"/>
    <w:rsid w:val="006B1A9D"/>
    <w:rsid w:val="006B38CC"/>
    <w:rsid w:val="006B61D3"/>
    <w:rsid w:val="006C2351"/>
    <w:rsid w:val="006D66A7"/>
    <w:rsid w:val="006D788A"/>
    <w:rsid w:val="006F12E6"/>
    <w:rsid w:val="006F79B3"/>
    <w:rsid w:val="007075B1"/>
    <w:rsid w:val="00713E66"/>
    <w:rsid w:val="007140D2"/>
    <w:rsid w:val="0072002A"/>
    <w:rsid w:val="007343FA"/>
    <w:rsid w:val="00737A1C"/>
    <w:rsid w:val="00742951"/>
    <w:rsid w:val="007449F0"/>
    <w:rsid w:val="00745C94"/>
    <w:rsid w:val="00752230"/>
    <w:rsid w:val="007569CE"/>
    <w:rsid w:val="007637CF"/>
    <w:rsid w:val="00773255"/>
    <w:rsid w:val="00775E96"/>
    <w:rsid w:val="00783566"/>
    <w:rsid w:val="00792582"/>
    <w:rsid w:val="00793D58"/>
    <w:rsid w:val="007B27F4"/>
    <w:rsid w:val="007C490F"/>
    <w:rsid w:val="007D0E05"/>
    <w:rsid w:val="007D25C1"/>
    <w:rsid w:val="007D2640"/>
    <w:rsid w:val="007D41FB"/>
    <w:rsid w:val="007E2CA6"/>
    <w:rsid w:val="007E75F8"/>
    <w:rsid w:val="007F191A"/>
    <w:rsid w:val="007F3630"/>
    <w:rsid w:val="007F47F3"/>
    <w:rsid w:val="00804121"/>
    <w:rsid w:val="008049D1"/>
    <w:rsid w:val="008061E3"/>
    <w:rsid w:val="00827D16"/>
    <w:rsid w:val="00831C85"/>
    <w:rsid w:val="00840A06"/>
    <w:rsid w:val="008439B7"/>
    <w:rsid w:val="008467D1"/>
    <w:rsid w:val="00851B19"/>
    <w:rsid w:val="00851F51"/>
    <w:rsid w:val="008604AD"/>
    <w:rsid w:val="00862E51"/>
    <w:rsid w:val="008639C6"/>
    <w:rsid w:val="0087097B"/>
    <w:rsid w:val="0087253F"/>
    <w:rsid w:val="00873E5F"/>
    <w:rsid w:val="00874074"/>
    <w:rsid w:val="00874399"/>
    <w:rsid w:val="00886FC3"/>
    <w:rsid w:val="00893D7A"/>
    <w:rsid w:val="008A25CE"/>
    <w:rsid w:val="008A414E"/>
    <w:rsid w:val="008D0A06"/>
    <w:rsid w:val="008D17C9"/>
    <w:rsid w:val="008D30A5"/>
    <w:rsid w:val="008E4F6C"/>
    <w:rsid w:val="008F21CD"/>
    <w:rsid w:val="008F4BCF"/>
    <w:rsid w:val="00902328"/>
    <w:rsid w:val="00910AC7"/>
    <w:rsid w:val="00911D92"/>
    <w:rsid w:val="00916ADC"/>
    <w:rsid w:val="00930E40"/>
    <w:rsid w:val="0094219E"/>
    <w:rsid w:val="00943B8D"/>
    <w:rsid w:val="00953438"/>
    <w:rsid w:val="009539C7"/>
    <w:rsid w:val="0095650D"/>
    <w:rsid w:val="009612DE"/>
    <w:rsid w:val="00963963"/>
    <w:rsid w:val="009641EC"/>
    <w:rsid w:val="00995840"/>
    <w:rsid w:val="009B286B"/>
    <w:rsid w:val="009B3C0E"/>
    <w:rsid w:val="009C61A2"/>
    <w:rsid w:val="009D1CB0"/>
    <w:rsid w:val="009D6AA1"/>
    <w:rsid w:val="009E0B4D"/>
    <w:rsid w:val="009F07E1"/>
    <w:rsid w:val="009F72D9"/>
    <w:rsid w:val="00A00F21"/>
    <w:rsid w:val="00A10A8C"/>
    <w:rsid w:val="00A14AE1"/>
    <w:rsid w:val="00A21862"/>
    <w:rsid w:val="00A27309"/>
    <w:rsid w:val="00A305B7"/>
    <w:rsid w:val="00A34205"/>
    <w:rsid w:val="00A4113A"/>
    <w:rsid w:val="00A41F5C"/>
    <w:rsid w:val="00A45F0B"/>
    <w:rsid w:val="00A47D2C"/>
    <w:rsid w:val="00A47E4F"/>
    <w:rsid w:val="00A60CE8"/>
    <w:rsid w:val="00A62E9F"/>
    <w:rsid w:val="00A729A0"/>
    <w:rsid w:val="00A75B9B"/>
    <w:rsid w:val="00A7730B"/>
    <w:rsid w:val="00A82066"/>
    <w:rsid w:val="00A83BCC"/>
    <w:rsid w:val="00A85D11"/>
    <w:rsid w:val="00A9541B"/>
    <w:rsid w:val="00AC2CF5"/>
    <w:rsid w:val="00AD0943"/>
    <w:rsid w:val="00AD2B46"/>
    <w:rsid w:val="00AD33EB"/>
    <w:rsid w:val="00AE1163"/>
    <w:rsid w:val="00AE2C72"/>
    <w:rsid w:val="00AE64B6"/>
    <w:rsid w:val="00B04E06"/>
    <w:rsid w:val="00B05622"/>
    <w:rsid w:val="00B10857"/>
    <w:rsid w:val="00B11F4E"/>
    <w:rsid w:val="00B1254B"/>
    <w:rsid w:val="00B211EA"/>
    <w:rsid w:val="00B216AF"/>
    <w:rsid w:val="00B2247C"/>
    <w:rsid w:val="00B37DAC"/>
    <w:rsid w:val="00B4706B"/>
    <w:rsid w:val="00B4789B"/>
    <w:rsid w:val="00B52F82"/>
    <w:rsid w:val="00B55871"/>
    <w:rsid w:val="00B6354C"/>
    <w:rsid w:val="00B6495D"/>
    <w:rsid w:val="00B72DF8"/>
    <w:rsid w:val="00B84226"/>
    <w:rsid w:val="00B8599A"/>
    <w:rsid w:val="00BB4D13"/>
    <w:rsid w:val="00BC0E22"/>
    <w:rsid w:val="00BC26BC"/>
    <w:rsid w:val="00BC3F4D"/>
    <w:rsid w:val="00BC5467"/>
    <w:rsid w:val="00BE2C61"/>
    <w:rsid w:val="00BE35F3"/>
    <w:rsid w:val="00BE3600"/>
    <w:rsid w:val="00BF2DF1"/>
    <w:rsid w:val="00C01DF2"/>
    <w:rsid w:val="00C22D0C"/>
    <w:rsid w:val="00C26E41"/>
    <w:rsid w:val="00C33FB6"/>
    <w:rsid w:val="00C51D3C"/>
    <w:rsid w:val="00C63C4E"/>
    <w:rsid w:val="00C6757F"/>
    <w:rsid w:val="00C92A0E"/>
    <w:rsid w:val="00C92E6D"/>
    <w:rsid w:val="00C9661C"/>
    <w:rsid w:val="00CA77E9"/>
    <w:rsid w:val="00CA7CF5"/>
    <w:rsid w:val="00CE1E87"/>
    <w:rsid w:val="00CE7173"/>
    <w:rsid w:val="00CF7558"/>
    <w:rsid w:val="00D200AD"/>
    <w:rsid w:val="00D222D8"/>
    <w:rsid w:val="00D25524"/>
    <w:rsid w:val="00D27F4D"/>
    <w:rsid w:val="00D30C78"/>
    <w:rsid w:val="00D4639E"/>
    <w:rsid w:val="00D5675C"/>
    <w:rsid w:val="00D61839"/>
    <w:rsid w:val="00D72F7F"/>
    <w:rsid w:val="00D77A88"/>
    <w:rsid w:val="00D8538D"/>
    <w:rsid w:val="00DA5918"/>
    <w:rsid w:val="00DA6712"/>
    <w:rsid w:val="00DB40B0"/>
    <w:rsid w:val="00DC142B"/>
    <w:rsid w:val="00DD63D9"/>
    <w:rsid w:val="00E111E4"/>
    <w:rsid w:val="00E11D4B"/>
    <w:rsid w:val="00E17ED8"/>
    <w:rsid w:val="00E3794F"/>
    <w:rsid w:val="00E45A56"/>
    <w:rsid w:val="00E468D7"/>
    <w:rsid w:val="00E5306A"/>
    <w:rsid w:val="00E547E1"/>
    <w:rsid w:val="00E62820"/>
    <w:rsid w:val="00E6384F"/>
    <w:rsid w:val="00E71E90"/>
    <w:rsid w:val="00E73E6D"/>
    <w:rsid w:val="00E823AE"/>
    <w:rsid w:val="00E84708"/>
    <w:rsid w:val="00E856D7"/>
    <w:rsid w:val="00E9386A"/>
    <w:rsid w:val="00E93891"/>
    <w:rsid w:val="00EB0EA8"/>
    <w:rsid w:val="00EB3C1D"/>
    <w:rsid w:val="00EB58D4"/>
    <w:rsid w:val="00EB5CFD"/>
    <w:rsid w:val="00EB77BB"/>
    <w:rsid w:val="00ED2E52"/>
    <w:rsid w:val="00EE0763"/>
    <w:rsid w:val="00EE1A57"/>
    <w:rsid w:val="00EF15C0"/>
    <w:rsid w:val="00F033F3"/>
    <w:rsid w:val="00F05324"/>
    <w:rsid w:val="00F14519"/>
    <w:rsid w:val="00F146B1"/>
    <w:rsid w:val="00F232E7"/>
    <w:rsid w:val="00F278A7"/>
    <w:rsid w:val="00F40885"/>
    <w:rsid w:val="00F44FF5"/>
    <w:rsid w:val="00F50771"/>
    <w:rsid w:val="00F62A39"/>
    <w:rsid w:val="00F71461"/>
    <w:rsid w:val="00F831F5"/>
    <w:rsid w:val="00F847E2"/>
    <w:rsid w:val="00F90BD0"/>
    <w:rsid w:val="00F934BE"/>
    <w:rsid w:val="00F957F0"/>
    <w:rsid w:val="00F95869"/>
    <w:rsid w:val="00FA0A9F"/>
    <w:rsid w:val="00FA3043"/>
    <w:rsid w:val="00FB72F6"/>
    <w:rsid w:val="00FC16C8"/>
    <w:rsid w:val="00FC1DCD"/>
    <w:rsid w:val="00FC3007"/>
    <w:rsid w:val="00FC3C11"/>
    <w:rsid w:val="00FC4639"/>
    <w:rsid w:val="00FC4862"/>
    <w:rsid w:val="00FE1698"/>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3105"/>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uiPriority w:val="99"/>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uiPriority w:val="99"/>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 w:type="paragraph" w:customStyle="1" w:styleId="Dotpoint1">
    <w:name w:val="Dot point 1"/>
    <w:basedOn w:val="ListParagraph"/>
    <w:next w:val="Normal"/>
    <w:uiPriority w:val="7"/>
    <w:qFormat/>
    <w:rsid w:val="006B1038"/>
    <w:pPr>
      <w:numPr>
        <w:numId w:val="4"/>
      </w:numPr>
      <w:contextualSpacing w:val="0"/>
    </w:pPr>
    <w:rPr>
      <w:rFonts w:cs="Arial"/>
    </w:rPr>
  </w:style>
  <w:style w:type="paragraph" w:customStyle="1" w:styleId="Dotpoint2">
    <w:name w:val="Dot point 2"/>
    <w:basedOn w:val="ListParagraph"/>
    <w:next w:val="Normal"/>
    <w:uiPriority w:val="8"/>
    <w:qFormat/>
    <w:rsid w:val="006B1038"/>
    <w:pPr>
      <w:numPr>
        <w:ilvl w:val="1"/>
        <w:numId w:val="4"/>
      </w:numPr>
      <w:contextualSpacing w:val="0"/>
    </w:pPr>
    <w:rPr>
      <w:rFonts w:cs="Arial"/>
    </w:rPr>
  </w:style>
  <w:style w:type="paragraph" w:styleId="ListParagraph">
    <w:name w:val="List Paragraph"/>
    <w:basedOn w:val="Normal"/>
    <w:uiPriority w:val="34"/>
    <w:qFormat/>
    <w:rsid w:val="006B1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153765008">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02782853">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407962949">
      <w:bodyDiv w:val="1"/>
      <w:marLeft w:val="0"/>
      <w:marRight w:val="0"/>
      <w:marTop w:val="0"/>
      <w:marBottom w:val="0"/>
      <w:divBdr>
        <w:top w:val="none" w:sz="0" w:space="0" w:color="auto"/>
        <w:left w:val="none" w:sz="0" w:space="0" w:color="auto"/>
        <w:bottom w:val="none" w:sz="0" w:space="0" w:color="auto"/>
        <w:right w:val="none" w:sz="0" w:space="0" w:color="auto"/>
      </w:divBdr>
    </w:div>
    <w:div w:id="479226809">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0767372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63814475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795639314">
      <w:bodyDiv w:val="1"/>
      <w:marLeft w:val="0"/>
      <w:marRight w:val="0"/>
      <w:marTop w:val="0"/>
      <w:marBottom w:val="0"/>
      <w:divBdr>
        <w:top w:val="none" w:sz="0" w:space="0" w:color="auto"/>
        <w:left w:val="none" w:sz="0" w:space="0" w:color="auto"/>
        <w:bottom w:val="none" w:sz="0" w:space="0" w:color="auto"/>
        <w:right w:val="none" w:sz="0" w:space="0" w:color="auto"/>
      </w:divBdr>
    </w:div>
    <w:div w:id="845703842">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75718232">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148942213">
      <w:bodyDiv w:val="1"/>
      <w:marLeft w:val="0"/>
      <w:marRight w:val="0"/>
      <w:marTop w:val="0"/>
      <w:marBottom w:val="0"/>
      <w:divBdr>
        <w:top w:val="none" w:sz="0" w:space="0" w:color="auto"/>
        <w:left w:val="none" w:sz="0" w:space="0" w:color="auto"/>
        <w:bottom w:val="none" w:sz="0" w:space="0" w:color="auto"/>
        <w:right w:val="none" w:sz="0" w:space="0" w:color="auto"/>
      </w:divBdr>
    </w:div>
    <w:div w:id="1232698382">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682657209">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2024-04-16T05:23:00Z</dcterms:created>
  <dcterms:modified xsi:type="dcterms:W3CDTF">2024-04-19T04:32:00Z</dcterms:modified>
  <cp:category/>
</cp:coreProperties>
</file>