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CED" w:rsidRPr="006855EF" w:rsidRDefault="00033CED" w:rsidP="00033CED">
      <w:pPr>
        <w:rPr>
          <w:rFonts w:ascii="Times New Roman" w:hAnsi="Times New Roman"/>
          <w:sz w:val="28"/>
        </w:rPr>
      </w:pPr>
      <w:r w:rsidRPr="006855EF">
        <w:rPr>
          <w:rFonts w:ascii="Times New Roman" w:hAnsi="Times New Roman"/>
          <w:noProof/>
        </w:rPr>
        <w:drawing>
          <wp:inline distT="0" distB="0" distL="0" distR="0" wp14:anchorId="10D16903" wp14:editId="4CB64A71">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rsidR="00033CED" w:rsidRPr="006855EF" w:rsidRDefault="00033CED" w:rsidP="00033CED">
      <w:pPr>
        <w:rPr>
          <w:rFonts w:ascii="Times New Roman" w:hAnsi="Times New Roman"/>
          <w:sz w:val="19"/>
        </w:rPr>
      </w:pPr>
    </w:p>
    <w:p w:rsidR="00033CED" w:rsidRPr="006855EF" w:rsidRDefault="00033CED" w:rsidP="00033CED">
      <w:pPr>
        <w:pStyle w:val="ShortT"/>
        <w:rPr>
          <w:rFonts w:ascii="Times New Roman" w:hAnsi="Times New Roman"/>
        </w:rPr>
      </w:pPr>
      <w:bookmarkStart w:id="0" w:name="_Hlk109847940"/>
      <w:r w:rsidRPr="001810F1">
        <w:rPr>
          <w:rFonts w:ascii="Times New Roman" w:eastAsia="Times New Roman" w:hAnsi="Times New Roman" w:cs="Times New Roman"/>
          <w:b/>
          <w:sz w:val="40"/>
          <w:szCs w:val="20"/>
          <w:lang w:eastAsia="en-AU"/>
        </w:rPr>
        <w:t>Radiocommunications (Ministerial Policy Statement – Expiring Spectrum Licences) Instrument 2024</w:t>
      </w:r>
    </w:p>
    <w:p w:rsidR="00033CED" w:rsidRPr="001810F1" w:rsidRDefault="00033CED" w:rsidP="00033CED">
      <w:pPr>
        <w:pStyle w:val="SignCoverPageStart"/>
        <w:spacing w:before="240"/>
        <w:ind w:right="91"/>
        <w:rPr>
          <w:szCs w:val="22"/>
        </w:rPr>
      </w:pPr>
      <w:bookmarkStart w:id="1" w:name="_Hlk109850344"/>
      <w:bookmarkEnd w:id="0"/>
      <w:r w:rsidRPr="001810F1">
        <w:rPr>
          <w:szCs w:val="22"/>
        </w:rPr>
        <w:t xml:space="preserve">I, Michelle Rowland, Minister for Communications, make the following notifiable instrument. </w:t>
      </w:r>
    </w:p>
    <w:p w:rsidR="00033CED" w:rsidRPr="001810F1" w:rsidRDefault="00033CED" w:rsidP="00033CED">
      <w:pPr>
        <w:keepNext/>
        <w:spacing w:before="300" w:line="240" w:lineRule="atLeast"/>
        <w:ind w:right="397"/>
        <w:jc w:val="both"/>
        <w:rPr>
          <w:rFonts w:ascii="Times New Roman" w:hAnsi="Times New Roman" w:cs="Times New Roman"/>
        </w:rPr>
      </w:pPr>
      <w:r w:rsidRPr="001810F1">
        <w:rPr>
          <w:rFonts w:ascii="Times New Roman" w:hAnsi="Times New Roman" w:cs="Times New Roman"/>
        </w:rPr>
        <w:t>Dated</w:t>
      </w:r>
      <w:r w:rsidRPr="001810F1">
        <w:rPr>
          <w:rFonts w:ascii="Times New Roman" w:hAnsi="Times New Roman" w:cs="Times New Roman"/>
        </w:rPr>
        <w:tab/>
      </w:r>
      <w:r w:rsidRPr="001810F1">
        <w:rPr>
          <w:rFonts w:ascii="Times New Roman" w:hAnsi="Times New Roman" w:cs="Times New Roman"/>
        </w:rPr>
        <w:tab/>
      </w:r>
      <w:r w:rsidR="00943536">
        <w:rPr>
          <w:rFonts w:ascii="Times New Roman" w:hAnsi="Times New Roman" w:cs="Times New Roman"/>
        </w:rPr>
        <w:t xml:space="preserve">23 April </w:t>
      </w:r>
      <w:r w:rsidRPr="001810F1">
        <w:rPr>
          <w:rFonts w:ascii="Times New Roman" w:hAnsi="Times New Roman" w:cs="Times New Roman"/>
        </w:rPr>
        <w:t>2024</w:t>
      </w:r>
    </w:p>
    <w:p w:rsidR="00033CED" w:rsidRPr="008D213D" w:rsidRDefault="00033CED" w:rsidP="00033CED">
      <w:pPr>
        <w:keepNext/>
        <w:tabs>
          <w:tab w:val="left" w:pos="3402"/>
        </w:tabs>
        <w:spacing w:before="1440" w:after="0" w:line="300" w:lineRule="atLeast"/>
        <w:ind w:right="397"/>
        <w:rPr>
          <w:rFonts w:ascii="Times New Roman" w:eastAsia="Times New Roman" w:hAnsi="Times New Roman" w:cs="Times New Roman"/>
          <w:szCs w:val="20"/>
          <w:lang w:eastAsia="en-AU"/>
        </w:rPr>
      </w:pPr>
      <w:r w:rsidRPr="001810F1">
        <w:rPr>
          <w:rFonts w:ascii="Times New Roman" w:eastAsia="Times New Roman" w:hAnsi="Times New Roman" w:cs="Times New Roman"/>
          <w:szCs w:val="20"/>
          <w:lang w:eastAsia="en-AU"/>
        </w:rPr>
        <w:t>Michelle Rowland</w:t>
      </w:r>
      <w:bookmarkStart w:id="2" w:name="_GoBack"/>
      <w:bookmarkEnd w:id="2"/>
    </w:p>
    <w:p w:rsidR="00033CED" w:rsidRPr="001810F1" w:rsidRDefault="00033CED" w:rsidP="00033CED">
      <w:pPr>
        <w:pStyle w:val="SignCoverPageEnd"/>
        <w:ind w:right="91"/>
        <w:rPr>
          <w:sz w:val="22"/>
        </w:rPr>
      </w:pPr>
      <w:r w:rsidRPr="001810F1">
        <w:rPr>
          <w:sz w:val="22"/>
        </w:rPr>
        <w:t>Minister for</w:t>
      </w:r>
      <w:r w:rsidRPr="001810F1">
        <w:rPr>
          <w:bCs/>
          <w:sz w:val="22"/>
          <w:szCs w:val="22"/>
        </w:rPr>
        <w:t xml:space="preserve"> Communications </w:t>
      </w:r>
    </w:p>
    <w:bookmarkEnd w:id="1"/>
    <w:p w:rsidR="00033CED" w:rsidRPr="006855EF" w:rsidRDefault="00033CED" w:rsidP="00033CED">
      <w:pPr>
        <w:rPr>
          <w:rFonts w:ascii="Times New Roman" w:hAnsi="Times New Roman"/>
        </w:rPr>
      </w:pPr>
    </w:p>
    <w:p w:rsidR="00033CED" w:rsidRPr="001810F1" w:rsidRDefault="00033CED" w:rsidP="00033CED">
      <w:pPr>
        <w:pBdr>
          <w:bottom w:val="single" w:sz="12" w:space="1" w:color="auto"/>
        </w:pBdr>
        <w:rPr>
          <w:rFonts w:ascii="Times New Roman" w:hAnsi="Times New Roman" w:cs="Times New Roman"/>
          <w:sz w:val="28"/>
        </w:rPr>
      </w:pPr>
      <w:r w:rsidRPr="001810F1">
        <w:rPr>
          <w:rFonts w:ascii="Times New Roman" w:hAnsi="Times New Roman" w:cs="Times New Roman"/>
          <w:sz w:val="28"/>
        </w:rPr>
        <w:br w:type="page"/>
      </w:r>
    </w:p>
    <w:p w:rsidR="00033CED" w:rsidRPr="00AD0550" w:rsidRDefault="00033CED" w:rsidP="00033CED">
      <w:pPr>
        <w:outlineLvl w:val="0"/>
        <w:rPr>
          <w:rFonts w:ascii="Times New Roman" w:hAnsi="Times New Roman" w:cs="Times New Roman"/>
          <w:sz w:val="36"/>
        </w:rPr>
      </w:pPr>
      <w:r w:rsidRPr="00AD0550">
        <w:rPr>
          <w:rFonts w:ascii="Times New Roman" w:hAnsi="Times New Roman" w:cs="Times New Roman"/>
          <w:sz w:val="36"/>
        </w:rPr>
        <w:lastRenderedPageBreak/>
        <w:t>Contents</w:t>
      </w:r>
    </w:p>
    <w:p w:rsidR="008B26E7" w:rsidRDefault="00033CED">
      <w:pPr>
        <w:pStyle w:val="TOC6"/>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8B26E7" w:rsidRPr="00EC3878">
        <w:rPr>
          <w:noProof/>
        </w:rPr>
        <w:t>Part 1 – Preliminary</w:t>
      </w:r>
      <w:r w:rsidR="008B26E7">
        <w:rPr>
          <w:noProof/>
        </w:rPr>
        <w:tab/>
      </w:r>
      <w:r w:rsidR="008B26E7">
        <w:rPr>
          <w:noProof/>
        </w:rPr>
        <w:fldChar w:fldCharType="begin"/>
      </w:r>
      <w:r w:rsidR="008B26E7">
        <w:rPr>
          <w:noProof/>
        </w:rPr>
        <w:instrText xml:space="preserve"> PAGEREF _Toc164439848 \h </w:instrText>
      </w:r>
      <w:r w:rsidR="008B26E7">
        <w:rPr>
          <w:noProof/>
        </w:rPr>
      </w:r>
      <w:r w:rsidR="008B26E7">
        <w:rPr>
          <w:noProof/>
        </w:rPr>
        <w:fldChar w:fldCharType="separate"/>
      </w:r>
      <w:r w:rsidR="008B26E7">
        <w:rPr>
          <w:noProof/>
        </w:rPr>
        <w:t>3</w:t>
      </w:r>
      <w:r w:rsidR="008B26E7">
        <w:rPr>
          <w:noProof/>
        </w:rPr>
        <w:fldChar w:fldCharType="end"/>
      </w:r>
    </w:p>
    <w:p w:rsidR="008B26E7" w:rsidRDefault="008B26E7">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_Toc164439849 \h </w:instrText>
      </w:r>
      <w:r>
        <w:rPr>
          <w:noProof/>
        </w:rPr>
      </w:r>
      <w:r>
        <w:rPr>
          <w:noProof/>
        </w:rPr>
        <w:fldChar w:fldCharType="separate"/>
      </w:r>
      <w:r>
        <w:rPr>
          <w:noProof/>
        </w:rPr>
        <w:t>3</w:t>
      </w:r>
      <w:r>
        <w:rPr>
          <w:noProof/>
        </w:rPr>
        <w:fldChar w:fldCharType="end"/>
      </w:r>
    </w:p>
    <w:p w:rsidR="008B26E7" w:rsidRDefault="008B26E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_Toc164439850 \h </w:instrText>
      </w:r>
      <w:r>
        <w:rPr>
          <w:noProof/>
        </w:rPr>
      </w:r>
      <w:r>
        <w:rPr>
          <w:noProof/>
        </w:rPr>
        <w:fldChar w:fldCharType="separate"/>
      </w:r>
      <w:r>
        <w:rPr>
          <w:noProof/>
        </w:rPr>
        <w:t>3</w:t>
      </w:r>
      <w:r>
        <w:rPr>
          <w:noProof/>
        </w:rPr>
        <w:fldChar w:fldCharType="end"/>
      </w:r>
    </w:p>
    <w:p w:rsidR="008B26E7" w:rsidRDefault="008B26E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_Toc164439851 \h </w:instrText>
      </w:r>
      <w:r>
        <w:rPr>
          <w:noProof/>
        </w:rPr>
      </w:r>
      <w:r>
        <w:rPr>
          <w:noProof/>
        </w:rPr>
        <w:fldChar w:fldCharType="separate"/>
      </w:r>
      <w:r>
        <w:rPr>
          <w:noProof/>
        </w:rPr>
        <w:t>3</w:t>
      </w:r>
      <w:r>
        <w:rPr>
          <w:noProof/>
        </w:rPr>
        <w:fldChar w:fldCharType="end"/>
      </w:r>
    </w:p>
    <w:p w:rsidR="008B26E7" w:rsidRDefault="008B26E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_Toc164439852 \h </w:instrText>
      </w:r>
      <w:r>
        <w:rPr>
          <w:noProof/>
        </w:rPr>
      </w:r>
      <w:r>
        <w:rPr>
          <w:noProof/>
        </w:rPr>
        <w:fldChar w:fldCharType="separate"/>
      </w:r>
      <w:r>
        <w:rPr>
          <w:noProof/>
        </w:rPr>
        <w:t>3</w:t>
      </w:r>
      <w:r>
        <w:rPr>
          <w:noProof/>
        </w:rPr>
        <w:fldChar w:fldCharType="end"/>
      </w:r>
    </w:p>
    <w:p w:rsidR="008B26E7" w:rsidRDefault="008B26E7">
      <w:pPr>
        <w:pStyle w:val="TOC6"/>
        <w:rPr>
          <w:rFonts w:asciiTheme="minorHAnsi" w:eastAsiaTheme="minorEastAsia" w:hAnsiTheme="minorHAnsi" w:cstheme="minorBidi"/>
          <w:b w:val="0"/>
          <w:noProof/>
          <w:kern w:val="0"/>
          <w:sz w:val="22"/>
          <w:szCs w:val="22"/>
        </w:rPr>
      </w:pPr>
      <w:r w:rsidRPr="00EC3878">
        <w:rPr>
          <w:noProof/>
        </w:rPr>
        <w:t>Part 2 - Ministerial Policy Statement – Expiring Spectrum Licences</w:t>
      </w:r>
      <w:r>
        <w:rPr>
          <w:noProof/>
        </w:rPr>
        <w:tab/>
      </w:r>
      <w:r>
        <w:rPr>
          <w:noProof/>
        </w:rPr>
        <w:fldChar w:fldCharType="begin"/>
      </w:r>
      <w:r>
        <w:rPr>
          <w:noProof/>
        </w:rPr>
        <w:instrText xml:space="preserve"> PAGEREF _Toc164439853 \h </w:instrText>
      </w:r>
      <w:r>
        <w:rPr>
          <w:noProof/>
        </w:rPr>
      </w:r>
      <w:r>
        <w:rPr>
          <w:noProof/>
        </w:rPr>
        <w:fldChar w:fldCharType="separate"/>
      </w:r>
      <w:r>
        <w:rPr>
          <w:noProof/>
        </w:rPr>
        <w:t>4</w:t>
      </w:r>
      <w:r>
        <w:rPr>
          <w:noProof/>
        </w:rPr>
        <w:fldChar w:fldCharType="end"/>
      </w:r>
    </w:p>
    <w:p w:rsidR="008B26E7" w:rsidRDefault="008B26E7">
      <w:pPr>
        <w:pStyle w:val="TOC5"/>
        <w:rPr>
          <w:rFonts w:asciiTheme="minorHAnsi" w:eastAsiaTheme="minorEastAsia" w:hAnsiTheme="minorHAnsi" w:cstheme="minorBidi"/>
          <w:noProof/>
          <w:kern w:val="0"/>
          <w:sz w:val="22"/>
          <w:szCs w:val="22"/>
        </w:rPr>
      </w:pPr>
      <w:r>
        <w:rPr>
          <w:noProof/>
        </w:rPr>
        <w:t>5  Introduction</w:t>
      </w:r>
      <w:r>
        <w:rPr>
          <w:noProof/>
        </w:rPr>
        <w:tab/>
      </w:r>
      <w:r>
        <w:rPr>
          <w:noProof/>
        </w:rPr>
        <w:fldChar w:fldCharType="begin"/>
      </w:r>
      <w:r>
        <w:rPr>
          <w:noProof/>
        </w:rPr>
        <w:instrText xml:space="preserve"> PAGEREF _Toc164439854 \h </w:instrText>
      </w:r>
      <w:r>
        <w:rPr>
          <w:noProof/>
        </w:rPr>
      </w:r>
      <w:r>
        <w:rPr>
          <w:noProof/>
        </w:rPr>
        <w:fldChar w:fldCharType="separate"/>
      </w:r>
      <w:r>
        <w:rPr>
          <w:noProof/>
        </w:rPr>
        <w:t>4</w:t>
      </w:r>
      <w:r>
        <w:rPr>
          <w:noProof/>
        </w:rPr>
        <w:fldChar w:fldCharType="end"/>
      </w:r>
    </w:p>
    <w:p w:rsidR="008B26E7" w:rsidRDefault="008B26E7">
      <w:pPr>
        <w:pStyle w:val="TOC5"/>
        <w:rPr>
          <w:rFonts w:asciiTheme="minorHAnsi" w:eastAsiaTheme="minorEastAsia" w:hAnsiTheme="minorHAnsi" w:cstheme="minorBidi"/>
          <w:noProof/>
          <w:kern w:val="0"/>
          <w:sz w:val="22"/>
          <w:szCs w:val="22"/>
        </w:rPr>
      </w:pPr>
      <w:r>
        <w:rPr>
          <w:noProof/>
        </w:rPr>
        <w:t>6  Supporting service continuity for end users, particularly where no alternative service is available</w:t>
      </w:r>
      <w:r>
        <w:rPr>
          <w:noProof/>
        </w:rPr>
        <w:tab/>
      </w:r>
      <w:r>
        <w:rPr>
          <w:noProof/>
        </w:rPr>
        <w:fldChar w:fldCharType="begin"/>
      </w:r>
      <w:r>
        <w:rPr>
          <w:noProof/>
        </w:rPr>
        <w:instrText xml:space="preserve"> PAGEREF _Toc164439855 \h </w:instrText>
      </w:r>
      <w:r>
        <w:rPr>
          <w:noProof/>
        </w:rPr>
      </w:r>
      <w:r>
        <w:rPr>
          <w:noProof/>
        </w:rPr>
        <w:fldChar w:fldCharType="separate"/>
      </w:r>
      <w:r>
        <w:rPr>
          <w:noProof/>
        </w:rPr>
        <w:t>6</w:t>
      </w:r>
      <w:r>
        <w:rPr>
          <w:noProof/>
        </w:rPr>
        <w:fldChar w:fldCharType="end"/>
      </w:r>
    </w:p>
    <w:p w:rsidR="008B26E7" w:rsidRDefault="008B26E7">
      <w:pPr>
        <w:pStyle w:val="TOC5"/>
        <w:rPr>
          <w:rFonts w:asciiTheme="minorHAnsi" w:eastAsiaTheme="minorEastAsia" w:hAnsiTheme="minorHAnsi" w:cstheme="minorBidi"/>
          <w:noProof/>
          <w:kern w:val="0"/>
          <w:sz w:val="22"/>
          <w:szCs w:val="22"/>
        </w:rPr>
      </w:pPr>
      <w:r>
        <w:rPr>
          <w:noProof/>
        </w:rPr>
        <w:t>7  Facilitating opportunities for new entrants and use cases, including for low earth orbit satellites</w:t>
      </w:r>
      <w:r>
        <w:rPr>
          <w:noProof/>
        </w:rPr>
        <w:tab/>
      </w:r>
      <w:r>
        <w:rPr>
          <w:noProof/>
        </w:rPr>
        <w:fldChar w:fldCharType="begin"/>
      </w:r>
      <w:r>
        <w:rPr>
          <w:noProof/>
        </w:rPr>
        <w:instrText xml:space="preserve"> PAGEREF _Toc164439856 \h </w:instrText>
      </w:r>
      <w:r>
        <w:rPr>
          <w:noProof/>
        </w:rPr>
      </w:r>
      <w:r>
        <w:rPr>
          <w:noProof/>
        </w:rPr>
        <w:fldChar w:fldCharType="separate"/>
      </w:r>
      <w:r>
        <w:rPr>
          <w:noProof/>
        </w:rPr>
        <w:t>6</w:t>
      </w:r>
      <w:r>
        <w:rPr>
          <w:noProof/>
        </w:rPr>
        <w:fldChar w:fldCharType="end"/>
      </w:r>
    </w:p>
    <w:p w:rsidR="008B26E7" w:rsidRDefault="008B26E7">
      <w:pPr>
        <w:pStyle w:val="TOC5"/>
        <w:rPr>
          <w:rFonts w:asciiTheme="minorHAnsi" w:eastAsiaTheme="minorEastAsia" w:hAnsiTheme="minorHAnsi" w:cstheme="minorBidi"/>
          <w:noProof/>
          <w:kern w:val="0"/>
          <w:sz w:val="22"/>
          <w:szCs w:val="22"/>
        </w:rPr>
      </w:pPr>
      <w:r>
        <w:rPr>
          <w:noProof/>
        </w:rPr>
        <w:t>8  Connectivity and investment in regional and remote areas to deliver improved services to end users</w:t>
      </w:r>
      <w:r>
        <w:rPr>
          <w:noProof/>
        </w:rPr>
        <w:tab/>
      </w:r>
      <w:r>
        <w:rPr>
          <w:noProof/>
        </w:rPr>
        <w:fldChar w:fldCharType="begin"/>
      </w:r>
      <w:r>
        <w:rPr>
          <w:noProof/>
        </w:rPr>
        <w:instrText xml:space="preserve"> PAGEREF _Toc164439857 \h </w:instrText>
      </w:r>
      <w:r>
        <w:rPr>
          <w:noProof/>
        </w:rPr>
      </w:r>
      <w:r>
        <w:rPr>
          <w:noProof/>
        </w:rPr>
        <w:fldChar w:fldCharType="separate"/>
      </w:r>
      <w:r>
        <w:rPr>
          <w:noProof/>
        </w:rPr>
        <w:t>6</w:t>
      </w:r>
      <w:r>
        <w:rPr>
          <w:noProof/>
        </w:rPr>
        <w:fldChar w:fldCharType="end"/>
      </w:r>
    </w:p>
    <w:p w:rsidR="008B26E7" w:rsidRDefault="008B26E7">
      <w:pPr>
        <w:pStyle w:val="TOC5"/>
        <w:rPr>
          <w:rFonts w:asciiTheme="minorHAnsi" w:eastAsiaTheme="minorEastAsia" w:hAnsiTheme="minorHAnsi" w:cstheme="minorBidi"/>
          <w:noProof/>
          <w:kern w:val="0"/>
          <w:sz w:val="22"/>
          <w:szCs w:val="22"/>
        </w:rPr>
      </w:pPr>
      <w:r>
        <w:rPr>
          <w:noProof/>
        </w:rPr>
        <w:t>9  Promote competition</w:t>
      </w:r>
      <w:r>
        <w:rPr>
          <w:noProof/>
        </w:rPr>
        <w:tab/>
      </w:r>
      <w:r>
        <w:rPr>
          <w:noProof/>
        </w:rPr>
        <w:fldChar w:fldCharType="begin"/>
      </w:r>
      <w:r>
        <w:rPr>
          <w:noProof/>
        </w:rPr>
        <w:instrText xml:space="preserve"> PAGEREF _Toc164439858 \h </w:instrText>
      </w:r>
      <w:r>
        <w:rPr>
          <w:noProof/>
        </w:rPr>
      </w:r>
      <w:r>
        <w:rPr>
          <w:noProof/>
        </w:rPr>
        <w:fldChar w:fldCharType="separate"/>
      </w:r>
      <w:r>
        <w:rPr>
          <w:noProof/>
        </w:rPr>
        <w:t>7</w:t>
      </w:r>
      <w:r>
        <w:rPr>
          <w:noProof/>
        </w:rPr>
        <w:fldChar w:fldCharType="end"/>
      </w:r>
    </w:p>
    <w:p w:rsidR="008B26E7" w:rsidRDefault="008B26E7">
      <w:pPr>
        <w:pStyle w:val="TOC5"/>
        <w:rPr>
          <w:rFonts w:asciiTheme="minorHAnsi" w:eastAsiaTheme="minorEastAsia" w:hAnsiTheme="minorHAnsi" w:cstheme="minorBidi"/>
          <w:noProof/>
          <w:kern w:val="0"/>
          <w:sz w:val="22"/>
          <w:szCs w:val="22"/>
        </w:rPr>
      </w:pPr>
      <w:r>
        <w:rPr>
          <w:noProof/>
        </w:rPr>
        <w:t>10  Capacity for sustained investment and innovation</w:t>
      </w:r>
      <w:r>
        <w:rPr>
          <w:noProof/>
        </w:rPr>
        <w:tab/>
      </w:r>
      <w:r>
        <w:rPr>
          <w:noProof/>
        </w:rPr>
        <w:fldChar w:fldCharType="begin"/>
      </w:r>
      <w:r>
        <w:rPr>
          <w:noProof/>
        </w:rPr>
        <w:instrText xml:space="preserve"> PAGEREF _Toc164439859 \h </w:instrText>
      </w:r>
      <w:r>
        <w:rPr>
          <w:noProof/>
        </w:rPr>
      </w:r>
      <w:r>
        <w:rPr>
          <w:noProof/>
        </w:rPr>
        <w:fldChar w:fldCharType="separate"/>
      </w:r>
      <w:r>
        <w:rPr>
          <w:noProof/>
        </w:rPr>
        <w:t>7</w:t>
      </w:r>
      <w:r>
        <w:rPr>
          <w:noProof/>
        </w:rPr>
        <w:fldChar w:fldCharType="end"/>
      </w:r>
    </w:p>
    <w:p w:rsidR="00033CED" w:rsidRDefault="00033CED" w:rsidP="00033CED">
      <w:pPr>
        <w:outlineLvl w:val="0"/>
        <w:rPr>
          <w:rFonts w:ascii="Times New Roman" w:eastAsia="Times New Roman" w:hAnsi="Times New Roman" w:cs="Times New Roman"/>
          <w:b/>
          <w:kern w:val="28"/>
          <w:sz w:val="32"/>
          <w:szCs w:val="20"/>
          <w:lang w:eastAsia="en-AU"/>
        </w:rPr>
      </w:pPr>
      <w:r>
        <w:fldChar w:fldCharType="end"/>
      </w:r>
      <w:r>
        <w:rPr>
          <w:rFonts w:ascii="Times New Roman" w:hAnsi="Times New Roman"/>
        </w:rPr>
        <w:br w:type="page"/>
      </w:r>
    </w:p>
    <w:p w:rsidR="00033CED" w:rsidRPr="006855EF" w:rsidRDefault="00033CED" w:rsidP="00033CED">
      <w:pPr>
        <w:pStyle w:val="ActHead6"/>
        <w:rPr>
          <w:rFonts w:ascii="Times New Roman" w:hAnsi="Times New Roman"/>
        </w:rPr>
      </w:pPr>
      <w:bookmarkStart w:id="3" w:name="_Toc164439848"/>
      <w:bookmarkStart w:id="4" w:name="_Toc454512513"/>
      <w:r w:rsidRPr="006855EF">
        <w:rPr>
          <w:rFonts w:ascii="Times New Roman" w:hAnsi="Times New Roman"/>
        </w:rPr>
        <w:lastRenderedPageBreak/>
        <w:t>Part 1 – Preliminary</w:t>
      </w:r>
      <w:bookmarkEnd w:id="3"/>
    </w:p>
    <w:p w:rsidR="00033CED" w:rsidRPr="001810F1" w:rsidRDefault="00033CED" w:rsidP="00033CED">
      <w:pPr>
        <w:pStyle w:val="ActHead5"/>
      </w:pPr>
      <w:bookmarkStart w:id="5" w:name="_Toc164439849"/>
      <w:proofErr w:type="gramStart"/>
      <w:r w:rsidRPr="001810F1">
        <w:t>1  Name</w:t>
      </w:r>
      <w:bookmarkEnd w:id="4"/>
      <w:bookmarkEnd w:id="5"/>
      <w:proofErr w:type="gramEnd"/>
    </w:p>
    <w:p w:rsidR="00033CED" w:rsidRPr="001810F1" w:rsidRDefault="00033CED" w:rsidP="00033CED">
      <w:pPr>
        <w:pStyle w:val="subsection"/>
      </w:pPr>
      <w:r w:rsidRPr="008D213D">
        <w:tab/>
      </w:r>
      <w:r w:rsidRPr="008D213D">
        <w:tab/>
        <w:t xml:space="preserve">This notifiable instrument is the </w:t>
      </w:r>
      <w:bookmarkStart w:id="6" w:name="BKCheck15B_3"/>
      <w:bookmarkEnd w:id="6"/>
      <w:r w:rsidRPr="008D213D">
        <w:rPr>
          <w:i/>
        </w:rPr>
        <w:t>Radiocommunications (Ministerial Policy Statement – Expiring Spectrum Licences) Instrument 2024.</w:t>
      </w:r>
    </w:p>
    <w:p w:rsidR="00033CED" w:rsidRPr="001810F1" w:rsidRDefault="00033CED" w:rsidP="00033CED">
      <w:pPr>
        <w:pStyle w:val="ActHead5"/>
      </w:pPr>
      <w:bookmarkStart w:id="7" w:name="_Toc454512514"/>
      <w:bookmarkStart w:id="8" w:name="_Toc164439850"/>
      <w:proofErr w:type="gramStart"/>
      <w:r w:rsidRPr="001810F1">
        <w:t>2  Commencement</w:t>
      </w:r>
      <w:bookmarkEnd w:id="7"/>
      <w:bookmarkEnd w:id="8"/>
      <w:proofErr w:type="gramEnd"/>
    </w:p>
    <w:p w:rsidR="00033CED" w:rsidRPr="001810F1" w:rsidRDefault="00033CED" w:rsidP="00033CED">
      <w:pPr>
        <w:pStyle w:val="subsection"/>
      </w:pPr>
      <w:r w:rsidRPr="001810F1">
        <w:tab/>
      </w:r>
      <w:r w:rsidRPr="001810F1">
        <w:tab/>
        <w:t xml:space="preserve">This notifiable instrument commences on the day after this instrument is registered. </w:t>
      </w:r>
    </w:p>
    <w:p w:rsidR="00033CED" w:rsidRPr="001810F1" w:rsidRDefault="00033CED" w:rsidP="00033CED">
      <w:pPr>
        <w:pStyle w:val="ActHead5"/>
      </w:pPr>
      <w:bookmarkStart w:id="9" w:name="_Toc454512515"/>
      <w:bookmarkStart w:id="10" w:name="_Toc164439851"/>
      <w:proofErr w:type="gramStart"/>
      <w:r w:rsidRPr="001810F1">
        <w:t>3  Authority</w:t>
      </w:r>
      <w:bookmarkEnd w:id="9"/>
      <w:bookmarkEnd w:id="10"/>
      <w:proofErr w:type="gramEnd"/>
    </w:p>
    <w:p w:rsidR="00033CED" w:rsidRPr="001810F1" w:rsidRDefault="00033CED" w:rsidP="00033CED">
      <w:pPr>
        <w:pStyle w:val="subsection"/>
      </w:pPr>
      <w:r w:rsidRPr="001810F1">
        <w:tab/>
      </w:r>
      <w:r w:rsidRPr="001810F1">
        <w:tab/>
        <w:t>This notifiable instrument is made under</w:t>
      </w:r>
      <w:r w:rsidRPr="001810F1">
        <w:rPr>
          <w:szCs w:val="22"/>
        </w:rPr>
        <w:t xml:space="preserve"> subsection 28</w:t>
      </w:r>
      <w:proofErr w:type="gramStart"/>
      <w:r w:rsidRPr="001810F1">
        <w:rPr>
          <w:szCs w:val="22"/>
        </w:rPr>
        <w:t>B(</w:t>
      </w:r>
      <w:proofErr w:type="gramEnd"/>
      <w:r w:rsidRPr="001810F1">
        <w:rPr>
          <w:szCs w:val="22"/>
        </w:rPr>
        <w:t xml:space="preserve">1) of the </w:t>
      </w:r>
      <w:r w:rsidRPr="001810F1">
        <w:rPr>
          <w:i/>
          <w:szCs w:val="22"/>
        </w:rPr>
        <w:t>Radiocommunications Act 1992</w:t>
      </w:r>
      <w:r w:rsidRPr="001810F1">
        <w:rPr>
          <w:szCs w:val="22"/>
        </w:rPr>
        <w:t>.</w:t>
      </w:r>
    </w:p>
    <w:p w:rsidR="00033CED" w:rsidRPr="001810F1" w:rsidRDefault="00033CED" w:rsidP="00033CED">
      <w:pPr>
        <w:pStyle w:val="ActHead5"/>
      </w:pPr>
      <w:bookmarkStart w:id="11" w:name="_Toc164439852"/>
      <w:proofErr w:type="gramStart"/>
      <w:r w:rsidRPr="001810F1">
        <w:t>4  Definitions</w:t>
      </w:r>
      <w:bookmarkEnd w:id="11"/>
      <w:proofErr w:type="gramEnd"/>
    </w:p>
    <w:p w:rsidR="00033CED" w:rsidRPr="001810F1" w:rsidRDefault="00033CED" w:rsidP="00033CED">
      <w:pPr>
        <w:pStyle w:val="subsection"/>
      </w:pPr>
      <w:r w:rsidRPr="001810F1">
        <w:tab/>
      </w:r>
      <w:r w:rsidRPr="001810F1">
        <w:tab/>
        <w:t>In this notifiable instrument, unless the contrary intention appears:</w:t>
      </w:r>
    </w:p>
    <w:p w:rsidR="00033CED" w:rsidRPr="001810F1" w:rsidRDefault="00033CED" w:rsidP="00033CED">
      <w:pPr>
        <w:pStyle w:val="subsection"/>
        <w:rPr>
          <w:b/>
          <w:i/>
        </w:rPr>
      </w:pPr>
      <w:r w:rsidRPr="001810F1">
        <w:rPr>
          <w:b/>
          <w:i/>
        </w:rPr>
        <w:tab/>
      </w:r>
      <w:r w:rsidRPr="001810F1">
        <w:rPr>
          <w:b/>
          <w:i/>
        </w:rPr>
        <w:tab/>
        <w:t xml:space="preserve">ACCC </w:t>
      </w:r>
      <w:r w:rsidRPr="001810F1">
        <w:t>means the Australian Competition and Consumer Commission.</w:t>
      </w:r>
      <w:r w:rsidRPr="001810F1">
        <w:rPr>
          <w:b/>
          <w:i/>
        </w:rPr>
        <w:tab/>
      </w:r>
      <w:r w:rsidRPr="001810F1">
        <w:rPr>
          <w:b/>
          <w:i/>
        </w:rPr>
        <w:tab/>
      </w:r>
    </w:p>
    <w:p w:rsidR="00033CED" w:rsidRPr="001810F1" w:rsidRDefault="00033CED" w:rsidP="00033CED">
      <w:pPr>
        <w:pStyle w:val="subsection"/>
        <w:rPr>
          <w:b/>
          <w:i/>
        </w:rPr>
      </w:pPr>
      <w:r w:rsidRPr="001810F1">
        <w:rPr>
          <w:b/>
          <w:i/>
        </w:rPr>
        <w:tab/>
      </w:r>
      <w:r w:rsidRPr="001810F1">
        <w:rPr>
          <w:b/>
          <w:i/>
        </w:rPr>
        <w:tab/>
        <w:t>ACMA</w:t>
      </w:r>
      <w:r w:rsidRPr="001810F1">
        <w:t xml:space="preserve"> means the Australian Communications and Media Authority.</w:t>
      </w:r>
      <w:r w:rsidRPr="001810F1">
        <w:rPr>
          <w:b/>
          <w:i/>
        </w:rPr>
        <w:tab/>
      </w:r>
    </w:p>
    <w:p w:rsidR="00033CED" w:rsidRPr="001810F1" w:rsidRDefault="00033CED" w:rsidP="00033CED">
      <w:pPr>
        <w:pStyle w:val="subsection"/>
      </w:pPr>
      <w:r w:rsidRPr="001810F1">
        <w:rPr>
          <w:b/>
          <w:i/>
        </w:rPr>
        <w:tab/>
      </w:r>
      <w:r w:rsidRPr="001810F1">
        <w:tab/>
      </w:r>
      <w:r w:rsidRPr="001810F1">
        <w:rPr>
          <w:b/>
          <w:i/>
        </w:rPr>
        <w:t>Ministerial policy statement</w:t>
      </w:r>
      <w:r w:rsidRPr="001810F1">
        <w:rPr>
          <w:i/>
        </w:rPr>
        <w:t xml:space="preserve"> </w:t>
      </w:r>
      <w:r w:rsidRPr="001810F1">
        <w:t xml:space="preserve">has the meaning given by section 28B of the </w:t>
      </w:r>
      <w:r w:rsidRPr="001810F1">
        <w:rPr>
          <w:i/>
        </w:rPr>
        <w:t>Radiocommunications Act 1992</w:t>
      </w:r>
      <w:r w:rsidRPr="001810F1">
        <w:t>.</w:t>
      </w:r>
    </w:p>
    <w:p w:rsidR="00033CED" w:rsidRPr="001810F1" w:rsidRDefault="00033CED" w:rsidP="00033CED">
      <w:pPr>
        <w:pStyle w:val="subsection"/>
      </w:pPr>
      <w:r w:rsidRPr="001810F1">
        <w:tab/>
      </w:r>
      <w:r w:rsidRPr="001810F1">
        <w:tab/>
      </w:r>
      <w:r w:rsidRPr="001810F1">
        <w:rPr>
          <w:b/>
          <w:i/>
        </w:rPr>
        <w:t>spectrum licence</w:t>
      </w:r>
      <w:r w:rsidRPr="001810F1">
        <w:t xml:space="preserve"> means a spectrum licence issued under Part 3.2 of the </w:t>
      </w:r>
      <w:r w:rsidRPr="001810F1">
        <w:rPr>
          <w:i/>
        </w:rPr>
        <w:t>Radiocommunications Act 1992</w:t>
      </w:r>
      <w:r w:rsidRPr="001810F1">
        <w:t>.</w:t>
      </w:r>
    </w:p>
    <w:p w:rsidR="00033CED" w:rsidRPr="00AD0550" w:rsidRDefault="00033CED" w:rsidP="00033CED">
      <w:pPr>
        <w:rPr>
          <w:rFonts w:ascii="Times New Roman" w:hAnsi="Times New Roman"/>
        </w:rPr>
      </w:pPr>
    </w:p>
    <w:p w:rsidR="00033CED" w:rsidRPr="000809B4" w:rsidRDefault="00033CED" w:rsidP="00033CED">
      <w:pPr>
        <w:rPr>
          <w:rFonts w:ascii="Times New Roman" w:eastAsia="Times New Roman" w:hAnsi="Times New Roman" w:cs="Times New Roman"/>
          <w:sz w:val="18"/>
          <w:szCs w:val="20"/>
          <w:lang w:eastAsia="en-AU"/>
        </w:rPr>
      </w:pPr>
      <w:r w:rsidRPr="001810F1">
        <w:rPr>
          <w:rFonts w:ascii="Times New Roman" w:eastAsia="Times New Roman" w:hAnsi="Times New Roman" w:cs="Times New Roman"/>
          <w:szCs w:val="20"/>
          <w:lang w:eastAsia="en-AU"/>
        </w:rPr>
        <w:br w:type="page"/>
      </w:r>
    </w:p>
    <w:p w:rsidR="00033CED" w:rsidRPr="006855EF" w:rsidRDefault="00033CED" w:rsidP="00033CED">
      <w:pPr>
        <w:pStyle w:val="ActHead6"/>
        <w:rPr>
          <w:rFonts w:ascii="Times New Roman" w:hAnsi="Times New Roman"/>
        </w:rPr>
      </w:pPr>
      <w:bookmarkStart w:id="12" w:name="_Toc164439853"/>
      <w:bookmarkStart w:id="13" w:name="_Toc454512518"/>
      <w:r w:rsidRPr="006855EF">
        <w:rPr>
          <w:rFonts w:ascii="Times New Roman" w:hAnsi="Times New Roman"/>
        </w:rPr>
        <w:lastRenderedPageBreak/>
        <w:t>Part 2 - Ministerial Policy Statement – Expiring Spectrum Licences</w:t>
      </w:r>
      <w:bookmarkEnd w:id="12"/>
      <w:r w:rsidRPr="006855EF">
        <w:rPr>
          <w:rFonts w:ascii="Times New Roman" w:hAnsi="Times New Roman"/>
        </w:rPr>
        <w:t xml:space="preserve"> </w:t>
      </w:r>
      <w:bookmarkEnd w:id="13"/>
    </w:p>
    <w:p w:rsidR="00033CED" w:rsidRPr="006855EF" w:rsidRDefault="00033CED" w:rsidP="00033CED">
      <w:pPr>
        <w:pStyle w:val="ActHead5"/>
        <w:rPr>
          <w:lang w:val="en-US"/>
        </w:rPr>
      </w:pPr>
      <w:bookmarkStart w:id="14" w:name="_Toc164439854"/>
      <w:proofErr w:type="gramStart"/>
      <w:r w:rsidRPr="001810F1">
        <w:t>5</w:t>
      </w:r>
      <w:r>
        <w:t xml:space="preserve"> </w:t>
      </w:r>
      <w:r w:rsidRPr="001810F1">
        <w:t xml:space="preserve"> Introduction</w:t>
      </w:r>
      <w:bookmarkEnd w:id="14"/>
      <w:proofErr w:type="gramEnd"/>
    </w:p>
    <w:p w:rsidR="00033CED" w:rsidRDefault="00033CED" w:rsidP="00033CED">
      <w:pPr>
        <w:rPr>
          <w:rFonts w:ascii="Times New Roman" w:hAnsi="Times New Roman"/>
          <w:color w:val="000000"/>
          <w:lang w:val="en-US"/>
        </w:rPr>
      </w:pPr>
    </w:p>
    <w:p w:rsidR="00033CED" w:rsidRPr="001810F1" w:rsidRDefault="00033CED" w:rsidP="00033CED">
      <w:pPr>
        <w:rPr>
          <w:rFonts w:ascii="Times New Roman" w:eastAsia="Times New Roman" w:hAnsi="Times New Roman" w:cs="Times New Roman"/>
          <w:color w:val="000000"/>
        </w:rPr>
      </w:pPr>
      <w:r w:rsidRPr="00392623">
        <w:rPr>
          <w:rFonts w:ascii="Times New Roman" w:hAnsi="Times New Roman"/>
          <w:color w:val="000000"/>
          <w:lang w:val="en-US"/>
        </w:rPr>
        <w:t>The</w:t>
      </w:r>
      <w:r w:rsidRPr="001810F1">
        <w:rPr>
          <w:rFonts w:ascii="Times New Roman" w:eastAsia="Times New Roman" w:hAnsi="Times New Roman" w:cs="Times New Roman"/>
          <w:color w:val="000000"/>
          <w:lang w:val="en-US"/>
        </w:rPr>
        <w:t xml:space="preserve"> object of the </w:t>
      </w:r>
      <w:r w:rsidRPr="001810F1">
        <w:rPr>
          <w:rFonts w:ascii="Times New Roman" w:eastAsia="Times New Roman" w:hAnsi="Times New Roman" w:cs="Times New Roman"/>
          <w:i/>
          <w:color w:val="000000"/>
          <w:lang w:val="en-US"/>
        </w:rPr>
        <w:t>Radiocommunication</w:t>
      </w:r>
      <w:r>
        <w:rPr>
          <w:rFonts w:ascii="Times New Roman" w:eastAsia="Times New Roman" w:hAnsi="Times New Roman" w:cs="Times New Roman"/>
          <w:i/>
          <w:color w:val="000000"/>
          <w:lang w:val="en-US"/>
        </w:rPr>
        <w:t>s</w:t>
      </w:r>
      <w:r w:rsidRPr="001810F1">
        <w:rPr>
          <w:rFonts w:ascii="Times New Roman" w:eastAsia="Times New Roman" w:hAnsi="Times New Roman" w:cs="Times New Roman"/>
          <w:i/>
          <w:color w:val="000000"/>
          <w:lang w:val="en-US"/>
        </w:rPr>
        <w:t xml:space="preserve"> Act 1992 </w:t>
      </w:r>
      <w:r w:rsidRPr="001810F1">
        <w:rPr>
          <w:rFonts w:ascii="Times New Roman" w:eastAsia="Times New Roman" w:hAnsi="Times New Roman" w:cs="Times New Roman"/>
          <w:color w:val="000000"/>
          <w:lang w:val="en-US"/>
        </w:rPr>
        <w:t>(the Act) is “to promote the long-term public interest derived from the use of the spectrum by providing for the management of the spectrum in a manner that:</w:t>
      </w:r>
    </w:p>
    <w:p w:rsidR="00033CED" w:rsidRPr="001810F1" w:rsidRDefault="00033CED" w:rsidP="00033CED">
      <w:pPr>
        <w:pStyle w:val="ListParagraph"/>
        <w:numPr>
          <w:ilvl w:val="0"/>
          <w:numId w:val="11"/>
        </w:numPr>
        <w:spacing w:before="192" w:line="243" w:lineRule="exact"/>
        <w:textAlignment w:val="baseline"/>
        <w:rPr>
          <w:rFonts w:ascii="Times New Roman" w:eastAsia="Times New Roman" w:hAnsi="Times New Roman" w:cs="Times New Roman"/>
          <w:color w:val="000000"/>
          <w:spacing w:val="-2"/>
        </w:rPr>
      </w:pPr>
      <w:r w:rsidRPr="001810F1">
        <w:rPr>
          <w:rFonts w:ascii="Times New Roman" w:eastAsia="Times New Roman" w:hAnsi="Times New Roman" w:cs="Times New Roman"/>
          <w:color w:val="000000"/>
          <w:spacing w:val="-2"/>
          <w:lang w:val="en-US"/>
        </w:rPr>
        <w:t>facilitates the efficient planning, allocation and use of the spectrum; and</w:t>
      </w:r>
    </w:p>
    <w:p w:rsidR="00033CED" w:rsidRPr="001810F1" w:rsidRDefault="00033CED" w:rsidP="00033CED">
      <w:pPr>
        <w:pStyle w:val="ListParagraph"/>
        <w:numPr>
          <w:ilvl w:val="0"/>
          <w:numId w:val="11"/>
        </w:numPr>
        <w:spacing w:before="19" w:after="0" w:line="243" w:lineRule="exact"/>
        <w:textAlignment w:val="baseline"/>
        <w:rPr>
          <w:rFonts w:ascii="Times New Roman" w:eastAsia="Times New Roman" w:hAnsi="Times New Roman" w:cs="Times New Roman"/>
          <w:color w:val="000000"/>
          <w:spacing w:val="-2"/>
        </w:rPr>
      </w:pPr>
      <w:r w:rsidRPr="001810F1">
        <w:rPr>
          <w:rFonts w:ascii="Times New Roman" w:eastAsia="Times New Roman" w:hAnsi="Times New Roman" w:cs="Times New Roman"/>
          <w:color w:val="000000"/>
          <w:spacing w:val="-2"/>
          <w:lang w:val="en-US"/>
        </w:rPr>
        <w:t>facilitates the use of the spectrum for:</w:t>
      </w:r>
    </w:p>
    <w:p w:rsidR="00033CED" w:rsidRPr="001810F1" w:rsidRDefault="00033CED" w:rsidP="00033CED">
      <w:pPr>
        <w:pStyle w:val="ListParagraph"/>
        <w:numPr>
          <w:ilvl w:val="1"/>
          <w:numId w:val="11"/>
        </w:numPr>
        <w:spacing w:before="19" w:after="0" w:line="243" w:lineRule="exact"/>
        <w:textAlignment w:val="baseline"/>
        <w:rPr>
          <w:rFonts w:ascii="Times New Roman" w:eastAsia="Times New Roman" w:hAnsi="Times New Roman" w:cs="Times New Roman"/>
          <w:color w:val="000000"/>
          <w:spacing w:val="-4"/>
        </w:rPr>
      </w:pPr>
      <w:r w:rsidRPr="001810F1">
        <w:rPr>
          <w:rFonts w:ascii="Times New Roman" w:eastAsia="Times New Roman" w:hAnsi="Times New Roman" w:cs="Times New Roman"/>
          <w:color w:val="000000"/>
          <w:spacing w:val="-4"/>
          <w:lang w:val="en-US"/>
        </w:rPr>
        <w:t>commercial purposes; and</w:t>
      </w:r>
    </w:p>
    <w:p w:rsidR="00033CED" w:rsidRPr="001810F1" w:rsidRDefault="00033CED" w:rsidP="00033CED">
      <w:pPr>
        <w:pStyle w:val="ListParagraph"/>
        <w:numPr>
          <w:ilvl w:val="0"/>
          <w:numId w:val="20"/>
        </w:numPr>
        <w:spacing w:before="19" w:after="0" w:line="243" w:lineRule="exact"/>
        <w:textAlignment w:val="baseline"/>
        <w:rPr>
          <w:rFonts w:ascii="Times New Roman" w:eastAsia="Times New Roman" w:hAnsi="Times New Roman" w:cs="Times New Roman"/>
          <w:color w:val="000000"/>
          <w:spacing w:val="-4"/>
          <w:lang w:val="en-US"/>
        </w:rPr>
      </w:pPr>
      <w:proofErr w:type="spellStart"/>
      <w:r w:rsidRPr="001810F1">
        <w:rPr>
          <w:rFonts w:ascii="Times New Roman" w:eastAsia="Times New Roman" w:hAnsi="Times New Roman" w:cs="Times New Roman"/>
          <w:color w:val="000000"/>
          <w:spacing w:val="-4"/>
          <w:lang w:val="en-US"/>
        </w:rPr>
        <w:t>defence</w:t>
      </w:r>
      <w:proofErr w:type="spellEnd"/>
      <w:r w:rsidRPr="001810F1">
        <w:rPr>
          <w:rFonts w:ascii="Times New Roman" w:eastAsia="Times New Roman" w:hAnsi="Times New Roman" w:cs="Times New Roman"/>
          <w:color w:val="000000"/>
          <w:spacing w:val="-4"/>
          <w:lang w:val="en-US"/>
        </w:rPr>
        <w:t xml:space="preserve"> purposes, national security purposes and other non-commercial purposes (including public safety and community purposes); and</w:t>
      </w:r>
    </w:p>
    <w:p w:rsidR="00033CED" w:rsidRPr="001810F1" w:rsidRDefault="00033CED" w:rsidP="00033CED">
      <w:pPr>
        <w:pStyle w:val="ListParagraph"/>
        <w:numPr>
          <w:ilvl w:val="0"/>
          <w:numId w:val="11"/>
        </w:numPr>
        <w:spacing w:before="19" w:line="243" w:lineRule="exact"/>
        <w:textAlignment w:val="baseline"/>
        <w:rPr>
          <w:rFonts w:ascii="Times New Roman" w:eastAsia="Times New Roman" w:hAnsi="Times New Roman" w:cs="Times New Roman"/>
          <w:color w:val="000000"/>
          <w:spacing w:val="-3"/>
        </w:rPr>
      </w:pPr>
      <w:r w:rsidRPr="001810F1">
        <w:rPr>
          <w:rFonts w:ascii="Times New Roman" w:eastAsia="Times New Roman" w:hAnsi="Times New Roman" w:cs="Times New Roman"/>
          <w:color w:val="000000"/>
          <w:spacing w:val="-3"/>
          <w:lang w:val="en-US"/>
        </w:rPr>
        <w:t>supports the communications policy objectives of the Commonwealth Government.”</w:t>
      </w:r>
    </w:p>
    <w:p w:rsidR="00033CED" w:rsidRPr="00AD0550" w:rsidRDefault="00033CED" w:rsidP="00033CED">
      <w:pPr>
        <w:spacing w:before="240"/>
        <w:rPr>
          <w:rFonts w:ascii="Times New Roman" w:eastAsia="Times New Roman" w:hAnsi="Times New Roman" w:cs="Times New Roman"/>
          <w:i/>
          <w:color w:val="000000"/>
          <w:lang w:val="en-US"/>
        </w:rPr>
      </w:pPr>
      <w:r w:rsidRPr="00AD0550">
        <w:rPr>
          <w:rFonts w:ascii="Times New Roman" w:eastAsia="Times New Roman" w:hAnsi="Times New Roman" w:cs="Times New Roman"/>
          <w:i/>
          <w:color w:val="000000"/>
          <w:lang w:val="en-US"/>
        </w:rPr>
        <w:t>Scope of this Ministerial policy statement</w:t>
      </w:r>
    </w:p>
    <w:p w:rsidR="00033CED" w:rsidRPr="001810F1" w:rsidRDefault="00033CED" w:rsidP="00033CED">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This Ministerial policy statement specifies Commonwealth Government communications policy objectives to which the ACMA must have regard in designing and enacting its process to manage</w:t>
      </w:r>
      <w:r w:rsidRPr="008D213D">
        <w:rPr>
          <w:rFonts w:ascii="Times New Roman" w:eastAsia="Times New Roman" w:hAnsi="Times New Roman" w:cs="Times New Roman"/>
          <w:color w:val="000000"/>
          <w:spacing w:val="-4"/>
          <w:lang w:val="en-US"/>
        </w:rPr>
        <w:t xml:space="preserve"> the</w:t>
      </w:r>
      <w:r>
        <w:rPr>
          <w:rFonts w:ascii="Times New Roman" w:eastAsia="Times New Roman" w:hAnsi="Times New Roman" w:cs="Times New Roman"/>
          <w:color w:val="000000"/>
          <w:spacing w:val="-4"/>
          <w:lang w:val="en-US"/>
        </w:rPr>
        <w:t xml:space="preserve"> future use of spectrum associated with the</w:t>
      </w:r>
      <w:r w:rsidRPr="008D213D">
        <w:rPr>
          <w:rFonts w:ascii="Times New Roman" w:eastAsia="Times New Roman" w:hAnsi="Times New Roman" w:cs="Times New Roman"/>
          <w:color w:val="000000"/>
          <w:spacing w:val="-4"/>
          <w:lang w:val="en-US"/>
        </w:rPr>
        <w:t xml:space="preserve"> expir</w:t>
      </w:r>
      <w:r>
        <w:rPr>
          <w:rFonts w:ascii="Times New Roman" w:eastAsia="Times New Roman" w:hAnsi="Times New Roman" w:cs="Times New Roman"/>
          <w:color w:val="000000"/>
          <w:spacing w:val="-4"/>
          <w:lang w:val="en-US"/>
        </w:rPr>
        <w:t>y of</w:t>
      </w:r>
      <w:r w:rsidRPr="008D213D">
        <w:rPr>
          <w:rFonts w:ascii="Times New Roman" w:eastAsia="Times New Roman" w:hAnsi="Times New Roman" w:cs="Times New Roman"/>
          <w:color w:val="000000"/>
          <w:spacing w:val="-4"/>
          <w:lang w:val="en-US"/>
        </w:rPr>
        <w:t xml:space="preserve"> spectrum </w:t>
      </w:r>
      <w:proofErr w:type="spellStart"/>
      <w:r w:rsidRPr="008D213D">
        <w:rPr>
          <w:rFonts w:ascii="Times New Roman" w:eastAsia="Times New Roman" w:hAnsi="Times New Roman" w:cs="Times New Roman"/>
          <w:color w:val="000000"/>
          <w:spacing w:val="-4"/>
          <w:lang w:val="en-US"/>
        </w:rPr>
        <w:t>licences</w:t>
      </w:r>
      <w:proofErr w:type="spellEnd"/>
      <w:r w:rsidRPr="008D213D">
        <w:rPr>
          <w:rFonts w:ascii="Times New Roman" w:eastAsia="Times New Roman" w:hAnsi="Times New Roman" w:cs="Times New Roman"/>
          <w:color w:val="000000"/>
          <w:spacing w:val="-4"/>
          <w:lang w:val="en-US"/>
        </w:rPr>
        <w:t xml:space="preserve"> </w:t>
      </w:r>
      <w:r w:rsidRPr="00A30FB8">
        <w:rPr>
          <w:rFonts w:ascii="Times New Roman" w:eastAsia="Times New Roman" w:hAnsi="Times New Roman" w:cs="Times New Roman"/>
          <w:color w:val="000000"/>
          <w:spacing w:val="-4"/>
          <w:lang w:val="en-US"/>
        </w:rPr>
        <w:t xml:space="preserve">set out </w:t>
      </w:r>
      <w:r>
        <w:rPr>
          <w:rFonts w:ascii="Times New Roman" w:eastAsia="Times New Roman" w:hAnsi="Times New Roman" w:cs="Times New Roman"/>
          <w:color w:val="000000"/>
          <w:spacing w:val="-4"/>
          <w:lang w:val="en-US"/>
        </w:rPr>
        <w:t xml:space="preserve">in </w:t>
      </w:r>
      <w:r w:rsidRPr="001810F1">
        <w:rPr>
          <w:rFonts w:ascii="Times New Roman" w:eastAsia="Times New Roman" w:hAnsi="Times New Roman" w:cs="Times New Roman"/>
          <w:color w:val="000000"/>
          <w:spacing w:val="-4"/>
          <w:lang w:val="en-US"/>
        </w:rPr>
        <w:t>Table 1 below</w:t>
      </w:r>
      <w:r>
        <w:rPr>
          <w:rFonts w:ascii="Times New Roman" w:eastAsia="Times New Roman" w:hAnsi="Times New Roman" w:cs="Times New Roman"/>
          <w:color w:val="000000"/>
          <w:spacing w:val="-4"/>
          <w:lang w:val="en-US"/>
        </w:rPr>
        <w:t xml:space="preserve"> (the expiring spectrum </w:t>
      </w:r>
      <w:proofErr w:type="spellStart"/>
      <w:r>
        <w:rPr>
          <w:rFonts w:ascii="Times New Roman" w:eastAsia="Times New Roman" w:hAnsi="Times New Roman" w:cs="Times New Roman"/>
          <w:color w:val="000000"/>
          <w:spacing w:val="-4"/>
          <w:lang w:val="en-US"/>
        </w:rPr>
        <w:t>licences</w:t>
      </w:r>
      <w:proofErr w:type="spellEnd"/>
      <w:r>
        <w:rPr>
          <w:rFonts w:ascii="Times New Roman" w:eastAsia="Times New Roman" w:hAnsi="Times New Roman" w:cs="Times New Roman"/>
          <w:color w:val="000000"/>
          <w:spacing w:val="-4"/>
          <w:lang w:val="en-US"/>
        </w:rPr>
        <w:t xml:space="preserve"> process)</w:t>
      </w:r>
      <w:r w:rsidRPr="008D213D">
        <w:rPr>
          <w:rFonts w:ascii="Times New Roman" w:eastAsia="Times New Roman" w:hAnsi="Times New Roman" w:cs="Times New Roman"/>
          <w:color w:val="000000"/>
          <w:spacing w:val="-4"/>
          <w:lang w:val="en-US"/>
        </w:rPr>
        <w:t xml:space="preserve">. The </w:t>
      </w:r>
      <w:r w:rsidRPr="00A30FB8">
        <w:rPr>
          <w:rFonts w:ascii="Times New Roman" w:eastAsia="Times New Roman" w:hAnsi="Times New Roman" w:cs="Times New Roman"/>
          <w:color w:val="000000"/>
          <w:spacing w:val="-4"/>
          <w:lang w:val="en-US"/>
        </w:rPr>
        <w:t xml:space="preserve">Commonwealth Government communications policy objectives covered by this Ministerial policy </w:t>
      </w:r>
      <w:r w:rsidRPr="001810F1">
        <w:rPr>
          <w:rFonts w:ascii="Times New Roman" w:eastAsia="Times New Roman" w:hAnsi="Times New Roman" w:cs="Times New Roman"/>
          <w:color w:val="000000"/>
          <w:spacing w:val="-4"/>
          <w:lang w:val="en-US"/>
        </w:rPr>
        <w:t>statement are set out at section</w:t>
      </w:r>
      <w:r>
        <w:rPr>
          <w:rFonts w:ascii="Times New Roman" w:eastAsia="Times New Roman" w:hAnsi="Times New Roman" w:cs="Times New Roman"/>
          <w:color w:val="000000"/>
          <w:spacing w:val="-4"/>
          <w:lang w:val="en-US"/>
        </w:rPr>
        <w:t>s</w:t>
      </w:r>
      <w:r w:rsidRPr="001810F1">
        <w:rPr>
          <w:rFonts w:ascii="Times New Roman" w:eastAsia="Times New Roman" w:hAnsi="Times New Roman" w:cs="Times New Roman"/>
          <w:color w:val="000000"/>
          <w:spacing w:val="-4"/>
          <w:lang w:val="en-US"/>
        </w:rPr>
        <w:t xml:space="preserve"> 6 to 10 below. </w:t>
      </w:r>
    </w:p>
    <w:p w:rsidR="00033CED" w:rsidRPr="001810F1" w:rsidRDefault="00033CED" w:rsidP="00033CED">
      <w:pPr>
        <w:rPr>
          <w:rFonts w:ascii="Times New Roman" w:hAnsi="Times New Roman" w:cs="Times New Roman"/>
        </w:rPr>
      </w:pPr>
      <w:r w:rsidRPr="001810F1">
        <w:rPr>
          <w:rFonts w:ascii="Times New Roman" w:hAnsi="Times New Roman" w:cs="Times New Roman"/>
        </w:rPr>
        <w:t xml:space="preserve">This Ministerial policy statement is not intended to apply </w:t>
      </w:r>
      <w:r>
        <w:rPr>
          <w:rFonts w:ascii="Times New Roman" w:hAnsi="Times New Roman" w:cs="Times New Roman"/>
        </w:rPr>
        <w:t xml:space="preserve">in relation </w:t>
      </w:r>
      <w:r w:rsidRPr="001810F1">
        <w:rPr>
          <w:rFonts w:ascii="Times New Roman" w:hAnsi="Times New Roman" w:cs="Times New Roman"/>
        </w:rPr>
        <w:t>to the expiring spectrum licences currently being used for broadcast services (primarily electronic news gathering) in the 2570</w:t>
      </w:r>
      <w:r w:rsidR="000653BB">
        <w:rPr>
          <w:rFonts w:ascii="Times New Roman" w:hAnsi="Times New Roman" w:cs="Times New Roman"/>
        </w:rPr>
        <w:noBreakHyphen/>
      </w:r>
      <w:r w:rsidRPr="001810F1">
        <w:rPr>
          <w:rFonts w:ascii="Times New Roman" w:hAnsi="Times New Roman" w:cs="Times New Roman"/>
        </w:rPr>
        <w:t>2620</w:t>
      </w:r>
      <w:r w:rsidR="000653BB">
        <w:rPr>
          <w:rFonts w:ascii="Times New Roman" w:hAnsi="Times New Roman" w:cs="Times New Roman"/>
        </w:rPr>
        <w:t> </w:t>
      </w:r>
      <w:r w:rsidRPr="001810F1">
        <w:rPr>
          <w:rFonts w:ascii="Times New Roman" w:hAnsi="Times New Roman" w:cs="Times New Roman"/>
        </w:rPr>
        <w:t>MHz (2.5</w:t>
      </w:r>
      <w:r w:rsidR="000653BB">
        <w:rPr>
          <w:rFonts w:ascii="Times New Roman" w:hAnsi="Times New Roman" w:cs="Times New Roman"/>
        </w:rPr>
        <w:t xml:space="preserve"> </w:t>
      </w:r>
      <w:r w:rsidRPr="001810F1">
        <w:rPr>
          <w:rFonts w:ascii="Times New Roman" w:hAnsi="Times New Roman" w:cs="Times New Roman"/>
        </w:rPr>
        <w:t xml:space="preserve">GHz mid-band gap) band, or to </w:t>
      </w:r>
      <w:r>
        <w:rPr>
          <w:rFonts w:ascii="Times New Roman" w:hAnsi="Times New Roman" w:cs="Times New Roman"/>
        </w:rPr>
        <w:t xml:space="preserve">support </w:t>
      </w:r>
      <w:r w:rsidRPr="001810F1">
        <w:rPr>
          <w:rFonts w:ascii="Times New Roman" w:hAnsi="Times New Roman" w:cs="Times New Roman"/>
        </w:rPr>
        <w:t xml:space="preserve">metropolitan rail safety and communications services in the 1800 MHz band. The rationale for this decision is that these licences clearly serve distinctly different use cases compared with the remainder of the expiring spectrum licences and so will have separate considerations which might apply. However, these licences will still be considered as part of the ACMA’s comprehensive expiring spectrum licences process.  </w:t>
      </w:r>
    </w:p>
    <w:p w:rsidR="00033CED" w:rsidRPr="00AD0550" w:rsidRDefault="00033CED" w:rsidP="00033CED">
      <w:pPr>
        <w:rPr>
          <w:rFonts w:ascii="Times New Roman" w:eastAsia="Times New Roman" w:hAnsi="Times New Roman" w:cs="Times New Roman"/>
          <w:b/>
          <w:color w:val="000000"/>
          <w:spacing w:val="-4"/>
          <w:lang w:val="en-US"/>
        </w:rPr>
      </w:pPr>
      <w:r w:rsidRPr="00AD0550">
        <w:rPr>
          <w:rFonts w:ascii="Times New Roman" w:eastAsia="Times New Roman" w:hAnsi="Times New Roman" w:cs="Times New Roman"/>
          <w:b/>
          <w:color w:val="000000"/>
          <w:spacing w:val="-4"/>
          <w:lang w:val="en-US"/>
        </w:rPr>
        <w:t xml:space="preserve">Table 1: Expiring spectrum </w:t>
      </w:r>
      <w:proofErr w:type="spellStart"/>
      <w:r w:rsidRPr="00AD0550">
        <w:rPr>
          <w:rFonts w:ascii="Times New Roman" w:eastAsia="Times New Roman" w:hAnsi="Times New Roman" w:cs="Times New Roman"/>
          <w:b/>
          <w:color w:val="000000"/>
          <w:spacing w:val="-4"/>
          <w:lang w:val="en-US"/>
        </w:rPr>
        <w:t>licences</w:t>
      </w:r>
      <w:proofErr w:type="spellEnd"/>
      <w:r w:rsidRPr="00AD0550">
        <w:rPr>
          <w:rFonts w:ascii="Times New Roman" w:eastAsia="Times New Roman" w:hAnsi="Times New Roman" w:cs="Times New Roman"/>
          <w:b/>
          <w:color w:val="000000"/>
          <w:spacing w:val="-4"/>
          <w:lang w:val="en-US"/>
        </w:rPr>
        <w:t xml:space="preserve"> covered by this Ministerial policy statement</w:t>
      </w:r>
    </w:p>
    <w:tbl>
      <w:tblPr>
        <w:tblStyle w:val="TableGrid"/>
        <w:tblW w:w="5000" w:type="pct"/>
        <w:tblLook w:val="04A0" w:firstRow="1" w:lastRow="0" w:firstColumn="1" w:lastColumn="0" w:noHBand="0" w:noVBand="1"/>
      </w:tblPr>
      <w:tblGrid>
        <w:gridCol w:w="552"/>
        <w:gridCol w:w="1596"/>
        <w:gridCol w:w="4345"/>
        <w:gridCol w:w="2533"/>
      </w:tblGrid>
      <w:tr w:rsidR="00033CED" w:rsidRPr="001810F1" w:rsidTr="006B4843">
        <w:trPr>
          <w:trHeight w:val="280"/>
        </w:trPr>
        <w:tc>
          <w:tcPr>
            <w:tcW w:w="306" w:type="pct"/>
            <w:tcBorders>
              <w:top w:val="nil"/>
              <w:left w:val="nil"/>
              <w:bottom w:val="single" w:sz="12" w:space="0" w:color="auto"/>
              <w:right w:val="nil"/>
            </w:tcBorders>
          </w:tcPr>
          <w:p w:rsidR="00033CED" w:rsidRPr="001810F1" w:rsidRDefault="00033CED" w:rsidP="006B4843">
            <w:pPr>
              <w:rPr>
                <w:rFonts w:ascii="Times New Roman" w:eastAsia="Times New Roman" w:hAnsi="Times New Roman" w:cs="Times New Roman"/>
                <w:b/>
                <w:color w:val="000000"/>
                <w:spacing w:val="-4"/>
                <w:lang w:val="en-US"/>
              </w:rPr>
            </w:pPr>
          </w:p>
        </w:tc>
        <w:tc>
          <w:tcPr>
            <w:tcW w:w="884" w:type="pct"/>
            <w:tcBorders>
              <w:top w:val="nil"/>
              <w:left w:val="nil"/>
              <w:bottom w:val="single" w:sz="12" w:space="0" w:color="auto"/>
              <w:right w:val="nil"/>
            </w:tcBorders>
          </w:tcPr>
          <w:p w:rsidR="00033CED" w:rsidRPr="001810F1" w:rsidRDefault="00033CED" w:rsidP="006B4843">
            <w:pPr>
              <w:rPr>
                <w:rFonts w:ascii="Times New Roman" w:eastAsia="Times New Roman" w:hAnsi="Times New Roman" w:cs="Times New Roman"/>
                <w:b/>
                <w:color w:val="000000"/>
                <w:spacing w:val="-4"/>
                <w:lang w:val="en-US"/>
              </w:rPr>
            </w:pPr>
            <w:r w:rsidRPr="001810F1">
              <w:rPr>
                <w:rFonts w:ascii="Times New Roman" w:eastAsia="Times New Roman" w:hAnsi="Times New Roman" w:cs="Times New Roman"/>
                <w:b/>
                <w:color w:val="000000"/>
                <w:spacing w:val="-4"/>
                <w:lang w:val="en-US"/>
              </w:rPr>
              <w:t>Band</w:t>
            </w:r>
          </w:p>
        </w:tc>
        <w:tc>
          <w:tcPr>
            <w:tcW w:w="2407" w:type="pct"/>
            <w:tcBorders>
              <w:top w:val="nil"/>
              <w:left w:val="nil"/>
              <w:bottom w:val="single" w:sz="12" w:space="0" w:color="auto"/>
              <w:right w:val="nil"/>
            </w:tcBorders>
          </w:tcPr>
          <w:p w:rsidR="00033CED" w:rsidRPr="008D213D" w:rsidRDefault="00033CED" w:rsidP="006B4843">
            <w:pPr>
              <w:rPr>
                <w:rFonts w:ascii="Times New Roman" w:eastAsia="Times New Roman" w:hAnsi="Times New Roman" w:cs="Times New Roman"/>
                <w:b/>
                <w:color w:val="000000"/>
                <w:spacing w:val="-4"/>
                <w:lang w:val="en-US"/>
              </w:rPr>
            </w:pPr>
            <w:r w:rsidRPr="008D213D">
              <w:rPr>
                <w:rFonts w:ascii="Times New Roman" w:eastAsia="Times New Roman" w:hAnsi="Times New Roman" w:cs="Times New Roman"/>
                <w:b/>
                <w:color w:val="000000"/>
                <w:spacing w:val="-4"/>
                <w:lang w:val="en-US"/>
              </w:rPr>
              <w:t>Frequency range</w:t>
            </w:r>
          </w:p>
        </w:tc>
        <w:tc>
          <w:tcPr>
            <w:tcW w:w="1403" w:type="pct"/>
            <w:tcBorders>
              <w:top w:val="nil"/>
              <w:left w:val="nil"/>
              <w:bottom w:val="single" w:sz="12" w:space="0" w:color="auto"/>
              <w:right w:val="nil"/>
            </w:tcBorders>
          </w:tcPr>
          <w:p w:rsidR="00033CED" w:rsidRPr="001810F1" w:rsidRDefault="00033CED" w:rsidP="006B4843">
            <w:pPr>
              <w:rPr>
                <w:rFonts w:ascii="Times New Roman" w:eastAsia="Times New Roman" w:hAnsi="Times New Roman" w:cs="Times New Roman"/>
                <w:b/>
                <w:color w:val="000000"/>
                <w:spacing w:val="-4"/>
                <w:lang w:val="en-US"/>
              </w:rPr>
            </w:pPr>
            <w:r w:rsidRPr="001810F1">
              <w:rPr>
                <w:rFonts w:ascii="Times New Roman" w:eastAsia="Times New Roman" w:hAnsi="Times New Roman" w:cs="Times New Roman"/>
                <w:b/>
                <w:color w:val="000000"/>
                <w:spacing w:val="-4"/>
                <w:lang w:val="en-US"/>
              </w:rPr>
              <w:t>Expiry date</w:t>
            </w:r>
          </w:p>
        </w:tc>
      </w:tr>
      <w:tr w:rsidR="00033CED" w:rsidRPr="001810F1" w:rsidTr="006B4843">
        <w:trPr>
          <w:trHeight w:val="292"/>
        </w:trPr>
        <w:tc>
          <w:tcPr>
            <w:tcW w:w="306" w:type="pct"/>
            <w:tcBorders>
              <w:top w:val="single" w:sz="12" w:space="0" w:color="auto"/>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1</w:t>
            </w:r>
          </w:p>
        </w:tc>
        <w:tc>
          <w:tcPr>
            <w:tcW w:w="884" w:type="pct"/>
            <w:tcBorders>
              <w:top w:val="single" w:sz="12" w:space="0" w:color="auto"/>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700 MHz</w:t>
            </w:r>
          </w:p>
        </w:tc>
        <w:tc>
          <w:tcPr>
            <w:tcW w:w="2407" w:type="pct"/>
            <w:tcBorders>
              <w:top w:val="single" w:sz="12" w:space="0" w:color="auto"/>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8D213D">
              <w:rPr>
                <w:rFonts w:ascii="Times New Roman" w:eastAsia="Times New Roman" w:hAnsi="Times New Roman" w:cs="Times New Roman"/>
                <w:color w:val="000000"/>
                <w:spacing w:val="-4"/>
                <w:lang w:val="en-US"/>
              </w:rPr>
              <w:t>703–748 MHz / 758–803 </w:t>
            </w:r>
            <w:r w:rsidRPr="00A30FB8">
              <w:rPr>
                <w:rFonts w:ascii="Times New Roman" w:eastAsia="Times New Roman" w:hAnsi="Times New Roman" w:cs="Times New Roman"/>
                <w:color w:val="000000"/>
                <w:spacing w:val="-4"/>
                <w:lang w:val="en-US"/>
              </w:rPr>
              <w:t>MHz</w:t>
            </w:r>
          </w:p>
        </w:tc>
        <w:tc>
          <w:tcPr>
            <w:tcW w:w="1403" w:type="pct"/>
            <w:tcBorders>
              <w:top w:val="single" w:sz="12" w:space="0" w:color="auto"/>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31 December 2029</w:t>
            </w:r>
          </w:p>
        </w:tc>
      </w:tr>
      <w:tr w:rsidR="00033CED" w:rsidRPr="001810F1" w:rsidTr="006B4843">
        <w:trPr>
          <w:trHeight w:val="280"/>
        </w:trPr>
        <w:tc>
          <w:tcPr>
            <w:tcW w:w="306"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2</w:t>
            </w:r>
          </w:p>
        </w:tc>
        <w:tc>
          <w:tcPr>
            <w:tcW w:w="884"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850 MHz</w:t>
            </w:r>
          </w:p>
        </w:tc>
        <w:tc>
          <w:tcPr>
            <w:tcW w:w="2407"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8D213D">
              <w:rPr>
                <w:rFonts w:ascii="Times New Roman" w:eastAsia="Times New Roman" w:hAnsi="Times New Roman" w:cs="Times New Roman"/>
                <w:color w:val="000000"/>
                <w:spacing w:val="-4"/>
                <w:lang w:val="en-US"/>
              </w:rPr>
              <w:t>824–845 MHz / 869–890 </w:t>
            </w:r>
            <w:r w:rsidRPr="00A30FB8">
              <w:rPr>
                <w:rFonts w:ascii="Times New Roman" w:eastAsia="Times New Roman" w:hAnsi="Times New Roman" w:cs="Times New Roman"/>
                <w:color w:val="000000"/>
                <w:spacing w:val="-4"/>
                <w:lang w:val="en-US"/>
              </w:rPr>
              <w:t>MHz</w:t>
            </w:r>
          </w:p>
        </w:tc>
        <w:tc>
          <w:tcPr>
            <w:tcW w:w="1403"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17 June 2028</w:t>
            </w:r>
          </w:p>
        </w:tc>
      </w:tr>
      <w:tr w:rsidR="00033CED" w:rsidRPr="001810F1" w:rsidTr="006B4843">
        <w:trPr>
          <w:trHeight w:val="225"/>
        </w:trPr>
        <w:tc>
          <w:tcPr>
            <w:tcW w:w="306"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3</w:t>
            </w:r>
          </w:p>
        </w:tc>
        <w:tc>
          <w:tcPr>
            <w:tcW w:w="884"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1800 MHz</w:t>
            </w:r>
          </w:p>
        </w:tc>
        <w:tc>
          <w:tcPr>
            <w:tcW w:w="2407"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8D213D">
              <w:rPr>
                <w:rFonts w:ascii="Times New Roman" w:eastAsia="Times New Roman" w:hAnsi="Times New Roman" w:cs="Times New Roman"/>
                <w:color w:val="000000"/>
                <w:spacing w:val="-4"/>
                <w:lang w:val="en-US"/>
              </w:rPr>
              <w:t>1710–1785 MHz / 1805–1880 </w:t>
            </w:r>
            <w:r w:rsidRPr="00A30FB8">
              <w:rPr>
                <w:rFonts w:ascii="Times New Roman" w:eastAsia="Times New Roman" w:hAnsi="Times New Roman" w:cs="Times New Roman"/>
                <w:color w:val="000000"/>
                <w:spacing w:val="-4"/>
                <w:lang w:val="en-US"/>
              </w:rPr>
              <w:t>MHz</w:t>
            </w:r>
            <w:r>
              <w:rPr>
                <w:rFonts w:ascii="Times New Roman" w:eastAsia="Times New Roman" w:hAnsi="Times New Roman" w:cs="Times New Roman"/>
                <w:color w:val="000000"/>
                <w:spacing w:val="-4"/>
                <w:lang w:val="en-US"/>
              </w:rPr>
              <w:t>*</w:t>
            </w:r>
          </w:p>
        </w:tc>
        <w:tc>
          <w:tcPr>
            <w:tcW w:w="1403"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17 June 2028</w:t>
            </w:r>
          </w:p>
        </w:tc>
      </w:tr>
      <w:tr w:rsidR="00033CED" w:rsidRPr="001810F1" w:rsidTr="006B4843">
        <w:trPr>
          <w:trHeight w:val="243"/>
        </w:trPr>
        <w:tc>
          <w:tcPr>
            <w:tcW w:w="306"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4</w:t>
            </w:r>
          </w:p>
        </w:tc>
        <w:tc>
          <w:tcPr>
            <w:tcW w:w="884"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2 GHz</w:t>
            </w:r>
          </w:p>
        </w:tc>
        <w:tc>
          <w:tcPr>
            <w:tcW w:w="2407"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8D213D">
              <w:rPr>
                <w:rFonts w:ascii="Times New Roman" w:eastAsia="Times New Roman" w:hAnsi="Times New Roman" w:cs="Times New Roman"/>
                <w:color w:val="000000"/>
                <w:spacing w:val="-4"/>
                <w:lang w:val="en-US"/>
              </w:rPr>
              <w:t>1920–1980 MHz / 2110–2170 </w:t>
            </w:r>
            <w:r w:rsidRPr="00A30FB8">
              <w:rPr>
                <w:rFonts w:ascii="Times New Roman" w:eastAsia="Times New Roman" w:hAnsi="Times New Roman" w:cs="Times New Roman"/>
                <w:color w:val="000000"/>
                <w:spacing w:val="-4"/>
                <w:lang w:val="en-US"/>
              </w:rPr>
              <w:t>MHz</w:t>
            </w:r>
          </w:p>
        </w:tc>
        <w:tc>
          <w:tcPr>
            <w:tcW w:w="1403"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11 October 2032</w:t>
            </w:r>
          </w:p>
        </w:tc>
      </w:tr>
      <w:tr w:rsidR="00033CED" w:rsidRPr="001810F1" w:rsidTr="006B4843">
        <w:trPr>
          <w:trHeight w:val="292"/>
        </w:trPr>
        <w:tc>
          <w:tcPr>
            <w:tcW w:w="306"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6</w:t>
            </w:r>
          </w:p>
        </w:tc>
        <w:tc>
          <w:tcPr>
            <w:tcW w:w="884"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2.3 GHz</w:t>
            </w:r>
          </w:p>
        </w:tc>
        <w:tc>
          <w:tcPr>
            <w:tcW w:w="2407" w:type="pct"/>
            <w:tcBorders>
              <w:left w:val="nil"/>
              <w:right w:val="nil"/>
            </w:tcBorders>
          </w:tcPr>
          <w:p w:rsidR="00033CED" w:rsidRPr="008D213D" w:rsidRDefault="00033CED" w:rsidP="006B4843">
            <w:pPr>
              <w:rPr>
                <w:rFonts w:ascii="Times New Roman" w:eastAsia="Times New Roman" w:hAnsi="Times New Roman" w:cs="Times New Roman"/>
                <w:color w:val="000000"/>
                <w:spacing w:val="-4"/>
                <w:lang w:val="en-US"/>
              </w:rPr>
            </w:pPr>
            <w:r w:rsidRPr="008D213D">
              <w:rPr>
                <w:rFonts w:ascii="Times New Roman" w:eastAsia="Times New Roman" w:hAnsi="Times New Roman" w:cs="Times New Roman"/>
                <w:color w:val="000000"/>
                <w:spacing w:val="-4"/>
                <w:lang w:val="en-US"/>
              </w:rPr>
              <w:t xml:space="preserve">2302–2400 MHz </w:t>
            </w:r>
          </w:p>
        </w:tc>
        <w:tc>
          <w:tcPr>
            <w:tcW w:w="1403"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24 July 2030</w:t>
            </w:r>
          </w:p>
        </w:tc>
      </w:tr>
      <w:tr w:rsidR="00033CED" w:rsidRPr="001810F1" w:rsidTr="006B4843">
        <w:trPr>
          <w:trHeight w:val="237"/>
        </w:trPr>
        <w:tc>
          <w:tcPr>
            <w:tcW w:w="306"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7</w:t>
            </w:r>
          </w:p>
        </w:tc>
        <w:tc>
          <w:tcPr>
            <w:tcW w:w="884"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2.5 GHz</w:t>
            </w:r>
          </w:p>
        </w:tc>
        <w:tc>
          <w:tcPr>
            <w:tcW w:w="2407"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8D213D">
              <w:rPr>
                <w:rFonts w:ascii="Times New Roman" w:eastAsia="Times New Roman" w:hAnsi="Times New Roman" w:cs="Times New Roman"/>
                <w:color w:val="000000"/>
                <w:spacing w:val="-4"/>
                <w:lang w:val="en-US"/>
              </w:rPr>
              <w:t>2500–2570 MHz / 2620–2690 </w:t>
            </w:r>
            <w:r w:rsidRPr="00A30FB8">
              <w:rPr>
                <w:rFonts w:ascii="Times New Roman" w:eastAsia="Times New Roman" w:hAnsi="Times New Roman" w:cs="Times New Roman"/>
                <w:color w:val="000000"/>
                <w:spacing w:val="-4"/>
                <w:lang w:val="en-US"/>
              </w:rPr>
              <w:t>MHz</w:t>
            </w:r>
          </w:p>
        </w:tc>
        <w:tc>
          <w:tcPr>
            <w:tcW w:w="1403" w:type="pct"/>
            <w:tcBorders>
              <w:left w:val="nil"/>
              <w:right w:val="nil"/>
            </w:tcBorders>
          </w:tcPr>
          <w:p w:rsidR="00033CED" w:rsidRPr="001810F1" w:rsidRDefault="00033CED" w:rsidP="006B4843">
            <w:pPr>
              <w:rPr>
                <w:rFonts w:ascii="Times New Roman" w:eastAsia="Times New Roman" w:hAnsi="Times New Roman" w:cs="Times New Roman"/>
                <w:color w:val="000000"/>
                <w:spacing w:val="-4"/>
                <w:lang w:val="en-US"/>
              </w:rPr>
            </w:pPr>
            <w:r w:rsidRPr="001810F1">
              <w:rPr>
                <w:rFonts w:ascii="Times New Roman" w:eastAsia="Times New Roman" w:hAnsi="Times New Roman" w:cs="Times New Roman"/>
                <w:color w:val="000000"/>
                <w:spacing w:val="-4"/>
                <w:lang w:val="en-US"/>
              </w:rPr>
              <w:t>30 September 2029</w:t>
            </w:r>
          </w:p>
        </w:tc>
      </w:tr>
      <w:tr w:rsidR="00033CED" w:rsidRPr="00FF72CB" w:rsidTr="006B4843">
        <w:trPr>
          <w:trHeight w:val="280"/>
        </w:trPr>
        <w:tc>
          <w:tcPr>
            <w:tcW w:w="306" w:type="pct"/>
            <w:tcBorders>
              <w:left w:val="nil"/>
              <w:right w:val="nil"/>
            </w:tcBorders>
          </w:tcPr>
          <w:p w:rsidR="00033CED" w:rsidRPr="00FF72CB" w:rsidRDefault="00033CED" w:rsidP="006B4843">
            <w:pPr>
              <w:rPr>
                <w:rFonts w:ascii="Times New Roman" w:eastAsia="Times New Roman" w:hAnsi="Times New Roman" w:cs="Times New Roman"/>
                <w:color w:val="000000" w:themeColor="text1"/>
                <w:spacing w:val="-4"/>
                <w:lang w:val="en-US"/>
              </w:rPr>
            </w:pPr>
            <w:r w:rsidRPr="00FF72CB">
              <w:rPr>
                <w:rFonts w:ascii="Times New Roman" w:eastAsia="Times New Roman" w:hAnsi="Times New Roman" w:cs="Times New Roman"/>
                <w:color w:val="000000" w:themeColor="text1"/>
                <w:spacing w:val="-4"/>
                <w:lang w:val="en-US"/>
              </w:rPr>
              <w:t>8</w:t>
            </w:r>
          </w:p>
        </w:tc>
        <w:tc>
          <w:tcPr>
            <w:tcW w:w="884" w:type="pct"/>
            <w:tcBorders>
              <w:left w:val="nil"/>
              <w:right w:val="nil"/>
            </w:tcBorders>
          </w:tcPr>
          <w:p w:rsidR="00033CED" w:rsidRPr="00FF72CB" w:rsidRDefault="00033CED" w:rsidP="006B4843">
            <w:pPr>
              <w:rPr>
                <w:rFonts w:ascii="Times New Roman" w:eastAsia="Times New Roman" w:hAnsi="Times New Roman" w:cs="Times New Roman"/>
                <w:color w:val="000000" w:themeColor="text1"/>
                <w:spacing w:val="-4"/>
                <w:lang w:val="en-US"/>
              </w:rPr>
            </w:pPr>
            <w:r w:rsidRPr="00FF72CB">
              <w:rPr>
                <w:rFonts w:ascii="Times New Roman" w:eastAsia="Times New Roman" w:hAnsi="Times New Roman" w:cs="Times New Roman"/>
                <w:color w:val="000000" w:themeColor="text1"/>
                <w:spacing w:val="-4"/>
                <w:lang w:val="en-US"/>
              </w:rPr>
              <w:t>3.4 GHz</w:t>
            </w:r>
          </w:p>
        </w:tc>
        <w:tc>
          <w:tcPr>
            <w:tcW w:w="2407" w:type="pct"/>
            <w:tcBorders>
              <w:left w:val="nil"/>
              <w:right w:val="nil"/>
            </w:tcBorders>
          </w:tcPr>
          <w:p w:rsidR="00033CED" w:rsidRPr="00FF72CB" w:rsidRDefault="00033CED" w:rsidP="006B4843">
            <w:pPr>
              <w:rPr>
                <w:rFonts w:ascii="Times New Roman" w:eastAsia="Times New Roman" w:hAnsi="Times New Roman" w:cs="Times New Roman"/>
                <w:color w:val="000000" w:themeColor="text1"/>
                <w:spacing w:val="-4"/>
                <w:lang w:val="en-US"/>
              </w:rPr>
            </w:pPr>
            <w:r w:rsidRPr="00FF72CB">
              <w:rPr>
                <w:rFonts w:ascii="Times New Roman" w:eastAsia="Times New Roman" w:hAnsi="Times New Roman" w:cs="Times New Roman"/>
                <w:color w:val="000000" w:themeColor="text1"/>
                <w:spacing w:val="-4"/>
                <w:lang w:val="en-US"/>
              </w:rPr>
              <w:t>3400–3700 MHz</w:t>
            </w:r>
          </w:p>
        </w:tc>
        <w:tc>
          <w:tcPr>
            <w:tcW w:w="1403" w:type="pct"/>
            <w:tcBorders>
              <w:left w:val="nil"/>
              <w:right w:val="nil"/>
            </w:tcBorders>
          </w:tcPr>
          <w:p w:rsidR="00033CED" w:rsidRPr="00FF72CB" w:rsidRDefault="00033CED" w:rsidP="006B4843">
            <w:pPr>
              <w:rPr>
                <w:rFonts w:ascii="Times New Roman" w:eastAsia="Times New Roman" w:hAnsi="Times New Roman" w:cs="Times New Roman"/>
                <w:color w:val="000000" w:themeColor="text1"/>
                <w:spacing w:val="-4"/>
                <w:lang w:val="en-US"/>
              </w:rPr>
            </w:pPr>
            <w:r w:rsidRPr="00FF72CB">
              <w:rPr>
                <w:rFonts w:ascii="Times New Roman" w:eastAsia="Times New Roman" w:hAnsi="Times New Roman" w:cs="Times New Roman"/>
                <w:color w:val="000000" w:themeColor="text1"/>
                <w:spacing w:val="-4"/>
                <w:lang w:val="en-US"/>
              </w:rPr>
              <w:t>13 December 2030</w:t>
            </w:r>
          </w:p>
        </w:tc>
      </w:tr>
    </w:tbl>
    <w:p w:rsidR="00033CED" w:rsidRPr="00FF72CB" w:rsidRDefault="00033CED" w:rsidP="00033CED">
      <w:pPr>
        <w:keepLines/>
        <w:rPr>
          <w:rFonts w:ascii="Times New Roman" w:eastAsia="Times New Roman" w:hAnsi="Times New Roman" w:cs="Times New Roman"/>
          <w:color w:val="000000" w:themeColor="text1"/>
          <w:spacing w:val="-4"/>
          <w:sz w:val="20"/>
          <w:szCs w:val="20"/>
          <w:lang w:val="en-US"/>
        </w:rPr>
      </w:pPr>
      <w:bookmarkStart w:id="15" w:name="_Hlk159864288"/>
      <w:r w:rsidRPr="00FF72CB">
        <w:rPr>
          <w:rFonts w:ascii="Times New Roman" w:eastAsia="Times New Roman" w:hAnsi="Times New Roman" w:cs="Times New Roman"/>
          <w:color w:val="000000" w:themeColor="text1"/>
          <w:spacing w:val="-4"/>
          <w:sz w:val="20"/>
          <w:szCs w:val="20"/>
          <w:lang w:val="en-US"/>
        </w:rPr>
        <w:t xml:space="preserve">* This table is intended to cover all </w:t>
      </w:r>
      <w:proofErr w:type="spellStart"/>
      <w:r w:rsidRPr="00FF72CB">
        <w:rPr>
          <w:rFonts w:ascii="Times New Roman" w:eastAsia="Times New Roman" w:hAnsi="Times New Roman" w:cs="Times New Roman"/>
          <w:color w:val="000000" w:themeColor="text1"/>
          <w:spacing w:val="-4"/>
          <w:sz w:val="20"/>
          <w:szCs w:val="20"/>
          <w:lang w:val="en-US"/>
        </w:rPr>
        <w:t>licences</w:t>
      </w:r>
      <w:proofErr w:type="spellEnd"/>
      <w:r w:rsidRPr="00FF72CB">
        <w:rPr>
          <w:rFonts w:ascii="Times New Roman" w:eastAsia="Times New Roman" w:hAnsi="Times New Roman" w:cs="Times New Roman"/>
          <w:color w:val="000000" w:themeColor="text1"/>
          <w:spacing w:val="-4"/>
          <w:sz w:val="20"/>
          <w:szCs w:val="20"/>
          <w:lang w:val="en-US"/>
        </w:rPr>
        <w:t xml:space="preserve"> </w:t>
      </w:r>
      <w:r>
        <w:rPr>
          <w:rFonts w:ascii="Times New Roman" w:eastAsia="Times New Roman" w:hAnsi="Times New Roman" w:cs="Times New Roman"/>
          <w:color w:val="000000" w:themeColor="text1"/>
          <w:spacing w:val="-4"/>
          <w:sz w:val="20"/>
          <w:szCs w:val="20"/>
          <w:lang w:val="en-US"/>
        </w:rPr>
        <w:t xml:space="preserve">in the frequency ranges set out above which </w:t>
      </w:r>
      <w:r w:rsidRPr="00FF72CB">
        <w:rPr>
          <w:rFonts w:ascii="Times New Roman" w:eastAsia="Times New Roman" w:hAnsi="Times New Roman" w:cs="Times New Roman"/>
          <w:color w:val="000000" w:themeColor="text1"/>
          <w:spacing w:val="-4"/>
          <w:sz w:val="20"/>
          <w:szCs w:val="20"/>
          <w:lang w:val="en-US"/>
        </w:rPr>
        <w:t>expir</w:t>
      </w:r>
      <w:r>
        <w:rPr>
          <w:rFonts w:ascii="Times New Roman" w:eastAsia="Times New Roman" w:hAnsi="Times New Roman" w:cs="Times New Roman"/>
          <w:color w:val="000000" w:themeColor="text1"/>
          <w:spacing w:val="-4"/>
          <w:sz w:val="20"/>
          <w:szCs w:val="20"/>
          <w:lang w:val="en-US"/>
        </w:rPr>
        <w:t>e</w:t>
      </w:r>
      <w:r w:rsidRPr="00FF72CB">
        <w:rPr>
          <w:rFonts w:ascii="Times New Roman" w:eastAsia="Times New Roman" w:hAnsi="Times New Roman" w:cs="Times New Roman"/>
          <w:color w:val="000000" w:themeColor="text1"/>
          <w:spacing w:val="-4"/>
          <w:sz w:val="20"/>
          <w:szCs w:val="20"/>
          <w:lang w:val="en-US"/>
        </w:rPr>
        <w:t xml:space="preserve"> on the relevant expiry date, with the exception of </w:t>
      </w:r>
      <w:proofErr w:type="spellStart"/>
      <w:r w:rsidRPr="00FF72CB">
        <w:rPr>
          <w:rFonts w:ascii="Times New Roman" w:eastAsia="Times New Roman" w:hAnsi="Times New Roman" w:cs="Times New Roman"/>
          <w:color w:val="000000" w:themeColor="text1"/>
          <w:spacing w:val="-4"/>
          <w:sz w:val="20"/>
          <w:szCs w:val="20"/>
          <w:lang w:val="en-US"/>
        </w:rPr>
        <w:t>licences</w:t>
      </w:r>
      <w:proofErr w:type="spellEnd"/>
      <w:r w:rsidRPr="00FF72CB">
        <w:rPr>
          <w:rFonts w:ascii="Times New Roman" w:eastAsia="Times New Roman" w:hAnsi="Times New Roman" w:cs="Times New Roman"/>
          <w:color w:val="000000" w:themeColor="text1"/>
          <w:spacing w:val="-4"/>
          <w:sz w:val="20"/>
          <w:szCs w:val="20"/>
          <w:lang w:val="en-US"/>
        </w:rPr>
        <w:t xml:space="preserve"> in the 1800 MHz band held by metropolitan rail operators, typically in the 1770</w:t>
      </w:r>
      <w:r w:rsidRPr="00FF72CB">
        <w:rPr>
          <w:rFonts w:ascii="Times New Roman" w:eastAsia="Times New Roman" w:hAnsi="Times New Roman" w:cs="Times New Roman"/>
          <w:color w:val="000000" w:themeColor="text1"/>
          <w:spacing w:val="-4"/>
          <w:sz w:val="20"/>
          <w:szCs w:val="20"/>
          <w:lang w:val="en-US"/>
        </w:rPr>
        <w:noBreakHyphen/>
        <w:t>1785 MHz / 1865-1880 MHz range.</w:t>
      </w:r>
    </w:p>
    <w:p w:rsidR="00033CED" w:rsidRPr="00AD0550" w:rsidRDefault="00033CED" w:rsidP="00033CED">
      <w:pPr>
        <w:keepNext/>
        <w:keepLines/>
        <w:rPr>
          <w:rFonts w:ascii="Times New Roman" w:eastAsia="Times New Roman" w:hAnsi="Times New Roman" w:cs="Times New Roman"/>
          <w:i/>
          <w:color w:val="000000"/>
          <w:spacing w:val="-4"/>
          <w:lang w:val="en-US"/>
        </w:rPr>
      </w:pPr>
      <w:r w:rsidRPr="00AD0550">
        <w:rPr>
          <w:rFonts w:ascii="Times New Roman" w:eastAsia="Times New Roman" w:hAnsi="Times New Roman" w:cs="Times New Roman"/>
          <w:i/>
          <w:color w:val="000000"/>
          <w:spacing w:val="-4"/>
          <w:lang w:val="en-US"/>
        </w:rPr>
        <w:lastRenderedPageBreak/>
        <w:t>Policy context</w:t>
      </w:r>
    </w:p>
    <w:p w:rsidR="00033CED" w:rsidRPr="001810F1" w:rsidRDefault="00033CED" w:rsidP="00033CED">
      <w:pPr>
        <w:keepLines/>
        <w:rPr>
          <w:rFonts w:ascii="Times New Roman" w:eastAsia="Times New Roman" w:hAnsi="Times New Roman" w:cs="Times New Roman"/>
          <w:kern w:val="28"/>
          <w:lang w:eastAsia="en-AU"/>
        </w:rPr>
      </w:pPr>
      <w:bookmarkStart w:id="16" w:name="_Hlk145662064"/>
      <w:bookmarkEnd w:id="15"/>
      <w:r w:rsidRPr="001810F1">
        <w:rPr>
          <w:rFonts w:ascii="Times New Roman" w:eastAsia="Times New Roman" w:hAnsi="Times New Roman" w:cs="Times New Roman"/>
          <w:kern w:val="28"/>
          <w:lang w:eastAsia="en-AU"/>
        </w:rPr>
        <w:t>The</w:t>
      </w:r>
      <w:r>
        <w:rPr>
          <w:rFonts w:ascii="Times New Roman" w:eastAsia="Times New Roman" w:hAnsi="Times New Roman" w:cs="Times New Roman"/>
          <w:kern w:val="28"/>
          <w:lang w:eastAsia="en-AU"/>
        </w:rPr>
        <w:t xml:space="preserve"> </w:t>
      </w:r>
      <w:r w:rsidRPr="001810F1">
        <w:rPr>
          <w:rFonts w:ascii="Times New Roman" w:eastAsia="Times New Roman" w:hAnsi="Times New Roman" w:cs="Times New Roman"/>
          <w:kern w:val="28"/>
          <w:lang w:eastAsia="en-AU"/>
        </w:rPr>
        <w:t>expiring spectrum licences process</w:t>
      </w:r>
      <w:r>
        <w:rPr>
          <w:rFonts w:ascii="Times New Roman" w:eastAsia="Times New Roman" w:hAnsi="Times New Roman" w:cs="Times New Roman"/>
          <w:kern w:val="28"/>
          <w:lang w:eastAsia="en-AU"/>
        </w:rPr>
        <w:t xml:space="preserve"> is </w:t>
      </w:r>
      <w:r w:rsidRPr="001810F1">
        <w:rPr>
          <w:rFonts w:ascii="Times New Roman" w:eastAsia="Times New Roman" w:hAnsi="Times New Roman" w:cs="Times New Roman"/>
          <w:kern w:val="28"/>
          <w:lang w:eastAsia="en-AU"/>
        </w:rPr>
        <w:t xml:space="preserve">principally concerned with promoting the long-term </w:t>
      </w:r>
      <w:r>
        <w:rPr>
          <w:rFonts w:ascii="Times New Roman" w:eastAsia="Times New Roman" w:hAnsi="Times New Roman" w:cs="Times New Roman"/>
          <w:kern w:val="28"/>
          <w:lang w:eastAsia="en-AU"/>
        </w:rPr>
        <w:t xml:space="preserve">public </w:t>
      </w:r>
      <w:r w:rsidRPr="001810F1">
        <w:rPr>
          <w:rFonts w:ascii="Times New Roman" w:eastAsia="Times New Roman" w:hAnsi="Times New Roman" w:cs="Times New Roman"/>
          <w:kern w:val="28"/>
          <w:lang w:eastAsia="en-AU"/>
        </w:rPr>
        <w:t>interest derived from use of spectrum, and</w:t>
      </w:r>
      <w:r>
        <w:rPr>
          <w:rFonts w:ascii="Times New Roman" w:eastAsia="Times New Roman" w:hAnsi="Times New Roman" w:cs="Times New Roman"/>
          <w:kern w:val="28"/>
          <w:lang w:eastAsia="en-AU"/>
        </w:rPr>
        <w:t xml:space="preserve"> </w:t>
      </w:r>
      <w:r w:rsidRPr="001810F1">
        <w:rPr>
          <w:rFonts w:ascii="Times New Roman" w:eastAsia="Times New Roman" w:hAnsi="Times New Roman" w:cs="Times New Roman"/>
          <w:kern w:val="28"/>
          <w:lang w:eastAsia="en-AU"/>
        </w:rPr>
        <w:t>how</w:t>
      </w:r>
      <w:r>
        <w:rPr>
          <w:rFonts w:ascii="Times New Roman" w:eastAsia="Times New Roman" w:hAnsi="Times New Roman" w:cs="Times New Roman"/>
          <w:kern w:val="28"/>
          <w:lang w:eastAsia="en-AU"/>
        </w:rPr>
        <w:t xml:space="preserve"> that </w:t>
      </w:r>
      <w:r w:rsidRPr="001810F1">
        <w:rPr>
          <w:rFonts w:ascii="Times New Roman" w:eastAsia="Times New Roman" w:hAnsi="Times New Roman" w:cs="Times New Roman"/>
          <w:kern w:val="28"/>
          <w:lang w:eastAsia="en-AU"/>
        </w:rPr>
        <w:t>interest can</w:t>
      </w:r>
      <w:r>
        <w:rPr>
          <w:rFonts w:ascii="Times New Roman" w:eastAsia="Times New Roman" w:hAnsi="Times New Roman" w:cs="Times New Roman"/>
          <w:kern w:val="28"/>
          <w:lang w:eastAsia="en-AU"/>
        </w:rPr>
        <w:t xml:space="preserve"> be </w:t>
      </w:r>
      <w:r w:rsidRPr="001810F1">
        <w:rPr>
          <w:rFonts w:ascii="Times New Roman" w:eastAsia="Times New Roman" w:hAnsi="Times New Roman" w:cs="Times New Roman"/>
          <w:kern w:val="28"/>
          <w:lang w:eastAsia="en-AU"/>
        </w:rPr>
        <w:t>realised through decisions made in relation to the licenses specified in Table 1 above, and</w:t>
      </w:r>
      <w:r>
        <w:rPr>
          <w:rFonts w:ascii="Times New Roman" w:eastAsia="Times New Roman" w:hAnsi="Times New Roman" w:cs="Times New Roman"/>
          <w:kern w:val="28"/>
          <w:lang w:eastAsia="en-AU"/>
        </w:rPr>
        <w:t xml:space="preserve"> the spectrum to </w:t>
      </w:r>
      <w:r w:rsidRPr="001810F1">
        <w:rPr>
          <w:rFonts w:ascii="Times New Roman" w:eastAsia="Times New Roman" w:hAnsi="Times New Roman" w:cs="Times New Roman"/>
          <w:kern w:val="28"/>
          <w:lang w:eastAsia="en-AU"/>
        </w:rPr>
        <w:t xml:space="preserve">which they relate. </w:t>
      </w:r>
    </w:p>
    <w:p w:rsidR="00033CED" w:rsidRDefault="00033CED" w:rsidP="00033CED">
      <w:pPr>
        <w:keepLines/>
        <w:rPr>
          <w:rFonts w:ascii="Times New Roman" w:eastAsia="Times New Roman" w:hAnsi="Times New Roman" w:cs="Times New Roman"/>
          <w:kern w:val="28"/>
          <w:lang w:eastAsia="en-AU"/>
        </w:rPr>
      </w:pPr>
      <w:r>
        <w:rPr>
          <w:rFonts w:ascii="Times New Roman" w:eastAsia="Times New Roman" w:hAnsi="Times New Roman" w:cs="Times New Roman"/>
          <w:kern w:val="28"/>
          <w:lang w:eastAsia="en-AU"/>
        </w:rPr>
        <w:t xml:space="preserve">The Government recognises the importance of the spectrum covered by the expiring spectrum licences held in Table 1, as well as the long timeframes required for licensees, or prospective licensees, to plan and deploy services in these frequencies. The ACMA should, where practical, continue to provide timely and transparent information to stakeholders about its views on the expiring spectrum licences and associated spectrum, to support those stakeholders to make informed planning decisions. </w:t>
      </w:r>
    </w:p>
    <w:p w:rsidR="00033CED" w:rsidRPr="008D213D" w:rsidRDefault="00033CED" w:rsidP="00033CED">
      <w:pPr>
        <w:keepLines/>
        <w:rPr>
          <w:rFonts w:ascii="Times New Roman" w:hAnsi="Times New Roman" w:cs="Times New Roman"/>
        </w:rPr>
      </w:pPr>
      <w:r w:rsidRPr="001810F1">
        <w:rPr>
          <w:rFonts w:ascii="Times New Roman" w:hAnsi="Times New Roman" w:cs="Times New Roman"/>
        </w:rPr>
        <w:t xml:space="preserve">The Government recognises that the ACMA will need to carefully consider how to balance the policy objectives in this Ministerial policy statement. The order that the policy objectives are listed in this Ministerial policy statement do not denote an order of precedence. </w:t>
      </w:r>
      <w:r>
        <w:rPr>
          <w:rFonts w:ascii="Times New Roman" w:hAnsi="Times New Roman" w:cs="Times New Roman"/>
        </w:rPr>
        <w:t xml:space="preserve">However, in delivering its decisions, views or positions, the ACMA should endeavour to explain how it took into consideration the different policy objectives as well as any other relevant considerations. </w:t>
      </w:r>
      <w:r w:rsidRPr="001810F1">
        <w:rPr>
          <w:rFonts w:ascii="Times New Roman" w:hAnsi="Times New Roman" w:cs="Times New Roman"/>
        </w:rPr>
        <w:t xml:space="preserve">In some circumstances certain objectives may have greater relevance to particular expiring licences, use of the spectrum, or </w:t>
      </w:r>
      <w:r>
        <w:rPr>
          <w:rFonts w:ascii="Times New Roman" w:hAnsi="Times New Roman" w:cs="Times New Roman"/>
        </w:rPr>
        <w:t xml:space="preserve">a </w:t>
      </w:r>
      <w:r w:rsidRPr="001810F1">
        <w:rPr>
          <w:rFonts w:ascii="Times New Roman" w:hAnsi="Times New Roman" w:cs="Times New Roman"/>
        </w:rPr>
        <w:t xml:space="preserve">specific use case, than other objectives. The ACMA should consider how the objectives can apply to different options for the expiring spectrum licences themselves, and for the underlying spectrum, and </w:t>
      </w:r>
      <w:r w:rsidRPr="008D213D">
        <w:rPr>
          <w:rFonts w:ascii="Times New Roman" w:hAnsi="Times New Roman" w:cs="Times New Roman"/>
        </w:rPr>
        <w:t>how to manage any competing policy priorities.</w:t>
      </w:r>
    </w:p>
    <w:p w:rsidR="00033CED" w:rsidRPr="001810F1" w:rsidRDefault="00033CED" w:rsidP="00033CED">
      <w:pPr>
        <w:keepLines/>
        <w:rPr>
          <w:rFonts w:ascii="Times New Roman" w:hAnsi="Times New Roman" w:cs="Times New Roman"/>
        </w:rPr>
      </w:pPr>
      <w:r w:rsidRPr="008D213D">
        <w:rPr>
          <w:rFonts w:ascii="Times New Roman" w:eastAsia="Times New Roman" w:hAnsi="Times New Roman" w:cs="Times New Roman"/>
          <w:kern w:val="28"/>
          <w:lang w:eastAsia="en-AU"/>
        </w:rPr>
        <w:t xml:space="preserve">Where appropriate, in undertaking the expiring spectrum licence process and forming its views on the future use of the spectrum covered by the licences specified </w:t>
      </w:r>
      <w:r>
        <w:rPr>
          <w:rFonts w:ascii="Times New Roman" w:eastAsia="Times New Roman" w:hAnsi="Times New Roman" w:cs="Times New Roman"/>
          <w:kern w:val="28"/>
          <w:lang w:eastAsia="en-AU"/>
        </w:rPr>
        <w:t>in Table 1</w:t>
      </w:r>
      <w:r w:rsidRPr="008D213D">
        <w:rPr>
          <w:rFonts w:ascii="Times New Roman" w:eastAsia="Times New Roman" w:hAnsi="Times New Roman" w:cs="Times New Roman"/>
          <w:kern w:val="28"/>
          <w:lang w:eastAsia="en-AU"/>
        </w:rPr>
        <w:t>, the ACMA will need to consider the broader communications environment within which these licences exist. This could include consideration of existing spectrum holdings which ar</w:t>
      </w:r>
      <w:r w:rsidRPr="001810F1">
        <w:rPr>
          <w:rFonts w:ascii="Times New Roman" w:eastAsia="Times New Roman" w:hAnsi="Times New Roman" w:cs="Times New Roman"/>
          <w:kern w:val="28"/>
          <w:lang w:eastAsia="en-AU"/>
        </w:rPr>
        <w:t>e otherwise outside the scope of the expiring spectrum licences process.</w:t>
      </w:r>
    </w:p>
    <w:p w:rsidR="00033CED" w:rsidRPr="001810F1" w:rsidRDefault="00033CED" w:rsidP="00033CED">
      <w:pPr>
        <w:keepLines/>
        <w:rPr>
          <w:rFonts w:ascii="Times New Roman" w:eastAsia="Times New Roman" w:hAnsi="Times New Roman" w:cs="Times New Roman"/>
          <w:kern w:val="28"/>
          <w:lang w:eastAsia="en-AU"/>
        </w:rPr>
      </w:pPr>
      <w:r w:rsidRPr="001810F1">
        <w:rPr>
          <w:rFonts w:ascii="Times New Roman" w:eastAsia="Times New Roman" w:hAnsi="Times New Roman" w:cs="Times New Roman"/>
          <w:kern w:val="28"/>
          <w:lang w:eastAsia="en-AU"/>
        </w:rPr>
        <w:t xml:space="preserve">The Government recognises </w:t>
      </w:r>
      <w:r>
        <w:rPr>
          <w:rFonts w:ascii="Times New Roman" w:eastAsia="Times New Roman" w:hAnsi="Times New Roman" w:cs="Times New Roman"/>
          <w:kern w:val="28"/>
          <w:lang w:eastAsia="en-AU"/>
        </w:rPr>
        <w:t>t</w:t>
      </w:r>
      <w:r w:rsidRPr="001810F1">
        <w:rPr>
          <w:rFonts w:ascii="Times New Roman" w:eastAsia="Times New Roman" w:hAnsi="Times New Roman" w:cs="Times New Roman"/>
          <w:kern w:val="28"/>
          <w:lang w:eastAsia="en-AU"/>
        </w:rPr>
        <w:t>he expiring spectrum licences process is one of a number of mechanisms</w:t>
      </w:r>
      <w:r>
        <w:rPr>
          <w:rFonts w:ascii="Times New Roman" w:eastAsia="Times New Roman" w:hAnsi="Times New Roman" w:cs="Times New Roman"/>
          <w:kern w:val="28"/>
          <w:lang w:eastAsia="en-AU"/>
        </w:rPr>
        <w:t xml:space="preserve"> </w:t>
      </w:r>
      <w:r w:rsidRPr="001810F1">
        <w:rPr>
          <w:rFonts w:ascii="Times New Roman" w:eastAsia="Times New Roman" w:hAnsi="Times New Roman" w:cs="Times New Roman"/>
          <w:kern w:val="28"/>
          <w:lang w:eastAsia="en-AU"/>
        </w:rPr>
        <w:t xml:space="preserve">that could be used to advance one or more of the objectives identified in this Ministerial policy statement. In this context, the Government welcomes appropriate complementary activities available to </w:t>
      </w:r>
      <w:r>
        <w:rPr>
          <w:rFonts w:ascii="Times New Roman" w:eastAsia="Times New Roman" w:hAnsi="Times New Roman" w:cs="Times New Roman"/>
          <w:kern w:val="28"/>
          <w:lang w:eastAsia="en-AU"/>
        </w:rPr>
        <w:t xml:space="preserve">the </w:t>
      </w:r>
      <w:r w:rsidRPr="001810F1">
        <w:rPr>
          <w:rFonts w:ascii="Times New Roman" w:eastAsia="Times New Roman" w:hAnsi="Times New Roman" w:cs="Times New Roman"/>
          <w:kern w:val="28"/>
          <w:lang w:eastAsia="en-AU"/>
        </w:rPr>
        <w:t>ACMA within the current radiocommunications regulatory framework to support these outcomes, which may be a more appropriate means for their advancement.</w:t>
      </w:r>
    </w:p>
    <w:p w:rsidR="00033CED" w:rsidRPr="00B365DB" w:rsidRDefault="00033CED" w:rsidP="00033CED">
      <w:pPr>
        <w:keepLines/>
        <w:rPr>
          <w:rFonts w:ascii="Times New Roman" w:eastAsia="Times New Roman" w:hAnsi="Times New Roman" w:cs="Times New Roman"/>
          <w:kern w:val="28"/>
          <w:lang w:eastAsia="en-AU"/>
        </w:rPr>
      </w:pPr>
      <w:r w:rsidRPr="00AD0550">
        <w:rPr>
          <w:rFonts w:ascii="Times New Roman" w:eastAsia="Times New Roman" w:hAnsi="Times New Roman" w:cs="Times New Roman"/>
          <w:kern w:val="28"/>
          <w:lang w:eastAsia="en-AU"/>
        </w:rPr>
        <w:t>This Ministerial policy statement is made within the context of the Government’s broader communications policy agenda, which includes, but is not limited to, Telecommunications Universal Service Obligation Reform, initiatives to improve digital connectivity for First Nations Australians and communities, the 2024</w:t>
      </w:r>
      <w:r w:rsidRPr="00B365DB">
        <w:rPr>
          <w:rFonts w:ascii="Times New Roman" w:eastAsia="Times New Roman" w:hAnsi="Times New Roman" w:cs="Times New Roman"/>
          <w:kern w:val="28"/>
          <w:lang w:eastAsia="en-AU"/>
        </w:rPr>
        <w:t> </w:t>
      </w:r>
      <w:r w:rsidRPr="00AD0550">
        <w:rPr>
          <w:rFonts w:ascii="Times New Roman" w:eastAsia="Times New Roman" w:hAnsi="Times New Roman" w:cs="Times New Roman"/>
          <w:kern w:val="28"/>
          <w:lang w:eastAsia="en-AU"/>
        </w:rPr>
        <w:t>Regional Telecommunications Review, and activities to support the resilience of communications networks and temporary disaster responses.</w:t>
      </w:r>
    </w:p>
    <w:p w:rsidR="00033CED" w:rsidRPr="00B365DB" w:rsidRDefault="00033CED" w:rsidP="00033CED">
      <w:pPr>
        <w:keepLines/>
        <w:rPr>
          <w:rFonts w:ascii="Times New Roman" w:eastAsia="Times New Roman" w:hAnsi="Times New Roman" w:cs="Times New Roman"/>
          <w:kern w:val="28"/>
          <w:lang w:eastAsia="en-AU"/>
        </w:rPr>
      </w:pPr>
      <w:r w:rsidRPr="00B365DB">
        <w:rPr>
          <w:rFonts w:ascii="Times New Roman" w:eastAsia="Times New Roman" w:hAnsi="Times New Roman" w:cs="Times New Roman"/>
          <w:kern w:val="28"/>
          <w:lang w:eastAsia="en-AU"/>
        </w:rPr>
        <w:t>Given the complex policy environment in which the expiring spectrum licences operate and the rapid pace of technological developments, I may choose to provide additional or more targeted guidance to the ACMA in the future in relation to these licences or others that are due to expire between 2028 and 2032. Additional or more targeted guidance could be in response to policy change or technological developments, or additional information that arises through the expiring spectrum licenses process. Any additional or more targeted guidance may be in the form of additional Ministerial policy statements or the use of my other powers to direct the ACMA.</w:t>
      </w:r>
    </w:p>
    <w:p w:rsidR="00033CED" w:rsidRPr="001810F1" w:rsidRDefault="00033CED" w:rsidP="00033CED">
      <w:pPr>
        <w:pStyle w:val="ActHead5"/>
      </w:pPr>
      <w:bookmarkStart w:id="17" w:name="_Toc164439855"/>
      <w:proofErr w:type="gramStart"/>
      <w:r w:rsidRPr="001810F1">
        <w:lastRenderedPageBreak/>
        <w:t xml:space="preserve">6 </w:t>
      </w:r>
      <w:r>
        <w:t xml:space="preserve"> </w:t>
      </w:r>
      <w:r w:rsidRPr="001810F1">
        <w:t>Supporting</w:t>
      </w:r>
      <w:proofErr w:type="gramEnd"/>
      <w:r w:rsidRPr="001810F1">
        <w:t xml:space="preserve"> servi</w:t>
      </w:r>
      <w:r w:rsidRPr="001810F1">
        <w:rPr>
          <w:szCs w:val="24"/>
        </w:rPr>
        <w:t xml:space="preserve">ce continuity for end users, particularly </w:t>
      </w:r>
      <w:r w:rsidRPr="001810F1">
        <w:t>where no alternative service is available</w:t>
      </w:r>
      <w:bookmarkEnd w:id="16"/>
      <w:bookmarkEnd w:id="17"/>
    </w:p>
    <w:p w:rsidR="00033CED" w:rsidRPr="001810F1" w:rsidRDefault="00033CED" w:rsidP="00033CED">
      <w:pPr>
        <w:spacing w:before="240"/>
        <w:rPr>
          <w:rFonts w:ascii="Times New Roman" w:hAnsi="Times New Roman" w:cs="Times New Roman"/>
        </w:rPr>
      </w:pPr>
      <w:r w:rsidRPr="008D213D">
        <w:rPr>
          <w:rFonts w:ascii="Times New Roman" w:hAnsi="Times New Roman" w:cs="Times New Roman"/>
        </w:rPr>
        <w:t>The Government recognises the important role that spectrum in the 700 MHz, 850 MHz, 1800 MHz, 2 GHz, 2.3 GHz, 2.5 GHz, and 3.4</w:t>
      </w:r>
      <w:r w:rsidRPr="00A30FB8">
        <w:rPr>
          <w:rFonts w:ascii="Times New Roman" w:hAnsi="Times New Roman" w:cs="Times New Roman"/>
        </w:rPr>
        <w:t> </w:t>
      </w:r>
      <w:r w:rsidRPr="001810F1">
        <w:rPr>
          <w:rFonts w:ascii="Times New Roman" w:hAnsi="Times New Roman" w:cs="Times New Roman"/>
        </w:rPr>
        <w:t xml:space="preserve">GHz bands has in mobile </w:t>
      </w:r>
      <w:r>
        <w:rPr>
          <w:rFonts w:ascii="Times New Roman" w:hAnsi="Times New Roman" w:cs="Times New Roman"/>
        </w:rPr>
        <w:t xml:space="preserve">network operators </w:t>
      </w:r>
      <w:r w:rsidRPr="001810F1">
        <w:rPr>
          <w:rFonts w:ascii="Times New Roman" w:hAnsi="Times New Roman" w:cs="Times New Roman"/>
        </w:rPr>
        <w:t>and fixed wireless broadband service</w:t>
      </w:r>
      <w:r>
        <w:rPr>
          <w:rFonts w:ascii="Times New Roman" w:hAnsi="Times New Roman" w:cs="Times New Roman"/>
        </w:rPr>
        <w:t xml:space="preserve"> provider</w:t>
      </w:r>
      <w:r w:rsidRPr="001810F1">
        <w:rPr>
          <w:rFonts w:ascii="Times New Roman" w:hAnsi="Times New Roman" w:cs="Times New Roman"/>
        </w:rPr>
        <w:t xml:space="preserve">s’ existing network coverage, and the importance of these services in the provision of communications services to end users. </w:t>
      </w:r>
    </w:p>
    <w:p w:rsidR="00033CED" w:rsidRPr="001810F1" w:rsidRDefault="00033CED" w:rsidP="00033CED">
      <w:pPr>
        <w:rPr>
          <w:rFonts w:ascii="Times New Roman" w:hAnsi="Times New Roman" w:cs="Times New Roman"/>
        </w:rPr>
      </w:pPr>
      <w:r w:rsidRPr="001810F1">
        <w:rPr>
          <w:rFonts w:ascii="Times New Roman" w:hAnsi="Times New Roman" w:cs="Times New Roman"/>
        </w:rPr>
        <w:t xml:space="preserve">The ACMA should consider the potential impact that certain decisions made in relation to applications for renewal </w:t>
      </w:r>
      <w:r>
        <w:rPr>
          <w:rFonts w:ascii="Times New Roman" w:hAnsi="Times New Roman" w:cs="Times New Roman"/>
        </w:rPr>
        <w:t xml:space="preserve">of spectrum licences </w:t>
      </w:r>
      <w:r w:rsidRPr="001810F1">
        <w:rPr>
          <w:rFonts w:ascii="Times New Roman" w:hAnsi="Times New Roman" w:cs="Times New Roman"/>
        </w:rPr>
        <w:t>may have on end users, particularly where no, or limited, alternative communications services would be available. Such decisions could include refusal to renew one or more spectrum licence</w:t>
      </w:r>
      <w:r>
        <w:rPr>
          <w:rFonts w:ascii="Times New Roman" w:hAnsi="Times New Roman" w:cs="Times New Roman"/>
        </w:rPr>
        <w:t>s</w:t>
      </w:r>
      <w:r w:rsidRPr="001810F1">
        <w:rPr>
          <w:rFonts w:ascii="Times New Roman" w:hAnsi="Times New Roman" w:cs="Times New Roman"/>
        </w:rPr>
        <w:t>, renewal of one or more spectrum licence</w:t>
      </w:r>
      <w:r>
        <w:rPr>
          <w:rFonts w:ascii="Times New Roman" w:hAnsi="Times New Roman" w:cs="Times New Roman"/>
        </w:rPr>
        <w:t>s</w:t>
      </w:r>
      <w:r w:rsidRPr="001810F1">
        <w:rPr>
          <w:rFonts w:ascii="Times New Roman" w:hAnsi="Times New Roman" w:cs="Times New Roman"/>
        </w:rPr>
        <w:t xml:space="preserve"> with changed conditions (including core conditions), re-allocation of spectrum licences, and re-allocation of spectrum covered by one or more expiring spectrum licence.</w:t>
      </w:r>
    </w:p>
    <w:p w:rsidR="00033CED" w:rsidRPr="001810F1" w:rsidRDefault="00033CED" w:rsidP="00033CED">
      <w:pPr>
        <w:pStyle w:val="ActHead5"/>
      </w:pPr>
      <w:bookmarkStart w:id="18" w:name="_Toc164439856"/>
      <w:proofErr w:type="gramStart"/>
      <w:r w:rsidRPr="001810F1">
        <w:t xml:space="preserve">7 </w:t>
      </w:r>
      <w:r>
        <w:t xml:space="preserve"> </w:t>
      </w:r>
      <w:r w:rsidRPr="001810F1">
        <w:t>Facilitating</w:t>
      </w:r>
      <w:proofErr w:type="gramEnd"/>
      <w:r w:rsidRPr="001810F1">
        <w:t xml:space="preserve"> opportunities for new entrants and use cases, including for low earth orbit satellites</w:t>
      </w:r>
      <w:bookmarkEnd w:id="18"/>
    </w:p>
    <w:p w:rsidR="00033CED" w:rsidRPr="001810F1" w:rsidRDefault="00033CED" w:rsidP="00033CED">
      <w:pPr>
        <w:spacing w:before="240"/>
        <w:rPr>
          <w:rFonts w:ascii="Times New Roman" w:hAnsi="Times New Roman" w:cs="Times New Roman"/>
        </w:rPr>
      </w:pPr>
      <w:r w:rsidRPr="001810F1">
        <w:rPr>
          <w:rFonts w:ascii="Times New Roman" w:hAnsi="Times New Roman" w:cs="Times New Roman"/>
        </w:rPr>
        <w:t>The Government supports the position expressed in the ACCC’s submission in response to the A</w:t>
      </w:r>
      <w:r w:rsidRPr="008D213D">
        <w:rPr>
          <w:rFonts w:ascii="Times New Roman" w:hAnsi="Times New Roman" w:cs="Times New Roman"/>
        </w:rPr>
        <w:t xml:space="preserve">CMA’s May 2023 Approach to expiring spectrum licences consultation, namely, that the ACMA should explore future arrangements that reduce the barriers to entry for new users of spectrum for either new use cases or </w:t>
      </w:r>
      <w:r w:rsidRPr="001810F1">
        <w:rPr>
          <w:rFonts w:ascii="Times New Roman" w:hAnsi="Times New Roman" w:cs="Times New Roman"/>
        </w:rPr>
        <w:t>existing uses,</w:t>
      </w:r>
      <w:r>
        <w:rPr>
          <w:rFonts w:ascii="Times New Roman" w:hAnsi="Times New Roman" w:cs="Times New Roman"/>
        </w:rPr>
        <w:t xml:space="preserve"> </w:t>
      </w:r>
      <w:r w:rsidRPr="001810F1">
        <w:rPr>
          <w:rFonts w:ascii="Times New Roman" w:hAnsi="Times New Roman" w:cs="Times New Roman"/>
        </w:rPr>
        <w:t>as a dynamic and competitive communications market is most likely to promote the public interest.</w:t>
      </w:r>
    </w:p>
    <w:p w:rsidR="00033CED" w:rsidRPr="001810F1" w:rsidRDefault="00033CED" w:rsidP="00033CED">
      <w:pPr>
        <w:rPr>
          <w:rFonts w:ascii="Times New Roman" w:hAnsi="Times New Roman" w:cs="Times New Roman"/>
        </w:rPr>
      </w:pPr>
      <w:r w:rsidRPr="001810F1">
        <w:rPr>
          <w:rFonts w:ascii="Times New Roman" w:hAnsi="Times New Roman" w:cs="Times New Roman"/>
        </w:rPr>
        <w:t>The expiring spectrum licence process represents a unique opportunity to re-examine current arrangements to ensure they promote the long-term public interest, and to create entry points for new or emerging users or use cases where appropriate.</w:t>
      </w:r>
      <w:bookmarkStart w:id="19" w:name="_Hlk145664301"/>
      <w:r w:rsidRPr="001810F1">
        <w:rPr>
          <w:rFonts w:ascii="Times New Roman" w:hAnsi="Times New Roman" w:cs="Times New Roman"/>
        </w:rPr>
        <w:t xml:space="preserve"> For example, the ACMA is already actively monitoring and engaging with spectrum matters related to low earth orbit satellites, and it should consider whether these technologies may contribute to maximising the long-term public interest, including how spectrum can </w:t>
      </w:r>
      <w:r>
        <w:rPr>
          <w:rFonts w:ascii="Times New Roman" w:hAnsi="Times New Roman" w:cs="Times New Roman"/>
        </w:rPr>
        <w:t xml:space="preserve">improve connectivity in regional areas and </w:t>
      </w:r>
      <w:r w:rsidRPr="001810F1">
        <w:rPr>
          <w:rFonts w:ascii="Times New Roman" w:hAnsi="Times New Roman" w:cs="Times New Roman"/>
        </w:rPr>
        <w:t>support inter-operability between terrestrial services and satellite services.</w:t>
      </w:r>
    </w:p>
    <w:p w:rsidR="00033CED" w:rsidRPr="001810F1" w:rsidRDefault="00033CED" w:rsidP="00033CED">
      <w:pPr>
        <w:keepLines/>
        <w:rPr>
          <w:rFonts w:ascii="Times New Roman" w:hAnsi="Times New Roman" w:cs="Times New Roman"/>
        </w:rPr>
      </w:pPr>
      <w:bookmarkStart w:id="20" w:name="_Hlk156478690"/>
      <w:bookmarkEnd w:id="19"/>
      <w:r w:rsidRPr="001810F1">
        <w:rPr>
          <w:rFonts w:ascii="Times New Roman" w:hAnsi="Times New Roman" w:cs="Times New Roman"/>
        </w:rPr>
        <w:t xml:space="preserve">Recognising the importance of the </w:t>
      </w:r>
      <w:r>
        <w:rPr>
          <w:rFonts w:ascii="Times New Roman" w:hAnsi="Times New Roman" w:cs="Times New Roman"/>
        </w:rPr>
        <w:t xml:space="preserve">spectrum covered by the </w:t>
      </w:r>
      <w:r w:rsidRPr="001810F1">
        <w:rPr>
          <w:rFonts w:ascii="Times New Roman" w:hAnsi="Times New Roman" w:cs="Times New Roman"/>
        </w:rPr>
        <w:t>expiring spectrum licences to continuity of existing service coverage,</w:t>
      </w:r>
      <w:r>
        <w:rPr>
          <w:rFonts w:ascii="Times New Roman" w:hAnsi="Times New Roman" w:cs="Times New Roman"/>
        </w:rPr>
        <w:t xml:space="preserve"> </w:t>
      </w:r>
      <w:r w:rsidRPr="001810F1">
        <w:rPr>
          <w:rFonts w:ascii="Times New Roman" w:hAnsi="Times New Roman" w:cs="Times New Roman"/>
        </w:rPr>
        <w:t>the ACMA should consider where there may be scope to strengthen service offerings by enabling access for new entrants, smaller providers or innovative applications</w:t>
      </w:r>
      <w:bookmarkEnd w:id="20"/>
      <w:r>
        <w:rPr>
          <w:rFonts w:ascii="Times New Roman" w:hAnsi="Times New Roman" w:cs="Times New Roman"/>
        </w:rPr>
        <w:t>.</w:t>
      </w:r>
    </w:p>
    <w:p w:rsidR="00033CED" w:rsidRPr="001810F1" w:rsidRDefault="00033CED" w:rsidP="00033CED">
      <w:pPr>
        <w:pStyle w:val="ActHead5"/>
      </w:pPr>
      <w:bookmarkStart w:id="21" w:name="_Toc164439857"/>
      <w:proofErr w:type="gramStart"/>
      <w:r w:rsidRPr="001810F1">
        <w:t>8  Connectivity</w:t>
      </w:r>
      <w:proofErr w:type="gramEnd"/>
      <w:r w:rsidRPr="001810F1">
        <w:t xml:space="preserve"> and investment in regional </w:t>
      </w:r>
      <w:r>
        <w:t xml:space="preserve">and remote </w:t>
      </w:r>
      <w:r w:rsidRPr="001810F1">
        <w:t>areas to deliver improved services to end users</w:t>
      </w:r>
      <w:bookmarkEnd w:id="21"/>
    </w:p>
    <w:p w:rsidR="00033CED" w:rsidRPr="001810F1" w:rsidRDefault="00033CED" w:rsidP="00033CED">
      <w:pPr>
        <w:spacing w:before="240"/>
        <w:rPr>
          <w:rFonts w:ascii="Times New Roman" w:hAnsi="Times New Roman" w:cs="Times New Roman"/>
        </w:rPr>
      </w:pPr>
      <w:r w:rsidRPr="008D213D">
        <w:rPr>
          <w:rFonts w:ascii="Times New Roman" w:hAnsi="Times New Roman" w:cs="Times New Roman"/>
        </w:rPr>
        <w:t xml:space="preserve">The Government recognises that </w:t>
      </w:r>
      <w:bookmarkStart w:id="22" w:name="_Hlk158718447"/>
      <w:r w:rsidRPr="008D213D">
        <w:rPr>
          <w:rFonts w:ascii="Times New Roman" w:hAnsi="Times New Roman" w:cs="Times New Roman"/>
        </w:rPr>
        <w:t xml:space="preserve">mobile and fixed wireless broadband </w:t>
      </w:r>
      <w:bookmarkEnd w:id="22"/>
      <w:r w:rsidRPr="008D213D">
        <w:rPr>
          <w:rFonts w:ascii="Times New Roman" w:hAnsi="Times New Roman" w:cs="Times New Roman"/>
        </w:rPr>
        <w:t xml:space="preserve">services provide essential connectivity to end users. The ACMA should consider ways to </w:t>
      </w:r>
      <w:r w:rsidRPr="00A30FB8">
        <w:rPr>
          <w:rFonts w:ascii="Times New Roman" w:hAnsi="Times New Roman" w:cs="Times New Roman"/>
        </w:rPr>
        <w:t xml:space="preserve">support </w:t>
      </w:r>
      <w:r w:rsidRPr="001810F1">
        <w:rPr>
          <w:rFonts w:ascii="Times New Roman" w:hAnsi="Times New Roman" w:cs="Times New Roman"/>
        </w:rPr>
        <w:t>existing and new investment in regional</w:t>
      </w:r>
      <w:r>
        <w:rPr>
          <w:rFonts w:ascii="Times New Roman" w:hAnsi="Times New Roman" w:cs="Times New Roman"/>
        </w:rPr>
        <w:t xml:space="preserve"> and remote</w:t>
      </w:r>
      <w:r w:rsidRPr="001810F1">
        <w:rPr>
          <w:rFonts w:ascii="Times New Roman" w:hAnsi="Times New Roman" w:cs="Times New Roman"/>
        </w:rPr>
        <w:t xml:space="preserve"> areas to deliver improved communications services, including but not limited to:</w:t>
      </w:r>
    </w:p>
    <w:p w:rsidR="00033CED" w:rsidRPr="001810F1" w:rsidRDefault="00033CED" w:rsidP="00033CED">
      <w:pPr>
        <w:pStyle w:val="ListParagraph"/>
        <w:numPr>
          <w:ilvl w:val="0"/>
          <w:numId w:val="21"/>
        </w:numPr>
        <w:rPr>
          <w:rFonts w:ascii="Times New Roman" w:hAnsi="Times New Roman" w:cs="Times New Roman"/>
        </w:rPr>
      </w:pPr>
      <w:r w:rsidRPr="001810F1">
        <w:rPr>
          <w:rFonts w:ascii="Times New Roman" w:hAnsi="Times New Roman" w:cs="Times New Roman"/>
        </w:rPr>
        <w:t xml:space="preserve">an increased availability and choice of services for end users, in particular for end users with limited options under existing arrangements; </w:t>
      </w:r>
    </w:p>
    <w:p w:rsidR="00033CED" w:rsidRPr="001810F1" w:rsidRDefault="00033CED" w:rsidP="00033CED">
      <w:pPr>
        <w:pStyle w:val="ListParagraph"/>
        <w:numPr>
          <w:ilvl w:val="0"/>
          <w:numId w:val="21"/>
        </w:numPr>
        <w:rPr>
          <w:rFonts w:ascii="Times New Roman" w:hAnsi="Times New Roman" w:cs="Times New Roman"/>
        </w:rPr>
      </w:pPr>
      <w:r w:rsidRPr="001810F1">
        <w:rPr>
          <w:rFonts w:ascii="Times New Roman" w:hAnsi="Times New Roman" w:cs="Times New Roman"/>
        </w:rPr>
        <w:t xml:space="preserve">voice and data mobile network coverage; and </w:t>
      </w:r>
    </w:p>
    <w:p w:rsidR="00033CED" w:rsidRPr="001810F1" w:rsidRDefault="00033CED" w:rsidP="00033CED">
      <w:pPr>
        <w:pStyle w:val="ListParagraph"/>
        <w:numPr>
          <w:ilvl w:val="0"/>
          <w:numId w:val="21"/>
        </w:numPr>
        <w:rPr>
          <w:rFonts w:ascii="Times New Roman" w:hAnsi="Times New Roman" w:cs="Times New Roman"/>
        </w:rPr>
      </w:pPr>
      <w:r w:rsidRPr="001810F1">
        <w:rPr>
          <w:rFonts w:ascii="Times New Roman" w:hAnsi="Times New Roman" w:cs="Times New Roman"/>
        </w:rPr>
        <w:t xml:space="preserve">access to high-speed data services. </w:t>
      </w:r>
    </w:p>
    <w:p w:rsidR="00033CED" w:rsidRPr="001810F1" w:rsidRDefault="00033CED" w:rsidP="00033CED">
      <w:pPr>
        <w:rPr>
          <w:rFonts w:ascii="Times New Roman" w:hAnsi="Times New Roman" w:cs="Times New Roman"/>
        </w:rPr>
      </w:pPr>
      <w:r w:rsidRPr="001810F1">
        <w:rPr>
          <w:rFonts w:ascii="Times New Roman" w:hAnsi="Times New Roman" w:cs="Times New Roman"/>
        </w:rPr>
        <w:lastRenderedPageBreak/>
        <w:t>When designing the process to manage expiring spectrum licences, and subsequently setting new licence conditions, the ACMA should have particular regard</w:t>
      </w:r>
      <w:r w:rsidRPr="001810F1" w:rsidDel="002171AB">
        <w:rPr>
          <w:rFonts w:ascii="Times New Roman" w:hAnsi="Times New Roman" w:cs="Times New Roman"/>
        </w:rPr>
        <w:t xml:space="preserve"> </w:t>
      </w:r>
      <w:r w:rsidRPr="001810F1">
        <w:rPr>
          <w:rFonts w:ascii="Times New Roman" w:hAnsi="Times New Roman" w:cs="Times New Roman"/>
        </w:rPr>
        <w:t>to identifying potential impacts to regional Australia.</w:t>
      </w:r>
    </w:p>
    <w:p w:rsidR="00033CED" w:rsidRPr="001810F1" w:rsidRDefault="00033CED" w:rsidP="00033CED">
      <w:pPr>
        <w:rPr>
          <w:rFonts w:ascii="Times New Roman" w:hAnsi="Times New Roman" w:cs="Times New Roman"/>
        </w:rPr>
      </w:pPr>
      <w:r w:rsidRPr="001810F1">
        <w:rPr>
          <w:rFonts w:ascii="Times New Roman" w:hAnsi="Times New Roman" w:cs="Times New Roman"/>
        </w:rPr>
        <w:t>In considering this objective, the ACMA should have regard to wider Government policy priorities, including the National Agreement on Closing the Gap, particularly the Access to Information outcome (Outcome 17).</w:t>
      </w:r>
    </w:p>
    <w:p w:rsidR="00033CED" w:rsidRPr="008D213D" w:rsidRDefault="00033CED" w:rsidP="00033CED">
      <w:pPr>
        <w:pStyle w:val="ActHead5"/>
      </w:pPr>
      <w:bookmarkStart w:id="23" w:name="_Toc164439858"/>
      <w:proofErr w:type="gramStart"/>
      <w:r w:rsidRPr="001810F1">
        <w:t>9  Promote</w:t>
      </w:r>
      <w:proofErr w:type="gramEnd"/>
      <w:r w:rsidRPr="001810F1">
        <w:t xml:space="preserve"> competition</w:t>
      </w:r>
      <w:bookmarkEnd w:id="23"/>
    </w:p>
    <w:p w:rsidR="00033CED" w:rsidRPr="008D213D" w:rsidRDefault="00033CED" w:rsidP="00033CED">
      <w:pPr>
        <w:spacing w:before="240"/>
        <w:rPr>
          <w:rFonts w:ascii="Times New Roman" w:hAnsi="Times New Roman" w:cs="Times New Roman"/>
        </w:rPr>
      </w:pPr>
      <w:r w:rsidRPr="008D213D">
        <w:rPr>
          <w:rFonts w:ascii="Times New Roman" w:hAnsi="Times New Roman" w:cs="Times New Roman"/>
        </w:rPr>
        <w:t xml:space="preserve">The Government recognises the importance of strong and competitive communications markets for delivering positive outcomes for Australian consumers. </w:t>
      </w:r>
    </w:p>
    <w:p w:rsidR="00033CED" w:rsidRPr="001810F1" w:rsidRDefault="00033CED" w:rsidP="00033CED">
      <w:pPr>
        <w:rPr>
          <w:rFonts w:ascii="Times New Roman" w:hAnsi="Times New Roman" w:cs="Times New Roman"/>
        </w:rPr>
      </w:pPr>
      <w:r w:rsidRPr="008D213D">
        <w:rPr>
          <w:rFonts w:ascii="Times New Roman" w:hAnsi="Times New Roman" w:cs="Times New Roman"/>
        </w:rPr>
        <w:t xml:space="preserve">Competitive markets can facilitate more efficient use of spectrum, </w:t>
      </w:r>
      <w:r w:rsidRPr="00A30FB8">
        <w:rPr>
          <w:rFonts w:ascii="Times New Roman" w:hAnsi="Times New Roman" w:cs="Times New Roman"/>
        </w:rPr>
        <w:t xml:space="preserve">by creating incentives </w:t>
      </w:r>
      <w:r w:rsidRPr="001810F1">
        <w:rPr>
          <w:rFonts w:ascii="Times New Roman" w:hAnsi="Times New Roman" w:cs="Times New Roman"/>
        </w:rPr>
        <w:t>for licensees to improve their service quality and range of services, set competitive prices, invest in new technologies and innovations, and to differentiate themselves from competitors. Each of these outcomes contribute to promoting the long-term public interest derived from the use of the spectrum. The ACMA has the option to provide spectrum licences for up to 20 years, and is required to be satisfied that a licence renewed for 10 years or longer is in the public interest. Given this, it will be important for the ACMA to consider the long-term impacts on competition in the Australian communications market, including the impact of the licence term alongside other licensing factors.</w:t>
      </w:r>
    </w:p>
    <w:p w:rsidR="00033CED" w:rsidRPr="001810F1" w:rsidRDefault="00033CED" w:rsidP="00033CED">
      <w:pPr>
        <w:pStyle w:val="ActHead5"/>
      </w:pPr>
      <w:bookmarkStart w:id="24" w:name="_Toc164439859"/>
      <w:proofErr w:type="gramStart"/>
      <w:r w:rsidRPr="001810F1">
        <w:t>10  Capacity</w:t>
      </w:r>
      <w:proofErr w:type="gramEnd"/>
      <w:r w:rsidRPr="001810F1">
        <w:t xml:space="preserve"> for sustained investment and innovation</w:t>
      </w:r>
      <w:bookmarkEnd w:id="24"/>
      <w:r w:rsidRPr="001810F1">
        <w:t xml:space="preserve"> </w:t>
      </w:r>
    </w:p>
    <w:p w:rsidR="00033CED" w:rsidRPr="008D213D" w:rsidRDefault="00033CED" w:rsidP="00033CED">
      <w:pPr>
        <w:spacing w:before="240"/>
        <w:rPr>
          <w:rFonts w:ascii="Times New Roman" w:hAnsi="Times New Roman" w:cs="Times New Roman"/>
        </w:rPr>
      </w:pPr>
      <w:r w:rsidRPr="001810F1">
        <w:rPr>
          <w:rFonts w:ascii="Times New Roman" w:hAnsi="Times New Roman" w:cs="Times New Roman"/>
        </w:rPr>
        <w:t xml:space="preserve">The Government recognises that spectrum is one component of reliable communications networks </w:t>
      </w:r>
      <w:r w:rsidRPr="008D213D">
        <w:rPr>
          <w:rFonts w:ascii="Times New Roman" w:hAnsi="Times New Roman" w:cs="Times New Roman"/>
        </w:rPr>
        <w:t xml:space="preserve">and that significant infrastructure investment is required to deploy and maintain services. The Government also acknowledges the significant investment incumbent licence holders have made to deploy services in the frequencies </w:t>
      </w:r>
      <w:r>
        <w:rPr>
          <w:rFonts w:ascii="Times New Roman" w:hAnsi="Times New Roman" w:cs="Times New Roman"/>
        </w:rPr>
        <w:t>in Table 1</w:t>
      </w:r>
      <w:r w:rsidRPr="008D213D">
        <w:rPr>
          <w:rFonts w:ascii="Times New Roman" w:hAnsi="Times New Roman" w:cs="Times New Roman"/>
        </w:rPr>
        <w:t xml:space="preserve">. </w:t>
      </w:r>
    </w:p>
    <w:p w:rsidR="00033CED" w:rsidRPr="001810F1" w:rsidRDefault="00033CED" w:rsidP="00033CED">
      <w:pPr>
        <w:rPr>
          <w:rFonts w:ascii="Times New Roman" w:hAnsi="Times New Roman" w:cs="Times New Roman"/>
        </w:rPr>
      </w:pPr>
      <w:r w:rsidRPr="001810F1">
        <w:rPr>
          <w:rFonts w:ascii="Times New Roman" w:hAnsi="Times New Roman" w:cs="Times New Roman"/>
        </w:rPr>
        <w:t xml:space="preserve">The ACMA should consider existing investment by licensees, as well as known market demand for spectrum and the capacity for other prospective licence holders to make the investment required to deploy and maintain an effective service with the spectrum. </w:t>
      </w:r>
    </w:p>
    <w:p w:rsidR="00033CED" w:rsidRPr="00AD0550" w:rsidRDefault="00033CED" w:rsidP="00033CED">
      <w:pPr>
        <w:rPr>
          <w:rFonts w:ascii="Times New Roman" w:hAnsi="Times New Roman" w:cs="Times New Roman"/>
        </w:rPr>
      </w:pPr>
      <w:r w:rsidRPr="001810F1">
        <w:rPr>
          <w:rFonts w:ascii="Times New Roman" w:hAnsi="Times New Roman" w:cs="Times New Roman"/>
        </w:rPr>
        <w:t xml:space="preserve">As part of the expiring spectrum licence process, the ACMA should consider opportunities to support innovation in the Australian communications market. As new spectrum licences can be issued for a period up to 20 years, licence conditions should enable licence holders to be responsive to new demands, opportunities and technological advancements. </w:t>
      </w:r>
    </w:p>
    <w:p w:rsidR="00033CED" w:rsidRPr="002C3B36" w:rsidRDefault="00033CED" w:rsidP="00033CED"/>
    <w:p w:rsidR="00FF44C8" w:rsidRPr="00033CED" w:rsidRDefault="00FF44C8" w:rsidP="00033CED"/>
    <w:sectPr w:rsidR="00FF44C8" w:rsidRPr="00033CED" w:rsidSect="001D786F">
      <w:headerReference w:type="default" r:id="rId12"/>
      <w:footerReference w:type="default" r:id="rId13"/>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6B83A9" w16cex:dateUtc="2024-02-05T04:56:00Z"/>
  <w16cex:commentExtensible w16cex:durableId="296CB4F0" w16cex:dateUtc="2024-02-06T02:38:00Z"/>
  <w16cex:commentExtensible w16cex:durableId="296CB56A" w16cex:dateUtc="2024-02-06T02:40:00Z"/>
  <w16cex:commentExtensible w16cex:durableId="296CB586" w16cex:dateUtc="2024-02-06T02:41:00Z"/>
  <w16cex:commentExtensible w16cex:durableId="296CB5D0" w16cex:dateUtc="2024-02-06T02:42:00Z"/>
  <w16cex:commentExtensible w16cex:durableId="296B6F39" w16cex:dateUtc="2024-02-05T03:29:00Z"/>
  <w16cex:commentExtensible w16cex:durableId="296CB722" w16cex:dateUtc="2024-02-06T02:48:00Z"/>
  <w16cex:commentExtensible w16cex:durableId="296B928F" w16cex:dateUtc="2024-02-05T05:59:00Z"/>
  <w16cex:commentExtensible w16cex:durableId="296CB96F" w16cex:dateUtc="2024-02-06T02:58:00Z"/>
  <w16cex:commentExtensible w16cex:durableId="296B7277" w16cex:dateUtc="2024-02-05T03:43:00Z"/>
  <w16cex:commentExtensible w16cex:durableId="296CC6B1" w16cex:dateUtc="2024-02-06T03:54:00Z"/>
  <w16cex:commentExtensible w16cex:durableId="296CBA49" w16cex:dateUtc="2024-02-06T0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8E0" w:rsidRDefault="008F78E0" w:rsidP="00567C79">
      <w:pPr>
        <w:spacing w:after="0" w:line="240" w:lineRule="auto"/>
      </w:pPr>
      <w:r>
        <w:separator/>
      </w:r>
    </w:p>
  </w:endnote>
  <w:endnote w:type="continuationSeparator" w:id="0">
    <w:p w:rsidR="008F78E0" w:rsidRDefault="008F78E0" w:rsidP="00567C79">
      <w:pPr>
        <w:spacing w:after="0" w:line="240" w:lineRule="auto"/>
      </w:pPr>
      <w:r>
        <w:continuationSeparator/>
      </w:r>
    </w:p>
  </w:endnote>
  <w:endnote w:type="continuationNotice" w:id="1">
    <w:p w:rsidR="008F78E0" w:rsidRDefault="008F7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28A" w:rsidRDefault="00B5428A" w:rsidP="00A70B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6658"/>
      <w:gridCol w:w="659"/>
    </w:tblGrid>
    <w:tr w:rsidR="00B5428A" w:rsidTr="00A70BAC">
      <w:tc>
        <w:tcPr>
          <w:tcW w:w="947" w:type="pct"/>
        </w:tcPr>
        <w:p w:rsidR="00B5428A" w:rsidRDefault="00B5428A" w:rsidP="00A70BAC">
          <w:pPr>
            <w:spacing w:line="0" w:lineRule="atLeast"/>
            <w:rPr>
              <w:sz w:val="18"/>
              <w:szCs w:val="20"/>
            </w:rPr>
          </w:pPr>
        </w:p>
      </w:tc>
      <w:tc>
        <w:tcPr>
          <w:tcW w:w="3688" w:type="pct"/>
          <w:hideMark/>
        </w:tcPr>
        <w:p w:rsidR="00B5428A" w:rsidRDefault="00B5428A" w:rsidP="00A70BAC">
          <w:pPr>
            <w:spacing w:line="0" w:lineRule="atLeast"/>
            <w:rPr>
              <w:sz w:val="18"/>
            </w:rPr>
          </w:pPr>
          <w:r>
            <w:rPr>
              <w:i/>
              <w:sz w:val="18"/>
            </w:rPr>
            <w:fldChar w:fldCharType="begin"/>
          </w:r>
          <w:r>
            <w:rPr>
              <w:i/>
              <w:sz w:val="18"/>
            </w:rPr>
            <w:instrText xml:space="preserve"> STYLEREF  ShortT </w:instrText>
          </w:r>
          <w:r>
            <w:rPr>
              <w:i/>
              <w:sz w:val="18"/>
            </w:rPr>
            <w:fldChar w:fldCharType="separate"/>
          </w:r>
          <w:r w:rsidR="000809B4">
            <w:rPr>
              <w:i/>
              <w:noProof/>
              <w:sz w:val="18"/>
            </w:rPr>
            <w:t>Radiocommunications (Ministerial Policy Statement – Expiring Spectrum Licences) Instrument 2024</w:t>
          </w:r>
          <w:r>
            <w:rPr>
              <w:i/>
              <w:sz w:val="18"/>
            </w:rPr>
            <w:fldChar w:fldCharType="end"/>
          </w:r>
        </w:p>
      </w:tc>
      <w:tc>
        <w:tcPr>
          <w:tcW w:w="365" w:type="pct"/>
          <w:hideMark/>
        </w:tcPr>
        <w:p w:rsidR="00B5428A" w:rsidRDefault="00B5428A" w:rsidP="00A70BA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sz w:val="18"/>
            </w:rPr>
            <w:t>2</w:t>
          </w:r>
          <w:r>
            <w:rPr>
              <w:i/>
              <w:sz w:val="18"/>
            </w:rPr>
            <w:fldChar w:fldCharType="end"/>
          </w:r>
        </w:p>
      </w:tc>
    </w:tr>
  </w:tbl>
  <w:p w:rsidR="00B5428A" w:rsidRPr="00567C79" w:rsidRDefault="00B5428A" w:rsidP="001D786F">
    <w:pPr>
      <w:pStyle w:val="Foo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8E0" w:rsidRDefault="008F78E0" w:rsidP="00567C79">
      <w:pPr>
        <w:spacing w:after="0" w:line="240" w:lineRule="auto"/>
      </w:pPr>
      <w:r>
        <w:separator/>
      </w:r>
    </w:p>
  </w:footnote>
  <w:footnote w:type="continuationSeparator" w:id="0">
    <w:p w:rsidR="008F78E0" w:rsidRDefault="008F78E0" w:rsidP="00567C79">
      <w:pPr>
        <w:spacing w:after="0" w:line="240" w:lineRule="auto"/>
      </w:pPr>
      <w:r>
        <w:continuationSeparator/>
      </w:r>
    </w:p>
  </w:footnote>
  <w:footnote w:type="continuationNotice" w:id="1">
    <w:p w:rsidR="008F78E0" w:rsidRDefault="008F7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28A" w:rsidRDefault="00B5428A" w:rsidP="00A70BAC">
    <w:pPr>
      <w:jc w:val="right"/>
      <w:rPr>
        <w:b/>
        <w:sz w:val="24"/>
      </w:rPr>
    </w:pPr>
  </w:p>
  <w:p w:rsidR="00B5428A" w:rsidRDefault="00B5428A" w:rsidP="00A70BAC">
    <w:pPr>
      <w:pBdr>
        <w:bottom w:val="single" w:sz="6" w:space="1" w:color="auto"/>
      </w:pBdr>
      <w:spacing w:after="120"/>
      <w:jc w:val="right"/>
      <w:rPr>
        <w:sz w:val="24"/>
      </w:rPr>
    </w:pPr>
  </w:p>
  <w:p w:rsidR="00B5428A" w:rsidRDefault="00B5428A" w:rsidP="00A70BAC">
    <w:pPr>
      <w:pStyle w:val="Header"/>
    </w:pPr>
  </w:p>
  <w:p w:rsidR="00B5428A" w:rsidRPr="00567C79" w:rsidRDefault="00B5428A" w:rsidP="00567C79">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EC2"/>
    <w:multiLevelType w:val="hybridMultilevel"/>
    <w:tmpl w:val="3C2C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97254"/>
    <w:multiLevelType w:val="hybridMultilevel"/>
    <w:tmpl w:val="805CB66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2762A"/>
    <w:multiLevelType w:val="hybridMultilevel"/>
    <w:tmpl w:val="B67E9F4A"/>
    <w:lvl w:ilvl="0" w:tplc="0C090003">
      <w:start w:val="1"/>
      <w:numFmt w:val="bullet"/>
      <w:lvlText w:val="o"/>
      <w:lvlJc w:val="left"/>
      <w:pPr>
        <w:ind w:left="360" w:hanging="360"/>
      </w:pPr>
      <w:rPr>
        <w:rFonts w:ascii="Courier New" w:hAnsi="Courier New" w:cs="Courier New"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C61AE4"/>
    <w:multiLevelType w:val="hybridMultilevel"/>
    <w:tmpl w:val="4CEEE046"/>
    <w:lvl w:ilvl="0" w:tplc="0C09000F">
      <w:start w:val="3"/>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A47FAF"/>
    <w:multiLevelType w:val="multilevel"/>
    <w:tmpl w:val="43765D4C"/>
    <w:lvl w:ilvl="0">
      <w:start w:val="1"/>
      <w:numFmt w:val="lowerRoman"/>
      <w:lvlText w:val="(%1)"/>
      <w:lvlJc w:val="left"/>
      <w:pPr>
        <w:tabs>
          <w:tab w:val="left" w:pos="360"/>
        </w:tabs>
      </w:pPr>
      <w:rPr>
        <w:rFonts w:ascii="Times New Roman" w:eastAsia="Times New Roman" w:hAnsi="Times New Roman"/>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F934B7"/>
    <w:multiLevelType w:val="hybridMultilevel"/>
    <w:tmpl w:val="5366087E"/>
    <w:lvl w:ilvl="0" w:tplc="2DB4DD2A">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172DE2"/>
    <w:multiLevelType w:val="hybridMultilevel"/>
    <w:tmpl w:val="B540029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415ED"/>
    <w:multiLevelType w:val="hybridMultilevel"/>
    <w:tmpl w:val="A31854A8"/>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59D3586"/>
    <w:multiLevelType w:val="hybridMultilevel"/>
    <w:tmpl w:val="0A26B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6D67B7"/>
    <w:multiLevelType w:val="hybridMultilevel"/>
    <w:tmpl w:val="8EE6A6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D520E9"/>
    <w:multiLevelType w:val="hybridMultilevel"/>
    <w:tmpl w:val="FD5EC02C"/>
    <w:lvl w:ilvl="0" w:tplc="0C090017">
      <w:start w:val="1"/>
      <w:numFmt w:val="lowerLetter"/>
      <w:lvlText w:val="%1)"/>
      <w:lvlJc w:val="left"/>
      <w:pPr>
        <w:ind w:left="792" w:hanging="360"/>
      </w:pPr>
      <w:rPr>
        <w:rFonts w:hint="default"/>
      </w:rPr>
    </w:lvl>
    <w:lvl w:ilvl="1" w:tplc="7064100C">
      <w:start w:val="9"/>
      <w:numFmt w:val="lowerLetter"/>
      <w:lvlText w:val="%2."/>
      <w:lvlJc w:val="left"/>
      <w:pPr>
        <w:ind w:left="1512" w:hanging="360"/>
      </w:pPr>
      <w:rPr>
        <w:rFonts w:hint="default"/>
      </w:r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11" w15:restartNumberingAfterBreak="0">
    <w:nsid w:val="2BD427F5"/>
    <w:multiLevelType w:val="hybridMultilevel"/>
    <w:tmpl w:val="89BC9B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B3221C"/>
    <w:multiLevelType w:val="hybridMultilevel"/>
    <w:tmpl w:val="51405F98"/>
    <w:lvl w:ilvl="0" w:tplc="D67277FA">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23135D"/>
    <w:multiLevelType w:val="hybridMultilevel"/>
    <w:tmpl w:val="7852606E"/>
    <w:lvl w:ilvl="0" w:tplc="C652C99E">
      <w:start w:val="1"/>
      <w:numFmt w:val="lowerLetter"/>
      <w:lvlText w:val="%1)"/>
      <w:lvlJc w:val="left"/>
      <w:pPr>
        <w:ind w:left="720" w:hanging="360"/>
      </w:pPr>
      <w:rPr>
        <w:rFonts w:ascii="Times New Roman" w:eastAsiaTheme="minorHAns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B31521"/>
    <w:multiLevelType w:val="hybridMultilevel"/>
    <w:tmpl w:val="ED86D9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5652D4"/>
    <w:multiLevelType w:val="hybridMultilevel"/>
    <w:tmpl w:val="BDCE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991866"/>
    <w:multiLevelType w:val="hybridMultilevel"/>
    <w:tmpl w:val="62C459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24029B"/>
    <w:multiLevelType w:val="hybridMultilevel"/>
    <w:tmpl w:val="D08C3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E12404"/>
    <w:multiLevelType w:val="hybridMultilevel"/>
    <w:tmpl w:val="014ADC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8F5ED9"/>
    <w:multiLevelType w:val="hybridMultilevel"/>
    <w:tmpl w:val="082A6C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B94585"/>
    <w:multiLevelType w:val="hybridMultilevel"/>
    <w:tmpl w:val="9A120AF4"/>
    <w:lvl w:ilvl="0" w:tplc="0C090017">
      <w:start w:val="1"/>
      <w:numFmt w:val="lowerLetter"/>
      <w:lvlText w:val="%1)"/>
      <w:lvlJc w:val="left"/>
      <w:pPr>
        <w:ind w:left="770" w:hanging="360"/>
      </w:pPr>
      <w:rPr>
        <w:rFont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1" w15:restartNumberingAfterBreak="0">
    <w:nsid w:val="71104D5B"/>
    <w:multiLevelType w:val="hybridMultilevel"/>
    <w:tmpl w:val="DDA21E74"/>
    <w:lvl w:ilvl="0" w:tplc="618A4E94">
      <w:start w:val="35"/>
      <w:numFmt w:val="lowerLetter"/>
      <w:lvlText w:val="%1."/>
      <w:lvlJc w:val="left"/>
      <w:pPr>
        <w:ind w:left="15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0"/>
  </w:num>
  <w:num w:numId="5">
    <w:abstractNumId w:val="6"/>
  </w:num>
  <w:num w:numId="6">
    <w:abstractNumId w:val="1"/>
  </w:num>
  <w:num w:numId="7">
    <w:abstractNumId w:val="13"/>
  </w:num>
  <w:num w:numId="8">
    <w:abstractNumId w:val="3"/>
  </w:num>
  <w:num w:numId="9">
    <w:abstractNumId w:val="4"/>
  </w:num>
  <w:num w:numId="10">
    <w:abstractNumId w:val="18"/>
  </w:num>
  <w:num w:numId="11">
    <w:abstractNumId w:val="10"/>
  </w:num>
  <w:num w:numId="12">
    <w:abstractNumId w:val="20"/>
  </w:num>
  <w:num w:numId="13">
    <w:abstractNumId w:val="14"/>
  </w:num>
  <w:num w:numId="14">
    <w:abstractNumId w:val="8"/>
  </w:num>
  <w:num w:numId="15">
    <w:abstractNumId w:val="15"/>
  </w:num>
  <w:num w:numId="16">
    <w:abstractNumId w:val="9"/>
  </w:num>
  <w:num w:numId="17">
    <w:abstractNumId w:val="16"/>
  </w:num>
  <w:num w:numId="18">
    <w:abstractNumId w:val="5"/>
  </w:num>
  <w:num w:numId="19">
    <w:abstractNumId w:val="19"/>
  </w:num>
  <w:num w:numId="20">
    <w:abstractNumId w:val="21"/>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B7"/>
    <w:rsid w:val="000003F4"/>
    <w:rsid w:val="000007CB"/>
    <w:rsid w:val="00007614"/>
    <w:rsid w:val="00012B51"/>
    <w:rsid w:val="0001322D"/>
    <w:rsid w:val="00013790"/>
    <w:rsid w:val="00013A89"/>
    <w:rsid w:val="000155BB"/>
    <w:rsid w:val="00015959"/>
    <w:rsid w:val="00015FAC"/>
    <w:rsid w:val="000169A0"/>
    <w:rsid w:val="00016CD3"/>
    <w:rsid w:val="00020723"/>
    <w:rsid w:val="00022BA8"/>
    <w:rsid w:val="00027A21"/>
    <w:rsid w:val="000301B2"/>
    <w:rsid w:val="00032437"/>
    <w:rsid w:val="00033CED"/>
    <w:rsid w:val="00041F88"/>
    <w:rsid w:val="0004285C"/>
    <w:rsid w:val="00045BC4"/>
    <w:rsid w:val="00046904"/>
    <w:rsid w:val="0004736A"/>
    <w:rsid w:val="00050CD9"/>
    <w:rsid w:val="00053EE3"/>
    <w:rsid w:val="00057F39"/>
    <w:rsid w:val="00061346"/>
    <w:rsid w:val="00062457"/>
    <w:rsid w:val="00064619"/>
    <w:rsid w:val="000653BB"/>
    <w:rsid w:val="00065B1C"/>
    <w:rsid w:val="00070651"/>
    <w:rsid w:val="0007155C"/>
    <w:rsid w:val="0007238A"/>
    <w:rsid w:val="0007325C"/>
    <w:rsid w:val="000740E3"/>
    <w:rsid w:val="000757B3"/>
    <w:rsid w:val="0007693C"/>
    <w:rsid w:val="000802D5"/>
    <w:rsid w:val="000809B4"/>
    <w:rsid w:val="00090184"/>
    <w:rsid w:val="00094498"/>
    <w:rsid w:val="00095F4E"/>
    <w:rsid w:val="0009793D"/>
    <w:rsid w:val="000A28F8"/>
    <w:rsid w:val="000A435F"/>
    <w:rsid w:val="000A4C95"/>
    <w:rsid w:val="000A60CA"/>
    <w:rsid w:val="000B0CED"/>
    <w:rsid w:val="000B576F"/>
    <w:rsid w:val="000B6458"/>
    <w:rsid w:val="000B740A"/>
    <w:rsid w:val="000C17E6"/>
    <w:rsid w:val="000C45CA"/>
    <w:rsid w:val="000C5360"/>
    <w:rsid w:val="000D0A89"/>
    <w:rsid w:val="000D176F"/>
    <w:rsid w:val="000D53AA"/>
    <w:rsid w:val="000D6D13"/>
    <w:rsid w:val="000E1595"/>
    <w:rsid w:val="000E1EA9"/>
    <w:rsid w:val="000F0CF3"/>
    <w:rsid w:val="000F3735"/>
    <w:rsid w:val="000F43AC"/>
    <w:rsid w:val="000F4A56"/>
    <w:rsid w:val="000F56FD"/>
    <w:rsid w:val="000F58C3"/>
    <w:rsid w:val="00103B98"/>
    <w:rsid w:val="00103BDF"/>
    <w:rsid w:val="001157C2"/>
    <w:rsid w:val="00120734"/>
    <w:rsid w:val="0012157A"/>
    <w:rsid w:val="00123CEB"/>
    <w:rsid w:val="00125197"/>
    <w:rsid w:val="00125B6F"/>
    <w:rsid w:val="00125CAE"/>
    <w:rsid w:val="00126BC6"/>
    <w:rsid w:val="00126D9E"/>
    <w:rsid w:val="0012757C"/>
    <w:rsid w:val="001309E3"/>
    <w:rsid w:val="00131DF0"/>
    <w:rsid w:val="001334EC"/>
    <w:rsid w:val="00133977"/>
    <w:rsid w:val="00135EAF"/>
    <w:rsid w:val="001410CF"/>
    <w:rsid w:val="00152D6B"/>
    <w:rsid w:val="00160B13"/>
    <w:rsid w:val="00160BCE"/>
    <w:rsid w:val="00166375"/>
    <w:rsid w:val="00167D23"/>
    <w:rsid w:val="0017224F"/>
    <w:rsid w:val="001738D9"/>
    <w:rsid w:val="00174DA5"/>
    <w:rsid w:val="001806F7"/>
    <w:rsid w:val="001810F1"/>
    <w:rsid w:val="001834BF"/>
    <w:rsid w:val="00192CD2"/>
    <w:rsid w:val="001949FD"/>
    <w:rsid w:val="00194F79"/>
    <w:rsid w:val="001A0A02"/>
    <w:rsid w:val="001A1BA3"/>
    <w:rsid w:val="001A5494"/>
    <w:rsid w:val="001B13B4"/>
    <w:rsid w:val="001B3F28"/>
    <w:rsid w:val="001B4604"/>
    <w:rsid w:val="001B7AD8"/>
    <w:rsid w:val="001B7B6C"/>
    <w:rsid w:val="001C14FB"/>
    <w:rsid w:val="001C31F9"/>
    <w:rsid w:val="001C34DA"/>
    <w:rsid w:val="001C4A41"/>
    <w:rsid w:val="001D786F"/>
    <w:rsid w:val="001D7E12"/>
    <w:rsid w:val="001E165B"/>
    <w:rsid w:val="001E274D"/>
    <w:rsid w:val="001E4909"/>
    <w:rsid w:val="001E76B8"/>
    <w:rsid w:val="001F1114"/>
    <w:rsid w:val="001F1AB7"/>
    <w:rsid w:val="001F6179"/>
    <w:rsid w:val="001F65EE"/>
    <w:rsid w:val="001F68B9"/>
    <w:rsid w:val="00202A08"/>
    <w:rsid w:val="002039C6"/>
    <w:rsid w:val="00205769"/>
    <w:rsid w:val="00207AAD"/>
    <w:rsid w:val="00212189"/>
    <w:rsid w:val="002128D3"/>
    <w:rsid w:val="002171AB"/>
    <w:rsid w:val="002204E3"/>
    <w:rsid w:val="002237A8"/>
    <w:rsid w:val="00224A43"/>
    <w:rsid w:val="00226CAA"/>
    <w:rsid w:val="002273E8"/>
    <w:rsid w:val="00231A13"/>
    <w:rsid w:val="00241D59"/>
    <w:rsid w:val="00242437"/>
    <w:rsid w:val="002443C3"/>
    <w:rsid w:val="00250E87"/>
    <w:rsid w:val="00251EC4"/>
    <w:rsid w:val="00253146"/>
    <w:rsid w:val="002531E1"/>
    <w:rsid w:val="00260B37"/>
    <w:rsid w:val="00264F21"/>
    <w:rsid w:val="00272830"/>
    <w:rsid w:val="00273CA0"/>
    <w:rsid w:val="00275760"/>
    <w:rsid w:val="0027753C"/>
    <w:rsid w:val="00277784"/>
    <w:rsid w:val="0028042C"/>
    <w:rsid w:val="002814A3"/>
    <w:rsid w:val="002820EE"/>
    <w:rsid w:val="00282FA7"/>
    <w:rsid w:val="002831C6"/>
    <w:rsid w:val="00285DF7"/>
    <w:rsid w:val="00286641"/>
    <w:rsid w:val="00286B56"/>
    <w:rsid w:val="00292AB4"/>
    <w:rsid w:val="00294626"/>
    <w:rsid w:val="00294FB1"/>
    <w:rsid w:val="002A0314"/>
    <w:rsid w:val="002A05E7"/>
    <w:rsid w:val="002A0D05"/>
    <w:rsid w:val="002A22BE"/>
    <w:rsid w:val="002A2D1A"/>
    <w:rsid w:val="002A3F38"/>
    <w:rsid w:val="002A7966"/>
    <w:rsid w:val="002B0CC9"/>
    <w:rsid w:val="002B2933"/>
    <w:rsid w:val="002B2DAA"/>
    <w:rsid w:val="002B349C"/>
    <w:rsid w:val="002B4199"/>
    <w:rsid w:val="002B4F71"/>
    <w:rsid w:val="002C30F7"/>
    <w:rsid w:val="002C38C3"/>
    <w:rsid w:val="002C593B"/>
    <w:rsid w:val="002C6A7B"/>
    <w:rsid w:val="002C752D"/>
    <w:rsid w:val="002D6153"/>
    <w:rsid w:val="002D6917"/>
    <w:rsid w:val="002E4ADF"/>
    <w:rsid w:val="002E51B0"/>
    <w:rsid w:val="002E5D22"/>
    <w:rsid w:val="002E7741"/>
    <w:rsid w:val="002F0664"/>
    <w:rsid w:val="002F4815"/>
    <w:rsid w:val="002F6645"/>
    <w:rsid w:val="002F788C"/>
    <w:rsid w:val="00301E6C"/>
    <w:rsid w:val="00302DDC"/>
    <w:rsid w:val="00304C7A"/>
    <w:rsid w:val="0031167C"/>
    <w:rsid w:val="00313807"/>
    <w:rsid w:val="00321C93"/>
    <w:rsid w:val="0032487B"/>
    <w:rsid w:val="00324BF5"/>
    <w:rsid w:val="003251E4"/>
    <w:rsid w:val="003307C6"/>
    <w:rsid w:val="00331147"/>
    <w:rsid w:val="003312F0"/>
    <w:rsid w:val="00331780"/>
    <w:rsid w:val="00342AAA"/>
    <w:rsid w:val="0034323B"/>
    <w:rsid w:val="003432BD"/>
    <w:rsid w:val="00343EDF"/>
    <w:rsid w:val="00344A5D"/>
    <w:rsid w:val="00347DF6"/>
    <w:rsid w:val="00351ED6"/>
    <w:rsid w:val="00355CD5"/>
    <w:rsid w:val="00357580"/>
    <w:rsid w:val="003602F8"/>
    <w:rsid w:val="003604EB"/>
    <w:rsid w:val="003608AD"/>
    <w:rsid w:val="003611BB"/>
    <w:rsid w:val="00361D03"/>
    <w:rsid w:val="003636A7"/>
    <w:rsid w:val="0036397C"/>
    <w:rsid w:val="003739CB"/>
    <w:rsid w:val="0037469E"/>
    <w:rsid w:val="003806E0"/>
    <w:rsid w:val="00383A05"/>
    <w:rsid w:val="00384865"/>
    <w:rsid w:val="00385122"/>
    <w:rsid w:val="00387116"/>
    <w:rsid w:val="0039081A"/>
    <w:rsid w:val="0039138A"/>
    <w:rsid w:val="003976F1"/>
    <w:rsid w:val="003A16DB"/>
    <w:rsid w:val="003A64F7"/>
    <w:rsid w:val="003B061E"/>
    <w:rsid w:val="003B25CF"/>
    <w:rsid w:val="003B2A2D"/>
    <w:rsid w:val="003B6E2B"/>
    <w:rsid w:val="003B7863"/>
    <w:rsid w:val="003C6751"/>
    <w:rsid w:val="003D5F24"/>
    <w:rsid w:val="003E0780"/>
    <w:rsid w:val="003E2C08"/>
    <w:rsid w:val="003E2C5F"/>
    <w:rsid w:val="003E3333"/>
    <w:rsid w:val="003E4F75"/>
    <w:rsid w:val="003E52F2"/>
    <w:rsid w:val="003E54F8"/>
    <w:rsid w:val="003E5FD4"/>
    <w:rsid w:val="003E7A35"/>
    <w:rsid w:val="003F03FD"/>
    <w:rsid w:val="003F17B7"/>
    <w:rsid w:val="003F5AC2"/>
    <w:rsid w:val="003F6664"/>
    <w:rsid w:val="003F7F71"/>
    <w:rsid w:val="004025FA"/>
    <w:rsid w:val="00403407"/>
    <w:rsid w:val="004043C3"/>
    <w:rsid w:val="00411A8C"/>
    <w:rsid w:val="00412499"/>
    <w:rsid w:val="00422252"/>
    <w:rsid w:val="00423F8E"/>
    <w:rsid w:val="004248FD"/>
    <w:rsid w:val="00425ECB"/>
    <w:rsid w:val="00427C47"/>
    <w:rsid w:val="00427D44"/>
    <w:rsid w:val="00427EF5"/>
    <w:rsid w:val="00437F9E"/>
    <w:rsid w:val="004403F8"/>
    <w:rsid w:val="00440763"/>
    <w:rsid w:val="00440776"/>
    <w:rsid w:val="00443818"/>
    <w:rsid w:val="00443ECE"/>
    <w:rsid w:val="00445672"/>
    <w:rsid w:val="00450DE0"/>
    <w:rsid w:val="00457A44"/>
    <w:rsid w:val="004617D7"/>
    <w:rsid w:val="00461F18"/>
    <w:rsid w:val="00463D12"/>
    <w:rsid w:val="004648E8"/>
    <w:rsid w:val="00465167"/>
    <w:rsid w:val="00465511"/>
    <w:rsid w:val="00466C3B"/>
    <w:rsid w:val="0046729C"/>
    <w:rsid w:val="00470B4C"/>
    <w:rsid w:val="00471B15"/>
    <w:rsid w:val="00473467"/>
    <w:rsid w:val="00474C92"/>
    <w:rsid w:val="00474E8B"/>
    <w:rsid w:val="00475614"/>
    <w:rsid w:val="004758B5"/>
    <w:rsid w:val="00476477"/>
    <w:rsid w:val="0047655E"/>
    <w:rsid w:val="004807FA"/>
    <w:rsid w:val="00483851"/>
    <w:rsid w:val="00491456"/>
    <w:rsid w:val="00491AAE"/>
    <w:rsid w:val="004920FE"/>
    <w:rsid w:val="004A044A"/>
    <w:rsid w:val="004A1746"/>
    <w:rsid w:val="004A374F"/>
    <w:rsid w:val="004A7ABB"/>
    <w:rsid w:val="004B2BC4"/>
    <w:rsid w:val="004B3F46"/>
    <w:rsid w:val="004B4E33"/>
    <w:rsid w:val="004B5312"/>
    <w:rsid w:val="004B5B8F"/>
    <w:rsid w:val="004C01E9"/>
    <w:rsid w:val="004C03B0"/>
    <w:rsid w:val="004C2BF6"/>
    <w:rsid w:val="004C4101"/>
    <w:rsid w:val="004E130D"/>
    <w:rsid w:val="004E4FD0"/>
    <w:rsid w:val="004E5945"/>
    <w:rsid w:val="004E625E"/>
    <w:rsid w:val="004E772A"/>
    <w:rsid w:val="004F7BBF"/>
    <w:rsid w:val="00500723"/>
    <w:rsid w:val="00501584"/>
    <w:rsid w:val="00501FE1"/>
    <w:rsid w:val="00502D1A"/>
    <w:rsid w:val="005061B4"/>
    <w:rsid w:val="005132EC"/>
    <w:rsid w:val="00522FC2"/>
    <w:rsid w:val="00523A2D"/>
    <w:rsid w:val="0052510F"/>
    <w:rsid w:val="005345E6"/>
    <w:rsid w:val="00534FCE"/>
    <w:rsid w:val="00536783"/>
    <w:rsid w:val="00537141"/>
    <w:rsid w:val="0053730A"/>
    <w:rsid w:val="00537651"/>
    <w:rsid w:val="00537AE6"/>
    <w:rsid w:val="00541712"/>
    <w:rsid w:val="00543385"/>
    <w:rsid w:val="00546791"/>
    <w:rsid w:val="00547C21"/>
    <w:rsid w:val="00550127"/>
    <w:rsid w:val="005506C7"/>
    <w:rsid w:val="0055243C"/>
    <w:rsid w:val="005538CA"/>
    <w:rsid w:val="00553E9C"/>
    <w:rsid w:val="00555946"/>
    <w:rsid w:val="00555F13"/>
    <w:rsid w:val="00557191"/>
    <w:rsid w:val="00557521"/>
    <w:rsid w:val="00557A7A"/>
    <w:rsid w:val="00561163"/>
    <w:rsid w:val="00561611"/>
    <w:rsid w:val="00563B31"/>
    <w:rsid w:val="00563E09"/>
    <w:rsid w:val="00567C79"/>
    <w:rsid w:val="00570B7B"/>
    <w:rsid w:val="005732F4"/>
    <w:rsid w:val="00573907"/>
    <w:rsid w:val="00577CA6"/>
    <w:rsid w:val="00582D9A"/>
    <w:rsid w:val="00583FE9"/>
    <w:rsid w:val="005923F7"/>
    <w:rsid w:val="00592BF7"/>
    <w:rsid w:val="005B4975"/>
    <w:rsid w:val="005B6C5B"/>
    <w:rsid w:val="005C0171"/>
    <w:rsid w:val="005C01F6"/>
    <w:rsid w:val="005C113D"/>
    <w:rsid w:val="005C13B6"/>
    <w:rsid w:val="005C3380"/>
    <w:rsid w:val="005C381C"/>
    <w:rsid w:val="005C6862"/>
    <w:rsid w:val="005C767C"/>
    <w:rsid w:val="005D1C4D"/>
    <w:rsid w:val="005D4571"/>
    <w:rsid w:val="005D47F2"/>
    <w:rsid w:val="005D4F24"/>
    <w:rsid w:val="005D5FA8"/>
    <w:rsid w:val="005D7BB2"/>
    <w:rsid w:val="005E0A2B"/>
    <w:rsid w:val="005E1D30"/>
    <w:rsid w:val="005E3FEA"/>
    <w:rsid w:val="005E63F8"/>
    <w:rsid w:val="005E6A55"/>
    <w:rsid w:val="005F6782"/>
    <w:rsid w:val="00600883"/>
    <w:rsid w:val="00602EF5"/>
    <w:rsid w:val="00606EB9"/>
    <w:rsid w:val="00607C0C"/>
    <w:rsid w:val="00610770"/>
    <w:rsid w:val="00621208"/>
    <w:rsid w:val="00624ACB"/>
    <w:rsid w:val="00626022"/>
    <w:rsid w:val="006265B6"/>
    <w:rsid w:val="0062667F"/>
    <w:rsid w:val="00637CD1"/>
    <w:rsid w:val="0064188D"/>
    <w:rsid w:val="00641D1E"/>
    <w:rsid w:val="00646D20"/>
    <w:rsid w:val="00647C46"/>
    <w:rsid w:val="006522A9"/>
    <w:rsid w:val="00657492"/>
    <w:rsid w:val="0066143B"/>
    <w:rsid w:val="0066148F"/>
    <w:rsid w:val="0066482D"/>
    <w:rsid w:val="00666F91"/>
    <w:rsid w:val="00667B60"/>
    <w:rsid w:val="00670F27"/>
    <w:rsid w:val="00675977"/>
    <w:rsid w:val="0068154E"/>
    <w:rsid w:val="006828E3"/>
    <w:rsid w:val="00685413"/>
    <w:rsid w:val="006924E7"/>
    <w:rsid w:val="0069327C"/>
    <w:rsid w:val="00693E56"/>
    <w:rsid w:val="00694700"/>
    <w:rsid w:val="00695A9A"/>
    <w:rsid w:val="00696D23"/>
    <w:rsid w:val="00697C44"/>
    <w:rsid w:val="00697C8F"/>
    <w:rsid w:val="006A42EB"/>
    <w:rsid w:val="006A7705"/>
    <w:rsid w:val="006B0441"/>
    <w:rsid w:val="006B370B"/>
    <w:rsid w:val="006B4001"/>
    <w:rsid w:val="006B59A3"/>
    <w:rsid w:val="006B66D3"/>
    <w:rsid w:val="006B7C10"/>
    <w:rsid w:val="006C5200"/>
    <w:rsid w:val="006C7C0F"/>
    <w:rsid w:val="006D19FA"/>
    <w:rsid w:val="006D1FDE"/>
    <w:rsid w:val="006D2927"/>
    <w:rsid w:val="006D35CA"/>
    <w:rsid w:val="006D4127"/>
    <w:rsid w:val="006D412B"/>
    <w:rsid w:val="006D5F4E"/>
    <w:rsid w:val="006D626E"/>
    <w:rsid w:val="006D7ED8"/>
    <w:rsid w:val="006E056F"/>
    <w:rsid w:val="006E37BA"/>
    <w:rsid w:val="006E4B67"/>
    <w:rsid w:val="006E6001"/>
    <w:rsid w:val="006F3755"/>
    <w:rsid w:val="006F3D11"/>
    <w:rsid w:val="006F7E13"/>
    <w:rsid w:val="00701554"/>
    <w:rsid w:val="007016F0"/>
    <w:rsid w:val="007045F5"/>
    <w:rsid w:val="0070572A"/>
    <w:rsid w:val="00705C37"/>
    <w:rsid w:val="007126BE"/>
    <w:rsid w:val="00714355"/>
    <w:rsid w:val="007144A4"/>
    <w:rsid w:val="00714DE9"/>
    <w:rsid w:val="007173F8"/>
    <w:rsid w:val="007200B6"/>
    <w:rsid w:val="00726AC1"/>
    <w:rsid w:val="007327EA"/>
    <w:rsid w:val="007352C0"/>
    <w:rsid w:val="0073731C"/>
    <w:rsid w:val="0074063A"/>
    <w:rsid w:val="00741740"/>
    <w:rsid w:val="00742DA5"/>
    <w:rsid w:val="00742FC7"/>
    <w:rsid w:val="007460FF"/>
    <w:rsid w:val="007462C4"/>
    <w:rsid w:val="00747E7E"/>
    <w:rsid w:val="0075015F"/>
    <w:rsid w:val="00752300"/>
    <w:rsid w:val="007536EB"/>
    <w:rsid w:val="00760DD3"/>
    <w:rsid w:val="00761BDD"/>
    <w:rsid w:val="0076516F"/>
    <w:rsid w:val="0077102D"/>
    <w:rsid w:val="00772432"/>
    <w:rsid w:val="007779D6"/>
    <w:rsid w:val="00780319"/>
    <w:rsid w:val="00780C7B"/>
    <w:rsid w:val="00781892"/>
    <w:rsid w:val="00783644"/>
    <w:rsid w:val="00783F30"/>
    <w:rsid w:val="007908B3"/>
    <w:rsid w:val="00793F78"/>
    <w:rsid w:val="00795B5F"/>
    <w:rsid w:val="00797BCF"/>
    <w:rsid w:val="007A4B0B"/>
    <w:rsid w:val="007B0909"/>
    <w:rsid w:val="007B3014"/>
    <w:rsid w:val="007B6B3B"/>
    <w:rsid w:val="007C080E"/>
    <w:rsid w:val="007C2197"/>
    <w:rsid w:val="007C3EC9"/>
    <w:rsid w:val="007D2CBF"/>
    <w:rsid w:val="007D3483"/>
    <w:rsid w:val="007D5495"/>
    <w:rsid w:val="007D5844"/>
    <w:rsid w:val="007E25EB"/>
    <w:rsid w:val="007E6C36"/>
    <w:rsid w:val="007E7B39"/>
    <w:rsid w:val="007F09AD"/>
    <w:rsid w:val="007F1AC3"/>
    <w:rsid w:val="007F2E9A"/>
    <w:rsid w:val="007F3BA2"/>
    <w:rsid w:val="007F465C"/>
    <w:rsid w:val="007F5DBE"/>
    <w:rsid w:val="00800814"/>
    <w:rsid w:val="00803239"/>
    <w:rsid w:val="00803B45"/>
    <w:rsid w:val="00805A0F"/>
    <w:rsid w:val="0081256A"/>
    <w:rsid w:val="00816915"/>
    <w:rsid w:val="0081716A"/>
    <w:rsid w:val="008200F7"/>
    <w:rsid w:val="008213C9"/>
    <w:rsid w:val="00833672"/>
    <w:rsid w:val="0084192E"/>
    <w:rsid w:val="00843562"/>
    <w:rsid w:val="00843CD3"/>
    <w:rsid w:val="00846142"/>
    <w:rsid w:val="00847452"/>
    <w:rsid w:val="00852C81"/>
    <w:rsid w:val="00852EDE"/>
    <w:rsid w:val="00853437"/>
    <w:rsid w:val="00856E11"/>
    <w:rsid w:val="00861605"/>
    <w:rsid w:val="0086188D"/>
    <w:rsid w:val="00861D87"/>
    <w:rsid w:val="00862CF1"/>
    <w:rsid w:val="0086376A"/>
    <w:rsid w:val="0086517B"/>
    <w:rsid w:val="008705C9"/>
    <w:rsid w:val="00875697"/>
    <w:rsid w:val="00876BC0"/>
    <w:rsid w:val="00880B38"/>
    <w:rsid w:val="0088182C"/>
    <w:rsid w:val="0089034C"/>
    <w:rsid w:val="008917BC"/>
    <w:rsid w:val="00891E9E"/>
    <w:rsid w:val="00892934"/>
    <w:rsid w:val="00893FE5"/>
    <w:rsid w:val="00895942"/>
    <w:rsid w:val="00896079"/>
    <w:rsid w:val="008A5037"/>
    <w:rsid w:val="008A5D8E"/>
    <w:rsid w:val="008A61D8"/>
    <w:rsid w:val="008A76DA"/>
    <w:rsid w:val="008A7B80"/>
    <w:rsid w:val="008B04C0"/>
    <w:rsid w:val="008B26E7"/>
    <w:rsid w:val="008B3636"/>
    <w:rsid w:val="008B6154"/>
    <w:rsid w:val="008B6EC7"/>
    <w:rsid w:val="008B7AD1"/>
    <w:rsid w:val="008C3B9F"/>
    <w:rsid w:val="008C505B"/>
    <w:rsid w:val="008C5239"/>
    <w:rsid w:val="008C6347"/>
    <w:rsid w:val="008D213D"/>
    <w:rsid w:val="008D2236"/>
    <w:rsid w:val="008D2573"/>
    <w:rsid w:val="008D2DDF"/>
    <w:rsid w:val="008E2402"/>
    <w:rsid w:val="008E645C"/>
    <w:rsid w:val="008F37D6"/>
    <w:rsid w:val="008F3B09"/>
    <w:rsid w:val="008F78E0"/>
    <w:rsid w:val="00900FAC"/>
    <w:rsid w:val="00902F07"/>
    <w:rsid w:val="00911B69"/>
    <w:rsid w:val="009155B6"/>
    <w:rsid w:val="00916AFD"/>
    <w:rsid w:val="00921C12"/>
    <w:rsid w:val="00925946"/>
    <w:rsid w:val="00933DAE"/>
    <w:rsid w:val="00934021"/>
    <w:rsid w:val="00937760"/>
    <w:rsid w:val="00937D82"/>
    <w:rsid w:val="0094145F"/>
    <w:rsid w:val="009415C0"/>
    <w:rsid w:val="009425C9"/>
    <w:rsid w:val="00943536"/>
    <w:rsid w:val="009452FC"/>
    <w:rsid w:val="00946EB4"/>
    <w:rsid w:val="00953A38"/>
    <w:rsid w:val="00953BA7"/>
    <w:rsid w:val="00961861"/>
    <w:rsid w:val="00961E40"/>
    <w:rsid w:val="00962762"/>
    <w:rsid w:val="009635D8"/>
    <w:rsid w:val="00963675"/>
    <w:rsid w:val="00965FDC"/>
    <w:rsid w:val="00972319"/>
    <w:rsid w:val="00972669"/>
    <w:rsid w:val="00973F6A"/>
    <w:rsid w:val="00983391"/>
    <w:rsid w:val="00984B95"/>
    <w:rsid w:val="00985BD7"/>
    <w:rsid w:val="009868B4"/>
    <w:rsid w:val="0099171D"/>
    <w:rsid w:val="009941D1"/>
    <w:rsid w:val="00994AA1"/>
    <w:rsid w:val="00997758"/>
    <w:rsid w:val="009A12B3"/>
    <w:rsid w:val="009A4CF1"/>
    <w:rsid w:val="009A6927"/>
    <w:rsid w:val="009B14C9"/>
    <w:rsid w:val="009B159F"/>
    <w:rsid w:val="009B42D6"/>
    <w:rsid w:val="009B47FD"/>
    <w:rsid w:val="009B511D"/>
    <w:rsid w:val="009B66F0"/>
    <w:rsid w:val="009B7592"/>
    <w:rsid w:val="009C00D5"/>
    <w:rsid w:val="009C53D7"/>
    <w:rsid w:val="009C590D"/>
    <w:rsid w:val="009D065F"/>
    <w:rsid w:val="009D0B7D"/>
    <w:rsid w:val="009D231F"/>
    <w:rsid w:val="009D3DAD"/>
    <w:rsid w:val="009E1465"/>
    <w:rsid w:val="009E1D79"/>
    <w:rsid w:val="009E1EC5"/>
    <w:rsid w:val="009E272F"/>
    <w:rsid w:val="009E29D9"/>
    <w:rsid w:val="009E3E9F"/>
    <w:rsid w:val="009E637C"/>
    <w:rsid w:val="009E6794"/>
    <w:rsid w:val="009F40A8"/>
    <w:rsid w:val="009F4793"/>
    <w:rsid w:val="009F6F12"/>
    <w:rsid w:val="00A00570"/>
    <w:rsid w:val="00A01862"/>
    <w:rsid w:val="00A10245"/>
    <w:rsid w:val="00A116D9"/>
    <w:rsid w:val="00A11A57"/>
    <w:rsid w:val="00A125BC"/>
    <w:rsid w:val="00A13933"/>
    <w:rsid w:val="00A14836"/>
    <w:rsid w:val="00A14DDC"/>
    <w:rsid w:val="00A2234D"/>
    <w:rsid w:val="00A303DE"/>
    <w:rsid w:val="00A30846"/>
    <w:rsid w:val="00A30D3D"/>
    <w:rsid w:val="00A30FB8"/>
    <w:rsid w:val="00A33D26"/>
    <w:rsid w:val="00A4312C"/>
    <w:rsid w:val="00A44ED3"/>
    <w:rsid w:val="00A4507D"/>
    <w:rsid w:val="00A451B0"/>
    <w:rsid w:val="00A46D21"/>
    <w:rsid w:val="00A51D66"/>
    <w:rsid w:val="00A532DA"/>
    <w:rsid w:val="00A533F2"/>
    <w:rsid w:val="00A62692"/>
    <w:rsid w:val="00A64A73"/>
    <w:rsid w:val="00A6503C"/>
    <w:rsid w:val="00A6511B"/>
    <w:rsid w:val="00A670D2"/>
    <w:rsid w:val="00A70BAC"/>
    <w:rsid w:val="00A731A5"/>
    <w:rsid w:val="00A7622F"/>
    <w:rsid w:val="00A76D8A"/>
    <w:rsid w:val="00A77F51"/>
    <w:rsid w:val="00A82418"/>
    <w:rsid w:val="00A87656"/>
    <w:rsid w:val="00A90D2D"/>
    <w:rsid w:val="00A93BD4"/>
    <w:rsid w:val="00A95912"/>
    <w:rsid w:val="00A96397"/>
    <w:rsid w:val="00A96AEF"/>
    <w:rsid w:val="00AA3BAA"/>
    <w:rsid w:val="00AB2255"/>
    <w:rsid w:val="00AB51DB"/>
    <w:rsid w:val="00AB6232"/>
    <w:rsid w:val="00AC1CD6"/>
    <w:rsid w:val="00AC725F"/>
    <w:rsid w:val="00AD0550"/>
    <w:rsid w:val="00AD0DF6"/>
    <w:rsid w:val="00AD798F"/>
    <w:rsid w:val="00AE3B22"/>
    <w:rsid w:val="00AE3ED0"/>
    <w:rsid w:val="00AE4A02"/>
    <w:rsid w:val="00AF386C"/>
    <w:rsid w:val="00AF4F1C"/>
    <w:rsid w:val="00AF70AE"/>
    <w:rsid w:val="00AF72E2"/>
    <w:rsid w:val="00AF7535"/>
    <w:rsid w:val="00AF7E62"/>
    <w:rsid w:val="00AF7F2B"/>
    <w:rsid w:val="00B03D05"/>
    <w:rsid w:val="00B06B51"/>
    <w:rsid w:val="00B10439"/>
    <w:rsid w:val="00B11F50"/>
    <w:rsid w:val="00B12FCA"/>
    <w:rsid w:val="00B1405A"/>
    <w:rsid w:val="00B150B1"/>
    <w:rsid w:val="00B153FE"/>
    <w:rsid w:val="00B23E1B"/>
    <w:rsid w:val="00B25C47"/>
    <w:rsid w:val="00B2611A"/>
    <w:rsid w:val="00B268A9"/>
    <w:rsid w:val="00B31511"/>
    <w:rsid w:val="00B323D4"/>
    <w:rsid w:val="00B365DB"/>
    <w:rsid w:val="00B46A86"/>
    <w:rsid w:val="00B47E52"/>
    <w:rsid w:val="00B5046B"/>
    <w:rsid w:val="00B507CE"/>
    <w:rsid w:val="00B50BAB"/>
    <w:rsid w:val="00B5428A"/>
    <w:rsid w:val="00B609D3"/>
    <w:rsid w:val="00B60F99"/>
    <w:rsid w:val="00B66364"/>
    <w:rsid w:val="00B673B0"/>
    <w:rsid w:val="00B718E9"/>
    <w:rsid w:val="00B7250A"/>
    <w:rsid w:val="00B76F88"/>
    <w:rsid w:val="00B812F4"/>
    <w:rsid w:val="00B8541C"/>
    <w:rsid w:val="00B86198"/>
    <w:rsid w:val="00B86389"/>
    <w:rsid w:val="00B864DD"/>
    <w:rsid w:val="00B9031F"/>
    <w:rsid w:val="00B93217"/>
    <w:rsid w:val="00B938B7"/>
    <w:rsid w:val="00B94D7A"/>
    <w:rsid w:val="00B94D87"/>
    <w:rsid w:val="00BA3150"/>
    <w:rsid w:val="00BA37BA"/>
    <w:rsid w:val="00BA4052"/>
    <w:rsid w:val="00BB1069"/>
    <w:rsid w:val="00BB20A8"/>
    <w:rsid w:val="00BB3FD1"/>
    <w:rsid w:val="00BB5E38"/>
    <w:rsid w:val="00BB63BA"/>
    <w:rsid w:val="00BC5244"/>
    <w:rsid w:val="00BC5BEC"/>
    <w:rsid w:val="00BD0686"/>
    <w:rsid w:val="00BD1D84"/>
    <w:rsid w:val="00BD2DC1"/>
    <w:rsid w:val="00BE2B55"/>
    <w:rsid w:val="00BE629E"/>
    <w:rsid w:val="00BE6F01"/>
    <w:rsid w:val="00BF6048"/>
    <w:rsid w:val="00BF7F73"/>
    <w:rsid w:val="00C00DA7"/>
    <w:rsid w:val="00C0322A"/>
    <w:rsid w:val="00C10ED6"/>
    <w:rsid w:val="00C112A2"/>
    <w:rsid w:val="00C15C90"/>
    <w:rsid w:val="00C231E1"/>
    <w:rsid w:val="00C23F8D"/>
    <w:rsid w:val="00C248D4"/>
    <w:rsid w:val="00C258E6"/>
    <w:rsid w:val="00C31809"/>
    <w:rsid w:val="00C32C15"/>
    <w:rsid w:val="00C33FFE"/>
    <w:rsid w:val="00C34527"/>
    <w:rsid w:val="00C36339"/>
    <w:rsid w:val="00C36660"/>
    <w:rsid w:val="00C36C51"/>
    <w:rsid w:val="00C42FBF"/>
    <w:rsid w:val="00C43694"/>
    <w:rsid w:val="00C47BDB"/>
    <w:rsid w:val="00C53989"/>
    <w:rsid w:val="00C54430"/>
    <w:rsid w:val="00C55BCB"/>
    <w:rsid w:val="00C56995"/>
    <w:rsid w:val="00C57597"/>
    <w:rsid w:val="00C602E4"/>
    <w:rsid w:val="00C65D4B"/>
    <w:rsid w:val="00C67C16"/>
    <w:rsid w:val="00C849B2"/>
    <w:rsid w:val="00C85711"/>
    <w:rsid w:val="00C92119"/>
    <w:rsid w:val="00C95421"/>
    <w:rsid w:val="00C9768A"/>
    <w:rsid w:val="00CA0832"/>
    <w:rsid w:val="00CA2FB4"/>
    <w:rsid w:val="00CA3D8A"/>
    <w:rsid w:val="00CA6648"/>
    <w:rsid w:val="00CB0253"/>
    <w:rsid w:val="00CB3512"/>
    <w:rsid w:val="00CB47B7"/>
    <w:rsid w:val="00CB4C01"/>
    <w:rsid w:val="00CB5F9F"/>
    <w:rsid w:val="00CB68B7"/>
    <w:rsid w:val="00CC18B2"/>
    <w:rsid w:val="00CC3A09"/>
    <w:rsid w:val="00CC680C"/>
    <w:rsid w:val="00CD0B91"/>
    <w:rsid w:val="00CD238A"/>
    <w:rsid w:val="00CD366C"/>
    <w:rsid w:val="00CD7013"/>
    <w:rsid w:val="00CE057C"/>
    <w:rsid w:val="00CE10BC"/>
    <w:rsid w:val="00CE19C8"/>
    <w:rsid w:val="00CE3567"/>
    <w:rsid w:val="00CE530D"/>
    <w:rsid w:val="00CF0607"/>
    <w:rsid w:val="00CF0E4F"/>
    <w:rsid w:val="00CF4B55"/>
    <w:rsid w:val="00CF517E"/>
    <w:rsid w:val="00CF630D"/>
    <w:rsid w:val="00CF7280"/>
    <w:rsid w:val="00D02BF0"/>
    <w:rsid w:val="00D10BEC"/>
    <w:rsid w:val="00D12474"/>
    <w:rsid w:val="00D13114"/>
    <w:rsid w:val="00D14237"/>
    <w:rsid w:val="00D21AA8"/>
    <w:rsid w:val="00D21B7F"/>
    <w:rsid w:val="00D24497"/>
    <w:rsid w:val="00D246E0"/>
    <w:rsid w:val="00D24783"/>
    <w:rsid w:val="00D27A56"/>
    <w:rsid w:val="00D31334"/>
    <w:rsid w:val="00D353F5"/>
    <w:rsid w:val="00D35A63"/>
    <w:rsid w:val="00D40781"/>
    <w:rsid w:val="00D421B7"/>
    <w:rsid w:val="00D425B3"/>
    <w:rsid w:val="00D42D5D"/>
    <w:rsid w:val="00D43B62"/>
    <w:rsid w:val="00D4629D"/>
    <w:rsid w:val="00D46B46"/>
    <w:rsid w:val="00D47549"/>
    <w:rsid w:val="00D51A1B"/>
    <w:rsid w:val="00D52451"/>
    <w:rsid w:val="00D540E2"/>
    <w:rsid w:val="00D56B30"/>
    <w:rsid w:val="00D5791E"/>
    <w:rsid w:val="00D63038"/>
    <w:rsid w:val="00D66170"/>
    <w:rsid w:val="00D73BF8"/>
    <w:rsid w:val="00D73FCE"/>
    <w:rsid w:val="00D80F1F"/>
    <w:rsid w:val="00D815C4"/>
    <w:rsid w:val="00D82B34"/>
    <w:rsid w:val="00D8317E"/>
    <w:rsid w:val="00D83507"/>
    <w:rsid w:val="00D83C9E"/>
    <w:rsid w:val="00D85192"/>
    <w:rsid w:val="00D865FE"/>
    <w:rsid w:val="00D91922"/>
    <w:rsid w:val="00D9418B"/>
    <w:rsid w:val="00DA3762"/>
    <w:rsid w:val="00DA7696"/>
    <w:rsid w:val="00DB00DD"/>
    <w:rsid w:val="00DB170E"/>
    <w:rsid w:val="00DB34A4"/>
    <w:rsid w:val="00DB6667"/>
    <w:rsid w:val="00DC00E9"/>
    <w:rsid w:val="00DC20BE"/>
    <w:rsid w:val="00DC6696"/>
    <w:rsid w:val="00DD008B"/>
    <w:rsid w:val="00DD383B"/>
    <w:rsid w:val="00DD701D"/>
    <w:rsid w:val="00DE1B57"/>
    <w:rsid w:val="00DE4339"/>
    <w:rsid w:val="00DF0991"/>
    <w:rsid w:val="00DF3CA9"/>
    <w:rsid w:val="00DF4B72"/>
    <w:rsid w:val="00DF6AFE"/>
    <w:rsid w:val="00E02BCD"/>
    <w:rsid w:val="00E13619"/>
    <w:rsid w:val="00E13757"/>
    <w:rsid w:val="00E17AF0"/>
    <w:rsid w:val="00E17F80"/>
    <w:rsid w:val="00E22D93"/>
    <w:rsid w:val="00E2579A"/>
    <w:rsid w:val="00E2588D"/>
    <w:rsid w:val="00E33FF3"/>
    <w:rsid w:val="00E34C06"/>
    <w:rsid w:val="00E35520"/>
    <w:rsid w:val="00E36C01"/>
    <w:rsid w:val="00E377D7"/>
    <w:rsid w:val="00E411AB"/>
    <w:rsid w:val="00E41204"/>
    <w:rsid w:val="00E41E0D"/>
    <w:rsid w:val="00E43BBC"/>
    <w:rsid w:val="00E458E8"/>
    <w:rsid w:val="00E47795"/>
    <w:rsid w:val="00E51D86"/>
    <w:rsid w:val="00E51F20"/>
    <w:rsid w:val="00E565CA"/>
    <w:rsid w:val="00E62D36"/>
    <w:rsid w:val="00E63686"/>
    <w:rsid w:val="00E63863"/>
    <w:rsid w:val="00E66245"/>
    <w:rsid w:val="00E6631C"/>
    <w:rsid w:val="00E66C89"/>
    <w:rsid w:val="00E707B2"/>
    <w:rsid w:val="00E70F12"/>
    <w:rsid w:val="00E73751"/>
    <w:rsid w:val="00E772C7"/>
    <w:rsid w:val="00E77F13"/>
    <w:rsid w:val="00E81E96"/>
    <w:rsid w:val="00E84A12"/>
    <w:rsid w:val="00E857BC"/>
    <w:rsid w:val="00E8734E"/>
    <w:rsid w:val="00E9132B"/>
    <w:rsid w:val="00E91E65"/>
    <w:rsid w:val="00E9565A"/>
    <w:rsid w:val="00E974A1"/>
    <w:rsid w:val="00EA0D35"/>
    <w:rsid w:val="00EA2299"/>
    <w:rsid w:val="00EA5729"/>
    <w:rsid w:val="00EB0FAC"/>
    <w:rsid w:val="00EB2BBB"/>
    <w:rsid w:val="00EB4A82"/>
    <w:rsid w:val="00EC0FB7"/>
    <w:rsid w:val="00EC3A97"/>
    <w:rsid w:val="00EC4E24"/>
    <w:rsid w:val="00EC5AA3"/>
    <w:rsid w:val="00EC7A28"/>
    <w:rsid w:val="00ED03C1"/>
    <w:rsid w:val="00ED0814"/>
    <w:rsid w:val="00ED7B9D"/>
    <w:rsid w:val="00EE446B"/>
    <w:rsid w:val="00EE7D06"/>
    <w:rsid w:val="00EF04E7"/>
    <w:rsid w:val="00EF1459"/>
    <w:rsid w:val="00EF1D99"/>
    <w:rsid w:val="00EF213C"/>
    <w:rsid w:val="00EF3566"/>
    <w:rsid w:val="00EF717C"/>
    <w:rsid w:val="00EF74A6"/>
    <w:rsid w:val="00F01D6D"/>
    <w:rsid w:val="00F03CA0"/>
    <w:rsid w:val="00F04CC6"/>
    <w:rsid w:val="00F0786F"/>
    <w:rsid w:val="00F131F4"/>
    <w:rsid w:val="00F13A8C"/>
    <w:rsid w:val="00F162F6"/>
    <w:rsid w:val="00F16784"/>
    <w:rsid w:val="00F20754"/>
    <w:rsid w:val="00F26203"/>
    <w:rsid w:val="00F26910"/>
    <w:rsid w:val="00F271E4"/>
    <w:rsid w:val="00F317AB"/>
    <w:rsid w:val="00F32C07"/>
    <w:rsid w:val="00F33058"/>
    <w:rsid w:val="00F34E44"/>
    <w:rsid w:val="00F379D1"/>
    <w:rsid w:val="00F41BA2"/>
    <w:rsid w:val="00F42F64"/>
    <w:rsid w:val="00F4422A"/>
    <w:rsid w:val="00F44D9F"/>
    <w:rsid w:val="00F45325"/>
    <w:rsid w:val="00F45E5A"/>
    <w:rsid w:val="00F503B2"/>
    <w:rsid w:val="00F514A6"/>
    <w:rsid w:val="00F52AEC"/>
    <w:rsid w:val="00F52B56"/>
    <w:rsid w:val="00F52CA7"/>
    <w:rsid w:val="00F542B3"/>
    <w:rsid w:val="00F54B1F"/>
    <w:rsid w:val="00F56532"/>
    <w:rsid w:val="00F62CB1"/>
    <w:rsid w:val="00F662ED"/>
    <w:rsid w:val="00F668DA"/>
    <w:rsid w:val="00F759F7"/>
    <w:rsid w:val="00F766D8"/>
    <w:rsid w:val="00F77637"/>
    <w:rsid w:val="00F80429"/>
    <w:rsid w:val="00F839BA"/>
    <w:rsid w:val="00F8459C"/>
    <w:rsid w:val="00F85FCC"/>
    <w:rsid w:val="00F90E7F"/>
    <w:rsid w:val="00F90FC4"/>
    <w:rsid w:val="00F91DC1"/>
    <w:rsid w:val="00F92FA9"/>
    <w:rsid w:val="00F933D1"/>
    <w:rsid w:val="00F94EA3"/>
    <w:rsid w:val="00F96F7D"/>
    <w:rsid w:val="00F97693"/>
    <w:rsid w:val="00FA1536"/>
    <w:rsid w:val="00FA23D5"/>
    <w:rsid w:val="00FA360C"/>
    <w:rsid w:val="00FB0E27"/>
    <w:rsid w:val="00FB1AC0"/>
    <w:rsid w:val="00FB1DFC"/>
    <w:rsid w:val="00FB48FF"/>
    <w:rsid w:val="00FB56F0"/>
    <w:rsid w:val="00FB6587"/>
    <w:rsid w:val="00FB66D1"/>
    <w:rsid w:val="00FC3033"/>
    <w:rsid w:val="00FC69F3"/>
    <w:rsid w:val="00FC7136"/>
    <w:rsid w:val="00FD29EE"/>
    <w:rsid w:val="00FD3C9E"/>
    <w:rsid w:val="00FD61DC"/>
    <w:rsid w:val="00FE03EF"/>
    <w:rsid w:val="00FE5D7C"/>
    <w:rsid w:val="00FE669E"/>
    <w:rsid w:val="00FF0E8C"/>
    <w:rsid w:val="00FF1AEC"/>
    <w:rsid w:val="00FF44C8"/>
    <w:rsid w:val="00FF4765"/>
    <w:rsid w:val="00FF4D58"/>
    <w:rsid w:val="00FF68C2"/>
    <w:rsid w:val="2021D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7C36C"/>
  <w15:chartTrackingRefBased/>
  <w15:docId w15:val="{8ACB5ADC-A237-4E3E-B1EB-2253D583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Bullet Points,Colorful List - Accent 11,Dot pt,F5 List Paragraph,Indicator Text,List Paragraph Char Char Char,List Paragraph1,List Paragraph11,List Paragraph2,MAIN CONTENT,No Spacing1,Numbered Para 1,Párrafo de lista,Recommendation"/>
    <w:basedOn w:val="Normal"/>
    <w:link w:val="ListParagraphChar"/>
    <w:uiPriority w:val="34"/>
    <w:qFormat/>
    <w:rsid w:val="00EC0FB7"/>
    <w:pPr>
      <w:ind w:left="720"/>
      <w:contextualSpacing/>
    </w:pPr>
  </w:style>
  <w:style w:type="character" w:styleId="CommentReference">
    <w:name w:val="annotation reference"/>
    <w:basedOn w:val="DefaultParagraphFont"/>
    <w:uiPriority w:val="99"/>
    <w:semiHidden/>
    <w:unhideWhenUsed/>
    <w:rsid w:val="00536783"/>
    <w:rPr>
      <w:sz w:val="16"/>
      <w:szCs w:val="16"/>
    </w:rPr>
  </w:style>
  <w:style w:type="paragraph" w:styleId="CommentText">
    <w:name w:val="annotation text"/>
    <w:basedOn w:val="Normal"/>
    <w:link w:val="CommentTextChar"/>
    <w:uiPriority w:val="99"/>
    <w:unhideWhenUsed/>
    <w:rsid w:val="00536783"/>
    <w:pPr>
      <w:spacing w:line="240" w:lineRule="auto"/>
    </w:pPr>
    <w:rPr>
      <w:sz w:val="20"/>
      <w:szCs w:val="20"/>
    </w:rPr>
  </w:style>
  <w:style w:type="character" w:customStyle="1" w:styleId="CommentTextChar">
    <w:name w:val="Comment Text Char"/>
    <w:basedOn w:val="DefaultParagraphFont"/>
    <w:link w:val="CommentText"/>
    <w:uiPriority w:val="99"/>
    <w:rsid w:val="00536783"/>
    <w:rPr>
      <w:sz w:val="20"/>
      <w:szCs w:val="20"/>
    </w:rPr>
  </w:style>
  <w:style w:type="paragraph" w:styleId="CommentSubject">
    <w:name w:val="annotation subject"/>
    <w:basedOn w:val="CommentText"/>
    <w:next w:val="CommentText"/>
    <w:link w:val="CommentSubjectChar"/>
    <w:uiPriority w:val="99"/>
    <w:semiHidden/>
    <w:unhideWhenUsed/>
    <w:rsid w:val="00536783"/>
    <w:rPr>
      <w:b/>
      <w:bCs/>
    </w:rPr>
  </w:style>
  <w:style w:type="character" w:customStyle="1" w:styleId="CommentSubjectChar">
    <w:name w:val="Comment Subject Char"/>
    <w:basedOn w:val="CommentTextChar"/>
    <w:link w:val="CommentSubject"/>
    <w:uiPriority w:val="99"/>
    <w:semiHidden/>
    <w:rsid w:val="00536783"/>
    <w:rPr>
      <w:b/>
      <w:bCs/>
      <w:sz w:val="20"/>
      <w:szCs w:val="20"/>
    </w:rPr>
  </w:style>
  <w:style w:type="paragraph" w:styleId="BalloonText">
    <w:name w:val="Balloon Text"/>
    <w:basedOn w:val="Normal"/>
    <w:link w:val="BalloonTextChar"/>
    <w:uiPriority w:val="99"/>
    <w:semiHidden/>
    <w:unhideWhenUsed/>
    <w:rsid w:val="00536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783"/>
    <w:rPr>
      <w:rFonts w:ascii="Segoe UI" w:hAnsi="Segoe UI" w:cs="Segoe UI"/>
      <w:sz w:val="18"/>
      <w:szCs w:val="18"/>
    </w:rPr>
  </w:style>
  <w:style w:type="character" w:styleId="Hyperlink">
    <w:name w:val="Hyperlink"/>
    <w:basedOn w:val="DefaultParagraphFont"/>
    <w:uiPriority w:val="99"/>
    <w:unhideWhenUsed/>
    <w:rsid w:val="00BB1069"/>
    <w:rPr>
      <w:color w:val="0563C1" w:themeColor="hyperlink"/>
      <w:u w:val="single"/>
    </w:rPr>
  </w:style>
  <w:style w:type="character" w:styleId="UnresolvedMention">
    <w:name w:val="Unresolved Mention"/>
    <w:basedOn w:val="DefaultParagraphFont"/>
    <w:uiPriority w:val="99"/>
    <w:semiHidden/>
    <w:unhideWhenUsed/>
    <w:rsid w:val="00BB1069"/>
    <w:rPr>
      <w:color w:val="605E5C"/>
      <w:shd w:val="clear" w:color="auto" w:fill="E1DFDD"/>
    </w:rPr>
  </w:style>
  <w:style w:type="character" w:customStyle="1" w:styleId="ListParagraphChar">
    <w:name w:val="List Paragraph Char"/>
    <w:aliases w:val="Bullet Char,Bullet Points Char,Colorful List - Accent 11 Char,Dot pt Char,F5 List Paragraph Char,Indicator Text Char,List Paragraph Char Char Char Char,List Paragraph1 Char,List Paragraph11 Char,List Paragraph2 Char,MAIN CONTENT Char"/>
    <w:basedOn w:val="DefaultParagraphFont"/>
    <w:link w:val="ListParagraph"/>
    <w:uiPriority w:val="34"/>
    <w:qFormat/>
    <w:locked/>
    <w:rsid w:val="006B0441"/>
  </w:style>
  <w:style w:type="paragraph" w:styleId="NormalWeb">
    <w:name w:val="Normal (Web)"/>
    <w:basedOn w:val="Normal"/>
    <w:uiPriority w:val="99"/>
    <w:semiHidden/>
    <w:unhideWhenUsed/>
    <w:rsid w:val="00F03C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726AC1"/>
    <w:pPr>
      <w:spacing w:after="0" w:line="240" w:lineRule="auto"/>
    </w:pPr>
  </w:style>
  <w:style w:type="character" w:styleId="FollowedHyperlink">
    <w:name w:val="FollowedHyperlink"/>
    <w:basedOn w:val="DefaultParagraphFont"/>
    <w:uiPriority w:val="99"/>
    <w:semiHidden/>
    <w:unhideWhenUsed/>
    <w:rsid w:val="00361D03"/>
    <w:rPr>
      <w:color w:val="954F72" w:themeColor="followedHyperlink"/>
      <w:u w:val="single"/>
    </w:rPr>
  </w:style>
  <w:style w:type="table" w:styleId="TableGrid">
    <w:name w:val="Table Grid"/>
    <w:basedOn w:val="TableNormal"/>
    <w:uiPriority w:val="59"/>
    <w:rsid w:val="00557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C79"/>
  </w:style>
  <w:style w:type="paragraph" w:styleId="Footer">
    <w:name w:val="footer"/>
    <w:basedOn w:val="Normal"/>
    <w:link w:val="FooterChar"/>
    <w:uiPriority w:val="99"/>
    <w:unhideWhenUsed/>
    <w:rsid w:val="00567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C79"/>
  </w:style>
  <w:style w:type="paragraph" w:customStyle="1" w:styleId="ShortT">
    <w:name w:val="ShortT"/>
    <w:basedOn w:val="Normal"/>
    <w:next w:val="Normal"/>
    <w:qFormat/>
    <w:rsid w:val="00A70BAC"/>
    <w:pPr>
      <w:spacing w:line="254" w:lineRule="auto"/>
    </w:pPr>
  </w:style>
  <w:style w:type="paragraph" w:customStyle="1" w:styleId="SignCoverPageEnd">
    <w:name w:val="SignCoverPageEnd"/>
    <w:basedOn w:val="Normal"/>
    <w:next w:val="Normal"/>
    <w:rsid w:val="00A70BAC"/>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A70BAC"/>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70BAC"/>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A70BA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A70BA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A70BAC"/>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styleId="Mention">
    <w:name w:val="Mention"/>
    <w:basedOn w:val="DefaultParagraphFont"/>
    <w:uiPriority w:val="99"/>
    <w:unhideWhenUsed/>
    <w:rsid w:val="00697C8F"/>
    <w:rPr>
      <w:color w:val="2B579A"/>
      <w:shd w:val="clear" w:color="auto" w:fill="E1DFDD"/>
    </w:rPr>
  </w:style>
  <w:style w:type="paragraph" w:styleId="TOC5">
    <w:name w:val="toc 5"/>
    <w:basedOn w:val="Normal"/>
    <w:next w:val="Normal"/>
    <w:autoRedefine/>
    <w:uiPriority w:val="39"/>
    <w:unhideWhenUsed/>
    <w:rsid w:val="001810F1"/>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eastAsia="en-AU"/>
    </w:rPr>
  </w:style>
  <w:style w:type="paragraph" w:styleId="TOC6">
    <w:name w:val="toc 6"/>
    <w:basedOn w:val="Normal"/>
    <w:next w:val="Normal"/>
    <w:autoRedefine/>
    <w:uiPriority w:val="39"/>
    <w:unhideWhenUsed/>
    <w:rsid w:val="001810F1"/>
    <w:pPr>
      <w:keepLines/>
      <w:tabs>
        <w:tab w:val="right" w:pos="8278"/>
      </w:tabs>
      <w:spacing w:before="120" w:after="0" w:line="240" w:lineRule="auto"/>
      <w:ind w:left="1344" w:right="567" w:hanging="1344"/>
    </w:pPr>
    <w:rPr>
      <w:rFonts w:ascii="Times New Roman" w:eastAsia="Times New Roman" w:hAnsi="Times New Roman" w:cs="Times New Roman"/>
      <w:b/>
      <w:kern w:val="28"/>
      <w:sz w:val="24"/>
      <w:szCs w:val="20"/>
      <w:lang w:eastAsia="en-AU"/>
    </w:rPr>
  </w:style>
  <w:style w:type="paragraph" w:styleId="TOC9">
    <w:name w:val="toc 9"/>
    <w:basedOn w:val="Normal"/>
    <w:next w:val="Normal"/>
    <w:autoRedefine/>
    <w:uiPriority w:val="39"/>
    <w:semiHidden/>
    <w:unhideWhenUsed/>
    <w:rsid w:val="001810F1"/>
    <w:pPr>
      <w:keepLines/>
      <w:tabs>
        <w:tab w:val="right" w:pos="8278"/>
      </w:tabs>
      <w:spacing w:before="80" w:after="0" w:line="240" w:lineRule="auto"/>
      <w:ind w:left="851" w:right="567"/>
    </w:pPr>
    <w:rPr>
      <w:rFonts w:ascii="Times New Roman" w:eastAsia="Times New Roman" w:hAnsi="Times New Roman" w:cs="Times New Roman"/>
      <w:i/>
      <w:kern w:val="28"/>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6651">
      <w:bodyDiv w:val="1"/>
      <w:marLeft w:val="0"/>
      <w:marRight w:val="0"/>
      <w:marTop w:val="0"/>
      <w:marBottom w:val="0"/>
      <w:divBdr>
        <w:top w:val="none" w:sz="0" w:space="0" w:color="auto"/>
        <w:left w:val="none" w:sz="0" w:space="0" w:color="auto"/>
        <w:bottom w:val="none" w:sz="0" w:space="0" w:color="auto"/>
        <w:right w:val="none" w:sz="0" w:space="0" w:color="auto"/>
      </w:divBdr>
    </w:div>
    <w:div w:id="159077598">
      <w:bodyDiv w:val="1"/>
      <w:marLeft w:val="0"/>
      <w:marRight w:val="0"/>
      <w:marTop w:val="0"/>
      <w:marBottom w:val="0"/>
      <w:divBdr>
        <w:top w:val="none" w:sz="0" w:space="0" w:color="auto"/>
        <w:left w:val="none" w:sz="0" w:space="0" w:color="auto"/>
        <w:bottom w:val="none" w:sz="0" w:space="0" w:color="auto"/>
        <w:right w:val="none" w:sz="0" w:space="0" w:color="auto"/>
      </w:divBdr>
    </w:div>
    <w:div w:id="256183669">
      <w:bodyDiv w:val="1"/>
      <w:marLeft w:val="0"/>
      <w:marRight w:val="0"/>
      <w:marTop w:val="0"/>
      <w:marBottom w:val="0"/>
      <w:divBdr>
        <w:top w:val="none" w:sz="0" w:space="0" w:color="auto"/>
        <w:left w:val="none" w:sz="0" w:space="0" w:color="auto"/>
        <w:bottom w:val="none" w:sz="0" w:space="0" w:color="auto"/>
        <w:right w:val="none" w:sz="0" w:space="0" w:color="auto"/>
      </w:divBdr>
    </w:div>
    <w:div w:id="257325052">
      <w:bodyDiv w:val="1"/>
      <w:marLeft w:val="0"/>
      <w:marRight w:val="0"/>
      <w:marTop w:val="0"/>
      <w:marBottom w:val="0"/>
      <w:divBdr>
        <w:top w:val="none" w:sz="0" w:space="0" w:color="auto"/>
        <w:left w:val="none" w:sz="0" w:space="0" w:color="auto"/>
        <w:bottom w:val="none" w:sz="0" w:space="0" w:color="auto"/>
        <w:right w:val="none" w:sz="0" w:space="0" w:color="auto"/>
      </w:divBdr>
    </w:div>
    <w:div w:id="270863588">
      <w:bodyDiv w:val="1"/>
      <w:marLeft w:val="0"/>
      <w:marRight w:val="0"/>
      <w:marTop w:val="0"/>
      <w:marBottom w:val="0"/>
      <w:divBdr>
        <w:top w:val="none" w:sz="0" w:space="0" w:color="auto"/>
        <w:left w:val="none" w:sz="0" w:space="0" w:color="auto"/>
        <w:bottom w:val="none" w:sz="0" w:space="0" w:color="auto"/>
        <w:right w:val="none" w:sz="0" w:space="0" w:color="auto"/>
      </w:divBdr>
    </w:div>
    <w:div w:id="351994697">
      <w:bodyDiv w:val="1"/>
      <w:marLeft w:val="0"/>
      <w:marRight w:val="0"/>
      <w:marTop w:val="0"/>
      <w:marBottom w:val="0"/>
      <w:divBdr>
        <w:top w:val="none" w:sz="0" w:space="0" w:color="auto"/>
        <w:left w:val="none" w:sz="0" w:space="0" w:color="auto"/>
        <w:bottom w:val="none" w:sz="0" w:space="0" w:color="auto"/>
        <w:right w:val="none" w:sz="0" w:space="0" w:color="auto"/>
      </w:divBdr>
    </w:div>
    <w:div w:id="591624974">
      <w:bodyDiv w:val="1"/>
      <w:marLeft w:val="0"/>
      <w:marRight w:val="0"/>
      <w:marTop w:val="0"/>
      <w:marBottom w:val="0"/>
      <w:divBdr>
        <w:top w:val="none" w:sz="0" w:space="0" w:color="auto"/>
        <w:left w:val="none" w:sz="0" w:space="0" w:color="auto"/>
        <w:bottom w:val="none" w:sz="0" w:space="0" w:color="auto"/>
        <w:right w:val="none" w:sz="0" w:space="0" w:color="auto"/>
      </w:divBdr>
    </w:div>
    <w:div w:id="674453718">
      <w:bodyDiv w:val="1"/>
      <w:marLeft w:val="0"/>
      <w:marRight w:val="0"/>
      <w:marTop w:val="0"/>
      <w:marBottom w:val="0"/>
      <w:divBdr>
        <w:top w:val="none" w:sz="0" w:space="0" w:color="auto"/>
        <w:left w:val="none" w:sz="0" w:space="0" w:color="auto"/>
        <w:bottom w:val="none" w:sz="0" w:space="0" w:color="auto"/>
        <w:right w:val="none" w:sz="0" w:space="0" w:color="auto"/>
      </w:divBdr>
    </w:div>
    <w:div w:id="860778699">
      <w:bodyDiv w:val="1"/>
      <w:marLeft w:val="0"/>
      <w:marRight w:val="0"/>
      <w:marTop w:val="0"/>
      <w:marBottom w:val="0"/>
      <w:divBdr>
        <w:top w:val="none" w:sz="0" w:space="0" w:color="auto"/>
        <w:left w:val="none" w:sz="0" w:space="0" w:color="auto"/>
        <w:bottom w:val="none" w:sz="0" w:space="0" w:color="auto"/>
        <w:right w:val="none" w:sz="0" w:space="0" w:color="auto"/>
      </w:divBdr>
    </w:div>
    <w:div w:id="895629414">
      <w:bodyDiv w:val="1"/>
      <w:marLeft w:val="0"/>
      <w:marRight w:val="0"/>
      <w:marTop w:val="0"/>
      <w:marBottom w:val="0"/>
      <w:divBdr>
        <w:top w:val="none" w:sz="0" w:space="0" w:color="auto"/>
        <w:left w:val="none" w:sz="0" w:space="0" w:color="auto"/>
        <w:bottom w:val="none" w:sz="0" w:space="0" w:color="auto"/>
        <w:right w:val="none" w:sz="0" w:space="0" w:color="auto"/>
      </w:divBdr>
    </w:div>
    <w:div w:id="1017923681">
      <w:bodyDiv w:val="1"/>
      <w:marLeft w:val="0"/>
      <w:marRight w:val="0"/>
      <w:marTop w:val="0"/>
      <w:marBottom w:val="0"/>
      <w:divBdr>
        <w:top w:val="none" w:sz="0" w:space="0" w:color="auto"/>
        <w:left w:val="none" w:sz="0" w:space="0" w:color="auto"/>
        <w:bottom w:val="none" w:sz="0" w:space="0" w:color="auto"/>
        <w:right w:val="none" w:sz="0" w:space="0" w:color="auto"/>
      </w:divBdr>
    </w:div>
    <w:div w:id="1132475630">
      <w:bodyDiv w:val="1"/>
      <w:marLeft w:val="0"/>
      <w:marRight w:val="0"/>
      <w:marTop w:val="0"/>
      <w:marBottom w:val="0"/>
      <w:divBdr>
        <w:top w:val="none" w:sz="0" w:space="0" w:color="auto"/>
        <w:left w:val="none" w:sz="0" w:space="0" w:color="auto"/>
        <w:bottom w:val="none" w:sz="0" w:space="0" w:color="auto"/>
        <w:right w:val="none" w:sz="0" w:space="0" w:color="auto"/>
      </w:divBdr>
    </w:div>
    <w:div w:id="1239367509">
      <w:bodyDiv w:val="1"/>
      <w:marLeft w:val="0"/>
      <w:marRight w:val="0"/>
      <w:marTop w:val="0"/>
      <w:marBottom w:val="0"/>
      <w:divBdr>
        <w:top w:val="none" w:sz="0" w:space="0" w:color="auto"/>
        <w:left w:val="none" w:sz="0" w:space="0" w:color="auto"/>
        <w:bottom w:val="none" w:sz="0" w:space="0" w:color="auto"/>
        <w:right w:val="none" w:sz="0" w:space="0" w:color="auto"/>
      </w:divBdr>
    </w:div>
    <w:div w:id="1253323320">
      <w:bodyDiv w:val="1"/>
      <w:marLeft w:val="0"/>
      <w:marRight w:val="0"/>
      <w:marTop w:val="0"/>
      <w:marBottom w:val="0"/>
      <w:divBdr>
        <w:top w:val="none" w:sz="0" w:space="0" w:color="auto"/>
        <w:left w:val="none" w:sz="0" w:space="0" w:color="auto"/>
        <w:bottom w:val="none" w:sz="0" w:space="0" w:color="auto"/>
        <w:right w:val="none" w:sz="0" w:space="0" w:color="auto"/>
      </w:divBdr>
    </w:div>
    <w:div w:id="1333070830">
      <w:bodyDiv w:val="1"/>
      <w:marLeft w:val="0"/>
      <w:marRight w:val="0"/>
      <w:marTop w:val="0"/>
      <w:marBottom w:val="0"/>
      <w:divBdr>
        <w:top w:val="none" w:sz="0" w:space="0" w:color="auto"/>
        <w:left w:val="none" w:sz="0" w:space="0" w:color="auto"/>
        <w:bottom w:val="none" w:sz="0" w:space="0" w:color="auto"/>
        <w:right w:val="none" w:sz="0" w:space="0" w:color="auto"/>
      </w:divBdr>
    </w:div>
    <w:div w:id="1760591820">
      <w:bodyDiv w:val="1"/>
      <w:marLeft w:val="0"/>
      <w:marRight w:val="0"/>
      <w:marTop w:val="0"/>
      <w:marBottom w:val="0"/>
      <w:divBdr>
        <w:top w:val="none" w:sz="0" w:space="0" w:color="auto"/>
        <w:left w:val="none" w:sz="0" w:space="0" w:color="auto"/>
        <w:bottom w:val="none" w:sz="0" w:space="0" w:color="auto"/>
        <w:right w:val="none" w:sz="0" w:space="0" w:color="auto"/>
      </w:divBdr>
    </w:div>
    <w:div w:id="1853911520">
      <w:bodyDiv w:val="1"/>
      <w:marLeft w:val="0"/>
      <w:marRight w:val="0"/>
      <w:marTop w:val="0"/>
      <w:marBottom w:val="0"/>
      <w:divBdr>
        <w:top w:val="none" w:sz="0" w:space="0" w:color="auto"/>
        <w:left w:val="none" w:sz="0" w:space="0" w:color="auto"/>
        <w:bottom w:val="none" w:sz="0" w:space="0" w:color="auto"/>
        <w:right w:val="none" w:sz="0" w:space="0" w:color="auto"/>
      </w:divBdr>
    </w:div>
    <w:div w:id="1902134735">
      <w:bodyDiv w:val="1"/>
      <w:marLeft w:val="0"/>
      <w:marRight w:val="0"/>
      <w:marTop w:val="0"/>
      <w:marBottom w:val="0"/>
      <w:divBdr>
        <w:top w:val="none" w:sz="0" w:space="0" w:color="auto"/>
        <w:left w:val="none" w:sz="0" w:space="0" w:color="auto"/>
        <w:bottom w:val="none" w:sz="0" w:space="0" w:color="auto"/>
        <w:right w:val="none" w:sz="0" w:space="0" w:color="auto"/>
      </w:divBdr>
    </w:div>
    <w:div w:id="1952127908">
      <w:bodyDiv w:val="1"/>
      <w:marLeft w:val="0"/>
      <w:marRight w:val="0"/>
      <w:marTop w:val="0"/>
      <w:marBottom w:val="0"/>
      <w:divBdr>
        <w:top w:val="none" w:sz="0" w:space="0" w:color="auto"/>
        <w:left w:val="none" w:sz="0" w:space="0" w:color="auto"/>
        <w:bottom w:val="none" w:sz="0" w:space="0" w:color="auto"/>
        <w:right w:val="none" w:sz="0" w:space="0" w:color="auto"/>
      </w:divBdr>
    </w:div>
    <w:div w:id="19695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e xmlns="a278820e-4a2c-4404-9edd-0c8aa13eaa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AD1D0E4DF5D74695DA08719C213550" ma:contentTypeVersion="9" ma:contentTypeDescription="Create a new document." ma:contentTypeScope="" ma:versionID="e8b94694b45cbb6b05e2539c3c0a7aa3">
  <xsd:schema xmlns:xsd="http://www.w3.org/2001/XMLSchema" xmlns:xs="http://www.w3.org/2001/XMLSchema" xmlns:p="http://schemas.microsoft.com/office/2006/metadata/properties" xmlns:ns2="a278820e-4a2c-4404-9edd-0c8aa13eaa72" xmlns:ns3="ddc5846d-febe-4364-ba9f-bd483de7e8cf" targetNamespace="http://schemas.microsoft.com/office/2006/metadata/properties" ma:root="true" ma:fieldsID="b4a0fd14768761d43932d807ac32f46d" ns2:_="" ns3:_="">
    <xsd:import namespace="a278820e-4a2c-4404-9edd-0c8aa13eaa72"/>
    <xsd:import namespace="ddc5846d-febe-4364-ba9f-bd483de7e8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Assign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8820e-4a2c-4404-9edd-0c8aa13ea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Assignee" ma:index="16" nillable="true" ma:displayName="Assignee" ma:format="Dropdown" ma:internalName="Assign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5846d-febe-4364-ba9f-bd483de7e8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E8F5E-093D-489C-8472-469FA603FE4E}">
  <ds:schemaRefs>
    <ds:schemaRef ds:uri="http://schemas.microsoft.com/office/2006/metadata/properties"/>
    <ds:schemaRef ds:uri="http://schemas.microsoft.com/office/infopath/2007/PartnerControls"/>
    <ds:schemaRef ds:uri="a278820e-4a2c-4404-9edd-0c8aa13eaa72"/>
  </ds:schemaRefs>
</ds:datastoreItem>
</file>

<file path=customXml/itemProps2.xml><?xml version="1.0" encoding="utf-8"?>
<ds:datastoreItem xmlns:ds="http://schemas.openxmlformats.org/officeDocument/2006/customXml" ds:itemID="{8F71999D-7847-4BA9-BF38-33D10F4A88BB}">
  <ds:schemaRefs>
    <ds:schemaRef ds:uri="http://schemas.microsoft.com/sharepoint/v3/contenttype/forms"/>
  </ds:schemaRefs>
</ds:datastoreItem>
</file>

<file path=customXml/itemProps3.xml><?xml version="1.0" encoding="utf-8"?>
<ds:datastoreItem xmlns:ds="http://schemas.openxmlformats.org/officeDocument/2006/customXml" ds:itemID="{3D6E67BD-E23A-40EC-8D31-A8B2BEAD0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8820e-4a2c-4404-9edd-0c8aa13eaa72"/>
    <ds:schemaRef ds:uri="ddc5846d-febe-4364-ba9f-bd483de7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3B145-602C-4E96-81EC-70653D22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Lauren</dc:creator>
  <cp:keywords/>
  <dc:description/>
  <cp:lastModifiedBy>MACKENZIE, Tom</cp:lastModifiedBy>
  <cp:revision>10</cp:revision>
  <cp:lastPrinted>2024-04-19T07:23:00Z</cp:lastPrinted>
  <dcterms:created xsi:type="dcterms:W3CDTF">2024-03-04T23:52:00Z</dcterms:created>
  <dcterms:modified xsi:type="dcterms:W3CDTF">2024-04-30T02:37:00Z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0x010100FCAD1D0E4DF5D74695DA08719C213550</vt:lpwstr>
  </property>
</Properties>
</file>