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169F82DA"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C140F9">
        <w:rPr>
          <w:rFonts w:cs="Arial"/>
          <w:b/>
          <w:sz w:val="28"/>
          <w:szCs w:val="28"/>
        </w:rPr>
        <w:t>15</w:t>
      </w:r>
      <w:r w:rsidR="00CE267A">
        <w:rPr>
          <w:rFonts w:cs="Arial"/>
          <w:b/>
          <w:sz w:val="28"/>
          <w:szCs w:val="28"/>
        </w:rPr>
        <w:t xml:space="preserve"> May</w:t>
      </w:r>
      <w:r w:rsidR="00FC3007">
        <w:rPr>
          <w:rFonts w:cs="Arial"/>
          <w:b/>
          <w:sz w:val="28"/>
          <w:szCs w:val="28"/>
        </w:rPr>
        <w:t xml:space="preserve"> 2024</w:t>
      </w:r>
    </w:p>
    <w:p w14:paraId="2E87CFDE" w14:textId="388444D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C80FFB">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29033302" w:rsidR="00C01DF2" w:rsidRPr="00EB58D4" w:rsidRDefault="00C01DF2" w:rsidP="00D25524">
            <w:pPr>
              <w:pStyle w:val="Heading3"/>
              <w:keepLines/>
              <w:spacing w:before="60"/>
              <w:jc w:val="center"/>
              <w:rPr>
                <w:sz w:val="20"/>
                <w:szCs w:val="20"/>
              </w:rPr>
            </w:pPr>
            <w:r w:rsidRPr="00EB58D4">
              <w:rPr>
                <w:sz w:val="20"/>
                <w:szCs w:val="20"/>
              </w:rPr>
              <w:t xml:space="preserve">NOTICE OF </w:t>
            </w:r>
            <w:r w:rsidR="00D25524">
              <w:rPr>
                <w:sz w:val="20"/>
                <w:szCs w:val="20"/>
              </w:rPr>
              <w:t>RULING</w:t>
            </w:r>
            <w:r w:rsidR="00C80FFB">
              <w:rPr>
                <w:sz w:val="20"/>
                <w:szCs w:val="20"/>
              </w:rPr>
              <w:t>S</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D25524">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D25524">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D25524">
            <w:pPr>
              <w:pStyle w:val="Heading3"/>
              <w:keepLines/>
              <w:spacing w:before="60"/>
              <w:jc w:val="center"/>
              <w:rPr>
                <w:sz w:val="20"/>
                <w:szCs w:val="20"/>
              </w:rPr>
            </w:pPr>
            <w:r w:rsidRPr="00EB58D4">
              <w:rPr>
                <w:sz w:val="20"/>
                <w:szCs w:val="20"/>
              </w:rPr>
              <w:t>Brief description</w:t>
            </w:r>
          </w:p>
        </w:tc>
      </w:tr>
      <w:tr w:rsidR="00A62E9F" w:rsidRPr="006C2351" w14:paraId="6A7DA78D" w14:textId="77777777" w:rsidTr="0038207F">
        <w:tc>
          <w:tcPr>
            <w:tcW w:w="1984" w:type="dxa"/>
            <w:tcBorders>
              <w:top w:val="single" w:sz="6" w:space="0" w:color="auto"/>
              <w:left w:val="single" w:sz="6" w:space="0" w:color="auto"/>
              <w:bottom w:val="single" w:sz="6" w:space="0" w:color="auto"/>
              <w:right w:val="single" w:sz="6" w:space="0" w:color="auto"/>
            </w:tcBorders>
          </w:tcPr>
          <w:p w14:paraId="4DD4F053" w14:textId="1D4DFC33" w:rsidR="00A62E9F" w:rsidRPr="00492E6F" w:rsidRDefault="00A120A5" w:rsidP="00FA73FF">
            <w:pPr>
              <w:pStyle w:val="Header"/>
              <w:spacing w:before="60" w:after="60"/>
              <w:rPr>
                <w:rFonts w:cs="Arial"/>
                <w:color w:val="000000" w:themeColor="text1"/>
                <w:sz w:val="20"/>
                <w:szCs w:val="20"/>
              </w:rPr>
            </w:pPr>
            <w:r>
              <w:rPr>
                <w:rFonts w:cs="Arial"/>
                <w:color w:val="000000" w:themeColor="text1"/>
                <w:sz w:val="20"/>
                <w:szCs w:val="20"/>
              </w:rPr>
              <w:t>C</w:t>
            </w:r>
            <w:r w:rsidR="003C61EF">
              <w:rPr>
                <w:rFonts w:cs="Arial"/>
                <w:color w:val="000000" w:themeColor="text1"/>
                <w:sz w:val="20"/>
                <w:szCs w:val="20"/>
              </w:rPr>
              <w:t>R 2024/</w:t>
            </w:r>
            <w:r w:rsidR="003D3F32">
              <w:rPr>
                <w:rFonts w:cs="Arial"/>
                <w:color w:val="000000" w:themeColor="text1"/>
                <w:sz w:val="20"/>
                <w:szCs w:val="20"/>
              </w:rPr>
              <w:t>30</w:t>
            </w:r>
          </w:p>
        </w:tc>
        <w:tc>
          <w:tcPr>
            <w:tcW w:w="3686" w:type="dxa"/>
            <w:tcBorders>
              <w:top w:val="single" w:sz="6" w:space="0" w:color="auto"/>
              <w:left w:val="single" w:sz="6" w:space="0" w:color="auto"/>
              <w:bottom w:val="single" w:sz="6" w:space="0" w:color="auto"/>
              <w:right w:val="single" w:sz="6" w:space="0" w:color="auto"/>
            </w:tcBorders>
          </w:tcPr>
          <w:p w14:paraId="7D148F6B" w14:textId="0075E9AF" w:rsidR="00A62E9F" w:rsidRPr="00492E6F" w:rsidRDefault="00CB3FEC" w:rsidP="00A120A5">
            <w:pPr>
              <w:pStyle w:val="Header"/>
              <w:spacing w:before="60" w:after="60"/>
              <w:rPr>
                <w:rFonts w:cs="Arial"/>
                <w:color w:val="000000" w:themeColor="text1"/>
                <w:sz w:val="20"/>
                <w:szCs w:val="20"/>
              </w:rPr>
            </w:pPr>
            <w:r>
              <w:rPr>
                <w:rFonts w:cs="Arial"/>
                <w:sz w:val="20"/>
                <w:szCs w:val="20"/>
              </w:rPr>
              <w:t xml:space="preserve">Gamma Investments </w:t>
            </w:r>
            <w:proofErr w:type="spellStart"/>
            <w:r>
              <w:rPr>
                <w:rFonts w:cs="Arial"/>
                <w:sz w:val="20"/>
                <w:szCs w:val="20"/>
              </w:rPr>
              <w:t>HoldCo</w:t>
            </w:r>
            <w:proofErr w:type="spellEnd"/>
            <w:r>
              <w:rPr>
                <w:rFonts w:cs="Arial"/>
                <w:sz w:val="20"/>
                <w:szCs w:val="20"/>
              </w:rPr>
              <w:t xml:space="preserve"> Pty Ltd </w:t>
            </w:r>
            <w:r w:rsidR="00A120A5">
              <w:rPr>
                <w:rFonts w:cs="Arial"/>
                <w:sz w:val="20"/>
                <w:szCs w:val="20"/>
              </w:rPr>
              <w:t xml:space="preserve">– </w:t>
            </w:r>
            <w:r>
              <w:rPr>
                <w:rFonts w:cs="Arial"/>
                <w:sz w:val="20"/>
                <w:szCs w:val="20"/>
              </w:rPr>
              <w:t>reduction of share capital</w:t>
            </w:r>
          </w:p>
        </w:tc>
        <w:tc>
          <w:tcPr>
            <w:tcW w:w="4253" w:type="dxa"/>
            <w:tcBorders>
              <w:top w:val="single" w:sz="6" w:space="0" w:color="auto"/>
              <w:left w:val="single" w:sz="6" w:space="0" w:color="auto"/>
              <w:bottom w:val="single" w:sz="6" w:space="0" w:color="auto"/>
              <w:right w:val="single" w:sz="6" w:space="0" w:color="auto"/>
            </w:tcBorders>
          </w:tcPr>
          <w:p w14:paraId="206C55AA" w14:textId="00BF4267" w:rsidR="00281C7E" w:rsidRPr="00157BAB" w:rsidRDefault="00281C7E" w:rsidP="00FA73FF">
            <w:pPr>
              <w:spacing w:before="60" w:after="60"/>
              <w:rPr>
                <w:rFonts w:cs="Arial"/>
                <w:color w:val="000000" w:themeColor="text1"/>
                <w:sz w:val="20"/>
                <w:szCs w:val="20"/>
              </w:rPr>
            </w:pPr>
            <w:r w:rsidRPr="00157BAB">
              <w:rPr>
                <w:rFonts w:cs="Arial"/>
                <w:color w:val="000000" w:themeColor="text1"/>
                <w:sz w:val="20"/>
                <w:szCs w:val="20"/>
              </w:rPr>
              <w:t xml:space="preserve">This Ruling sets out the income tax consequences </w:t>
            </w:r>
            <w:r w:rsidR="003D3F32">
              <w:rPr>
                <w:rFonts w:cs="Arial"/>
                <w:color w:val="000000" w:themeColor="text1"/>
                <w:sz w:val="20"/>
                <w:szCs w:val="20"/>
              </w:rPr>
              <w:t xml:space="preserve">for </w:t>
            </w:r>
            <w:r w:rsidR="00CB3FEC">
              <w:rPr>
                <w:rFonts w:cs="Arial"/>
                <w:color w:val="000000" w:themeColor="text1"/>
                <w:sz w:val="20"/>
                <w:szCs w:val="20"/>
              </w:rPr>
              <w:t xml:space="preserve">the shareholders of Gamma Investments </w:t>
            </w:r>
            <w:proofErr w:type="spellStart"/>
            <w:r w:rsidR="00CB3FEC">
              <w:rPr>
                <w:rFonts w:cs="Arial"/>
                <w:color w:val="000000" w:themeColor="text1"/>
                <w:sz w:val="20"/>
                <w:szCs w:val="20"/>
              </w:rPr>
              <w:t>HoldCo</w:t>
            </w:r>
            <w:proofErr w:type="spellEnd"/>
            <w:r w:rsidR="00CB3FEC">
              <w:rPr>
                <w:rFonts w:cs="Arial"/>
                <w:color w:val="000000" w:themeColor="text1"/>
                <w:sz w:val="20"/>
                <w:szCs w:val="20"/>
              </w:rPr>
              <w:t xml:space="preserve"> Pty Ltd who, on 8 May 20204 received a reduction of share capital of 10.7 cents for every Gamma </w:t>
            </w:r>
            <w:proofErr w:type="spellStart"/>
            <w:r w:rsidR="00CB3FEC">
              <w:rPr>
                <w:rFonts w:cs="Arial"/>
                <w:color w:val="000000" w:themeColor="text1"/>
                <w:sz w:val="20"/>
                <w:szCs w:val="20"/>
              </w:rPr>
              <w:t>HoldCo</w:t>
            </w:r>
            <w:proofErr w:type="spellEnd"/>
            <w:r w:rsidR="00CB3FEC">
              <w:rPr>
                <w:rFonts w:cs="Arial"/>
                <w:color w:val="000000" w:themeColor="text1"/>
                <w:sz w:val="20"/>
                <w:szCs w:val="20"/>
              </w:rPr>
              <w:t xml:space="preserve"> ordinary share they owned.</w:t>
            </w:r>
          </w:p>
          <w:p w14:paraId="56252808" w14:textId="2A73D766" w:rsidR="00A62E9F" w:rsidRPr="00281C7E" w:rsidRDefault="00281C7E" w:rsidP="00FA73FF">
            <w:pPr>
              <w:spacing w:before="60" w:after="60"/>
              <w:rPr>
                <w:rFonts w:cs="Arial"/>
                <w:color w:val="000000" w:themeColor="text1"/>
                <w:sz w:val="20"/>
                <w:szCs w:val="20"/>
              </w:rPr>
            </w:pPr>
            <w:r w:rsidRPr="00157BAB">
              <w:rPr>
                <w:rFonts w:cs="Arial"/>
                <w:color w:val="000000" w:themeColor="text1"/>
                <w:sz w:val="20"/>
                <w:szCs w:val="20"/>
              </w:rPr>
              <w:t>This Ruling applies</w:t>
            </w:r>
            <w:r w:rsidR="00157BAB">
              <w:rPr>
                <w:rFonts w:cs="Arial"/>
                <w:color w:val="000000" w:themeColor="text1"/>
                <w:sz w:val="20"/>
                <w:szCs w:val="20"/>
              </w:rPr>
              <w:t xml:space="preserve"> </w:t>
            </w:r>
            <w:r w:rsidR="00157BAB" w:rsidRPr="00157BAB">
              <w:rPr>
                <w:rFonts w:cs="Arial"/>
                <w:color w:val="000000" w:themeColor="text1"/>
                <w:sz w:val="20"/>
                <w:szCs w:val="20"/>
              </w:rPr>
              <w:t>from 1 July</w:t>
            </w:r>
            <w:r w:rsidR="003D3F32">
              <w:rPr>
                <w:rFonts w:cs="Arial"/>
                <w:color w:val="000000" w:themeColor="text1"/>
                <w:sz w:val="20"/>
                <w:szCs w:val="20"/>
              </w:rPr>
              <w:t xml:space="preserve"> </w:t>
            </w:r>
            <w:r w:rsidR="00157BAB" w:rsidRPr="00157BAB">
              <w:rPr>
                <w:rFonts w:cs="Arial"/>
                <w:color w:val="000000" w:themeColor="text1"/>
                <w:sz w:val="20"/>
                <w:szCs w:val="20"/>
              </w:rPr>
              <w:t>202</w:t>
            </w:r>
            <w:r w:rsidR="00CB3FEC">
              <w:rPr>
                <w:rFonts w:cs="Arial"/>
                <w:color w:val="000000" w:themeColor="text1"/>
                <w:sz w:val="20"/>
                <w:szCs w:val="20"/>
              </w:rPr>
              <w:t>3 to 30</w:t>
            </w:r>
            <w:r w:rsidR="003D3F32">
              <w:rPr>
                <w:rFonts w:cs="Arial"/>
                <w:color w:val="000000" w:themeColor="text1"/>
                <w:sz w:val="20"/>
                <w:szCs w:val="20"/>
              </w:rPr>
              <w:t> June 202</w:t>
            </w:r>
            <w:r w:rsidR="00CB3FEC">
              <w:rPr>
                <w:rFonts w:cs="Arial"/>
                <w:color w:val="000000" w:themeColor="text1"/>
                <w:sz w:val="20"/>
                <w:szCs w:val="20"/>
              </w:rPr>
              <w:t>4</w:t>
            </w:r>
            <w:r w:rsidR="00157BAB" w:rsidRPr="00157BAB">
              <w:rPr>
                <w:rFonts w:cs="Arial"/>
                <w:color w:val="000000" w:themeColor="text1"/>
                <w:sz w:val="20"/>
                <w:szCs w:val="20"/>
              </w:rPr>
              <w:t>.</w:t>
            </w:r>
          </w:p>
        </w:tc>
      </w:tr>
      <w:tr w:rsidR="00C80FFB" w:rsidRPr="006C2351" w14:paraId="79D13C37" w14:textId="77777777" w:rsidTr="0038207F">
        <w:tc>
          <w:tcPr>
            <w:tcW w:w="1984" w:type="dxa"/>
            <w:tcBorders>
              <w:top w:val="single" w:sz="6" w:space="0" w:color="auto"/>
              <w:left w:val="single" w:sz="6" w:space="0" w:color="auto"/>
              <w:bottom w:val="single" w:sz="6" w:space="0" w:color="auto"/>
              <w:right w:val="single" w:sz="6" w:space="0" w:color="auto"/>
            </w:tcBorders>
          </w:tcPr>
          <w:p w14:paraId="682956D4" w14:textId="1F87BE9F" w:rsidR="00C80FFB" w:rsidRDefault="003D3F32" w:rsidP="00C80FFB">
            <w:pPr>
              <w:pStyle w:val="Header"/>
              <w:spacing w:before="60" w:after="60"/>
              <w:rPr>
                <w:rFonts w:cs="Arial"/>
                <w:color w:val="000000" w:themeColor="text1"/>
                <w:sz w:val="20"/>
                <w:szCs w:val="20"/>
              </w:rPr>
            </w:pPr>
            <w:r>
              <w:rPr>
                <w:rFonts w:cs="Arial"/>
                <w:color w:val="000000" w:themeColor="text1"/>
                <w:sz w:val="20"/>
                <w:szCs w:val="20"/>
              </w:rPr>
              <w:t>P</w:t>
            </w:r>
            <w:r w:rsidR="00C80FFB">
              <w:rPr>
                <w:rFonts w:cs="Arial"/>
                <w:color w:val="000000" w:themeColor="text1"/>
                <w:sz w:val="20"/>
                <w:szCs w:val="20"/>
              </w:rPr>
              <w:t>R 2024/</w:t>
            </w:r>
            <w:r>
              <w:rPr>
                <w:rFonts w:cs="Arial"/>
                <w:color w:val="000000" w:themeColor="text1"/>
                <w:sz w:val="20"/>
                <w:szCs w:val="20"/>
              </w:rPr>
              <w:t>5</w:t>
            </w:r>
          </w:p>
        </w:tc>
        <w:tc>
          <w:tcPr>
            <w:tcW w:w="3686" w:type="dxa"/>
            <w:tcBorders>
              <w:top w:val="single" w:sz="6" w:space="0" w:color="auto"/>
              <w:left w:val="single" w:sz="6" w:space="0" w:color="auto"/>
              <w:bottom w:val="single" w:sz="6" w:space="0" w:color="auto"/>
              <w:right w:val="single" w:sz="6" w:space="0" w:color="auto"/>
            </w:tcBorders>
          </w:tcPr>
          <w:p w14:paraId="14F4E8EC" w14:textId="22FD355F" w:rsidR="00C80FFB" w:rsidRPr="00E46CDD" w:rsidRDefault="003D3F32" w:rsidP="00C80FFB">
            <w:pPr>
              <w:pStyle w:val="Header"/>
              <w:spacing w:before="60" w:after="60"/>
              <w:rPr>
                <w:rFonts w:cs="Arial"/>
                <w:sz w:val="20"/>
                <w:szCs w:val="20"/>
              </w:rPr>
            </w:pPr>
            <w:r>
              <w:rPr>
                <w:rFonts w:cs="Arial"/>
                <w:sz w:val="20"/>
                <w:szCs w:val="20"/>
              </w:rPr>
              <w:t>Challenger Lifetime Annuity (Liquid Lifetime) – 2024</w:t>
            </w:r>
          </w:p>
        </w:tc>
        <w:tc>
          <w:tcPr>
            <w:tcW w:w="4253" w:type="dxa"/>
            <w:tcBorders>
              <w:top w:val="single" w:sz="6" w:space="0" w:color="auto"/>
              <w:left w:val="single" w:sz="6" w:space="0" w:color="auto"/>
              <w:bottom w:val="single" w:sz="6" w:space="0" w:color="auto"/>
              <w:right w:val="single" w:sz="6" w:space="0" w:color="auto"/>
            </w:tcBorders>
          </w:tcPr>
          <w:p w14:paraId="562B0ED9" w14:textId="78409F01"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 xml:space="preserve">This Ruling sets out the income tax consequences </w:t>
            </w:r>
            <w:r w:rsidR="004F2518">
              <w:rPr>
                <w:rFonts w:cs="Arial"/>
                <w:color w:val="000000" w:themeColor="text1"/>
                <w:sz w:val="20"/>
                <w:szCs w:val="20"/>
              </w:rPr>
              <w:t>for specified policy owners of the Challenger Lifetime Annuity (Liquid Lifetime) issued by Challenger Life Company Limited and offered under a product disclosure statement dated 5 September 2022</w:t>
            </w:r>
            <w:r>
              <w:rPr>
                <w:rFonts w:cs="Arial"/>
                <w:color w:val="000000" w:themeColor="text1"/>
                <w:sz w:val="20"/>
                <w:szCs w:val="20"/>
              </w:rPr>
              <w:t>.</w:t>
            </w:r>
          </w:p>
          <w:p w14:paraId="12985A69" w14:textId="76B52767" w:rsidR="00C80FFB" w:rsidRPr="00157BAB" w:rsidRDefault="00C80FFB" w:rsidP="00C80FFB">
            <w:pPr>
              <w:spacing w:before="60" w:after="60"/>
              <w:rPr>
                <w:rFonts w:cs="Arial"/>
                <w:color w:val="000000" w:themeColor="text1"/>
                <w:sz w:val="20"/>
                <w:szCs w:val="20"/>
              </w:rPr>
            </w:pPr>
            <w:r w:rsidRPr="00157BAB">
              <w:rPr>
                <w:rFonts w:cs="Arial"/>
                <w:color w:val="000000" w:themeColor="text1"/>
                <w:sz w:val="20"/>
                <w:szCs w:val="20"/>
              </w:rPr>
              <w:t>This Ruling applies</w:t>
            </w:r>
            <w:r>
              <w:rPr>
                <w:rFonts w:cs="Arial"/>
                <w:color w:val="000000" w:themeColor="text1"/>
                <w:sz w:val="20"/>
                <w:szCs w:val="20"/>
              </w:rPr>
              <w:t xml:space="preserve"> </w:t>
            </w:r>
            <w:r w:rsidR="004F2518">
              <w:rPr>
                <w:rFonts w:cs="Arial"/>
                <w:color w:val="000000" w:themeColor="text1"/>
                <w:sz w:val="20"/>
                <w:szCs w:val="20"/>
              </w:rPr>
              <w:t>from 1 July 2024 to specified entities who purchase an Annuity from 1 July 2024 to 30 June 2027.</w:t>
            </w:r>
          </w:p>
        </w:tc>
      </w:tr>
    </w:tbl>
    <w:p w14:paraId="110DDBC6" w14:textId="77777777" w:rsidR="009612DE" w:rsidRDefault="009612DE" w:rsidP="009612DE">
      <w:pPr>
        <w:spacing w:after="60"/>
        <w:rPr>
          <w:sz w:val="18"/>
          <w:szCs w:val="18"/>
        </w:rPr>
      </w:pPr>
    </w:p>
    <w:p w14:paraId="79245267" w14:textId="77777777" w:rsidR="00383A21" w:rsidRPr="00EB58D4" w:rsidRDefault="00383A21" w:rsidP="00F033F3">
      <w:pPr>
        <w:spacing w:after="60"/>
        <w:rPr>
          <w:sz w:val="18"/>
          <w:szCs w:val="18"/>
        </w:rPr>
      </w:pPr>
    </w:p>
    <w:sectPr w:rsidR="00383A21"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4"/>
  </w:num>
  <w:num w:numId="2" w16cid:durableId="176577212">
    <w:abstractNumId w:val="2"/>
  </w:num>
  <w:num w:numId="3" w16cid:durableId="1407603569">
    <w:abstractNumId w:val="3"/>
  </w:num>
  <w:num w:numId="4" w16cid:durableId="2013141901">
    <w:abstractNumId w:val="0"/>
  </w:num>
  <w:num w:numId="5" w16cid:durableId="28115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hideGrammaticalErrors/>
  <w:proofState w:spelling="clean" w:grammar="clean"/>
  <w:documentProtection w:edit="forms" w:enforcement="0"/>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4784"/>
    <w:rsid w:val="000970F2"/>
    <w:rsid w:val="000B28A8"/>
    <w:rsid w:val="000D1D43"/>
    <w:rsid w:val="000E02CE"/>
    <w:rsid w:val="000E1F2B"/>
    <w:rsid w:val="000E39B7"/>
    <w:rsid w:val="000E5D61"/>
    <w:rsid w:val="000F011C"/>
    <w:rsid w:val="000F0DB1"/>
    <w:rsid w:val="00105CCA"/>
    <w:rsid w:val="00114CB2"/>
    <w:rsid w:val="001336AA"/>
    <w:rsid w:val="00141674"/>
    <w:rsid w:val="00151647"/>
    <w:rsid w:val="00157BAB"/>
    <w:rsid w:val="00160BA0"/>
    <w:rsid w:val="00162794"/>
    <w:rsid w:val="00171921"/>
    <w:rsid w:val="00174BD4"/>
    <w:rsid w:val="00180A9A"/>
    <w:rsid w:val="00190C5A"/>
    <w:rsid w:val="001A7663"/>
    <w:rsid w:val="001B2475"/>
    <w:rsid w:val="001C0A45"/>
    <w:rsid w:val="001C2AAD"/>
    <w:rsid w:val="001C3060"/>
    <w:rsid w:val="001D1F31"/>
    <w:rsid w:val="001E062D"/>
    <w:rsid w:val="001F30A0"/>
    <w:rsid w:val="001F3F6A"/>
    <w:rsid w:val="001F6733"/>
    <w:rsid w:val="001F6E54"/>
    <w:rsid w:val="001F7130"/>
    <w:rsid w:val="0020000F"/>
    <w:rsid w:val="002074D9"/>
    <w:rsid w:val="00212459"/>
    <w:rsid w:val="00214E16"/>
    <w:rsid w:val="0023133C"/>
    <w:rsid w:val="00237961"/>
    <w:rsid w:val="002412B8"/>
    <w:rsid w:val="00245ECE"/>
    <w:rsid w:val="00254158"/>
    <w:rsid w:val="00257336"/>
    <w:rsid w:val="00266BEC"/>
    <w:rsid w:val="00276144"/>
    <w:rsid w:val="00276FAE"/>
    <w:rsid w:val="00280BCD"/>
    <w:rsid w:val="00281C7E"/>
    <w:rsid w:val="002843FD"/>
    <w:rsid w:val="002C0CCE"/>
    <w:rsid w:val="002C1614"/>
    <w:rsid w:val="002C7B06"/>
    <w:rsid w:val="002D493C"/>
    <w:rsid w:val="002E1A8C"/>
    <w:rsid w:val="002E3208"/>
    <w:rsid w:val="002F3FFB"/>
    <w:rsid w:val="00304E50"/>
    <w:rsid w:val="00310825"/>
    <w:rsid w:val="00314F29"/>
    <w:rsid w:val="00325B6B"/>
    <w:rsid w:val="00332505"/>
    <w:rsid w:val="00335AB1"/>
    <w:rsid w:val="00340545"/>
    <w:rsid w:val="003551C8"/>
    <w:rsid w:val="0036599C"/>
    <w:rsid w:val="00372678"/>
    <w:rsid w:val="00383A21"/>
    <w:rsid w:val="00394E1E"/>
    <w:rsid w:val="0039702D"/>
    <w:rsid w:val="003A0276"/>
    <w:rsid w:val="003A45F7"/>
    <w:rsid w:val="003A707F"/>
    <w:rsid w:val="003B0EC1"/>
    <w:rsid w:val="003B573B"/>
    <w:rsid w:val="003C5997"/>
    <w:rsid w:val="003C61EF"/>
    <w:rsid w:val="003C6D3F"/>
    <w:rsid w:val="003D05C0"/>
    <w:rsid w:val="003D3F32"/>
    <w:rsid w:val="003E1DB2"/>
    <w:rsid w:val="003F2CBD"/>
    <w:rsid w:val="003F7FA7"/>
    <w:rsid w:val="00402808"/>
    <w:rsid w:val="00402A68"/>
    <w:rsid w:val="004066D4"/>
    <w:rsid w:val="00412EC5"/>
    <w:rsid w:val="00413DA1"/>
    <w:rsid w:val="00414173"/>
    <w:rsid w:val="00414AAF"/>
    <w:rsid w:val="00421CA6"/>
    <w:rsid w:val="004242FC"/>
    <w:rsid w:val="00424B97"/>
    <w:rsid w:val="004453CF"/>
    <w:rsid w:val="00456620"/>
    <w:rsid w:val="00472314"/>
    <w:rsid w:val="00475FF1"/>
    <w:rsid w:val="00492E6F"/>
    <w:rsid w:val="004B1588"/>
    <w:rsid w:val="004B2753"/>
    <w:rsid w:val="004B49C1"/>
    <w:rsid w:val="004C5A5D"/>
    <w:rsid w:val="004D6052"/>
    <w:rsid w:val="004E4D69"/>
    <w:rsid w:val="004E56BF"/>
    <w:rsid w:val="004E672E"/>
    <w:rsid w:val="004F2518"/>
    <w:rsid w:val="004F5615"/>
    <w:rsid w:val="00517DF8"/>
    <w:rsid w:val="00520873"/>
    <w:rsid w:val="005238F7"/>
    <w:rsid w:val="00523B4B"/>
    <w:rsid w:val="0053476B"/>
    <w:rsid w:val="0053511E"/>
    <w:rsid w:val="005501BC"/>
    <w:rsid w:val="00555165"/>
    <w:rsid w:val="0055598A"/>
    <w:rsid w:val="005634B4"/>
    <w:rsid w:val="00573D44"/>
    <w:rsid w:val="00577E81"/>
    <w:rsid w:val="00577F43"/>
    <w:rsid w:val="00584C92"/>
    <w:rsid w:val="0058754D"/>
    <w:rsid w:val="00591D51"/>
    <w:rsid w:val="0059270A"/>
    <w:rsid w:val="0059392B"/>
    <w:rsid w:val="005A77FC"/>
    <w:rsid w:val="005B2481"/>
    <w:rsid w:val="005B3569"/>
    <w:rsid w:val="005B3694"/>
    <w:rsid w:val="005D3A51"/>
    <w:rsid w:val="005D61EA"/>
    <w:rsid w:val="005D7EFC"/>
    <w:rsid w:val="005E7AE5"/>
    <w:rsid w:val="00601B68"/>
    <w:rsid w:val="00616661"/>
    <w:rsid w:val="00616998"/>
    <w:rsid w:val="00622E61"/>
    <w:rsid w:val="006234C3"/>
    <w:rsid w:val="006324C1"/>
    <w:rsid w:val="00636F01"/>
    <w:rsid w:val="00637D69"/>
    <w:rsid w:val="00644A6B"/>
    <w:rsid w:val="00646143"/>
    <w:rsid w:val="006479F6"/>
    <w:rsid w:val="006539A6"/>
    <w:rsid w:val="00684600"/>
    <w:rsid w:val="006937A0"/>
    <w:rsid w:val="006946BE"/>
    <w:rsid w:val="006A0B1F"/>
    <w:rsid w:val="006A2BB4"/>
    <w:rsid w:val="006B0009"/>
    <w:rsid w:val="006B1038"/>
    <w:rsid w:val="006B1A9D"/>
    <w:rsid w:val="006B38CC"/>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73255"/>
    <w:rsid w:val="00775E96"/>
    <w:rsid w:val="00783566"/>
    <w:rsid w:val="00792582"/>
    <w:rsid w:val="00793D58"/>
    <w:rsid w:val="007B27F4"/>
    <w:rsid w:val="007C490F"/>
    <w:rsid w:val="007D0E05"/>
    <w:rsid w:val="007D25C1"/>
    <w:rsid w:val="007D2640"/>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661A6"/>
    <w:rsid w:val="0087097B"/>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53438"/>
    <w:rsid w:val="009539C7"/>
    <w:rsid w:val="0095650D"/>
    <w:rsid w:val="009612DE"/>
    <w:rsid w:val="00963963"/>
    <w:rsid w:val="009641EC"/>
    <w:rsid w:val="00995840"/>
    <w:rsid w:val="009B286B"/>
    <w:rsid w:val="009B3C0E"/>
    <w:rsid w:val="009B7E6D"/>
    <w:rsid w:val="009C61A2"/>
    <w:rsid w:val="009D1CB0"/>
    <w:rsid w:val="009D6AA1"/>
    <w:rsid w:val="009E0B4D"/>
    <w:rsid w:val="009F07E1"/>
    <w:rsid w:val="009F72D9"/>
    <w:rsid w:val="00A00F21"/>
    <w:rsid w:val="00A10A8C"/>
    <w:rsid w:val="00A120A5"/>
    <w:rsid w:val="00A14AE1"/>
    <w:rsid w:val="00A21862"/>
    <w:rsid w:val="00A27309"/>
    <w:rsid w:val="00A305B7"/>
    <w:rsid w:val="00A34205"/>
    <w:rsid w:val="00A4113A"/>
    <w:rsid w:val="00A41F5C"/>
    <w:rsid w:val="00A45F0B"/>
    <w:rsid w:val="00A47D2C"/>
    <w:rsid w:val="00A47E4F"/>
    <w:rsid w:val="00A60CE8"/>
    <w:rsid w:val="00A62E9F"/>
    <w:rsid w:val="00A729A0"/>
    <w:rsid w:val="00A75B9B"/>
    <w:rsid w:val="00A7730B"/>
    <w:rsid w:val="00A82066"/>
    <w:rsid w:val="00A83BCC"/>
    <w:rsid w:val="00A85D11"/>
    <w:rsid w:val="00A9541B"/>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37DAC"/>
    <w:rsid w:val="00B4706B"/>
    <w:rsid w:val="00B4789B"/>
    <w:rsid w:val="00B52F82"/>
    <w:rsid w:val="00B55871"/>
    <w:rsid w:val="00B6354C"/>
    <w:rsid w:val="00B6495D"/>
    <w:rsid w:val="00B72DF8"/>
    <w:rsid w:val="00B84226"/>
    <w:rsid w:val="00B8599A"/>
    <w:rsid w:val="00BB05B1"/>
    <w:rsid w:val="00BB4D13"/>
    <w:rsid w:val="00BC0E22"/>
    <w:rsid w:val="00BC26BC"/>
    <w:rsid w:val="00BC3F4D"/>
    <w:rsid w:val="00BC5467"/>
    <w:rsid w:val="00BC7276"/>
    <w:rsid w:val="00BE2C61"/>
    <w:rsid w:val="00BE35F3"/>
    <w:rsid w:val="00BE3600"/>
    <w:rsid w:val="00BF2DF1"/>
    <w:rsid w:val="00C01DF2"/>
    <w:rsid w:val="00C140F9"/>
    <w:rsid w:val="00C22D0C"/>
    <w:rsid w:val="00C26E41"/>
    <w:rsid w:val="00C33FB6"/>
    <w:rsid w:val="00C444AA"/>
    <w:rsid w:val="00C51D3C"/>
    <w:rsid w:val="00C63C4E"/>
    <w:rsid w:val="00C6757F"/>
    <w:rsid w:val="00C80FFB"/>
    <w:rsid w:val="00C92A0E"/>
    <w:rsid w:val="00C92E6D"/>
    <w:rsid w:val="00C9661C"/>
    <w:rsid w:val="00CA77E9"/>
    <w:rsid w:val="00CA7CF5"/>
    <w:rsid w:val="00CB3FEC"/>
    <w:rsid w:val="00CE1E87"/>
    <w:rsid w:val="00CE267A"/>
    <w:rsid w:val="00CE7173"/>
    <w:rsid w:val="00CF7558"/>
    <w:rsid w:val="00D200AD"/>
    <w:rsid w:val="00D222D8"/>
    <w:rsid w:val="00D25524"/>
    <w:rsid w:val="00D27F4D"/>
    <w:rsid w:val="00D30C78"/>
    <w:rsid w:val="00D4639E"/>
    <w:rsid w:val="00D5675C"/>
    <w:rsid w:val="00D61839"/>
    <w:rsid w:val="00D72F7F"/>
    <w:rsid w:val="00D77A88"/>
    <w:rsid w:val="00D8538D"/>
    <w:rsid w:val="00DA5918"/>
    <w:rsid w:val="00DA6712"/>
    <w:rsid w:val="00DB40B0"/>
    <w:rsid w:val="00DC142B"/>
    <w:rsid w:val="00DD63D9"/>
    <w:rsid w:val="00E111E4"/>
    <w:rsid w:val="00E11D4B"/>
    <w:rsid w:val="00E17ED8"/>
    <w:rsid w:val="00E21085"/>
    <w:rsid w:val="00E2427F"/>
    <w:rsid w:val="00E3794F"/>
    <w:rsid w:val="00E45A56"/>
    <w:rsid w:val="00E468D7"/>
    <w:rsid w:val="00E46CDD"/>
    <w:rsid w:val="00E5306A"/>
    <w:rsid w:val="00E5374C"/>
    <w:rsid w:val="00E547E1"/>
    <w:rsid w:val="00E62820"/>
    <w:rsid w:val="00E6384F"/>
    <w:rsid w:val="00E71E90"/>
    <w:rsid w:val="00E73E6D"/>
    <w:rsid w:val="00E823AE"/>
    <w:rsid w:val="00E84708"/>
    <w:rsid w:val="00E856D7"/>
    <w:rsid w:val="00E9386A"/>
    <w:rsid w:val="00E93891"/>
    <w:rsid w:val="00EB0EA8"/>
    <w:rsid w:val="00EB3C1D"/>
    <w:rsid w:val="00EB58D4"/>
    <w:rsid w:val="00EB5CFD"/>
    <w:rsid w:val="00EB77BB"/>
    <w:rsid w:val="00ED2E52"/>
    <w:rsid w:val="00EE0763"/>
    <w:rsid w:val="00EE1A57"/>
    <w:rsid w:val="00EF15C0"/>
    <w:rsid w:val="00F033F3"/>
    <w:rsid w:val="00F05324"/>
    <w:rsid w:val="00F14519"/>
    <w:rsid w:val="00F146B1"/>
    <w:rsid w:val="00F232E7"/>
    <w:rsid w:val="00F26E3F"/>
    <w:rsid w:val="00F278A7"/>
    <w:rsid w:val="00F40885"/>
    <w:rsid w:val="00F44FF5"/>
    <w:rsid w:val="00F50771"/>
    <w:rsid w:val="00F62A39"/>
    <w:rsid w:val="00F71461"/>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2024-05-07T05:21:00Z</dcterms:created>
  <dcterms:modified xsi:type="dcterms:W3CDTF">2024-05-09T22:44:00Z</dcterms:modified>
  <cp:category/>
</cp:coreProperties>
</file>