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7B00D" w14:textId="77777777" w:rsidR="00072CAD" w:rsidRPr="005F1388" w:rsidRDefault="00072CAD" w:rsidP="00072CAD">
      <w:pPr>
        <w:rPr>
          <w:sz w:val="28"/>
        </w:rPr>
      </w:pPr>
      <w:r>
        <w:rPr>
          <w:noProof/>
          <w:lang w:eastAsia="en-AU"/>
        </w:rPr>
        <w:drawing>
          <wp:inline distT="0" distB="0" distL="0" distR="0" wp14:anchorId="47E22AF9" wp14:editId="4A977DA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199AD34" w14:textId="77777777" w:rsidR="00072CAD" w:rsidRPr="00E500D4" w:rsidRDefault="00072CAD" w:rsidP="00072CAD">
      <w:pPr>
        <w:rPr>
          <w:sz w:val="19"/>
        </w:rPr>
      </w:pPr>
    </w:p>
    <w:p w14:paraId="3F966C7F" w14:textId="77777777" w:rsidR="0016718C" w:rsidRPr="00E500D4" w:rsidRDefault="0016718C" w:rsidP="0016718C">
      <w:pPr>
        <w:rPr>
          <w:sz w:val="19"/>
        </w:rPr>
      </w:pPr>
    </w:p>
    <w:p w14:paraId="08CD1E5B" w14:textId="77777777" w:rsidR="0016718C" w:rsidRPr="00DA182D" w:rsidRDefault="001A5A98" w:rsidP="0016718C">
      <w:pPr>
        <w:pStyle w:val="ShortT"/>
      </w:pPr>
      <w:r w:rsidRPr="001A5A98">
        <w:t xml:space="preserve">Data Availability and Transparency </w:t>
      </w:r>
      <w:r w:rsidR="008C2B85">
        <w:t xml:space="preserve">Act </w:t>
      </w:r>
      <w:r w:rsidRPr="00DA182D">
        <w:t>(</w:t>
      </w:r>
      <w:r w:rsidR="008C2B85">
        <w:t>Authorised Officers</w:t>
      </w:r>
      <w:r w:rsidR="0016718C">
        <w:t>) Authorisation</w:t>
      </w:r>
      <w:r w:rsidR="0016718C" w:rsidRPr="00DA182D">
        <w:t xml:space="preserve"> </w:t>
      </w:r>
      <w:r w:rsidRPr="001A5A98">
        <w:t>2024</w:t>
      </w:r>
    </w:p>
    <w:p w14:paraId="401230D9" w14:textId="4F630F4C" w:rsidR="0016718C" w:rsidRPr="001A5A98" w:rsidRDefault="0016718C" w:rsidP="0016718C">
      <w:pPr>
        <w:pStyle w:val="SignCoverPageStart"/>
        <w:spacing w:before="240"/>
        <w:ind w:right="91"/>
      </w:pPr>
      <w:r w:rsidRPr="001A5A98">
        <w:t>I</w:t>
      </w:r>
      <w:r w:rsidR="008C2B85" w:rsidRPr="001A5A98">
        <w:t xml:space="preserve">, </w:t>
      </w:r>
      <w:r w:rsidR="008C2B85" w:rsidRPr="001A5A98">
        <w:rPr>
          <w:szCs w:val="22"/>
        </w:rPr>
        <w:t>GREG</w:t>
      </w:r>
      <w:r w:rsidR="00AA062C">
        <w:rPr>
          <w:szCs w:val="22"/>
        </w:rPr>
        <w:t>ORY</w:t>
      </w:r>
      <w:r w:rsidR="001A5A98">
        <w:rPr>
          <w:szCs w:val="22"/>
        </w:rPr>
        <w:t xml:space="preserve"> MORIARTY</w:t>
      </w:r>
      <w:r w:rsidR="00CF2A91">
        <w:rPr>
          <w:szCs w:val="22"/>
        </w:rPr>
        <w:t xml:space="preserve"> AO</w:t>
      </w:r>
      <w:r w:rsidRPr="001A5A98">
        <w:rPr>
          <w:szCs w:val="22"/>
        </w:rPr>
        <w:t xml:space="preserve">, </w:t>
      </w:r>
      <w:r w:rsidR="001A5A98" w:rsidRPr="00F17532">
        <w:t>Secretary of the Department of Defence</w:t>
      </w:r>
      <w:r w:rsidRPr="001A5A98">
        <w:rPr>
          <w:szCs w:val="22"/>
        </w:rPr>
        <w:t xml:space="preserve">, </w:t>
      </w:r>
      <w:r w:rsidR="008C2B85">
        <w:rPr>
          <w:szCs w:val="22"/>
        </w:rPr>
        <w:t xml:space="preserve">make the following authorisations under section 137 of the </w:t>
      </w:r>
      <w:r w:rsidR="008C2B85" w:rsidRPr="008C2B85">
        <w:rPr>
          <w:i/>
          <w:szCs w:val="22"/>
        </w:rPr>
        <w:t>Data Availability and Transparency Act 2022</w:t>
      </w:r>
      <w:r w:rsidR="008C2B85">
        <w:rPr>
          <w:szCs w:val="22"/>
        </w:rPr>
        <w:t xml:space="preserve">. </w:t>
      </w:r>
    </w:p>
    <w:p w14:paraId="14E8B99F" w14:textId="3AEEC5DD" w:rsidR="0016718C" w:rsidRPr="001A5A98" w:rsidRDefault="007B0CE9" w:rsidP="0016718C">
      <w:pPr>
        <w:keepNext/>
        <w:spacing w:before="300" w:line="240" w:lineRule="atLeast"/>
        <w:ind w:right="397"/>
        <w:jc w:val="both"/>
        <w:rPr>
          <w:szCs w:val="22"/>
        </w:rPr>
      </w:pPr>
      <w:r>
        <w:rPr>
          <w:szCs w:val="22"/>
        </w:rPr>
        <w:t>Dated</w:t>
      </w:r>
      <w:r>
        <w:rPr>
          <w:szCs w:val="22"/>
        </w:rPr>
        <w:tab/>
      </w:r>
      <w:r w:rsidR="005E3E85">
        <w:rPr>
          <w:szCs w:val="22"/>
        </w:rPr>
        <w:t xml:space="preserve">27 March </w:t>
      </w:r>
      <w:r w:rsidR="008C2B85">
        <w:rPr>
          <w:szCs w:val="22"/>
        </w:rPr>
        <w:t>2024</w:t>
      </w:r>
      <w:r w:rsidR="0016718C" w:rsidRPr="001A5A98">
        <w:rPr>
          <w:szCs w:val="22"/>
        </w:rPr>
        <w:tab/>
      </w:r>
      <w:r w:rsidR="0016718C" w:rsidRPr="001A5A98">
        <w:rPr>
          <w:szCs w:val="22"/>
        </w:rPr>
        <w:tab/>
      </w:r>
    </w:p>
    <w:p w14:paraId="3F25B27F" w14:textId="3D36519A" w:rsidR="0016718C" w:rsidRPr="001A5A98" w:rsidRDefault="001A5A98" w:rsidP="0016718C">
      <w:pPr>
        <w:keepNext/>
        <w:tabs>
          <w:tab w:val="left" w:pos="3402"/>
        </w:tabs>
        <w:spacing w:before="1440" w:line="300" w:lineRule="atLeast"/>
        <w:ind w:right="397"/>
        <w:rPr>
          <w:b/>
          <w:szCs w:val="22"/>
        </w:rPr>
      </w:pPr>
      <w:r w:rsidRPr="001A5A98">
        <w:rPr>
          <w:szCs w:val="22"/>
        </w:rPr>
        <w:t>Greg</w:t>
      </w:r>
      <w:r w:rsidR="00AA062C">
        <w:rPr>
          <w:szCs w:val="22"/>
        </w:rPr>
        <w:t>ory</w:t>
      </w:r>
      <w:r w:rsidRPr="001A5A98">
        <w:rPr>
          <w:szCs w:val="22"/>
        </w:rPr>
        <w:t xml:space="preserve"> Moriarty </w:t>
      </w:r>
      <w:r w:rsidR="005A18A1">
        <w:rPr>
          <w:szCs w:val="22"/>
        </w:rPr>
        <w:t>AO</w:t>
      </w:r>
      <w:bookmarkStart w:id="0" w:name="_GoBack"/>
      <w:bookmarkEnd w:id="0"/>
    </w:p>
    <w:p w14:paraId="243D92A5" w14:textId="77777777" w:rsidR="0016718C" w:rsidRPr="00DF5032" w:rsidRDefault="001A5A98" w:rsidP="0016718C">
      <w:pPr>
        <w:pStyle w:val="SignCoverPageEnd"/>
        <w:ind w:right="91"/>
        <w:rPr>
          <w:sz w:val="22"/>
        </w:rPr>
      </w:pPr>
      <w:r w:rsidRPr="001A5A98">
        <w:rPr>
          <w:sz w:val="22"/>
        </w:rPr>
        <w:t xml:space="preserve">Secretary of the Department of Defence </w:t>
      </w:r>
    </w:p>
    <w:p w14:paraId="692F9BFB" w14:textId="77777777" w:rsidR="005D7ED8" w:rsidRPr="00BA4A96" w:rsidRDefault="005D7ED8" w:rsidP="00BA4A96">
      <w:pPr>
        <w:spacing w:line="240" w:lineRule="auto"/>
        <w:rPr>
          <w:rFonts w:eastAsia="Times New Roman" w:cs="Times New Roman"/>
          <w:sz w:val="24"/>
          <w:lang w:eastAsia="en-AU"/>
        </w:rPr>
      </w:pPr>
      <w:r>
        <w:br w:type="page"/>
      </w:r>
    </w:p>
    <w:p w14:paraId="627FD66E" w14:textId="77777777" w:rsidR="00BA4A96" w:rsidRPr="00BA4A96" w:rsidRDefault="00BA4A96" w:rsidP="005D7ED8">
      <w:pPr>
        <w:rPr>
          <w:rFonts w:cs="Times New Roman"/>
          <w:sz w:val="32"/>
          <w:szCs w:val="32"/>
        </w:rPr>
      </w:pPr>
    </w:p>
    <w:p w14:paraId="5D522987" w14:textId="77777777" w:rsidR="00BA4A96" w:rsidRDefault="005D7ED8" w:rsidP="005D7ED8">
      <w:pPr>
        <w:rPr>
          <w:rFonts w:cs="Times New Roman"/>
        </w:rPr>
      </w:pPr>
      <w:r>
        <w:rPr>
          <w:rFonts w:cs="Times New Roman"/>
        </w:rPr>
        <w:tab/>
      </w:r>
    </w:p>
    <w:sdt>
      <w:sdtPr>
        <w:rPr>
          <w:rFonts w:ascii="Times New Roman" w:eastAsia="Times New Roman" w:hAnsi="Times New Roman" w:cs="Times New Roman"/>
          <w:b/>
          <w:color w:val="auto"/>
          <w:kern w:val="28"/>
          <w:sz w:val="28"/>
          <w:szCs w:val="20"/>
          <w:lang w:val="en-AU" w:eastAsia="en-AU"/>
        </w:rPr>
        <w:id w:val="307282490"/>
        <w:docPartObj>
          <w:docPartGallery w:val="Table of Contents"/>
          <w:docPartUnique/>
        </w:docPartObj>
      </w:sdtPr>
      <w:sdtEndPr>
        <w:rPr>
          <w:sz w:val="22"/>
        </w:rPr>
      </w:sdtEndPr>
      <w:sdtContent>
        <w:p w14:paraId="34100BA4" w14:textId="77777777" w:rsidR="00BA4A96" w:rsidRPr="00BA4A96" w:rsidRDefault="00BA4A96">
          <w:pPr>
            <w:pStyle w:val="TOCHeading"/>
            <w:rPr>
              <w:color w:val="auto"/>
            </w:rPr>
          </w:pPr>
          <w:r w:rsidRPr="00BA4A96">
            <w:rPr>
              <w:color w:val="auto"/>
            </w:rPr>
            <w:t>Contents</w:t>
          </w:r>
        </w:p>
        <w:p w14:paraId="669B661F" w14:textId="77777777" w:rsidR="00BA4A96" w:rsidRPr="00860559" w:rsidRDefault="00BA4A96" w:rsidP="00BA4A96">
          <w:pPr>
            <w:pStyle w:val="TOC1"/>
            <w:ind w:firstLine="86"/>
            <w:rPr>
              <w:b w:val="0"/>
              <w:sz w:val="24"/>
              <w:szCs w:val="24"/>
            </w:rPr>
          </w:pPr>
          <w:r w:rsidRPr="00860559">
            <w:rPr>
              <w:b w:val="0"/>
              <w:sz w:val="24"/>
              <w:szCs w:val="24"/>
            </w:rPr>
            <w:t>Name</w:t>
          </w:r>
          <w:r w:rsidRPr="00860559">
            <w:rPr>
              <w:b w:val="0"/>
              <w:sz w:val="24"/>
              <w:szCs w:val="24"/>
            </w:rPr>
            <w:ptab w:relativeTo="margin" w:alignment="right" w:leader="dot"/>
          </w:r>
          <w:r w:rsidR="00860559">
            <w:rPr>
              <w:b w:val="0"/>
              <w:sz w:val="24"/>
              <w:szCs w:val="24"/>
            </w:rPr>
            <w:t>2</w:t>
          </w:r>
        </w:p>
        <w:p w14:paraId="72A9A167" w14:textId="77777777" w:rsidR="00BA4A96" w:rsidRPr="00860559" w:rsidRDefault="00BA4A96" w:rsidP="00BA4A96">
          <w:pPr>
            <w:pStyle w:val="TOC2"/>
            <w:ind w:left="1701" w:hanging="141"/>
            <w:rPr>
              <w:b w:val="0"/>
              <w:szCs w:val="24"/>
            </w:rPr>
          </w:pPr>
          <w:r w:rsidRPr="00860559">
            <w:rPr>
              <w:b w:val="0"/>
              <w:szCs w:val="24"/>
            </w:rPr>
            <w:t>Commencement</w:t>
          </w:r>
          <w:r w:rsidRPr="00860559">
            <w:rPr>
              <w:b w:val="0"/>
              <w:szCs w:val="24"/>
            </w:rPr>
            <w:ptab w:relativeTo="margin" w:alignment="right" w:leader="dot"/>
          </w:r>
          <w:r w:rsidRPr="00860559">
            <w:rPr>
              <w:b w:val="0"/>
              <w:szCs w:val="24"/>
            </w:rPr>
            <w:t>2</w:t>
          </w:r>
        </w:p>
        <w:p w14:paraId="70A1ED11" w14:textId="2D6FF17B" w:rsidR="00BA4A96" w:rsidRDefault="00BA4A96" w:rsidP="00BA4A96">
          <w:pPr>
            <w:pStyle w:val="TOC3"/>
            <w:ind w:left="1560" w:firstLine="0"/>
            <w:rPr>
              <w:b w:val="0"/>
              <w:sz w:val="24"/>
              <w:szCs w:val="24"/>
            </w:rPr>
          </w:pPr>
          <w:r w:rsidRPr="00860559">
            <w:rPr>
              <w:b w:val="0"/>
              <w:sz w:val="24"/>
              <w:szCs w:val="24"/>
            </w:rPr>
            <w:t>Authority</w:t>
          </w:r>
          <w:r w:rsidRPr="00860559">
            <w:rPr>
              <w:b w:val="0"/>
              <w:sz w:val="24"/>
              <w:szCs w:val="24"/>
            </w:rPr>
            <w:ptab w:relativeTo="margin" w:alignment="right" w:leader="dot"/>
          </w:r>
          <w:r w:rsidR="00860559">
            <w:rPr>
              <w:b w:val="0"/>
              <w:sz w:val="24"/>
              <w:szCs w:val="24"/>
            </w:rPr>
            <w:t>2</w:t>
          </w:r>
        </w:p>
        <w:p w14:paraId="3A8FB5C1" w14:textId="7FBCCB41" w:rsidR="00EA3219" w:rsidRPr="00EA3219" w:rsidRDefault="00EA3219">
          <w:pPr>
            <w:pStyle w:val="TOC3"/>
            <w:ind w:left="1560" w:firstLine="0"/>
            <w:rPr>
              <w:b w:val="0"/>
              <w:sz w:val="24"/>
              <w:szCs w:val="24"/>
            </w:rPr>
          </w:pPr>
          <w:r>
            <w:rPr>
              <w:b w:val="0"/>
              <w:sz w:val="24"/>
              <w:szCs w:val="24"/>
            </w:rPr>
            <w:t>Definitions</w:t>
          </w:r>
          <w:r w:rsidRPr="00860559">
            <w:rPr>
              <w:b w:val="0"/>
              <w:sz w:val="24"/>
              <w:szCs w:val="24"/>
            </w:rPr>
            <w:ptab w:relativeTo="margin" w:alignment="right" w:leader="dot"/>
          </w:r>
          <w:r>
            <w:rPr>
              <w:b w:val="0"/>
              <w:sz w:val="24"/>
              <w:szCs w:val="24"/>
            </w:rPr>
            <w:t>2</w:t>
          </w:r>
        </w:p>
        <w:p w14:paraId="0F10A0BC" w14:textId="41BFE6B7" w:rsidR="00BA4A96" w:rsidRPr="00BA4A96" w:rsidRDefault="00BA4A96" w:rsidP="00776627">
          <w:pPr>
            <w:pStyle w:val="TOC1"/>
            <w:ind w:left="1560" w:firstLine="0"/>
            <w:rPr>
              <w:b w:val="0"/>
            </w:rPr>
          </w:pPr>
          <w:r w:rsidRPr="00860559">
            <w:rPr>
              <w:b w:val="0"/>
              <w:sz w:val="24"/>
              <w:szCs w:val="24"/>
            </w:rPr>
            <w:t xml:space="preserve">Authorised </w:t>
          </w:r>
          <w:r w:rsidR="00EA3219">
            <w:rPr>
              <w:b w:val="0"/>
              <w:sz w:val="24"/>
              <w:szCs w:val="24"/>
            </w:rPr>
            <w:t xml:space="preserve">officers and individuals authorised to do particular </w:t>
          </w:r>
          <w:r w:rsidR="00CF3843">
            <w:rPr>
              <w:b w:val="0"/>
              <w:sz w:val="24"/>
              <w:szCs w:val="24"/>
            </w:rPr>
            <w:t xml:space="preserve">   </w:t>
          </w:r>
          <w:r w:rsidR="00EA3219">
            <w:rPr>
              <w:b w:val="0"/>
              <w:sz w:val="24"/>
              <w:szCs w:val="24"/>
            </w:rPr>
            <w:t>things</w:t>
          </w:r>
          <w:r w:rsidR="00EA3219" w:rsidRPr="00860559">
            <w:rPr>
              <w:b w:val="0"/>
              <w:sz w:val="24"/>
              <w:szCs w:val="24"/>
            </w:rPr>
            <w:ptab w:relativeTo="margin" w:alignment="right" w:leader="dot"/>
          </w:r>
          <w:r w:rsidR="00EA3219">
            <w:rPr>
              <w:b w:val="0"/>
              <w:bCs/>
              <w:sz w:val="24"/>
              <w:szCs w:val="24"/>
            </w:rPr>
            <w:t>2</w:t>
          </w:r>
        </w:p>
      </w:sdtContent>
    </w:sdt>
    <w:p w14:paraId="0BF31402" w14:textId="77777777" w:rsidR="005D7ED8" w:rsidRDefault="005D7ED8" w:rsidP="005D7ED8">
      <w:pPr>
        <w:rPr>
          <w:rFonts w:cs="Times New Roman"/>
        </w:rPr>
      </w:pPr>
    </w:p>
    <w:p w14:paraId="07533DB0" w14:textId="77777777" w:rsidR="005D7ED8" w:rsidRDefault="005D7ED8" w:rsidP="005D7ED8">
      <w:pPr>
        <w:rPr>
          <w:rFonts w:cs="Times New Roman"/>
        </w:rPr>
      </w:pPr>
      <w:r>
        <w:rPr>
          <w:rFonts w:cs="Times New Roman"/>
        </w:rPr>
        <w:br w:type="page"/>
      </w:r>
    </w:p>
    <w:p w14:paraId="1F723BD1" w14:textId="77777777" w:rsidR="005D7ED8" w:rsidRPr="00BA4A96" w:rsidRDefault="005D7ED8" w:rsidP="00BA4A96">
      <w:pPr>
        <w:pStyle w:val="TOCHeading"/>
        <w:rPr>
          <w:rFonts w:ascii="Times New Roman" w:hAnsi="Times New Roman" w:cs="Times New Roman"/>
          <w:b/>
          <w:color w:val="auto"/>
          <w:sz w:val="24"/>
          <w:szCs w:val="24"/>
        </w:rPr>
      </w:pPr>
      <w:r w:rsidRPr="00BA4A96">
        <w:rPr>
          <w:rFonts w:ascii="Times New Roman" w:hAnsi="Times New Roman" w:cs="Times New Roman"/>
          <w:b/>
          <w:color w:val="auto"/>
          <w:sz w:val="24"/>
          <w:szCs w:val="24"/>
        </w:rPr>
        <w:lastRenderedPageBreak/>
        <w:t>1 Name</w:t>
      </w:r>
    </w:p>
    <w:p w14:paraId="7C6D8136" w14:textId="77777777" w:rsidR="005D7ED8" w:rsidRPr="00776627" w:rsidRDefault="005D7ED8" w:rsidP="00BA4A96">
      <w:pPr>
        <w:pStyle w:val="BodyNum"/>
        <w:ind w:left="720"/>
      </w:pPr>
      <w:r>
        <w:t xml:space="preserve">This instrument is </w:t>
      </w:r>
      <w:r w:rsidRPr="00BA4A96">
        <w:rPr>
          <w:i/>
        </w:rPr>
        <w:t>Data Availability and Transparency Act</w:t>
      </w:r>
      <w:r w:rsidR="00BA4A96" w:rsidRPr="00BA4A96">
        <w:rPr>
          <w:i/>
        </w:rPr>
        <w:t xml:space="preserve"> (</w:t>
      </w:r>
      <w:r w:rsidRPr="00BA4A96">
        <w:rPr>
          <w:i/>
        </w:rPr>
        <w:t xml:space="preserve">Authorised </w:t>
      </w:r>
      <w:r w:rsidR="00BA4A96" w:rsidRPr="00BA4A96">
        <w:rPr>
          <w:i/>
        </w:rPr>
        <w:t>Officers</w:t>
      </w:r>
      <w:r w:rsidRPr="00BA4A96">
        <w:rPr>
          <w:i/>
        </w:rPr>
        <w:t xml:space="preserve">) </w:t>
      </w:r>
      <w:r w:rsidR="00AA062C">
        <w:rPr>
          <w:i/>
        </w:rPr>
        <w:t xml:space="preserve">Authorisation </w:t>
      </w:r>
      <w:r w:rsidRPr="00BA4A96">
        <w:rPr>
          <w:i/>
        </w:rPr>
        <w:t>2024</w:t>
      </w:r>
      <w:r w:rsidR="00AA062C">
        <w:t>.</w:t>
      </w:r>
    </w:p>
    <w:p w14:paraId="1002EEFA" w14:textId="77777777" w:rsidR="00860559" w:rsidRDefault="00860559" w:rsidP="005D7ED8">
      <w:pPr>
        <w:rPr>
          <w:rFonts w:cs="Times New Roman"/>
          <w:b/>
          <w:sz w:val="24"/>
          <w:szCs w:val="24"/>
        </w:rPr>
      </w:pPr>
    </w:p>
    <w:p w14:paraId="5B96B81F" w14:textId="77777777" w:rsidR="005D7ED8" w:rsidRDefault="005D7ED8" w:rsidP="005D7ED8">
      <w:pPr>
        <w:rPr>
          <w:rFonts w:cs="Times New Roman"/>
          <w:b/>
          <w:sz w:val="24"/>
          <w:szCs w:val="24"/>
        </w:rPr>
      </w:pPr>
      <w:r w:rsidRPr="00BA4A96">
        <w:rPr>
          <w:rFonts w:cs="Times New Roman"/>
          <w:b/>
          <w:sz w:val="24"/>
          <w:szCs w:val="24"/>
        </w:rPr>
        <w:t>2 Commencement</w:t>
      </w:r>
    </w:p>
    <w:p w14:paraId="40226C28" w14:textId="77777777" w:rsidR="00BA4A96" w:rsidRPr="00BA4A96" w:rsidRDefault="00BA4A96" w:rsidP="005D7ED8">
      <w:pPr>
        <w:rPr>
          <w:rFonts w:cs="Times New Roman"/>
          <w:b/>
          <w:sz w:val="24"/>
          <w:szCs w:val="24"/>
        </w:rPr>
      </w:pPr>
    </w:p>
    <w:p w14:paraId="039C0DC8" w14:textId="77777777" w:rsidR="005D7ED8" w:rsidRPr="00776627" w:rsidRDefault="005D7ED8" w:rsidP="005D7ED8">
      <w:pPr>
        <w:rPr>
          <w:rFonts w:cs="Times New Roman"/>
          <w:sz w:val="24"/>
        </w:rPr>
      </w:pPr>
      <w:r w:rsidRPr="00776627">
        <w:rPr>
          <w:rFonts w:cs="Times New Roman"/>
          <w:sz w:val="24"/>
        </w:rPr>
        <w:tab/>
        <w:t>This instrument commences on the day after registration.</w:t>
      </w:r>
    </w:p>
    <w:p w14:paraId="14C95D91" w14:textId="77777777" w:rsidR="00BA4A96" w:rsidRDefault="00BA4A96" w:rsidP="005D7ED8">
      <w:pPr>
        <w:rPr>
          <w:rFonts w:cs="Times New Roman"/>
        </w:rPr>
      </w:pPr>
    </w:p>
    <w:p w14:paraId="0C174817" w14:textId="77777777" w:rsidR="005D7ED8" w:rsidRDefault="005D7ED8" w:rsidP="005D7ED8">
      <w:pPr>
        <w:rPr>
          <w:rFonts w:cs="Times New Roman"/>
          <w:b/>
          <w:sz w:val="24"/>
          <w:szCs w:val="24"/>
        </w:rPr>
      </w:pPr>
      <w:r w:rsidRPr="00BA4A96">
        <w:rPr>
          <w:rFonts w:cs="Times New Roman"/>
          <w:b/>
          <w:sz w:val="24"/>
          <w:szCs w:val="24"/>
        </w:rPr>
        <w:t>3 Authority</w:t>
      </w:r>
    </w:p>
    <w:p w14:paraId="7435479C" w14:textId="77777777" w:rsidR="00BA4A96" w:rsidRPr="00BA4A96" w:rsidRDefault="00BA4A96" w:rsidP="005D7ED8">
      <w:pPr>
        <w:rPr>
          <w:rFonts w:cs="Times New Roman"/>
          <w:b/>
          <w:sz w:val="24"/>
          <w:szCs w:val="24"/>
        </w:rPr>
      </w:pPr>
    </w:p>
    <w:p w14:paraId="3B0920C9" w14:textId="77777777" w:rsidR="005D7ED8" w:rsidRPr="00776627" w:rsidRDefault="005D7ED8" w:rsidP="005D7ED8">
      <w:pPr>
        <w:ind w:left="720"/>
        <w:rPr>
          <w:rFonts w:cs="Times New Roman"/>
          <w:i/>
          <w:sz w:val="24"/>
        </w:rPr>
      </w:pPr>
      <w:r w:rsidRPr="00776627">
        <w:rPr>
          <w:rFonts w:cs="Times New Roman"/>
          <w:sz w:val="24"/>
        </w:rPr>
        <w:t xml:space="preserve">This instrument is made under section 137 of the </w:t>
      </w:r>
      <w:r w:rsidRPr="00776627">
        <w:rPr>
          <w:rFonts w:cs="Times New Roman"/>
          <w:i/>
          <w:sz w:val="24"/>
        </w:rPr>
        <w:t>Data Availability and Transparency Act 2022.</w:t>
      </w:r>
    </w:p>
    <w:p w14:paraId="164644E9" w14:textId="28E8E1A3" w:rsidR="00EA3219" w:rsidRDefault="00EA3219" w:rsidP="00776627">
      <w:pPr>
        <w:rPr>
          <w:rFonts w:cs="Times New Roman"/>
          <w:i/>
        </w:rPr>
      </w:pPr>
    </w:p>
    <w:p w14:paraId="6169FF23" w14:textId="77777777" w:rsidR="00EA3219" w:rsidRDefault="00EA3219" w:rsidP="00EA3219">
      <w:pPr>
        <w:rPr>
          <w:rFonts w:cs="Times New Roman"/>
          <w:b/>
          <w:sz w:val="24"/>
          <w:szCs w:val="24"/>
        </w:rPr>
      </w:pPr>
      <w:r>
        <w:rPr>
          <w:rFonts w:cs="Times New Roman"/>
          <w:b/>
          <w:sz w:val="24"/>
          <w:szCs w:val="24"/>
        </w:rPr>
        <w:t>4</w:t>
      </w:r>
      <w:r w:rsidRPr="00BA4A96">
        <w:rPr>
          <w:rFonts w:cs="Times New Roman"/>
          <w:b/>
          <w:sz w:val="24"/>
          <w:szCs w:val="24"/>
        </w:rPr>
        <w:t xml:space="preserve"> </w:t>
      </w:r>
      <w:r>
        <w:rPr>
          <w:rFonts w:cs="Times New Roman"/>
          <w:b/>
          <w:sz w:val="24"/>
          <w:szCs w:val="24"/>
        </w:rPr>
        <w:t>Definitions</w:t>
      </w:r>
    </w:p>
    <w:p w14:paraId="3A6DC299" w14:textId="77777777" w:rsidR="00EA3219" w:rsidRDefault="00EA3219" w:rsidP="00EA3219">
      <w:pPr>
        <w:rPr>
          <w:rFonts w:cs="Times New Roman"/>
          <w:b/>
          <w:sz w:val="24"/>
          <w:szCs w:val="24"/>
        </w:rPr>
      </w:pPr>
    </w:p>
    <w:p w14:paraId="1FCF3C1A" w14:textId="77777777" w:rsidR="00EA3219" w:rsidRPr="00357961" w:rsidRDefault="00EA3219" w:rsidP="00EA3219">
      <w:pPr>
        <w:pStyle w:val="OPCParaBase"/>
        <w:ind w:left="720" w:hanging="720"/>
        <w:rPr>
          <w:rStyle w:val="OPCCharBase"/>
          <w:sz w:val="20"/>
        </w:rPr>
      </w:pPr>
      <w:r w:rsidRPr="00357961">
        <w:rPr>
          <w:sz w:val="20"/>
        </w:rPr>
        <w:t>Note:</w:t>
      </w:r>
      <w:r w:rsidRPr="00357961">
        <w:rPr>
          <w:sz w:val="20"/>
        </w:rPr>
        <w:tab/>
        <w:t xml:space="preserve">Expressions have the same meaning in this instrument as in the </w:t>
      </w:r>
      <w:r w:rsidRPr="00357961">
        <w:rPr>
          <w:i/>
          <w:sz w:val="20"/>
        </w:rPr>
        <w:t>Data Availability and Transparency Act 2022</w:t>
      </w:r>
      <w:r w:rsidRPr="00357961">
        <w:rPr>
          <w:sz w:val="20"/>
        </w:rPr>
        <w:t xml:space="preserve"> as in force from time to time – see paragraph 13(1</w:t>
      </w:r>
      <w:proofErr w:type="gramStart"/>
      <w:r w:rsidRPr="00357961">
        <w:rPr>
          <w:sz w:val="20"/>
        </w:rPr>
        <w:t>)(</w:t>
      </w:r>
      <w:proofErr w:type="gramEnd"/>
      <w:r w:rsidRPr="00357961">
        <w:rPr>
          <w:sz w:val="20"/>
        </w:rPr>
        <w:t xml:space="preserve">b) of the </w:t>
      </w:r>
      <w:r w:rsidRPr="00357961">
        <w:rPr>
          <w:i/>
          <w:sz w:val="20"/>
        </w:rPr>
        <w:t>Legislation Act 2003</w:t>
      </w:r>
      <w:r w:rsidRPr="00357961">
        <w:rPr>
          <w:sz w:val="20"/>
        </w:rPr>
        <w:t>.</w:t>
      </w:r>
    </w:p>
    <w:p w14:paraId="6C418716" w14:textId="77777777" w:rsidR="00EA3219" w:rsidRPr="00357961" w:rsidRDefault="00EA3219" w:rsidP="00EA3219">
      <w:pPr>
        <w:rPr>
          <w:rFonts w:cs="Times New Roman"/>
          <w:sz w:val="24"/>
        </w:rPr>
      </w:pPr>
    </w:p>
    <w:p w14:paraId="28E8486F" w14:textId="77777777" w:rsidR="00EA3219" w:rsidRDefault="00EA3219" w:rsidP="00EA3219">
      <w:pPr>
        <w:ind w:left="720"/>
        <w:rPr>
          <w:rFonts w:cs="Times New Roman"/>
          <w:sz w:val="24"/>
        </w:rPr>
      </w:pPr>
      <w:r w:rsidRPr="00357961">
        <w:rPr>
          <w:rFonts w:cs="Times New Roman"/>
          <w:sz w:val="24"/>
        </w:rPr>
        <w:t>In</w:t>
      </w:r>
      <w:r>
        <w:rPr>
          <w:rFonts w:cs="Times New Roman"/>
          <w:sz w:val="24"/>
        </w:rPr>
        <w:t xml:space="preserve"> this instrument:</w:t>
      </w:r>
    </w:p>
    <w:p w14:paraId="722FA476" w14:textId="77777777" w:rsidR="00EA3219" w:rsidRDefault="00EA3219" w:rsidP="00EA3219">
      <w:pPr>
        <w:ind w:left="720"/>
        <w:rPr>
          <w:rFonts w:cs="Times New Roman"/>
          <w:sz w:val="24"/>
        </w:rPr>
      </w:pPr>
    </w:p>
    <w:p w14:paraId="28C5306A" w14:textId="77777777" w:rsidR="00EA3219" w:rsidRDefault="00EA3219" w:rsidP="00EA3219">
      <w:pPr>
        <w:ind w:left="720"/>
        <w:rPr>
          <w:rFonts w:cs="Times New Roman"/>
          <w:sz w:val="24"/>
        </w:rPr>
      </w:pPr>
      <w:r>
        <w:rPr>
          <w:rFonts w:cs="Times New Roman"/>
          <w:sz w:val="24"/>
        </w:rPr>
        <w:tab/>
      </w:r>
      <w:proofErr w:type="gramStart"/>
      <w:r>
        <w:rPr>
          <w:rFonts w:cs="Times New Roman"/>
          <w:b/>
          <w:i/>
          <w:sz w:val="24"/>
        </w:rPr>
        <w:t>the</w:t>
      </w:r>
      <w:proofErr w:type="gramEnd"/>
      <w:r>
        <w:rPr>
          <w:rFonts w:cs="Times New Roman"/>
          <w:b/>
          <w:i/>
          <w:sz w:val="24"/>
        </w:rPr>
        <w:t xml:space="preserve"> Act</w:t>
      </w:r>
      <w:r>
        <w:rPr>
          <w:rFonts w:cs="Times New Roman"/>
          <w:sz w:val="24"/>
        </w:rPr>
        <w:t xml:space="preserve"> means the </w:t>
      </w:r>
      <w:r>
        <w:rPr>
          <w:rFonts w:cs="Times New Roman"/>
          <w:i/>
          <w:sz w:val="24"/>
        </w:rPr>
        <w:t>Data Availability and Transparency Act 2022</w:t>
      </w:r>
    </w:p>
    <w:p w14:paraId="2FDF1B90" w14:textId="77777777" w:rsidR="00EA3219" w:rsidRDefault="00EA3219" w:rsidP="00EA3219">
      <w:pPr>
        <w:ind w:left="720"/>
        <w:rPr>
          <w:rFonts w:cs="Times New Roman"/>
          <w:sz w:val="24"/>
        </w:rPr>
      </w:pPr>
    </w:p>
    <w:p w14:paraId="1D3140FA" w14:textId="77777777" w:rsidR="00EA3219" w:rsidRPr="00357961" w:rsidRDefault="00EA3219" w:rsidP="00EA3219">
      <w:pPr>
        <w:ind w:left="1440"/>
        <w:rPr>
          <w:rFonts w:cs="Times New Roman"/>
          <w:sz w:val="24"/>
        </w:rPr>
      </w:pPr>
      <w:proofErr w:type="gramStart"/>
      <w:r>
        <w:rPr>
          <w:rFonts w:cs="Times New Roman"/>
          <w:b/>
          <w:i/>
          <w:sz w:val="24"/>
        </w:rPr>
        <w:t>the</w:t>
      </w:r>
      <w:proofErr w:type="gramEnd"/>
      <w:r>
        <w:rPr>
          <w:rFonts w:cs="Times New Roman"/>
          <w:b/>
          <w:i/>
          <w:sz w:val="24"/>
        </w:rPr>
        <w:t xml:space="preserve"> Department</w:t>
      </w:r>
      <w:r>
        <w:rPr>
          <w:rFonts w:cs="Times New Roman"/>
          <w:sz w:val="24"/>
        </w:rPr>
        <w:t xml:space="preserve"> means the Department of Defence</w:t>
      </w:r>
    </w:p>
    <w:p w14:paraId="6B3B6A4D" w14:textId="05966C40" w:rsidR="00EA3219" w:rsidRPr="00C73880" w:rsidRDefault="00EA3219" w:rsidP="00776627">
      <w:pPr>
        <w:rPr>
          <w:rFonts w:cs="Times New Roman"/>
          <w:i/>
        </w:rPr>
      </w:pPr>
    </w:p>
    <w:p w14:paraId="50DA07CD" w14:textId="48CED6FA" w:rsidR="005D7ED8" w:rsidRPr="00BA4A96" w:rsidRDefault="00EA3219" w:rsidP="005D7ED8">
      <w:pPr>
        <w:rPr>
          <w:rFonts w:cs="Times New Roman"/>
          <w:b/>
          <w:sz w:val="24"/>
          <w:szCs w:val="24"/>
        </w:rPr>
      </w:pPr>
      <w:r>
        <w:rPr>
          <w:rFonts w:cs="Times New Roman"/>
          <w:b/>
          <w:sz w:val="24"/>
          <w:szCs w:val="24"/>
        </w:rPr>
        <w:t>5</w:t>
      </w:r>
      <w:r w:rsidR="005D7ED8" w:rsidRPr="00BA4A96">
        <w:rPr>
          <w:rFonts w:cs="Times New Roman"/>
          <w:b/>
          <w:sz w:val="24"/>
          <w:szCs w:val="24"/>
        </w:rPr>
        <w:t xml:space="preserve"> Authorised </w:t>
      </w:r>
      <w:r>
        <w:rPr>
          <w:rFonts w:cs="Times New Roman"/>
          <w:b/>
          <w:sz w:val="24"/>
          <w:szCs w:val="24"/>
        </w:rPr>
        <w:t>officers and individuals authorised to do particular things</w:t>
      </w:r>
    </w:p>
    <w:p w14:paraId="0F3E669A" w14:textId="384519A1" w:rsidR="00EA3219" w:rsidRDefault="00EA3219" w:rsidP="00EA3219">
      <w:pPr>
        <w:pStyle w:val="BodyNum"/>
        <w:numPr>
          <w:ilvl w:val="0"/>
          <w:numId w:val="14"/>
        </w:numPr>
        <w:tabs>
          <w:tab w:val="num" w:pos="720"/>
        </w:tabs>
        <w:ind w:left="851" w:firstLine="0"/>
      </w:pPr>
      <w:r>
        <w:t xml:space="preserve">Under subsection 137(2) of the Act, </w:t>
      </w:r>
      <w:r w:rsidRPr="00CB3B42">
        <w:t xml:space="preserve">persons </w:t>
      </w:r>
      <w:r>
        <w:t xml:space="preserve">holding, occupying or performing the duties of the following offices or positions in the Department </w:t>
      </w:r>
      <w:r w:rsidRPr="00CB3B42">
        <w:t xml:space="preserve">are authorised </w:t>
      </w:r>
      <w:r>
        <w:t>officers for the purposes the data sharing scheme:</w:t>
      </w:r>
    </w:p>
    <w:p w14:paraId="1ED43C99" w14:textId="0F52C2F6" w:rsidR="005D7ED8" w:rsidRDefault="005D7ED8" w:rsidP="00BA4A96">
      <w:pPr>
        <w:pStyle w:val="BodyNum"/>
        <w:numPr>
          <w:ilvl w:val="1"/>
          <w:numId w:val="14"/>
        </w:numPr>
      </w:pPr>
      <w:r>
        <w:t>Associate Secretary</w:t>
      </w:r>
    </w:p>
    <w:p w14:paraId="750E0EA9" w14:textId="5788C250" w:rsidR="00CF2A91" w:rsidRDefault="00CF2A91" w:rsidP="00BA4A96">
      <w:pPr>
        <w:pStyle w:val="BodyNum"/>
        <w:numPr>
          <w:ilvl w:val="1"/>
          <w:numId w:val="14"/>
        </w:numPr>
      </w:pPr>
      <w:r>
        <w:t>Deputy Secretary Governance</w:t>
      </w:r>
    </w:p>
    <w:p w14:paraId="4F257D2B" w14:textId="5F124928" w:rsidR="005D7ED8" w:rsidRDefault="005D7ED8" w:rsidP="00BA4A96">
      <w:pPr>
        <w:pStyle w:val="BodyNum"/>
        <w:numPr>
          <w:ilvl w:val="1"/>
          <w:numId w:val="14"/>
        </w:numPr>
      </w:pPr>
      <w:r>
        <w:t>Chief Data Integration Officer</w:t>
      </w:r>
    </w:p>
    <w:p w14:paraId="5B8D67EF" w14:textId="2AEC36BE" w:rsidR="009D1379" w:rsidRDefault="009D1379" w:rsidP="009D1379">
      <w:pPr>
        <w:pStyle w:val="BodyNum"/>
        <w:numPr>
          <w:ilvl w:val="1"/>
          <w:numId w:val="14"/>
        </w:numPr>
      </w:pPr>
      <w:r>
        <w:t>Assistant Secretary Data Governance and Services</w:t>
      </w:r>
    </w:p>
    <w:p w14:paraId="2270EE66" w14:textId="1874ED94" w:rsidR="00EA3219" w:rsidRDefault="00EA3219" w:rsidP="00EA3219">
      <w:pPr>
        <w:pStyle w:val="BodyNum"/>
        <w:numPr>
          <w:ilvl w:val="0"/>
          <w:numId w:val="14"/>
        </w:numPr>
        <w:tabs>
          <w:tab w:val="num" w:pos="720"/>
        </w:tabs>
        <w:ind w:left="851" w:firstLine="0"/>
      </w:pPr>
      <w:r>
        <w:t xml:space="preserve">Under subsection 137(3) of the Act, persons holding, occupying or performing the duties of the following offices or positions in the Department are authorised to enter into variations to data sharing agreements: </w:t>
      </w:r>
    </w:p>
    <w:p w14:paraId="4B53313C" w14:textId="2F8FBF81" w:rsidR="00C35968" w:rsidRDefault="00CF2A91" w:rsidP="00776627">
      <w:pPr>
        <w:pStyle w:val="BodyNum"/>
        <w:numPr>
          <w:ilvl w:val="1"/>
          <w:numId w:val="14"/>
        </w:numPr>
      </w:pPr>
      <w:r>
        <w:t>Associate Secretary</w:t>
      </w:r>
    </w:p>
    <w:p w14:paraId="38B295AD" w14:textId="45B19641" w:rsidR="00CF2A91" w:rsidRDefault="00CF2A91" w:rsidP="00776627">
      <w:pPr>
        <w:pStyle w:val="BodyNum"/>
        <w:numPr>
          <w:ilvl w:val="1"/>
          <w:numId w:val="14"/>
        </w:numPr>
      </w:pPr>
      <w:r>
        <w:t>Deputy Secretary Governance</w:t>
      </w:r>
    </w:p>
    <w:p w14:paraId="48DE10F5" w14:textId="555661F3" w:rsidR="00CF2A91" w:rsidRDefault="00CF2A91" w:rsidP="00776627">
      <w:pPr>
        <w:pStyle w:val="BodyNum"/>
        <w:numPr>
          <w:ilvl w:val="1"/>
          <w:numId w:val="14"/>
        </w:numPr>
      </w:pPr>
      <w:r>
        <w:lastRenderedPageBreak/>
        <w:t>Chief Data Integration Officer</w:t>
      </w:r>
    </w:p>
    <w:p w14:paraId="6DF889CE" w14:textId="64678991" w:rsidR="00CF2A91" w:rsidRPr="006E4AC6" w:rsidRDefault="00CF2A91" w:rsidP="00776627">
      <w:pPr>
        <w:pStyle w:val="BodyNum"/>
        <w:numPr>
          <w:ilvl w:val="1"/>
          <w:numId w:val="14"/>
        </w:numPr>
      </w:pPr>
      <w:r>
        <w:t>Assistant Secretary Data Governance and Services</w:t>
      </w:r>
    </w:p>
    <w:p w14:paraId="1B661B9B" w14:textId="6A0227DC" w:rsidR="00EA3219" w:rsidRDefault="00EA3219" w:rsidP="00EA3219">
      <w:pPr>
        <w:pStyle w:val="BodyNum"/>
        <w:numPr>
          <w:ilvl w:val="0"/>
          <w:numId w:val="14"/>
        </w:numPr>
        <w:tabs>
          <w:tab w:val="num" w:pos="720"/>
        </w:tabs>
        <w:ind w:left="851" w:firstLine="0"/>
      </w:pPr>
      <w:r>
        <w:t>Under subsection 137(4) of the Act, persons holding, occupying or performing the duties of the following offices or positions in the Department are authori</w:t>
      </w:r>
      <w:r w:rsidRPr="00C73880">
        <w:t xml:space="preserve">sed </w:t>
      </w:r>
      <w:r>
        <w:t>to</w:t>
      </w:r>
      <w:r w:rsidRPr="00C73880">
        <w:t>: enter into data sharing agreements; enter into variations to data sharing agreements;</w:t>
      </w:r>
      <w:r w:rsidR="00840ABF">
        <w:t xml:space="preserve"> or</w:t>
      </w:r>
      <w:r w:rsidRPr="00C73880">
        <w:t xml:space="preserve"> make decisions that subsection 16D(4) applies to a proposed integration of data and make the required records under subsection 16D(6)</w:t>
      </w:r>
      <w:r>
        <w:t>:</w:t>
      </w:r>
    </w:p>
    <w:p w14:paraId="51C70CFE" w14:textId="73155B03" w:rsidR="00C35968" w:rsidRDefault="00C35968" w:rsidP="00BA4A96">
      <w:pPr>
        <w:pStyle w:val="BodyNum"/>
        <w:numPr>
          <w:ilvl w:val="1"/>
          <w:numId w:val="14"/>
        </w:numPr>
      </w:pPr>
      <w:r>
        <w:t>Associate Secretary</w:t>
      </w:r>
    </w:p>
    <w:p w14:paraId="15516C0B" w14:textId="7F7BCE9D" w:rsidR="00CF2A91" w:rsidRDefault="00CF2A91" w:rsidP="00BA4A96">
      <w:pPr>
        <w:pStyle w:val="BodyNum"/>
        <w:numPr>
          <w:ilvl w:val="1"/>
          <w:numId w:val="14"/>
        </w:numPr>
      </w:pPr>
      <w:r>
        <w:t>Deputy Secretary Governance</w:t>
      </w:r>
    </w:p>
    <w:p w14:paraId="14EC1C1E" w14:textId="77777777" w:rsidR="00CF2A91" w:rsidRDefault="00C35968" w:rsidP="00BA4A96">
      <w:pPr>
        <w:pStyle w:val="BodyNum"/>
        <w:numPr>
          <w:ilvl w:val="1"/>
          <w:numId w:val="14"/>
        </w:numPr>
      </w:pPr>
      <w:r>
        <w:t>Chief Data Integration Officer</w:t>
      </w:r>
    </w:p>
    <w:p w14:paraId="1F191CBF" w14:textId="77777777" w:rsidR="00E66B05" w:rsidRPr="005D7ED8" w:rsidRDefault="00E66B05" w:rsidP="00BA4A96">
      <w:pPr>
        <w:pStyle w:val="BodyNum"/>
        <w:numPr>
          <w:ilvl w:val="1"/>
          <w:numId w:val="14"/>
        </w:numPr>
      </w:pPr>
      <w:r>
        <w:t>Assistant Secretary Data Governance and Services</w:t>
      </w:r>
    </w:p>
    <w:p w14:paraId="217084A2" w14:textId="77777777" w:rsidR="000D7BA5" w:rsidRPr="00CB3B42" w:rsidRDefault="000D7BA5" w:rsidP="000D7BA5">
      <w:pPr>
        <w:pStyle w:val="ListParagraph"/>
        <w:ind w:left="1080"/>
        <w:rPr>
          <w:rFonts w:ascii="Times New Roman" w:hAnsi="Times New Roman" w:cs="Times New Roman"/>
        </w:rPr>
      </w:pPr>
    </w:p>
    <w:p w14:paraId="749D0BFF" w14:textId="77777777" w:rsidR="000D7BA5" w:rsidRPr="00072CAD" w:rsidRDefault="000D7BA5" w:rsidP="000D7BA5">
      <w:pPr>
        <w:pStyle w:val="BodyNum"/>
      </w:pPr>
    </w:p>
    <w:sectPr w:rsidR="000D7BA5" w:rsidRPr="00072CAD" w:rsidSect="00DF5032">
      <w:headerReference w:type="even" r:id="rId9"/>
      <w:headerReference w:type="default" r:id="rId10"/>
      <w:footerReference w:type="even" r:id="rId11"/>
      <w:footerReference w:type="default" r:id="rId12"/>
      <w:footerReference w:type="first" r:id="rId13"/>
      <w:pgSz w:w="11907" w:h="16839" w:code="9"/>
      <w:pgMar w:top="2233"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1BFC6" w14:textId="77777777" w:rsidR="00270A42" w:rsidRDefault="00270A42" w:rsidP="00715914">
      <w:pPr>
        <w:spacing w:line="240" w:lineRule="auto"/>
      </w:pPr>
      <w:r>
        <w:separator/>
      </w:r>
    </w:p>
  </w:endnote>
  <w:endnote w:type="continuationSeparator" w:id="0">
    <w:p w14:paraId="4DFDB2F4" w14:textId="77777777" w:rsidR="00270A42" w:rsidRDefault="00270A4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7CA4BEAA-508A-4274-BDF6-292C194912BC}"/>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0846"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375AF2C9" w14:textId="77777777" w:rsidTr="00B33709">
      <w:tc>
        <w:tcPr>
          <w:tcW w:w="709" w:type="dxa"/>
          <w:tcBorders>
            <w:top w:val="nil"/>
            <w:left w:val="nil"/>
            <w:bottom w:val="nil"/>
            <w:right w:val="nil"/>
          </w:tcBorders>
        </w:tcPr>
        <w:p w14:paraId="6AEB28B7" w14:textId="77777777" w:rsidR="007500C8" w:rsidRDefault="007500C8" w:rsidP="00830B62">
          <w:pPr>
            <w:spacing w:line="0" w:lineRule="atLeast"/>
            <w:rPr>
              <w:sz w:val="18"/>
            </w:rPr>
          </w:pPr>
        </w:p>
      </w:tc>
      <w:tc>
        <w:tcPr>
          <w:tcW w:w="6379" w:type="dxa"/>
          <w:tcBorders>
            <w:top w:val="nil"/>
            <w:left w:val="nil"/>
            <w:bottom w:val="nil"/>
            <w:right w:val="nil"/>
          </w:tcBorders>
        </w:tcPr>
        <w:p w14:paraId="5A85D2AA" w14:textId="77777777" w:rsidR="007500C8" w:rsidRDefault="007500C8" w:rsidP="00830B62">
          <w:pPr>
            <w:spacing w:line="0" w:lineRule="atLeast"/>
            <w:jc w:val="center"/>
            <w:rPr>
              <w:sz w:val="18"/>
            </w:rPr>
          </w:pPr>
        </w:p>
      </w:tc>
      <w:tc>
        <w:tcPr>
          <w:tcW w:w="1383" w:type="dxa"/>
          <w:tcBorders>
            <w:top w:val="nil"/>
            <w:left w:val="nil"/>
            <w:bottom w:val="nil"/>
            <w:right w:val="nil"/>
          </w:tcBorders>
        </w:tcPr>
        <w:p w14:paraId="5AEFAA09" w14:textId="77777777" w:rsidR="007500C8" w:rsidRDefault="007500C8" w:rsidP="00830B62">
          <w:pPr>
            <w:spacing w:line="0" w:lineRule="atLeast"/>
            <w:jc w:val="right"/>
            <w:rPr>
              <w:sz w:val="18"/>
            </w:rPr>
          </w:pPr>
        </w:p>
      </w:tc>
    </w:tr>
    <w:tr w:rsidR="007500C8" w14:paraId="0491D94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20E8DB" w14:textId="77777777" w:rsidR="007500C8" w:rsidRDefault="007500C8" w:rsidP="00830B62">
          <w:pPr>
            <w:jc w:val="right"/>
            <w:rPr>
              <w:sz w:val="18"/>
            </w:rPr>
          </w:pPr>
        </w:p>
      </w:tc>
    </w:tr>
  </w:tbl>
  <w:p w14:paraId="6A482EDC" w14:textId="77777777" w:rsidR="007500C8" w:rsidRPr="00ED79B6" w:rsidRDefault="007500C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55D3"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72DBE" w14:paraId="7BF330CF" w14:textId="77777777" w:rsidTr="008067B4">
      <w:tc>
        <w:tcPr>
          <w:tcW w:w="1384" w:type="dxa"/>
          <w:tcBorders>
            <w:top w:val="nil"/>
            <w:left w:val="nil"/>
            <w:bottom w:val="nil"/>
            <w:right w:val="nil"/>
          </w:tcBorders>
        </w:tcPr>
        <w:p w14:paraId="3AE47344" w14:textId="77777777" w:rsidR="00472DBE" w:rsidRDefault="00472DBE" w:rsidP="008067B4">
          <w:pPr>
            <w:spacing w:line="0" w:lineRule="atLeast"/>
            <w:rPr>
              <w:sz w:val="18"/>
            </w:rPr>
          </w:pPr>
        </w:p>
      </w:tc>
      <w:tc>
        <w:tcPr>
          <w:tcW w:w="6379" w:type="dxa"/>
          <w:tcBorders>
            <w:top w:val="nil"/>
            <w:left w:val="nil"/>
            <w:bottom w:val="nil"/>
            <w:right w:val="nil"/>
          </w:tcBorders>
        </w:tcPr>
        <w:p w14:paraId="6926DBF4" w14:textId="77777777" w:rsidR="00472DBE" w:rsidRDefault="00472DBE" w:rsidP="008067B4">
          <w:pPr>
            <w:spacing w:line="0" w:lineRule="atLeast"/>
            <w:jc w:val="center"/>
            <w:rPr>
              <w:sz w:val="18"/>
            </w:rPr>
          </w:pPr>
        </w:p>
      </w:tc>
      <w:tc>
        <w:tcPr>
          <w:tcW w:w="709" w:type="dxa"/>
          <w:tcBorders>
            <w:top w:val="nil"/>
            <w:left w:val="nil"/>
            <w:bottom w:val="nil"/>
            <w:right w:val="nil"/>
          </w:tcBorders>
        </w:tcPr>
        <w:p w14:paraId="12D12132" w14:textId="77777777" w:rsidR="00472DBE" w:rsidRDefault="00472DBE" w:rsidP="008067B4">
          <w:pPr>
            <w:spacing w:line="0" w:lineRule="atLeast"/>
            <w:jc w:val="right"/>
            <w:rPr>
              <w:sz w:val="18"/>
            </w:rPr>
          </w:pPr>
        </w:p>
      </w:tc>
    </w:tr>
    <w:tr w:rsidR="00472DBE" w14:paraId="2F893E8C" w14:textId="77777777"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BA47780" w14:textId="77777777" w:rsidR="00472DBE" w:rsidRDefault="00472DBE" w:rsidP="008067B4">
          <w:pPr>
            <w:rPr>
              <w:sz w:val="18"/>
            </w:rPr>
          </w:pPr>
        </w:p>
      </w:tc>
    </w:tr>
  </w:tbl>
  <w:p w14:paraId="3F313A8E" w14:textId="77777777" w:rsidR="00472DBE" w:rsidRPr="00ED79B6" w:rsidRDefault="00472DBE"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7753"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8"/>
      <w:gridCol w:w="698"/>
    </w:tblGrid>
    <w:tr w:rsidR="007500C8" w14:paraId="728F5189" w14:textId="77777777" w:rsidTr="00B33709">
      <w:tc>
        <w:tcPr>
          <w:tcW w:w="1384" w:type="dxa"/>
          <w:tcBorders>
            <w:top w:val="nil"/>
            <w:left w:val="nil"/>
            <w:bottom w:val="nil"/>
            <w:right w:val="nil"/>
          </w:tcBorders>
        </w:tcPr>
        <w:p w14:paraId="3FA6721C" w14:textId="77777777" w:rsidR="007500C8" w:rsidRDefault="007500C8" w:rsidP="00830B62">
          <w:pPr>
            <w:spacing w:line="0" w:lineRule="atLeast"/>
            <w:rPr>
              <w:sz w:val="18"/>
            </w:rPr>
          </w:pPr>
        </w:p>
      </w:tc>
      <w:tc>
        <w:tcPr>
          <w:tcW w:w="6379" w:type="dxa"/>
          <w:tcBorders>
            <w:top w:val="nil"/>
            <w:left w:val="nil"/>
            <w:bottom w:val="nil"/>
            <w:right w:val="nil"/>
          </w:tcBorders>
        </w:tcPr>
        <w:p w14:paraId="6F747688" w14:textId="0935B0B8" w:rsidR="007500C8" w:rsidRPr="00A276B9" w:rsidRDefault="00A276B9" w:rsidP="00830B62">
          <w:pPr>
            <w:spacing w:line="0" w:lineRule="atLeast"/>
            <w:jc w:val="center"/>
            <w:rPr>
              <w:i/>
              <w:sz w:val="18"/>
            </w:rPr>
          </w:pPr>
          <w:r w:rsidRPr="00A276B9">
            <w:rPr>
              <w:i/>
              <w:sz w:val="18"/>
            </w:rPr>
            <w:fldChar w:fldCharType="begin"/>
          </w:r>
          <w:r w:rsidRPr="00A276B9">
            <w:rPr>
              <w:i/>
              <w:sz w:val="18"/>
            </w:rPr>
            <w:instrText xml:space="preserve"> STYLEREF  ShortT </w:instrText>
          </w:r>
          <w:r w:rsidRPr="00A276B9">
            <w:rPr>
              <w:i/>
              <w:sz w:val="18"/>
            </w:rPr>
            <w:fldChar w:fldCharType="separate"/>
          </w:r>
          <w:r w:rsidR="007B0CE9">
            <w:rPr>
              <w:i/>
              <w:noProof/>
              <w:sz w:val="18"/>
            </w:rPr>
            <w:t>Data Availability and Transparency Act (Authorised Officers) Authorisation 2024</w:t>
          </w:r>
          <w:r w:rsidRPr="00A276B9">
            <w:rPr>
              <w:i/>
              <w:sz w:val="18"/>
            </w:rPr>
            <w:fldChar w:fldCharType="end"/>
          </w:r>
        </w:p>
      </w:tc>
      <w:tc>
        <w:tcPr>
          <w:tcW w:w="709" w:type="dxa"/>
          <w:tcBorders>
            <w:top w:val="nil"/>
            <w:left w:val="nil"/>
            <w:bottom w:val="nil"/>
            <w:right w:val="nil"/>
          </w:tcBorders>
        </w:tcPr>
        <w:p w14:paraId="61F441DB" w14:textId="77777777" w:rsidR="007500C8" w:rsidRDefault="007500C8" w:rsidP="00830B62">
          <w:pPr>
            <w:spacing w:line="0" w:lineRule="atLeast"/>
            <w:jc w:val="right"/>
            <w:rPr>
              <w:sz w:val="18"/>
            </w:rPr>
          </w:pPr>
        </w:p>
      </w:tc>
    </w:tr>
    <w:tr w:rsidR="007500C8" w14:paraId="2070299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37F2F2" w14:textId="77777777" w:rsidR="007500C8" w:rsidRDefault="007500C8" w:rsidP="00830B62">
          <w:pPr>
            <w:rPr>
              <w:sz w:val="18"/>
            </w:rPr>
          </w:pPr>
        </w:p>
      </w:tc>
    </w:tr>
  </w:tbl>
  <w:p w14:paraId="09F98E69" w14:textId="77777777" w:rsidR="007500C8" w:rsidRPr="00ED79B6" w:rsidRDefault="007500C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EC9B1" w14:textId="77777777" w:rsidR="00270A42" w:rsidRDefault="00270A42" w:rsidP="00715914">
      <w:pPr>
        <w:spacing w:line="240" w:lineRule="auto"/>
      </w:pPr>
      <w:r>
        <w:separator/>
      </w:r>
    </w:p>
  </w:footnote>
  <w:footnote w:type="continuationSeparator" w:id="0">
    <w:p w14:paraId="7DE34B3D" w14:textId="77777777" w:rsidR="00270A42" w:rsidRDefault="00270A4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47BF" w14:textId="77777777" w:rsidR="00715914" w:rsidRPr="007A1328" w:rsidRDefault="00715914" w:rsidP="00A276B9">
    <w:pP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ADC8" w14:textId="77777777" w:rsidR="00715914" w:rsidRPr="007A1328" w:rsidRDefault="00715914" w:rsidP="00A276B9">
    <w:pP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30C0B"/>
    <w:multiLevelType w:val="hybridMultilevel"/>
    <w:tmpl w:val="575CC1F8"/>
    <w:lvl w:ilvl="0" w:tplc="5BAC56C6">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7C53E2"/>
    <w:multiLevelType w:val="hybridMultilevel"/>
    <w:tmpl w:val="3526518C"/>
    <w:lvl w:ilvl="0" w:tplc="87EE146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8A51AE9"/>
    <w:multiLevelType w:val="hybridMultilevel"/>
    <w:tmpl w:val="8A44BD58"/>
    <w:lvl w:ilvl="0" w:tplc="D654EBE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A425310"/>
    <w:multiLevelType w:val="hybridMultilevel"/>
    <w:tmpl w:val="1B481BDA"/>
    <w:lvl w:ilvl="0" w:tplc="2E72100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9F33D8C"/>
    <w:multiLevelType w:val="hybridMultilevel"/>
    <w:tmpl w:val="1B481BDA"/>
    <w:lvl w:ilvl="0" w:tplc="2E72100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B507F73"/>
    <w:multiLevelType w:val="hybridMultilevel"/>
    <w:tmpl w:val="8A44BD58"/>
    <w:lvl w:ilvl="0" w:tplc="D654EBE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 w:numId="16">
    <w:abstractNumId w:val="16"/>
  </w:num>
  <w:num w:numId="17">
    <w:abstractNumId w:val="18"/>
  </w:num>
  <w:num w:numId="18">
    <w:abstractNumId w:val="12"/>
  </w:num>
  <w:num w:numId="19">
    <w:abstractNumId w:val="12"/>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2D"/>
    <w:rsid w:val="00004174"/>
    <w:rsid w:val="00004470"/>
    <w:rsid w:val="000136AF"/>
    <w:rsid w:val="000258B1"/>
    <w:rsid w:val="000437C1"/>
    <w:rsid w:val="0005365D"/>
    <w:rsid w:val="000614BF"/>
    <w:rsid w:val="0006709C"/>
    <w:rsid w:val="00072CAD"/>
    <w:rsid w:val="00075A25"/>
    <w:rsid w:val="00083F12"/>
    <w:rsid w:val="00095C7C"/>
    <w:rsid w:val="000978F5"/>
    <w:rsid w:val="000A7EFE"/>
    <w:rsid w:val="000D05EF"/>
    <w:rsid w:val="000D7BA5"/>
    <w:rsid w:val="000E2261"/>
    <w:rsid w:val="000E78B7"/>
    <w:rsid w:val="000F21C1"/>
    <w:rsid w:val="000F7FCE"/>
    <w:rsid w:val="00106427"/>
    <w:rsid w:val="0010745C"/>
    <w:rsid w:val="00132CEB"/>
    <w:rsid w:val="00142B62"/>
    <w:rsid w:val="001441B7"/>
    <w:rsid w:val="00157B8B"/>
    <w:rsid w:val="00166C2F"/>
    <w:rsid w:val="0016718C"/>
    <w:rsid w:val="001809D7"/>
    <w:rsid w:val="001939E1"/>
    <w:rsid w:val="00194C3E"/>
    <w:rsid w:val="00195382"/>
    <w:rsid w:val="001967E0"/>
    <w:rsid w:val="00196EEA"/>
    <w:rsid w:val="00197BB7"/>
    <w:rsid w:val="001A5A98"/>
    <w:rsid w:val="001C56FE"/>
    <w:rsid w:val="001C61C5"/>
    <w:rsid w:val="001C69C4"/>
    <w:rsid w:val="001D37EF"/>
    <w:rsid w:val="001E3590"/>
    <w:rsid w:val="001E7407"/>
    <w:rsid w:val="001F5D5E"/>
    <w:rsid w:val="001F6219"/>
    <w:rsid w:val="001F6CD4"/>
    <w:rsid w:val="00206C4D"/>
    <w:rsid w:val="00215AF1"/>
    <w:rsid w:val="002321E8"/>
    <w:rsid w:val="0024010F"/>
    <w:rsid w:val="00240749"/>
    <w:rsid w:val="00243018"/>
    <w:rsid w:val="002564A4"/>
    <w:rsid w:val="0026736C"/>
    <w:rsid w:val="00270A42"/>
    <w:rsid w:val="00281308"/>
    <w:rsid w:val="00284719"/>
    <w:rsid w:val="00297ECB"/>
    <w:rsid w:val="002A7BCF"/>
    <w:rsid w:val="002D043A"/>
    <w:rsid w:val="002D266B"/>
    <w:rsid w:val="002D6224"/>
    <w:rsid w:val="00304F8B"/>
    <w:rsid w:val="003050A3"/>
    <w:rsid w:val="00335BC6"/>
    <w:rsid w:val="003415D3"/>
    <w:rsid w:val="00344701"/>
    <w:rsid w:val="00352B0F"/>
    <w:rsid w:val="00360459"/>
    <w:rsid w:val="003A2E9D"/>
    <w:rsid w:val="003A5CC8"/>
    <w:rsid w:val="003C6231"/>
    <w:rsid w:val="003D0BFE"/>
    <w:rsid w:val="003D5700"/>
    <w:rsid w:val="003E341B"/>
    <w:rsid w:val="004116CD"/>
    <w:rsid w:val="00417EB9"/>
    <w:rsid w:val="00424CA9"/>
    <w:rsid w:val="00431E9B"/>
    <w:rsid w:val="004379E3"/>
    <w:rsid w:val="0044015E"/>
    <w:rsid w:val="0044291A"/>
    <w:rsid w:val="00467661"/>
    <w:rsid w:val="00472DBE"/>
    <w:rsid w:val="00474A19"/>
    <w:rsid w:val="00477830"/>
    <w:rsid w:val="00496F97"/>
    <w:rsid w:val="004D5B4A"/>
    <w:rsid w:val="004E063A"/>
    <w:rsid w:val="004E7BEC"/>
    <w:rsid w:val="00504F53"/>
    <w:rsid w:val="00505D3D"/>
    <w:rsid w:val="00506AF6"/>
    <w:rsid w:val="00516B8D"/>
    <w:rsid w:val="005240BD"/>
    <w:rsid w:val="00537FBC"/>
    <w:rsid w:val="005714EA"/>
    <w:rsid w:val="00584811"/>
    <w:rsid w:val="00585784"/>
    <w:rsid w:val="00593AA6"/>
    <w:rsid w:val="00594161"/>
    <w:rsid w:val="00594749"/>
    <w:rsid w:val="005A18A1"/>
    <w:rsid w:val="005B4067"/>
    <w:rsid w:val="005C115F"/>
    <w:rsid w:val="005C3F41"/>
    <w:rsid w:val="005D1D92"/>
    <w:rsid w:val="005D2D09"/>
    <w:rsid w:val="005D7ED8"/>
    <w:rsid w:val="005E3E85"/>
    <w:rsid w:val="00600219"/>
    <w:rsid w:val="00620076"/>
    <w:rsid w:val="00670EA1"/>
    <w:rsid w:val="00677CC2"/>
    <w:rsid w:val="00683357"/>
    <w:rsid w:val="0068744B"/>
    <w:rsid w:val="006905DE"/>
    <w:rsid w:val="0069207B"/>
    <w:rsid w:val="00695A43"/>
    <w:rsid w:val="006A64F4"/>
    <w:rsid w:val="006B5789"/>
    <w:rsid w:val="006C30C5"/>
    <w:rsid w:val="006C7F8C"/>
    <w:rsid w:val="006D4540"/>
    <w:rsid w:val="006E2E1C"/>
    <w:rsid w:val="006E4AC6"/>
    <w:rsid w:val="006E6246"/>
    <w:rsid w:val="006F318F"/>
    <w:rsid w:val="0070017E"/>
    <w:rsid w:val="00700B2C"/>
    <w:rsid w:val="007050A2"/>
    <w:rsid w:val="00712019"/>
    <w:rsid w:val="00713084"/>
    <w:rsid w:val="00714F20"/>
    <w:rsid w:val="0071590F"/>
    <w:rsid w:val="00715914"/>
    <w:rsid w:val="00731E00"/>
    <w:rsid w:val="007440B7"/>
    <w:rsid w:val="007500C8"/>
    <w:rsid w:val="00756272"/>
    <w:rsid w:val="007652C8"/>
    <w:rsid w:val="007715C9"/>
    <w:rsid w:val="00771613"/>
    <w:rsid w:val="00774EDD"/>
    <w:rsid w:val="007757EC"/>
    <w:rsid w:val="00776627"/>
    <w:rsid w:val="00783E89"/>
    <w:rsid w:val="00793915"/>
    <w:rsid w:val="007A7B9A"/>
    <w:rsid w:val="007B0CE9"/>
    <w:rsid w:val="007C2253"/>
    <w:rsid w:val="007E163D"/>
    <w:rsid w:val="007E667A"/>
    <w:rsid w:val="007F28C9"/>
    <w:rsid w:val="008117E9"/>
    <w:rsid w:val="0081543B"/>
    <w:rsid w:val="00824498"/>
    <w:rsid w:val="00830970"/>
    <w:rsid w:val="00834EC0"/>
    <w:rsid w:val="00840ABF"/>
    <w:rsid w:val="008515AD"/>
    <w:rsid w:val="00856A31"/>
    <w:rsid w:val="0086009C"/>
    <w:rsid w:val="00860559"/>
    <w:rsid w:val="00860B4E"/>
    <w:rsid w:val="00867B37"/>
    <w:rsid w:val="0087039F"/>
    <w:rsid w:val="008754D0"/>
    <w:rsid w:val="008855C9"/>
    <w:rsid w:val="00886456"/>
    <w:rsid w:val="00891951"/>
    <w:rsid w:val="00894F01"/>
    <w:rsid w:val="00896176"/>
    <w:rsid w:val="008A46E1"/>
    <w:rsid w:val="008A4F43"/>
    <w:rsid w:val="008B2706"/>
    <w:rsid w:val="008C2B85"/>
    <w:rsid w:val="008D0EE0"/>
    <w:rsid w:val="008E6067"/>
    <w:rsid w:val="008F54E7"/>
    <w:rsid w:val="00903422"/>
    <w:rsid w:val="0090557F"/>
    <w:rsid w:val="009254C3"/>
    <w:rsid w:val="00932377"/>
    <w:rsid w:val="00935FF4"/>
    <w:rsid w:val="00947D5A"/>
    <w:rsid w:val="009532A5"/>
    <w:rsid w:val="00953EC5"/>
    <w:rsid w:val="00954526"/>
    <w:rsid w:val="0095487B"/>
    <w:rsid w:val="00977806"/>
    <w:rsid w:val="00982242"/>
    <w:rsid w:val="009868E9"/>
    <w:rsid w:val="009900A3"/>
    <w:rsid w:val="009B7323"/>
    <w:rsid w:val="009C3413"/>
    <w:rsid w:val="009D1379"/>
    <w:rsid w:val="009D521D"/>
    <w:rsid w:val="00A12128"/>
    <w:rsid w:val="00A22C98"/>
    <w:rsid w:val="00A231E2"/>
    <w:rsid w:val="00A276B9"/>
    <w:rsid w:val="00A64912"/>
    <w:rsid w:val="00A70A74"/>
    <w:rsid w:val="00A74B06"/>
    <w:rsid w:val="00AA062C"/>
    <w:rsid w:val="00AD53CC"/>
    <w:rsid w:val="00AD5641"/>
    <w:rsid w:val="00AF06CF"/>
    <w:rsid w:val="00B07CDB"/>
    <w:rsid w:val="00B10DB8"/>
    <w:rsid w:val="00B16A31"/>
    <w:rsid w:val="00B17DFD"/>
    <w:rsid w:val="00B308FE"/>
    <w:rsid w:val="00B33709"/>
    <w:rsid w:val="00B33B3C"/>
    <w:rsid w:val="00B47444"/>
    <w:rsid w:val="00B50ADC"/>
    <w:rsid w:val="00B566B1"/>
    <w:rsid w:val="00B63834"/>
    <w:rsid w:val="00B80199"/>
    <w:rsid w:val="00B83204"/>
    <w:rsid w:val="00B91F98"/>
    <w:rsid w:val="00B9351D"/>
    <w:rsid w:val="00BA220B"/>
    <w:rsid w:val="00BA3A57"/>
    <w:rsid w:val="00BA4A96"/>
    <w:rsid w:val="00BB4A9B"/>
    <w:rsid w:val="00BB4E1A"/>
    <w:rsid w:val="00BC015E"/>
    <w:rsid w:val="00BC6FC4"/>
    <w:rsid w:val="00BC76AC"/>
    <w:rsid w:val="00BD0ECB"/>
    <w:rsid w:val="00BE2155"/>
    <w:rsid w:val="00BE719A"/>
    <w:rsid w:val="00BE720A"/>
    <w:rsid w:val="00BF0D73"/>
    <w:rsid w:val="00BF2465"/>
    <w:rsid w:val="00C16619"/>
    <w:rsid w:val="00C25E7F"/>
    <w:rsid w:val="00C2746F"/>
    <w:rsid w:val="00C324A0"/>
    <w:rsid w:val="00C35968"/>
    <w:rsid w:val="00C42BF8"/>
    <w:rsid w:val="00C50043"/>
    <w:rsid w:val="00C63493"/>
    <w:rsid w:val="00C63998"/>
    <w:rsid w:val="00C7573B"/>
    <w:rsid w:val="00CB602E"/>
    <w:rsid w:val="00CB7E90"/>
    <w:rsid w:val="00CE051D"/>
    <w:rsid w:val="00CE1335"/>
    <w:rsid w:val="00CE493D"/>
    <w:rsid w:val="00CF07FA"/>
    <w:rsid w:val="00CF0BB2"/>
    <w:rsid w:val="00CF2A91"/>
    <w:rsid w:val="00CF3843"/>
    <w:rsid w:val="00CF3EE8"/>
    <w:rsid w:val="00D13441"/>
    <w:rsid w:val="00D150E7"/>
    <w:rsid w:val="00D52DC2"/>
    <w:rsid w:val="00D53BCC"/>
    <w:rsid w:val="00D70DFB"/>
    <w:rsid w:val="00D71EB8"/>
    <w:rsid w:val="00D766DF"/>
    <w:rsid w:val="00D84434"/>
    <w:rsid w:val="00D91E55"/>
    <w:rsid w:val="00D91F10"/>
    <w:rsid w:val="00DA186E"/>
    <w:rsid w:val="00DA4116"/>
    <w:rsid w:val="00DB251C"/>
    <w:rsid w:val="00DB4630"/>
    <w:rsid w:val="00DC4F2D"/>
    <w:rsid w:val="00DC4F88"/>
    <w:rsid w:val="00DF5032"/>
    <w:rsid w:val="00E05704"/>
    <w:rsid w:val="00E338EF"/>
    <w:rsid w:val="00E51CB7"/>
    <w:rsid w:val="00E544BB"/>
    <w:rsid w:val="00E66B05"/>
    <w:rsid w:val="00E74DC7"/>
    <w:rsid w:val="00E8075A"/>
    <w:rsid w:val="00E94D5E"/>
    <w:rsid w:val="00EA3219"/>
    <w:rsid w:val="00EA7100"/>
    <w:rsid w:val="00EA7F9F"/>
    <w:rsid w:val="00EB1274"/>
    <w:rsid w:val="00EC58F5"/>
    <w:rsid w:val="00ED2BB6"/>
    <w:rsid w:val="00ED34E1"/>
    <w:rsid w:val="00ED3575"/>
    <w:rsid w:val="00ED3B8D"/>
    <w:rsid w:val="00EE49F3"/>
    <w:rsid w:val="00EF2E3A"/>
    <w:rsid w:val="00F072A7"/>
    <w:rsid w:val="00F078DC"/>
    <w:rsid w:val="00F141B9"/>
    <w:rsid w:val="00F20AB5"/>
    <w:rsid w:val="00F32BA8"/>
    <w:rsid w:val="00F349F1"/>
    <w:rsid w:val="00F4350D"/>
    <w:rsid w:val="00F479C4"/>
    <w:rsid w:val="00F567F7"/>
    <w:rsid w:val="00F60247"/>
    <w:rsid w:val="00F73BD6"/>
    <w:rsid w:val="00F83989"/>
    <w:rsid w:val="00F85099"/>
    <w:rsid w:val="00F87615"/>
    <w:rsid w:val="00F9379C"/>
    <w:rsid w:val="00F952C3"/>
    <w:rsid w:val="00F9632C"/>
    <w:rsid w:val="00FA1E52"/>
    <w:rsid w:val="00FA37C5"/>
    <w:rsid w:val="00FC7315"/>
    <w:rsid w:val="00FE4688"/>
    <w:rsid w:val="00FE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1D7C3"/>
  <w15:docId w15:val="{78329FBE-BAA1-4252-9053-EDF62D29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4A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paragraph" w:customStyle="1" w:styleId="BodyNum">
    <w:name w:val="BodyNum"/>
    <w:aliases w:val="b1"/>
    <w:basedOn w:val="OPCParaBase"/>
    <w:rsid w:val="00072CAD"/>
    <w:pPr>
      <w:spacing w:before="240" w:line="240" w:lineRule="auto"/>
    </w:pPr>
    <w:rPr>
      <w:sz w:val="24"/>
    </w:rPr>
  </w:style>
  <w:style w:type="paragraph" w:customStyle="1" w:styleId="BodyPara">
    <w:name w:val="BodyPara"/>
    <w:aliases w:val="ba"/>
    <w:basedOn w:val="OPCParaBase"/>
    <w:rsid w:val="00072CAD"/>
    <w:pPr>
      <w:spacing w:before="240" w:line="240" w:lineRule="auto"/>
    </w:pPr>
    <w:rPr>
      <w:sz w:val="24"/>
    </w:rPr>
  </w:style>
  <w:style w:type="numbering" w:customStyle="1" w:styleId="OPCBodyList">
    <w:name w:val="OPCBodyList"/>
    <w:uiPriority w:val="99"/>
    <w:rsid w:val="00072CAD"/>
    <w:pPr>
      <w:numPr>
        <w:numId w:val="13"/>
      </w:numPr>
    </w:pPr>
  </w:style>
  <w:style w:type="paragraph" w:customStyle="1" w:styleId="Head1">
    <w:name w:val="Head 1"/>
    <w:aliases w:val="1"/>
    <w:basedOn w:val="OPCParaBase"/>
    <w:next w:val="BodyNum"/>
    <w:rsid w:val="00072CA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72CA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72CAD"/>
    <w:pPr>
      <w:keepNext/>
      <w:spacing w:before="240" w:after="60" w:line="240" w:lineRule="auto"/>
      <w:outlineLvl w:val="2"/>
    </w:pPr>
    <w:rPr>
      <w:rFonts w:ascii="Arial" w:hAnsi="Arial"/>
      <w:b/>
      <w:i/>
      <w:kern w:val="28"/>
      <w:sz w:val="26"/>
    </w:rPr>
  </w:style>
  <w:style w:type="paragraph" w:styleId="ListParagraph">
    <w:name w:val="List Paragraph"/>
    <w:basedOn w:val="Normal"/>
    <w:uiPriority w:val="34"/>
    <w:qFormat/>
    <w:rsid w:val="000D7BA5"/>
    <w:pPr>
      <w:spacing w:after="160" w:line="259" w:lineRule="auto"/>
      <w:ind w:left="720"/>
      <w:contextualSpacing/>
    </w:pPr>
    <w:rPr>
      <w:rFonts w:asciiTheme="minorHAnsi" w:hAnsiTheme="minorHAnsi"/>
      <w:szCs w:val="22"/>
    </w:rPr>
  </w:style>
  <w:style w:type="character" w:styleId="Emphasis">
    <w:name w:val="Emphasis"/>
    <w:basedOn w:val="DefaultParagraphFont"/>
    <w:uiPriority w:val="20"/>
    <w:qFormat/>
    <w:rsid w:val="0086009C"/>
    <w:rPr>
      <w:i/>
      <w:iCs/>
    </w:rPr>
  </w:style>
  <w:style w:type="character" w:customStyle="1" w:styleId="Heading1Char">
    <w:name w:val="Heading 1 Char"/>
    <w:basedOn w:val="DefaultParagraphFont"/>
    <w:link w:val="Heading1"/>
    <w:uiPriority w:val="9"/>
    <w:rsid w:val="00BA4A9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A4A96"/>
    <w:pPr>
      <w:spacing w:line="259" w:lineRule="auto"/>
      <w:outlineLvl w:val="9"/>
    </w:pPr>
    <w:rPr>
      <w:lang w:val="en-US"/>
    </w:rPr>
  </w:style>
  <w:style w:type="paragraph" w:styleId="Revision">
    <w:name w:val="Revision"/>
    <w:hidden/>
    <w:uiPriority w:val="99"/>
    <w:semiHidden/>
    <w:rsid w:val="00AA062C"/>
    <w:rPr>
      <w:sz w:val="22"/>
    </w:rPr>
  </w:style>
  <w:style w:type="character" w:styleId="CommentReference">
    <w:name w:val="annotation reference"/>
    <w:basedOn w:val="DefaultParagraphFont"/>
    <w:uiPriority w:val="99"/>
    <w:semiHidden/>
    <w:unhideWhenUsed/>
    <w:rsid w:val="00AA062C"/>
    <w:rPr>
      <w:sz w:val="16"/>
      <w:szCs w:val="16"/>
    </w:rPr>
  </w:style>
  <w:style w:type="paragraph" w:styleId="CommentText">
    <w:name w:val="annotation text"/>
    <w:basedOn w:val="Normal"/>
    <w:link w:val="CommentTextChar"/>
    <w:uiPriority w:val="99"/>
    <w:semiHidden/>
    <w:unhideWhenUsed/>
    <w:rsid w:val="00AA062C"/>
    <w:pPr>
      <w:spacing w:line="240" w:lineRule="auto"/>
    </w:pPr>
    <w:rPr>
      <w:sz w:val="20"/>
    </w:rPr>
  </w:style>
  <w:style w:type="character" w:customStyle="1" w:styleId="CommentTextChar">
    <w:name w:val="Comment Text Char"/>
    <w:basedOn w:val="DefaultParagraphFont"/>
    <w:link w:val="CommentText"/>
    <w:uiPriority w:val="99"/>
    <w:semiHidden/>
    <w:rsid w:val="00AA062C"/>
  </w:style>
  <w:style w:type="paragraph" w:styleId="CommentSubject">
    <w:name w:val="annotation subject"/>
    <w:basedOn w:val="CommentText"/>
    <w:next w:val="CommentText"/>
    <w:link w:val="CommentSubjectChar"/>
    <w:uiPriority w:val="99"/>
    <w:semiHidden/>
    <w:unhideWhenUsed/>
    <w:rsid w:val="00AA062C"/>
    <w:rPr>
      <w:b/>
      <w:bCs/>
    </w:rPr>
  </w:style>
  <w:style w:type="character" w:customStyle="1" w:styleId="CommentSubjectChar">
    <w:name w:val="Comment Subject Char"/>
    <w:basedOn w:val="CommentTextChar"/>
    <w:link w:val="CommentSubject"/>
    <w:uiPriority w:val="99"/>
    <w:semiHidden/>
    <w:rsid w:val="00AA0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5A0F-36B4-46CF-A2B1-59A7FA8C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Booth, Jaclyn MS</dc:creator>
  <cp:lastModifiedBy>Cohen, Kate MISS</cp:lastModifiedBy>
  <cp:revision>4</cp:revision>
  <dcterms:created xsi:type="dcterms:W3CDTF">2024-06-06T02:57:00Z</dcterms:created>
  <dcterms:modified xsi:type="dcterms:W3CDTF">2024-06-06T04:28:00Z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BN74072436</vt:lpwstr>
  </property>
  <property fmtid="{D5CDD505-2E9C-101B-9397-08002B2CF9AE}" pid="4" name="Objective-Title">
    <vt:lpwstr>Instrument of Authority</vt:lpwstr>
  </property>
  <property fmtid="{D5CDD505-2E9C-101B-9397-08002B2CF9AE}" pid="5" name="Objective-Comment">
    <vt:lpwstr/>
  </property>
  <property fmtid="{D5CDD505-2E9C-101B-9397-08002B2CF9AE}" pid="6" name="Objective-CreationStamp">
    <vt:filetime>2023-11-20T06:25:27Z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2023-11-28T22:04:04Z</vt:filetime>
  </property>
  <property fmtid="{D5CDD505-2E9C-101B-9397-08002B2CF9AE}" pid="11" name="Objective-Owner">
    <vt:lpwstr>Booth, Jaclyn Ms</vt:lpwstr>
  </property>
  <property fmtid="{D5CDD505-2E9C-101B-9397-08002B2CF9AE}" pid="12" name="Objective-Path">
    <vt:lpwstr>Booth, Jaclyn Ms:Special Folder - Booth, Jaclyn Ms:02. ASG:03. Working Files:01. 2023:11. November 2023:20231116 - Brief for Secretary re: Authorities under the Act:</vt:lpwstr>
  </property>
  <property fmtid="{D5CDD505-2E9C-101B-9397-08002B2CF9AE}" pid="13" name="Objective-Parent">
    <vt:lpwstr>20231116 - Brief for Secretary re: Authorities under the Act</vt:lpwstr>
  </property>
  <property fmtid="{D5CDD505-2E9C-101B-9397-08002B2CF9AE}" pid="14" name="Objective-State">
    <vt:lpwstr>Being Drafted</vt:lpwstr>
  </property>
  <property fmtid="{D5CDD505-2E9C-101B-9397-08002B2CF9AE}" pid="15" name="Objective-Version">
    <vt:lpwstr>5.1</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