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F3E21" w14:textId="77777777" w:rsidR="00FA06CA" w:rsidRPr="00DF18FA" w:rsidRDefault="00FA06CA" w:rsidP="00FA06CA">
      <w:pPr>
        <w:rPr>
          <w:sz w:val="28"/>
        </w:rPr>
      </w:pPr>
      <w:r w:rsidRPr="00DF18FA">
        <w:rPr>
          <w:noProof/>
          <w:lang w:eastAsia="en-AU"/>
        </w:rPr>
        <w:drawing>
          <wp:inline distT="0" distB="0" distL="0" distR="0" wp14:anchorId="7E27D387" wp14:editId="29B31799">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monwealth coat of arms of Australia"/>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6ADF216C" w14:textId="77777777" w:rsidR="00FA06CA" w:rsidRPr="00DF18FA" w:rsidRDefault="00FA06CA" w:rsidP="00FA06CA">
      <w:pPr>
        <w:rPr>
          <w:sz w:val="19"/>
        </w:rPr>
      </w:pPr>
    </w:p>
    <w:p w14:paraId="0D12173C" w14:textId="5D2758D3" w:rsidR="00FA06CA" w:rsidRPr="00DF18FA" w:rsidRDefault="00046CEC" w:rsidP="00FA06CA">
      <w:pPr>
        <w:pStyle w:val="ShortT"/>
      </w:pPr>
      <w:r w:rsidRPr="00DF18FA">
        <w:t>Financial Sector (Shareholdings) (Suncorp</w:t>
      </w:r>
      <w:r w:rsidR="00AC5538" w:rsidRPr="00DF18FA">
        <w:noBreakHyphen/>
      </w:r>
      <w:r w:rsidR="00C34AB7" w:rsidRPr="00DF18FA">
        <w:t>Metway Limited</w:t>
      </w:r>
      <w:r w:rsidRPr="00DF18FA">
        <w:t>) Instrument 2024</w:t>
      </w:r>
    </w:p>
    <w:p w14:paraId="0A121AF6" w14:textId="634DCF00" w:rsidR="00FA06CA" w:rsidRPr="00DF18FA" w:rsidRDefault="00FA06CA" w:rsidP="00FA06CA">
      <w:pPr>
        <w:pStyle w:val="SignCoverPageStart"/>
        <w:spacing w:before="240"/>
        <w:rPr>
          <w:szCs w:val="22"/>
        </w:rPr>
      </w:pPr>
      <w:r w:rsidRPr="00DF18FA">
        <w:rPr>
          <w:szCs w:val="22"/>
        </w:rPr>
        <w:t xml:space="preserve">I, </w:t>
      </w:r>
      <w:r w:rsidR="00046CEC" w:rsidRPr="00DF18FA">
        <w:rPr>
          <w:szCs w:val="22"/>
        </w:rPr>
        <w:t xml:space="preserve">Jim Chalmers, Treasurer, </w:t>
      </w:r>
      <w:r w:rsidR="007A1F7D" w:rsidRPr="00DF18FA">
        <w:rPr>
          <w:szCs w:val="22"/>
        </w:rPr>
        <w:t xml:space="preserve">being satisfied </w:t>
      </w:r>
      <w:r w:rsidR="00F72F88" w:rsidRPr="00DF18FA">
        <w:rPr>
          <w:szCs w:val="22"/>
        </w:rPr>
        <w:t>of the matter</w:t>
      </w:r>
      <w:r w:rsidR="00FF22A9" w:rsidRPr="00DF18FA">
        <w:rPr>
          <w:szCs w:val="22"/>
        </w:rPr>
        <w:t xml:space="preserve"> in </w:t>
      </w:r>
      <w:r w:rsidR="000D5FED" w:rsidRPr="00DF18FA">
        <w:rPr>
          <w:szCs w:val="22"/>
        </w:rPr>
        <w:t xml:space="preserve">paragraph 14(1)(a) of the </w:t>
      </w:r>
      <w:r w:rsidR="000D5FED" w:rsidRPr="00DF18FA">
        <w:rPr>
          <w:i/>
          <w:iCs/>
          <w:szCs w:val="22"/>
        </w:rPr>
        <w:t>Financial Sector (Shareholdings) Act 1998</w:t>
      </w:r>
      <w:r w:rsidR="000D5FED" w:rsidRPr="00DF18FA">
        <w:rPr>
          <w:szCs w:val="22"/>
        </w:rPr>
        <w:t xml:space="preserve">, </w:t>
      </w:r>
      <w:r w:rsidR="00046CEC" w:rsidRPr="00DF18FA">
        <w:rPr>
          <w:szCs w:val="22"/>
        </w:rPr>
        <w:t>make the following instrument.</w:t>
      </w:r>
    </w:p>
    <w:p w14:paraId="73A111C0" w14:textId="40F70DE4" w:rsidR="00FA06CA" w:rsidRPr="00DF18FA" w:rsidRDefault="00FA06CA" w:rsidP="00FA06CA">
      <w:pPr>
        <w:keepNext/>
        <w:spacing w:before="720" w:line="240" w:lineRule="atLeast"/>
        <w:ind w:right="397"/>
        <w:jc w:val="both"/>
        <w:rPr>
          <w:szCs w:val="22"/>
        </w:rPr>
      </w:pPr>
      <w:r w:rsidRPr="00DF18FA">
        <w:rPr>
          <w:szCs w:val="22"/>
        </w:rPr>
        <w:t xml:space="preserve">Dated </w:t>
      </w:r>
      <w:r w:rsidRPr="00DF18FA">
        <w:rPr>
          <w:szCs w:val="22"/>
        </w:rPr>
        <w:tab/>
      </w:r>
      <w:r w:rsidRPr="00DF18FA">
        <w:rPr>
          <w:szCs w:val="22"/>
        </w:rPr>
        <w:tab/>
      </w:r>
      <w:r w:rsidR="00382005" w:rsidRPr="00DF18FA">
        <w:rPr>
          <w:szCs w:val="22"/>
        </w:rPr>
        <w:t xml:space="preserve">27 June </w:t>
      </w:r>
      <w:r w:rsidR="00046CEC" w:rsidRPr="00DF18FA">
        <w:rPr>
          <w:szCs w:val="22"/>
        </w:rPr>
        <w:t>2024</w:t>
      </w:r>
    </w:p>
    <w:p w14:paraId="2A9E9F00" w14:textId="77777777" w:rsidR="00A87359" w:rsidRPr="00DF18FA" w:rsidRDefault="00A87359" w:rsidP="00A87359">
      <w:pPr>
        <w:keepNext/>
        <w:tabs>
          <w:tab w:val="left" w:pos="3402"/>
        </w:tabs>
        <w:spacing w:before="840" w:after="1080" w:line="300" w:lineRule="atLeast"/>
        <w:ind w:right="397"/>
        <w:rPr>
          <w:szCs w:val="22"/>
        </w:rPr>
      </w:pPr>
    </w:p>
    <w:p w14:paraId="3AD7A946" w14:textId="042D3500" w:rsidR="00131C78" w:rsidRPr="00DF18FA" w:rsidRDefault="00131C78" w:rsidP="00131C78">
      <w:pPr>
        <w:keepNext/>
        <w:tabs>
          <w:tab w:val="left" w:pos="3402"/>
        </w:tabs>
        <w:spacing w:before="480" w:line="300" w:lineRule="atLeast"/>
        <w:ind w:right="397"/>
        <w:rPr>
          <w:szCs w:val="22"/>
        </w:rPr>
      </w:pPr>
      <w:r w:rsidRPr="00DF18FA">
        <w:rPr>
          <w:szCs w:val="22"/>
        </w:rPr>
        <w:t>Dr Jim Chalmers</w:t>
      </w:r>
    </w:p>
    <w:p w14:paraId="7E85AF61" w14:textId="6615A252" w:rsidR="00131C78" w:rsidRPr="00DF18FA" w:rsidRDefault="00131C78" w:rsidP="00131C78">
      <w:pPr>
        <w:pStyle w:val="SignCoverPageEnd"/>
        <w:rPr>
          <w:szCs w:val="22"/>
        </w:rPr>
      </w:pPr>
      <w:r w:rsidRPr="00DF18FA">
        <w:rPr>
          <w:szCs w:val="22"/>
        </w:rPr>
        <w:t>Treasurer</w:t>
      </w:r>
    </w:p>
    <w:p w14:paraId="774A7BD8" w14:textId="77777777" w:rsidR="00A87359" w:rsidRPr="00DF18FA" w:rsidRDefault="00A87359" w:rsidP="00A87359">
      <w:pPr>
        <w:rPr>
          <w:rStyle w:val="CharAmSchNo"/>
        </w:rPr>
      </w:pPr>
    </w:p>
    <w:p w14:paraId="7F7E13F6" w14:textId="77777777" w:rsidR="00A87359" w:rsidRPr="00DF18FA" w:rsidRDefault="00A87359" w:rsidP="00A87359">
      <w:pPr>
        <w:pStyle w:val="Header"/>
        <w:tabs>
          <w:tab w:val="clear" w:pos="4150"/>
          <w:tab w:val="clear" w:pos="8307"/>
        </w:tabs>
      </w:pPr>
      <w:r w:rsidRPr="00DF18FA">
        <w:rPr>
          <w:rStyle w:val="CharChapNo"/>
        </w:rPr>
        <w:t xml:space="preserve"> </w:t>
      </w:r>
      <w:r w:rsidRPr="00DF18FA">
        <w:rPr>
          <w:rStyle w:val="CharChapText"/>
        </w:rPr>
        <w:t xml:space="preserve"> </w:t>
      </w:r>
    </w:p>
    <w:p w14:paraId="3E56E3AF" w14:textId="2451A099" w:rsidR="00A87359" w:rsidRPr="00DF18FA" w:rsidRDefault="00A87359" w:rsidP="00A87359">
      <w:pPr>
        <w:pStyle w:val="Header"/>
        <w:tabs>
          <w:tab w:val="clear" w:pos="4150"/>
          <w:tab w:val="clear" w:pos="8307"/>
        </w:tabs>
      </w:pPr>
      <w:r w:rsidRPr="00DF18FA">
        <w:rPr>
          <w:rStyle w:val="CharPartNo"/>
        </w:rPr>
        <w:t xml:space="preserve"> </w:t>
      </w:r>
      <w:r w:rsidRPr="00DF18FA">
        <w:rPr>
          <w:rStyle w:val="CharPartText"/>
        </w:rPr>
        <w:t xml:space="preserve"> </w:t>
      </w:r>
    </w:p>
    <w:p w14:paraId="4B8DBF3F" w14:textId="77777777" w:rsidR="00FA06CA" w:rsidRPr="00DF18FA" w:rsidRDefault="00FA06CA" w:rsidP="00FA06CA">
      <w:pPr>
        <w:pStyle w:val="Header"/>
        <w:tabs>
          <w:tab w:val="clear" w:pos="4150"/>
          <w:tab w:val="clear" w:pos="8307"/>
        </w:tabs>
      </w:pPr>
      <w:r w:rsidRPr="00DF18FA">
        <w:rPr>
          <w:rStyle w:val="CharDivNo"/>
        </w:rPr>
        <w:t xml:space="preserve"> </w:t>
      </w:r>
      <w:r w:rsidRPr="00DF18FA">
        <w:rPr>
          <w:rStyle w:val="CharDivText"/>
        </w:rPr>
        <w:t xml:space="preserve"> </w:t>
      </w:r>
    </w:p>
    <w:p w14:paraId="17EEADBB" w14:textId="77777777" w:rsidR="00FA06CA" w:rsidRPr="00DF18FA" w:rsidRDefault="00FA06CA" w:rsidP="00FA06CA">
      <w:pPr>
        <w:sectPr w:rsidR="00FA06CA" w:rsidRPr="00DF18FA" w:rsidSect="00B824C5">
          <w:headerReference w:type="even" r:id="rId13"/>
          <w:headerReference w:type="default" r:id="rId14"/>
          <w:footerReference w:type="default" r:id="rId15"/>
          <w:headerReference w:type="first" r:id="rId16"/>
          <w:footerReference w:type="first" r:id="rId17"/>
          <w:pgSz w:w="11907" w:h="16839"/>
          <w:pgMar w:top="1440" w:right="1797" w:bottom="1440" w:left="1797" w:header="720" w:footer="709" w:gutter="0"/>
          <w:cols w:space="708"/>
          <w:docGrid w:linePitch="360"/>
        </w:sectPr>
      </w:pPr>
    </w:p>
    <w:p w14:paraId="3A8BA13F" w14:textId="77777777" w:rsidR="00FA06CA" w:rsidRPr="00DF18FA" w:rsidRDefault="00FA06CA" w:rsidP="00B824C5">
      <w:pPr>
        <w:rPr>
          <w:sz w:val="36"/>
        </w:rPr>
      </w:pPr>
      <w:r w:rsidRPr="00DF18FA">
        <w:rPr>
          <w:sz w:val="36"/>
        </w:rPr>
        <w:lastRenderedPageBreak/>
        <w:t>Contents</w:t>
      </w:r>
    </w:p>
    <w:p w14:paraId="130DC425" w14:textId="6CC9943A" w:rsidR="00127BB1" w:rsidRPr="00DF18FA" w:rsidRDefault="00FA06CA">
      <w:pPr>
        <w:pStyle w:val="TOC2"/>
        <w:rPr>
          <w:rFonts w:asciiTheme="minorHAnsi" w:eastAsiaTheme="minorEastAsia" w:hAnsiTheme="minorHAnsi" w:cstheme="minorBidi"/>
          <w:b w:val="0"/>
          <w:noProof/>
          <w:kern w:val="2"/>
          <w:sz w:val="22"/>
          <w:szCs w:val="22"/>
          <w14:ligatures w14:val="standardContextual"/>
        </w:rPr>
      </w:pPr>
      <w:r w:rsidRPr="00DF18FA">
        <w:fldChar w:fldCharType="begin"/>
      </w:r>
      <w:r w:rsidRPr="00DF18FA">
        <w:instrText xml:space="preserve"> TOC \o "1-9" </w:instrText>
      </w:r>
      <w:r w:rsidRPr="00DF18FA">
        <w:fldChar w:fldCharType="separate"/>
      </w:r>
      <w:r w:rsidR="00127BB1" w:rsidRPr="00DF18FA">
        <w:rPr>
          <w:noProof/>
        </w:rPr>
        <w:t>Part 1—Preliminary</w:t>
      </w:r>
      <w:r w:rsidR="00127BB1" w:rsidRPr="00DF18FA">
        <w:rPr>
          <w:noProof/>
        </w:rPr>
        <w:tab/>
      </w:r>
      <w:r w:rsidR="00127BB1" w:rsidRPr="00DF18FA">
        <w:rPr>
          <w:b w:val="0"/>
          <w:noProof/>
          <w:sz w:val="18"/>
        </w:rPr>
        <w:fldChar w:fldCharType="begin"/>
      </w:r>
      <w:r w:rsidR="00127BB1" w:rsidRPr="00DF18FA">
        <w:rPr>
          <w:b w:val="0"/>
          <w:noProof/>
          <w:sz w:val="18"/>
        </w:rPr>
        <w:instrText xml:space="preserve"> PAGEREF _Toc167559629 \h </w:instrText>
      </w:r>
      <w:r w:rsidR="00127BB1" w:rsidRPr="00DF18FA">
        <w:rPr>
          <w:b w:val="0"/>
          <w:noProof/>
          <w:sz w:val="18"/>
        </w:rPr>
      </w:r>
      <w:r w:rsidR="00127BB1" w:rsidRPr="00DF18FA">
        <w:rPr>
          <w:b w:val="0"/>
          <w:noProof/>
          <w:sz w:val="18"/>
        </w:rPr>
        <w:fldChar w:fldCharType="separate"/>
      </w:r>
      <w:r w:rsidR="0001645F" w:rsidRPr="00DF18FA">
        <w:rPr>
          <w:b w:val="0"/>
          <w:noProof/>
          <w:sz w:val="18"/>
        </w:rPr>
        <w:t>1</w:t>
      </w:r>
      <w:r w:rsidR="00127BB1" w:rsidRPr="00DF18FA">
        <w:rPr>
          <w:b w:val="0"/>
          <w:noProof/>
          <w:sz w:val="18"/>
        </w:rPr>
        <w:fldChar w:fldCharType="end"/>
      </w:r>
    </w:p>
    <w:p w14:paraId="122A880D" w14:textId="4E1C05FA" w:rsidR="00127BB1" w:rsidRPr="00DF18FA" w:rsidRDefault="00127BB1">
      <w:pPr>
        <w:pStyle w:val="TOC5"/>
        <w:rPr>
          <w:rFonts w:asciiTheme="minorHAnsi" w:eastAsiaTheme="minorEastAsia" w:hAnsiTheme="minorHAnsi" w:cstheme="minorBidi"/>
          <w:noProof/>
          <w:kern w:val="2"/>
          <w:sz w:val="22"/>
          <w:szCs w:val="22"/>
          <w14:ligatures w14:val="standardContextual"/>
        </w:rPr>
      </w:pPr>
      <w:r w:rsidRPr="00DF18FA">
        <w:rPr>
          <w:noProof/>
        </w:rPr>
        <w:t>1  Name</w:t>
      </w:r>
      <w:r w:rsidRPr="00DF18FA">
        <w:rPr>
          <w:noProof/>
        </w:rPr>
        <w:tab/>
      </w:r>
      <w:r w:rsidRPr="00DF18FA">
        <w:rPr>
          <w:noProof/>
        </w:rPr>
        <w:tab/>
      </w:r>
      <w:r w:rsidRPr="00DF18FA">
        <w:rPr>
          <w:noProof/>
        </w:rPr>
        <w:fldChar w:fldCharType="begin"/>
      </w:r>
      <w:r w:rsidRPr="00DF18FA">
        <w:rPr>
          <w:noProof/>
        </w:rPr>
        <w:instrText xml:space="preserve"> PAGEREF _Toc167559630 \h </w:instrText>
      </w:r>
      <w:r w:rsidRPr="00DF18FA">
        <w:rPr>
          <w:noProof/>
        </w:rPr>
      </w:r>
      <w:r w:rsidRPr="00DF18FA">
        <w:rPr>
          <w:noProof/>
        </w:rPr>
        <w:fldChar w:fldCharType="separate"/>
      </w:r>
      <w:r w:rsidR="0001645F" w:rsidRPr="00DF18FA">
        <w:rPr>
          <w:noProof/>
        </w:rPr>
        <w:t>1</w:t>
      </w:r>
      <w:r w:rsidRPr="00DF18FA">
        <w:rPr>
          <w:noProof/>
        </w:rPr>
        <w:fldChar w:fldCharType="end"/>
      </w:r>
    </w:p>
    <w:p w14:paraId="04B20E94" w14:textId="322C4B82" w:rsidR="00127BB1" w:rsidRPr="00DF18FA" w:rsidRDefault="00127BB1">
      <w:pPr>
        <w:pStyle w:val="TOC5"/>
        <w:rPr>
          <w:rFonts w:asciiTheme="minorHAnsi" w:eastAsiaTheme="minorEastAsia" w:hAnsiTheme="minorHAnsi" w:cstheme="minorBidi"/>
          <w:noProof/>
          <w:kern w:val="2"/>
          <w:sz w:val="22"/>
          <w:szCs w:val="22"/>
          <w14:ligatures w14:val="standardContextual"/>
        </w:rPr>
      </w:pPr>
      <w:r w:rsidRPr="00DF18FA">
        <w:rPr>
          <w:noProof/>
        </w:rPr>
        <w:t>2  Commencement</w:t>
      </w:r>
      <w:r w:rsidRPr="00DF18FA">
        <w:rPr>
          <w:noProof/>
        </w:rPr>
        <w:tab/>
      </w:r>
      <w:r w:rsidRPr="00DF18FA">
        <w:rPr>
          <w:noProof/>
        </w:rPr>
        <w:fldChar w:fldCharType="begin"/>
      </w:r>
      <w:r w:rsidRPr="00DF18FA">
        <w:rPr>
          <w:noProof/>
        </w:rPr>
        <w:instrText xml:space="preserve"> PAGEREF _Toc167559631 \h </w:instrText>
      </w:r>
      <w:r w:rsidRPr="00DF18FA">
        <w:rPr>
          <w:noProof/>
        </w:rPr>
      </w:r>
      <w:r w:rsidRPr="00DF18FA">
        <w:rPr>
          <w:noProof/>
        </w:rPr>
        <w:fldChar w:fldCharType="separate"/>
      </w:r>
      <w:r w:rsidR="0001645F" w:rsidRPr="00DF18FA">
        <w:rPr>
          <w:noProof/>
        </w:rPr>
        <w:t>1</w:t>
      </w:r>
      <w:r w:rsidRPr="00DF18FA">
        <w:rPr>
          <w:noProof/>
        </w:rPr>
        <w:fldChar w:fldCharType="end"/>
      </w:r>
    </w:p>
    <w:p w14:paraId="3DE5EB8E" w14:textId="4E980D19" w:rsidR="00127BB1" w:rsidRPr="00DF18FA" w:rsidRDefault="00127BB1">
      <w:pPr>
        <w:pStyle w:val="TOC5"/>
        <w:rPr>
          <w:rFonts w:asciiTheme="minorHAnsi" w:eastAsiaTheme="minorEastAsia" w:hAnsiTheme="minorHAnsi" w:cstheme="minorBidi"/>
          <w:noProof/>
          <w:kern w:val="2"/>
          <w:sz w:val="22"/>
          <w:szCs w:val="22"/>
          <w14:ligatures w14:val="standardContextual"/>
        </w:rPr>
      </w:pPr>
      <w:r w:rsidRPr="00DF18FA">
        <w:rPr>
          <w:noProof/>
        </w:rPr>
        <w:t>3  Authority</w:t>
      </w:r>
      <w:r w:rsidRPr="00DF18FA">
        <w:rPr>
          <w:noProof/>
        </w:rPr>
        <w:tab/>
      </w:r>
      <w:r w:rsidRPr="00DF18FA">
        <w:rPr>
          <w:noProof/>
        </w:rPr>
        <w:fldChar w:fldCharType="begin"/>
      </w:r>
      <w:r w:rsidRPr="00DF18FA">
        <w:rPr>
          <w:noProof/>
        </w:rPr>
        <w:instrText xml:space="preserve"> PAGEREF _Toc167559632 \h </w:instrText>
      </w:r>
      <w:r w:rsidRPr="00DF18FA">
        <w:rPr>
          <w:noProof/>
        </w:rPr>
      </w:r>
      <w:r w:rsidRPr="00DF18FA">
        <w:rPr>
          <w:noProof/>
        </w:rPr>
        <w:fldChar w:fldCharType="separate"/>
      </w:r>
      <w:r w:rsidR="0001645F" w:rsidRPr="00DF18FA">
        <w:rPr>
          <w:noProof/>
        </w:rPr>
        <w:t>1</w:t>
      </w:r>
      <w:r w:rsidRPr="00DF18FA">
        <w:rPr>
          <w:noProof/>
        </w:rPr>
        <w:fldChar w:fldCharType="end"/>
      </w:r>
    </w:p>
    <w:p w14:paraId="388A6B5F" w14:textId="12AE264B" w:rsidR="00127BB1" w:rsidRPr="00DF18FA" w:rsidRDefault="00127BB1">
      <w:pPr>
        <w:pStyle w:val="TOC5"/>
        <w:rPr>
          <w:rFonts w:asciiTheme="minorHAnsi" w:eastAsiaTheme="minorEastAsia" w:hAnsiTheme="minorHAnsi" w:cstheme="minorBidi"/>
          <w:noProof/>
          <w:kern w:val="2"/>
          <w:sz w:val="22"/>
          <w:szCs w:val="22"/>
          <w14:ligatures w14:val="standardContextual"/>
        </w:rPr>
      </w:pPr>
      <w:r w:rsidRPr="00DF18FA">
        <w:rPr>
          <w:noProof/>
        </w:rPr>
        <w:t>4  Definitions</w:t>
      </w:r>
      <w:r w:rsidRPr="00DF18FA">
        <w:rPr>
          <w:noProof/>
        </w:rPr>
        <w:tab/>
      </w:r>
      <w:r w:rsidRPr="00DF18FA">
        <w:rPr>
          <w:noProof/>
        </w:rPr>
        <w:fldChar w:fldCharType="begin"/>
      </w:r>
      <w:r w:rsidRPr="00DF18FA">
        <w:rPr>
          <w:noProof/>
        </w:rPr>
        <w:instrText xml:space="preserve"> PAGEREF _Toc167559633 \h </w:instrText>
      </w:r>
      <w:r w:rsidRPr="00DF18FA">
        <w:rPr>
          <w:noProof/>
        </w:rPr>
      </w:r>
      <w:r w:rsidRPr="00DF18FA">
        <w:rPr>
          <w:noProof/>
        </w:rPr>
        <w:fldChar w:fldCharType="separate"/>
      </w:r>
      <w:r w:rsidR="0001645F" w:rsidRPr="00DF18FA">
        <w:rPr>
          <w:noProof/>
        </w:rPr>
        <w:t>1</w:t>
      </w:r>
      <w:r w:rsidRPr="00DF18FA">
        <w:rPr>
          <w:noProof/>
        </w:rPr>
        <w:fldChar w:fldCharType="end"/>
      </w:r>
    </w:p>
    <w:p w14:paraId="3145EB9C" w14:textId="1AD3C7E3" w:rsidR="00127BB1" w:rsidRPr="00DF18FA" w:rsidRDefault="00127BB1">
      <w:pPr>
        <w:pStyle w:val="TOC2"/>
        <w:rPr>
          <w:rFonts w:asciiTheme="minorHAnsi" w:eastAsiaTheme="minorEastAsia" w:hAnsiTheme="minorHAnsi" w:cstheme="minorBidi"/>
          <w:b w:val="0"/>
          <w:noProof/>
          <w:kern w:val="2"/>
          <w:sz w:val="22"/>
          <w:szCs w:val="22"/>
          <w14:ligatures w14:val="standardContextual"/>
        </w:rPr>
      </w:pPr>
      <w:r w:rsidRPr="00DF18FA">
        <w:rPr>
          <w:noProof/>
        </w:rPr>
        <w:t>Part 2—Approvals to exceed 20% shareholding limit</w:t>
      </w:r>
      <w:r w:rsidRPr="00DF18FA">
        <w:rPr>
          <w:noProof/>
        </w:rPr>
        <w:tab/>
      </w:r>
      <w:r w:rsidRPr="00DF18FA">
        <w:rPr>
          <w:b w:val="0"/>
          <w:noProof/>
          <w:sz w:val="18"/>
        </w:rPr>
        <w:fldChar w:fldCharType="begin"/>
      </w:r>
      <w:r w:rsidRPr="00DF18FA">
        <w:rPr>
          <w:b w:val="0"/>
          <w:noProof/>
          <w:sz w:val="18"/>
        </w:rPr>
        <w:instrText xml:space="preserve"> PAGEREF _Toc167559634 \h </w:instrText>
      </w:r>
      <w:r w:rsidRPr="00DF18FA">
        <w:rPr>
          <w:b w:val="0"/>
          <w:noProof/>
          <w:sz w:val="18"/>
        </w:rPr>
      </w:r>
      <w:r w:rsidRPr="00DF18FA">
        <w:rPr>
          <w:b w:val="0"/>
          <w:noProof/>
          <w:sz w:val="18"/>
        </w:rPr>
        <w:fldChar w:fldCharType="separate"/>
      </w:r>
      <w:r w:rsidR="0001645F" w:rsidRPr="00DF18FA">
        <w:rPr>
          <w:b w:val="0"/>
          <w:noProof/>
          <w:sz w:val="18"/>
        </w:rPr>
        <w:t>3</w:t>
      </w:r>
      <w:r w:rsidRPr="00DF18FA">
        <w:rPr>
          <w:b w:val="0"/>
          <w:noProof/>
          <w:sz w:val="18"/>
        </w:rPr>
        <w:fldChar w:fldCharType="end"/>
      </w:r>
    </w:p>
    <w:p w14:paraId="626CA02E" w14:textId="4D26CD7D" w:rsidR="00127BB1" w:rsidRPr="00DF18FA" w:rsidRDefault="00127BB1">
      <w:pPr>
        <w:pStyle w:val="TOC5"/>
        <w:rPr>
          <w:rFonts w:asciiTheme="minorHAnsi" w:eastAsiaTheme="minorEastAsia" w:hAnsiTheme="minorHAnsi" w:cstheme="minorBidi"/>
          <w:noProof/>
          <w:kern w:val="2"/>
          <w:sz w:val="22"/>
          <w:szCs w:val="22"/>
          <w14:ligatures w14:val="standardContextual"/>
        </w:rPr>
      </w:pPr>
      <w:r w:rsidRPr="00DF18FA">
        <w:rPr>
          <w:noProof/>
        </w:rPr>
        <w:t>5  Approval of application</w:t>
      </w:r>
      <w:r w:rsidRPr="00DF18FA">
        <w:rPr>
          <w:noProof/>
        </w:rPr>
        <w:tab/>
      </w:r>
      <w:r w:rsidRPr="00DF18FA">
        <w:rPr>
          <w:noProof/>
        </w:rPr>
        <w:fldChar w:fldCharType="begin"/>
      </w:r>
      <w:r w:rsidRPr="00DF18FA">
        <w:rPr>
          <w:noProof/>
        </w:rPr>
        <w:instrText xml:space="preserve"> PAGEREF _Toc167559635 \h </w:instrText>
      </w:r>
      <w:r w:rsidRPr="00DF18FA">
        <w:rPr>
          <w:noProof/>
        </w:rPr>
      </w:r>
      <w:r w:rsidRPr="00DF18FA">
        <w:rPr>
          <w:noProof/>
        </w:rPr>
        <w:fldChar w:fldCharType="separate"/>
      </w:r>
      <w:r w:rsidR="0001645F" w:rsidRPr="00DF18FA">
        <w:rPr>
          <w:noProof/>
        </w:rPr>
        <w:t>3</w:t>
      </w:r>
      <w:r w:rsidRPr="00DF18FA">
        <w:rPr>
          <w:noProof/>
        </w:rPr>
        <w:fldChar w:fldCharType="end"/>
      </w:r>
    </w:p>
    <w:p w14:paraId="7C49DCC0" w14:textId="548E3B9D" w:rsidR="00127BB1" w:rsidRPr="00DF18FA" w:rsidRDefault="00127BB1">
      <w:pPr>
        <w:pStyle w:val="TOC5"/>
        <w:rPr>
          <w:rFonts w:asciiTheme="minorHAnsi" w:eastAsiaTheme="minorEastAsia" w:hAnsiTheme="minorHAnsi" w:cstheme="minorBidi"/>
          <w:noProof/>
          <w:kern w:val="2"/>
          <w:szCs w:val="22"/>
          <w14:ligatures w14:val="standardContextual"/>
        </w:rPr>
      </w:pPr>
      <w:r w:rsidRPr="00DF18FA">
        <w:rPr>
          <w:noProof/>
        </w:rPr>
        <w:t>6  Conditions on approvals</w:t>
      </w:r>
      <w:r w:rsidRPr="00DF18FA">
        <w:rPr>
          <w:noProof/>
        </w:rPr>
        <w:tab/>
      </w:r>
      <w:r w:rsidRPr="00DF18FA">
        <w:rPr>
          <w:noProof/>
        </w:rPr>
        <w:fldChar w:fldCharType="begin"/>
      </w:r>
      <w:r w:rsidRPr="00DF18FA">
        <w:rPr>
          <w:noProof/>
        </w:rPr>
        <w:instrText xml:space="preserve"> PAGEREF _Toc167559636 \h </w:instrText>
      </w:r>
      <w:r w:rsidRPr="00DF18FA">
        <w:rPr>
          <w:noProof/>
        </w:rPr>
      </w:r>
      <w:r w:rsidRPr="00DF18FA">
        <w:rPr>
          <w:noProof/>
        </w:rPr>
        <w:fldChar w:fldCharType="separate"/>
      </w:r>
      <w:r w:rsidR="0001645F" w:rsidRPr="00DF18FA">
        <w:rPr>
          <w:noProof/>
        </w:rPr>
        <w:t>3</w:t>
      </w:r>
      <w:r w:rsidRPr="00DF18FA">
        <w:rPr>
          <w:noProof/>
        </w:rPr>
        <w:fldChar w:fldCharType="end"/>
      </w:r>
    </w:p>
    <w:p w14:paraId="159016DE" w14:textId="38A69C00" w:rsidR="00FA06CA" w:rsidRPr="00DF18FA" w:rsidRDefault="00FA06CA" w:rsidP="00FA06CA">
      <w:r w:rsidRPr="00DF18FA">
        <w:rPr>
          <w:sz w:val="18"/>
        </w:rPr>
        <w:fldChar w:fldCharType="end"/>
      </w:r>
    </w:p>
    <w:p w14:paraId="53C9F633" w14:textId="77777777" w:rsidR="00FA06CA" w:rsidRPr="00DF18FA" w:rsidRDefault="00FA06CA" w:rsidP="00FA06CA">
      <w:pPr>
        <w:sectPr w:rsidR="00FA06CA" w:rsidRPr="00DF18FA" w:rsidSect="00B824C5">
          <w:headerReference w:type="even" r:id="rId18"/>
          <w:headerReference w:type="default" r:id="rId19"/>
          <w:footerReference w:type="even" r:id="rId20"/>
          <w:footerReference w:type="default" r:id="rId21"/>
          <w:headerReference w:type="first" r:id="rId22"/>
          <w:pgSz w:w="11907" w:h="16839"/>
          <w:pgMar w:top="2099" w:right="1797" w:bottom="1440" w:left="1797" w:header="720" w:footer="709" w:gutter="0"/>
          <w:pgNumType w:fmt="lowerRoman" w:start="1"/>
          <w:cols w:space="708"/>
          <w:docGrid w:linePitch="360"/>
        </w:sectPr>
      </w:pPr>
    </w:p>
    <w:p w14:paraId="375FCA4B" w14:textId="101269AE" w:rsidR="00FC0D47" w:rsidRPr="00DF18FA" w:rsidRDefault="00FC0D47" w:rsidP="00FC0D47">
      <w:pPr>
        <w:pStyle w:val="ActHead2"/>
        <w:pageBreakBefore/>
        <w:rPr>
          <w:lang w:eastAsia="en-US"/>
        </w:rPr>
      </w:pPr>
      <w:bookmarkStart w:id="16" w:name="_Toc167559629"/>
      <w:r w:rsidRPr="00DF18FA">
        <w:rPr>
          <w:rStyle w:val="CharPartNo"/>
        </w:rPr>
        <w:lastRenderedPageBreak/>
        <w:t>Part 1</w:t>
      </w:r>
      <w:r w:rsidRPr="00DF18FA">
        <w:t>—</w:t>
      </w:r>
      <w:r w:rsidRPr="00DF18FA">
        <w:rPr>
          <w:rStyle w:val="CharPartText"/>
        </w:rPr>
        <w:t>Preliminary</w:t>
      </w:r>
      <w:bookmarkEnd w:id="16"/>
    </w:p>
    <w:p w14:paraId="6A42D5E3" w14:textId="77777777" w:rsidR="00FA06CA" w:rsidRPr="00DF18FA" w:rsidRDefault="00FA06CA" w:rsidP="00FA06CA">
      <w:pPr>
        <w:pStyle w:val="Header"/>
      </w:pPr>
      <w:r w:rsidRPr="00DF18FA">
        <w:t xml:space="preserve">  </w:t>
      </w:r>
    </w:p>
    <w:p w14:paraId="21145A6E" w14:textId="77777777" w:rsidR="00FA06CA" w:rsidRPr="00DF18FA" w:rsidRDefault="00FA06CA" w:rsidP="00FA06CA">
      <w:pPr>
        <w:pStyle w:val="ActHead5"/>
      </w:pPr>
      <w:bookmarkStart w:id="17" w:name="_Toc167559630"/>
      <w:r w:rsidRPr="00DF18FA">
        <w:rPr>
          <w:rStyle w:val="CharSectno"/>
        </w:rPr>
        <w:t>1</w:t>
      </w:r>
      <w:r w:rsidRPr="00DF18FA">
        <w:t xml:space="preserve">  Name</w:t>
      </w:r>
      <w:bookmarkEnd w:id="17"/>
    </w:p>
    <w:p w14:paraId="24DDF632" w14:textId="07A71D27" w:rsidR="00FA06CA" w:rsidRPr="00DF18FA" w:rsidRDefault="00FA06CA" w:rsidP="00FA06CA">
      <w:pPr>
        <w:pStyle w:val="subsection"/>
      </w:pPr>
      <w:r w:rsidRPr="00DF18FA">
        <w:tab/>
      </w:r>
      <w:r w:rsidRPr="00DF18FA">
        <w:tab/>
        <w:t xml:space="preserve">This instrument is the </w:t>
      </w:r>
      <w:r w:rsidR="00A87359" w:rsidRPr="00DF18FA">
        <w:rPr>
          <w:i/>
          <w:noProof/>
        </w:rPr>
        <w:t>Financial Sector (Shareholdings)</w:t>
      </w:r>
      <w:r w:rsidR="00B24585" w:rsidRPr="00DF18FA">
        <w:rPr>
          <w:i/>
          <w:noProof/>
        </w:rPr>
        <w:t xml:space="preserve"> (Suncorp</w:t>
      </w:r>
      <w:r w:rsidR="00514915" w:rsidRPr="00DF18FA">
        <w:rPr>
          <w:i/>
          <w:noProof/>
        </w:rPr>
        <w:t>-Metway Limited</w:t>
      </w:r>
      <w:r w:rsidR="00B24585" w:rsidRPr="00DF18FA">
        <w:rPr>
          <w:i/>
          <w:noProof/>
        </w:rPr>
        <w:t>) Instrument 2024</w:t>
      </w:r>
      <w:r w:rsidRPr="00DF18FA">
        <w:t>.</w:t>
      </w:r>
    </w:p>
    <w:p w14:paraId="723A9389" w14:textId="77777777" w:rsidR="00FA06CA" w:rsidRPr="00DF18FA" w:rsidRDefault="00FA06CA" w:rsidP="00FA06CA">
      <w:pPr>
        <w:pStyle w:val="ActHead5"/>
      </w:pPr>
      <w:bookmarkStart w:id="18" w:name="_Toc167559631"/>
      <w:r w:rsidRPr="00DF18FA">
        <w:rPr>
          <w:rStyle w:val="CharSectno"/>
        </w:rPr>
        <w:t>2</w:t>
      </w:r>
      <w:r w:rsidRPr="00DF18FA">
        <w:t xml:space="preserve">  Commencement</w:t>
      </w:r>
      <w:bookmarkEnd w:id="18"/>
    </w:p>
    <w:p w14:paraId="4C3AD186" w14:textId="4BEDA30B" w:rsidR="00FA06CA" w:rsidRPr="00DF18FA" w:rsidRDefault="00FA06CA" w:rsidP="00FA06CA">
      <w:pPr>
        <w:pStyle w:val="subsection"/>
      </w:pPr>
      <w:r w:rsidRPr="00DF18FA">
        <w:tab/>
        <w:t>(1)</w:t>
      </w:r>
      <w:r w:rsidRPr="00DF18FA">
        <w:tab/>
        <w:t xml:space="preserve">Each provision of </w:t>
      </w:r>
      <w:r w:rsidR="00FC0D47" w:rsidRPr="00DF18FA">
        <w:t xml:space="preserve">this </w:t>
      </w:r>
      <w:r w:rsidRPr="00DF18FA">
        <w:t>instrument specified in column 1 of the table commences, or is taken to have commenced, in accordance with column 2 of the table. Any other statement in column 2 has effect according to its terms.</w:t>
      </w:r>
    </w:p>
    <w:p w14:paraId="0784EB1C" w14:textId="77777777" w:rsidR="00FA06CA" w:rsidRPr="00DF18FA" w:rsidRDefault="00FA06CA" w:rsidP="00FA06CA">
      <w:pPr>
        <w:pStyle w:val="Tabletext"/>
      </w:pPr>
    </w:p>
    <w:tbl>
      <w:tblPr>
        <w:tblW w:w="8364" w:type="dxa"/>
        <w:tblInd w:w="107" w:type="dxa"/>
        <w:tblLayout w:type="fixed"/>
        <w:tblCellMar>
          <w:left w:w="107" w:type="dxa"/>
          <w:right w:w="107" w:type="dxa"/>
        </w:tblCellMar>
        <w:tblLook w:val="04A0" w:firstRow="1" w:lastRow="0" w:firstColumn="1" w:lastColumn="0" w:noHBand="0" w:noVBand="1"/>
      </w:tblPr>
      <w:tblGrid>
        <w:gridCol w:w="2127"/>
        <w:gridCol w:w="4394"/>
        <w:gridCol w:w="1843"/>
      </w:tblGrid>
      <w:tr w:rsidR="00FA06CA" w:rsidRPr="00DF18FA" w14:paraId="4DA7228F" w14:textId="77777777" w:rsidTr="009002A4">
        <w:trPr>
          <w:cantSplit/>
          <w:tblHeader/>
        </w:trPr>
        <w:tc>
          <w:tcPr>
            <w:tcW w:w="8364" w:type="dxa"/>
            <w:gridSpan w:val="3"/>
            <w:tcBorders>
              <w:top w:val="single" w:sz="12" w:space="0" w:color="auto"/>
              <w:left w:val="nil"/>
              <w:bottom w:val="single" w:sz="6" w:space="0" w:color="auto"/>
              <w:right w:val="nil"/>
            </w:tcBorders>
            <w:hideMark/>
          </w:tcPr>
          <w:p w14:paraId="113C3417" w14:textId="77777777" w:rsidR="00FA06CA" w:rsidRPr="00DF18FA" w:rsidRDefault="00FA06CA">
            <w:pPr>
              <w:pStyle w:val="TableHeading"/>
            </w:pPr>
            <w:r w:rsidRPr="00DF18FA">
              <w:t>Commencement information</w:t>
            </w:r>
          </w:p>
        </w:tc>
      </w:tr>
      <w:tr w:rsidR="00FA06CA" w:rsidRPr="00DF18FA" w14:paraId="631DA85C" w14:textId="77777777" w:rsidTr="009002A4">
        <w:trPr>
          <w:cantSplit/>
          <w:tblHeader/>
        </w:trPr>
        <w:tc>
          <w:tcPr>
            <w:tcW w:w="2127" w:type="dxa"/>
            <w:tcBorders>
              <w:top w:val="single" w:sz="6" w:space="0" w:color="auto"/>
              <w:left w:val="nil"/>
              <w:bottom w:val="single" w:sz="6" w:space="0" w:color="auto"/>
              <w:right w:val="nil"/>
            </w:tcBorders>
            <w:hideMark/>
          </w:tcPr>
          <w:p w14:paraId="1FE59760" w14:textId="77777777" w:rsidR="00FA06CA" w:rsidRPr="00DF18FA" w:rsidRDefault="00FA06CA">
            <w:pPr>
              <w:pStyle w:val="TableHeading"/>
            </w:pPr>
            <w:r w:rsidRPr="00DF18FA">
              <w:t>Column 1</w:t>
            </w:r>
          </w:p>
        </w:tc>
        <w:tc>
          <w:tcPr>
            <w:tcW w:w="4394" w:type="dxa"/>
            <w:tcBorders>
              <w:top w:val="single" w:sz="6" w:space="0" w:color="auto"/>
              <w:left w:val="nil"/>
              <w:bottom w:val="single" w:sz="6" w:space="0" w:color="auto"/>
              <w:right w:val="nil"/>
            </w:tcBorders>
            <w:hideMark/>
          </w:tcPr>
          <w:p w14:paraId="45ED0608" w14:textId="77777777" w:rsidR="00FA06CA" w:rsidRPr="00DF18FA" w:rsidRDefault="00FA06CA">
            <w:pPr>
              <w:pStyle w:val="TableHeading"/>
            </w:pPr>
            <w:r w:rsidRPr="00DF18FA">
              <w:t>Column 2</w:t>
            </w:r>
          </w:p>
        </w:tc>
        <w:tc>
          <w:tcPr>
            <w:tcW w:w="1843" w:type="dxa"/>
            <w:tcBorders>
              <w:top w:val="single" w:sz="6" w:space="0" w:color="auto"/>
              <w:left w:val="nil"/>
              <w:bottom w:val="single" w:sz="6" w:space="0" w:color="auto"/>
              <w:right w:val="nil"/>
            </w:tcBorders>
            <w:hideMark/>
          </w:tcPr>
          <w:p w14:paraId="310D37AD" w14:textId="77777777" w:rsidR="00FA06CA" w:rsidRPr="00DF18FA" w:rsidRDefault="00FA06CA">
            <w:pPr>
              <w:pStyle w:val="TableHeading"/>
            </w:pPr>
            <w:r w:rsidRPr="00DF18FA">
              <w:t>Column 3</w:t>
            </w:r>
          </w:p>
        </w:tc>
      </w:tr>
      <w:tr w:rsidR="00FA06CA" w:rsidRPr="00DF18FA" w14:paraId="5230E4D0" w14:textId="77777777" w:rsidTr="009002A4">
        <w:trPr>
          <w:cantSplit/>
          <w:tblHeader/>
        </w:trPr>
        <w:tc>
          <w:tcPr>
            <w:tcW w:w="2127" w:type="dxa"/>
            <w:tcBorders>
              <w:top w:val="single" w:sz="6" w:space="0" w:color="auto"/>
              <w:left w:val="nil"/>
              <w:bottom w:val="single" w:sz="12" w:space="0" w:color="auto"/>
              <w:right w:val="nil"/>
            </w:tcBorders>
            <w:hideMark/>
          </w:tcPr>
          <w:p w14:paraId="03D0BA53" w14:textId="77777777" w:rsidR="00FA06CA" w:rsidRPr="00DF18FA" w:rsidRDefault="00FA06CA">
            <w:pPr>
              <w:pStyle w:val="TableHeading"/>
            </w:pPr>
            <w:r w:rsidRPr="00DF18FA">
              <w:t>Provisions</w:t>
            </w:r>
          </w:p>
        </w:tc>
        <w:tc>
          <w:tcPr>
            <w:tcW w:w="4394" w:type="dxa"/>
            <w:tcBorders>
              <w:top w:val="single" w:sz="6" w:space="0" w:color="auto"/>
              <w:left w:val="nil"/>
              <w:bottom w:val="single" w:sz="12" w:space="0" w:color="auto"/>
              <w:right w:val="nil"/>
            </w:tcBorders>
            <w:hideMark/>
          </w:tcPr>
          <w:p w14:paraId="7988C104" w14:textId="77777777" w:rsidR="00FA06CA" w:rsidRPr="00DF18FA" w:rsidRDefault="00FA06CA">
            <w:pPr>
              <w:pStyle w:val="TableHeading"/>
            </w:pPr>
            <w:r w:rsidRPr="00DF18FA">
              <w:t>Commencement</w:t>
            </w:r>
          </w:p>
        </w:tc>
        <w:tc>
          <w:tcPr>
            <w:tcW w:w="1843" w:type="dxa"/>
            <w:tcBorders>
              <w:top w:val="single" w:sz="6" w:space="0" w:color="auto"/>
              <w:left w:val="nil"/>
              <w:bottom w:val="single" w:sz="12" w:space="0" w:color="auto"/>
              <w:right w:val="nil"/>
            </w:tcBorders>
            <w:hideMark/>
          </w:tcPr>
          <w:p w14:paraId="0E619F82" w14:textId="77777777" w:rsidR="00FA06CA" w:rsidRPr="00DF18FA" w:rsidRDefault="00FA06CA">
            <w:pPr>
              <w:pStyle w:val="TableHeading"/>
            </w:pPr>
            <w:r w:rsidRPr="00DF18FA">
              <w:t>Date/Details</w:t>
            </w:r>
          </w:p>
        </w:tc>
      </w:tr>
      <w:tr w:rsidR="00FA06CA" w:rsidRPr="00DF18FA" w14:paraId="354AD19B" w14:textId="77777777" w:rsidTr="009002A4">
        <w:trPr>
          <w:cantSplit/>
        </w:trPr>
        <w:tc>
          <w:tcPr>
            <w:tcW w:w="2127" w:type="dxa"/>
            <w:tcBorders>
              <w:top w:val="single" w:sz="2" w:space="0" w:color="auto"/>
              <w:left w:val="nil"/>
              <w:bottom w:val="single" w:sz="12" w:space="0" w:color="auto"/>
              <w:right w:val="nil"/>
            </w:tcBorders>
            <w:hideMark/>
          </w:tcPr>
          <w:p w14:paraId="5501EE10" w14:textId="44BE6531" w:rsidR="00FA06CA" w:rsidRPr="00DF18FA" w:rsidRDefault="00FC0D47">
            <w:pPr>
              <w:pStyle w:val="Tabletext"/>
            </w:pPr>
            <w:r w:rsidRPr="00DF18FA">
              <w:t>1</w:t>
            </w:r>
            <w:r w:rsidR="00FA06CA" w:rsidRPr="00DF18FA">
              <w:t xml:space="preserve">.  </w:t>
            </w:r>
            <w:r w:rsidR="009002A4" w:rsidRPr="00DF18FA">
              <w:t>The whole of this instrument</w:t>
            </w:r>
          </w:p>
        </w:tc>
        <w:tc>
          <w:tcPr>
            <w:tcW w:w="4394" w:type="dxa"/>
            <w:tcBorders>
              <w:top w:val="single" w:sz="2" w:space="0" w:color="auto"/>
              <w:left w:val="nil"/>
              <w:bottom w:val="single" w:sz="12" w:space="0" w:color="auto"/>
              <w:right w:val="nil"/>
            </w:tcBorders>
          </w:tcPr>
          <w:p w14:paraId="4616B32E" w14:textId="500015C7" w:rsidR="00FA06CA" w:rsidRPr="00DF18FA" w:rsidRDefault="009002A4">
            <w:pPr>
              <w:pStyle w:val="Tabletext"/>
            </w:pPr>
            <w:r w:rsidRPr="00DF18FA">
              <w:t>The day after this instrument is registered.</w:t>
            </w:r>
          </w:p>
        </w:tc>
        <w:tc>
          <w:tcPr>
            <w:tcW w:w="1843" w:type="dxa"/>
            <w:tcBorders>
              <w:top w:val="single" w:sz="2" w:space="0" w:color="auto"/>
              <w:left w:val="nil"/>
              <w:bottom w:val="single" w:sz="12" w:space="0" w:color="auto"/>
              <w:right w:val="nil"/>
            </w:tcBorders>
          </w:tcPr>
          <w:p w14:paraId="6FE4BD9B" w14:textId="77777777" w:rsidR="00FA06CA" w:rsidRPr="00DF18FA" w:rsidRDefault="00FA06CA">
            <w:pPr>
              <w:pStyle w:val="Tabletext"/>
            </w:pPr>
          </w:p>
        </w:tc>
      </w:tr>
    </w:tbl>
    <w:p w14:paraId="1257E92C" w14:textId="77777777" w:rsidR="00FA06CA" w:rsidRPr="00DF18FA" w:rsidRDefault="00FA06CA" w:rsidP="00FA06CA">
      <w:pPr>
        <w:pStyle w:val="notetext"/>
      </w:pPr>
      <w:r w:rsidRPr="00DF18FA">
        <w:rPr>
          <w:snapToGrid w:val="0"/>
          <w:lang w:eastAsia="en-US"/>
        </w:rPr>
        <w:t>Note:</w:t>
      </w:r>
      <w:r w:rsidRPr="00DF18FA">
        <w:rPr>
          <w:snapToGrid w:val="0"/>
          <w:lang w:eastAsia="en-US"/>
        </w:rPr>
        <w:tab/>
        <w:t xml:space="preserve">This table relates only to the provisions of this </w:t>
      </w:r>
      <w:r w:rsidRPr="00DF18FA">
        <w:t xml:space="preserve">instrument </w:t>
      </w:r>
      <w:r w:rsidRPr="00DF18FA">
        <w:rPr>
          <w:snapToGrid w:val="0"/>
          <w:lang w:eastAsia="en-US"/>
        </w:rPr>
        <w:t>as originally made. It will not be amended to deal with any later amendments of this instrument.</w:t>
      </w:r>
    </w:p>
    <w:p w14:paraId="519909DC" w14:textId="77777777" w:rsidR="00FA06CA" w:rsidRPr="00DF18FA" w:rsidRDefault="00FA06CA" w:rsidP="00FA06CA">
      <w:pPr>
        <w:pStyle w:val="subsection"/>
      </w:pPr>
      <w:r w:rsidRPr="00DF18FA">
        <w:tab/>
        <w:t>(2)</w:t>
      </w:r>
      <w:r w:rsidRPr="00DF18FA">
        <w:tab/>
        <w:t>Any information in column 3 of the table is not part of this instrument. Information may be inserted in this column, or information in it may be edited, in any published version of this instrument.</w:t>
      </w:r>
    </w:p>
    <w:p w14:paraId="771C24B2" w14:textId="77777777" w:rsidR="00FA06CA" w:rsidRPr="00DF18FA" w:rsidRDefault="00FA06CA" w:rsidP="00FA06CA">
      <w:pPr>
        <w:pStyle w:val="ActHead5"/>
      </w:pPr>
      <w:bookmarkStart w:id="19" w:name="_Toc167559632"/>
      <w:r w:rsidRPr="00DF18FA">
        <w:rPr>
          <w:rStyle w:val="CharSectno"/>
        </w:rPr>
        <w:t>3</w:t>
      </w:r>
      <w:r w:rsidRPr="00DF18FA">
        <w:t xml:space="preserve">  Authority</w:t>
      </w:r>
      <w:bookmarkEnd w:id="19"/>
    </w:p>
    <w:p w14:paraId="0DB8B076" w14:textId="55303A30" w:rsidR="00FA06CA" w:rsidRPr="00DF18FA" w:rsidRDefault="00FA06CA" w:rsidP="00FA06CA">
      <w:pPr>
        <w:pStyle w:val="subsection"/>
      </w:pPr>
      <w:r w:rsidRPr="00DF18FA">
        <w:tab/>
      </w:r>
      <w:r w:rsidRPr="00DF18FA">
        <w:tab/>
        <w:t>This instrument is made under the</w:t>
      </w:r>
      <w:r w:rsidR="009002A4" w:rsidRPr="00DF18FA">
        <w:t xml:space="preserve"> </w:t>
      </w:r>
      <w:r w:rsidR="009002A4" w:rsidRPr="00DF18FA">
        <w:rPr>
          <w:i/>
          <w:iCs/>
        </w:rPr>
        <w:t>Financial Sector (Shareholdings) Act 1998</w:t>
      </w:r>
      <w:r w:rsidRPr="00DF18FA">
        <w:t>.</w:t>
      </w:r>
    </w:p>
    <w:p w14:paraId="015652A6" w14:textId="29EEA41E" w:rsidR="00FA06CA" w:rsidRPr="00DF18FA" w:rsidRDefault="00FA06CA" w:rsidP="00FA06CA">
      <w:pPr>
        <w:pStyle w:val="ActHead5"/>
      </w:pPr>
      <w:bookmarkStart w:id="20" w:name="_Toc167559633"/>
      <w:r w:rsidRPr="00DF18FA">
        <w:rPr>
          <w:rStyle w:val="CharSectno"/>
        </w:rPr>
        <w:t>4</w:t>
      </w:r>
      <w:r w:rsidRPr="00DF18FA">
        <w:t xml:space="preserve">  </w:t>
      </w:r>
      <w:r w:rsidR="009002A4" w:rsidRPr="00DF18FA">
        <w:t>Definitions</w:t>
      </w:r>
      <w:bookmarkEnd w:id="20"/>
    </w:p>
    <w:p w14:paraId="2B568542" w14:textId="49C4C931" w:rsidR="008A6B98" w:rsidRPr="00DF18FA" w:rsidRDefault="008A6B98" w:rsidP="008A6B98">
      <w:pPr>
        <w:pStyle w:val="notemargin"/>
      </w:pPr>
      <w:r w:rsidRPr="00DF18FA">
        <w:t>Note:</w:t>
      </w:r>
      <w:r w:rsidRPr="00DF18FA">
        <w:tab/>
      </w:r>
      <w:r w:rsidR="00962C33" w:rsidRPr="00DF18FA">
        <w:t xml:space="preserve">Expressions have the same meaning in this instrument as in the </w:t>
      </w:r>
      <w:r w:rsidR="00F71909" w:rsidRPr="00DF18FA">
        <w:rPr>
          <w:i/>
          <w:iCs/>
        </w:rPr>
        <w:t>Financial Sector (Shareholdings) Act 1998</w:t>
      </w:r>
      <w:r w:rsidR="00962C33" w:rsidRPr="00DF18FA">
        <w:t xml:space="preserve"> as in force from time to time—see paragraph 13(1)(b) of the </w:t>
      </w:r>
      <w:r w:rsidR="00962C33" w:rsidRPr="00DF18FA">
        <w:rPr>
          <w:i/>
          <w:iCs/>
        </w:rPr>
        <w:t>Legislation Act 2003</w:t>
      </w:r>
      <w:r w:rsidR="00962C33" w:rsidRPr="00DF18FA">
        <w:t>.</w:t>
      </w:r>
    </w:p>
    <w:p w14:paraId="67AD4B1F" w14:textId="15D36AB0" w:rsidR="00FA06CA" w:rsidRPr="00DF18FA" w:rsidRDefault="000370A0" w:rsidP="00A019DF">
      <w:pPr>
        <w:pStyle w:val="subsection"/>
        <w:ind w:firstLine="0"/>
      </w:pPr>
      <w:r w:rsidRPr="00DF18FA">
        <w:t>In this instrument:</w:t>
      </w:r>
    </w:p>
    <w:p w14:paraId="7E6FDB02" w14:textId="6C7CFF93" w:rsidR="00F360E0" w:rsidRPr="00DF18FA" w:rsidRDefault="00812FAB" w:rsidP="00DA4AF5">
      <w:pPr>
        <w:pStyle w:val="Definition"/>
      </w:pPr>
      <w:r w:rsidRPr="00DF18FA">
        <w:rPr>
          <w:b/>
          <w:bCs/>
          <w:i/>
          <w:iCs/>
        </w:rPr>
        <w:t>ABN</w:t>
      </w:r>
      <w:r w:rsidRPr="00DF18FA">
        <w:t xml:space="preserve"> has the meaning given</w:t>
      </w:r>
      <w:r w:rsidR="006E257E" w:rsidRPr="00DF18FA">
        <w:t xml:space="preserve"> by the </w:t>
      </w:r>
      <w:r w:rsidR="006E257E" w:rsidRPr="00DF18FA">
        <w:rPr>
          <w:i/>
          <w:iCs/>
        </w:rPr>
        <w:t>A New Tax System (Australian Business Number) Act 1999</w:t>
      </w:r>
      <w:r w:rsidR="006E257E" w:rsidRPr="00DF18FA">
        <w:t>.</w:t>
      </w:r>
    </w:p>
    <w:p w14:paraId="6D00415A" w14:textId="35FE8810" w:rsidR="00566F10" w:rsidRPr="00DF18FA" w:rsidRDefault="00566F10" w:rsidP="00DA4AF5">
      <w:pPr>
        <w:pStyle w:val="Definition"/>
      </w:pPr>
      <w:r w:rsidRPr="00DF18FA">
        <w:rPr>
          <w:b/>
          <w:bCs/>
          <w:i/>
          <w:iCs/>
        </w:rPr>
        <w:t>Australia Post</w:t>
      </w:r>
      <w:r w:rsidRPr="00DF18FA">
        <w:t xml:space="preserve"> means the </w:t>
      </w:r>
      <w:r w:rsidRPr="00DF18FA">
        <w:rPr>
          <w:i/>
          <w:iCs/>
        </w:rPr>
        <w:t>Australian Postal Corporation</w:t>
      </w:r>
      <w:r w:rsidRPr="00DF18FA">
        <w:t>.</w:t>
      </w:r>
    </w:p>
    <w:p w14:paraId="37EAEBB3" w14:textId="57E6588F" w:rsidR="00BC6AD8" w:rsidRPr="00DF18FA" w:rsidRDefault="00BC6AD8" w:rsidP="00BC6AD8">
      <w:pPr>
        <w:pStyle w:val="Definition"/>
      </w:pPr>
      <w:r w:rsidRPr="00DF18FA">
        <w:rPr>
          <w:b/>
          <w:bCs/>
          <w:i/>
          <w:iCs/>
        </w:rPr>
        <w:t>Australian Statistical Geography Standard</w:t>
      </w:r>
      <w:r w:rsidRPr="00DF18FA">
        <w:t xml:space="preserve"> means the </w:t>
      </w:r>
      <w:r w:rsidRPr="00DF18FA">
        <w:rPr>
          <w:i/>
          <w:iCs/>
        </w:rPr>
        <w:t>Australian Statistical Geography Standard (ASGS)</w:t>
      </w:r>
      <w:r w:rsidR="00782DDE" w:rsidRPr="00DF18FA">
        <w:rPr>
          <w:i/>
          <w:iCs/>
        </w:rPr>
        <w:t xml:space="preserve"> Edition 3</w:t>
      </w:r>
      <w:r w:rsidRPr="00DF18FA">
        <w:t xml:space="preserve">, </w:t>
      </w:r>
      <w:r w:rsidR="00382C50" w:rsidRPr="00DF18FA">
        <w:t xml:space="preserve">as </w:t>
      </w:r>
      <w:r w:rsidRPr="00DF18FA">
        <w:t xml:space="preserve">published by the </w:t>
      </w:r>
      <w:r w:rsidR="00060E65" w:rsidRPr="00DF18FA">
        <w:t xml:space="preserve">Australian </w:t>
      </w:r>
      <w:r w:rsidR="008D3F6D" w:rsidRPr="00DF18FA">
        <w:t>Statistician</w:t>
      </w:r>
      <w:r w:rsidR="00382C50" w:rsidRPr="00DF18FA">
        <w:t xml:space="preserve"> on 20 July 2021</w:t>
      </w:r>
      <w:r w:rsidRPr="00DF18FA">
        <w:t>.</w:t>
      </w:r>
    </w:p>
    <w:p w14:paraId="4A610B44" w14:textId="76B9F94D" w:rsidR="00BC6AD8" w:rsidRPr="00DF18FA" w:rsidRDefault="00BC6AD8" w:rsidP="008D3F6D">
      <w:pPr>
        <w:pStyle w:val="notetext"/>
      </w:pPr>
      <w:r w:rsidRPr="00DF18FA">
        <w:t>Note:</w:t>
      </w:r>
      <w:r w:rsidR="008D3F6D" w:rsidRPr="00DF18FA">
        <w:tab/>
      </w:r>
      <w:r w:rsidRPr="00DF18FA">
        <w:t xml:space="preserve">The </w:t>
      </w:r>
      <w:r w:rsidR="008D3F6D" w:rsidRPr="00DF18FA">
        <w:t xml:space="preserve">Australian Statistical Geography </w:t>
      </w:r>
      <w:r w:rsidRPr="00DF18FA">
        <w:t>Standard could in 202</w:t>
      </w:r>
      <w:r w:rsidR="00A857AE" w:rsidRPr="00DF18FA">
        <w:t>4</w:t>
      </w:r>
      <w:r w:rsidRPr="00DF18FA">
        <w:t xml:space="preserve"> be viewed on the Australian Bureau of Statistics website (https://www.abs.gov.au).</w:t>
      </w:r>
    </w:p>
    <w:p w14:paraId="43C853C5" w14:textId="75457414" w:rsidR="0098206F" w:rsidRPr="00DF18FA" w:rsidRDefault="001E7480" w:rsidP="00DA4AF5">
      <w:pPr>
        <w:pStyle w:val="Definition"/>
      </w:pPr>
      <w:r w:rsidRPr="00DF18FA">
        <w:rPr>
          <w:b/>
          <w:bCs/>
          <w:i/>
          <w:iCs/>
        </w:rPr>
        <w:t>b</w:t>
      </w:r>
      <w:r w:rsidR="0098206F" w:rsidRPr="00DF18FA">
        <w:rPr>
          <w:b/>
          <w:bCs/>
          <w:i/>
          <w:iCs/>
        </w:rPr>
        <w:t>anking business</w:t>
      </w:r>
      <w:r w:rsidRPr="00DF18FA">
        <w:t xml:space="preserve"> has the meaning given by the </w:t>
      </w:r>
      <w:r w:rsidRPr="00DF18FA">
        <w:rPr>
          <w:i/>
          <w:iCs/>
        </w:rPr>
        <w:t>Banking Act 1959</w:t>
      </w:r>
      <w:r w:rsidRPr="00DF18FA">
        <w:t>.</w:t>
      </w:r>
    </w:p>
    <w:p w14:paraId="0D7FD160" w14:textId="2780660F" w:rsidR="001B4A64" w:rsidRPr="00DF18FA" w:rsidRDefault="001B4A64" w:rsidP="00DA4AF5">
      <w:pPr>
        <w:pStyle w:val="Definition"/>
      </w:pPr>
      <w:r w:rsidRPr="00DF18FA">
        <w:rPr>
          <w:b/>
          <w:bCs/>
          <w:i/>
          <w:iCs/>
        </w:rPr>
        <w:t>Bank@Post</w:t>
      </w:r>
      <w:r w:rsidRPr="00DF18FA">
        <w:t xml:space="preserve"> </w:t>
      </w:r>
      <w:r w:rsidR="00001FCE" w:rsidRPr="00DF18FA">
        <w:t xml:space="preserve">means the services provided by </w:t>
      </w:r>
      <w:r w:rsidR="00D37F7B" w:rsidRPr="00DF18FA">
        <w:t xml:space="preserve">Australia Post, on </w:t>
      </w:r>
      <w:r w:rsidR="002F357E" w:rsidRPr="00DF18FA">
        <w:t xml:space="preserve">behalf of and as an agent for, an </w:t>
      </w:r>
      <w:r w:rsidR="00310CBE" w:rsidRPr="00DF18FA">
        <w:t>authorised</w:t>
      </w:r>
      <w:r w:rsidR="002F357E" w:rsidRPr="00DF18FA">
        <w:t xml:space="preserve"> deposit</w:t>
      </w:r>
      <w:r w:rsidR="00EA538A" w:rsidRPr="00DF18FA">
        <w:t>-</w:t>
      </w:r>
      <w:r w:rsidR="002F357E" w:rsidRPr="00DF18FA">
        <w:t xml:space="preserve">taking </w:t>
      </w:r>
      <w:r w:rsidR="00EA538A" w:rsidRPr="00DF18FA">
        <w:t>institution</w:t>
      </w:r>
      <w:r w:rsidR="00ED7DAD" w:rsidRPr="00DF18FA">
        <w:t xml:space="preserve"> in relation to </w:t>
      </w:r>
      <w:r w:rsidR="00834F08" w:rsidRPr="00DF18FA">
        <w:t>the institution</w:t>
      </w:r>
      <w:r w:rsidR="004E5268" w:rsidRPr="00DF18FA">
        <w:t xml:space="preserve"> </w:t>
      </w:r>
      <w:r w:rsidR="004E5268" w:rsidRPr="00DF18FA">
        <w:lastRenderedPageBreak/>
        <w:t>carrying on banking business</w:t>
      </w:r>
      <w:r w:rsidR="00ED7DAD" w:rsidRPr="00DF18FA">
        <w:t xml:space="preserve"> </w:t>
      </w:r>
      <w:r w:rsidR="00834F08" w:rsidRPr="00DF18FA">
        <w:t>in Australia</w:t>
      </w:r>
      <w:r w:rsidR="00A50136" w:rsidRPr="00DF18FA">
        <w:t>,</w:t>
      </w:r>
      <w:r w:rsidRPr="00DF18FA">
        <w:t xml:space="preserve"> at selected offices of Australia Post</w:t>
      </w:r>
      <w:r w:rsidR="004239E8" w:rsidRPr="00DF18FA">
        <w:t>,</w:t>
      </w:r>
      <w:r w:rsidRPr="00DF18FA">
        <w:t xml:space="preserve"> </w:t>
      </w:r>
      <w:r w:rsidR="00755719" w:rsidRPr="00DF18FA">
        <w:t>under an agreement</w:t>
      </w:r>
      <w:r w:rsidRPr="00DF18FA">
        <w:t xml:space="preserve"> between Australia Post and </w:t>
      </w:r>
      <w:r w:rsidR="000478EB" w:rsidRPr="00DF18FA">
        <w:t>the institution.</w:t>
      </w:r>
    </w:p>
    <w:p w14:paraId="5100C28C" w14:textId="42F51BB3" w:rsidR="00810D4C" w:rsidRPr="00DF18FA" w:rsidRDefault="00567501" w:rsidP="00DA4AF5">
      <w:pPr>
        <w:pStyle w:val="Definition"/>
      </w:pPr>
      <w:r w:rsidRPr="00DF18FA">
        <w:rPr>
          <w:b/>
          <w:bCs/>
          <w:i/>
          <w:iCs/>
        </w:rPr>
        <w:t>o</w:t>
      </w:r>
      <w:r w:rsidR="00D556AC" w:rsidRPr="00DF18FA">
        <w:rPr>
          <w:b/>
          <w:bCs/>
          <w:i/>
          <w:iCs/>
        </w:rPr>
        <w:t>ffice</w:t>
      </w:r>
      <w:r w:rsidR="00D556AC" w:rsidRPr="00DF18FA">
        <w:t xml:space="preserve">, in relation to Australia Post, has the same meaning as in the </w:t>
      </w:r>
      <w:r w:rsidR="00D556AC" w:rsidRPr="00DF18FA">
        <w:rPr>
          <w:i/>
          <w:iCs/>
        </w:rPr>
        <w:t>Australian Postal Corporation Act 1989</w:t>
      </w:r>
      <w:r w:rsidR="00922682" w:rsidRPr="00DF18FA">
        <w:t>.</w:t>
      </w:r>
    </w:p>
    <w:p w14:paraId="53EB96DA" w14:textId="2585AB95" w:rsidR="00122010" w:rsidRPr="00DF18FA" w:rsidRDefault="00122010" w:rsidP="00EB57EA">
      <w:pPr>
        <w:pStyle w:val="Definition"/>
      </w:pPr>
      <w:r w:rsidRPr="00DF18FA">
        <w:rPr>
          <w:b/>
          <w:bCs/>
          <w:i/>
          <w:iCs/>
        </w:rPr>
        <w:t>regional area</w:t>
      </w:r>
      <w:r w:rsidRPr="00DF18FA">
        <w:t xml:space="preserve"> means </w:t>
      </w:r>
      <w:r w:rsidR="003436C0" w:rsidRPr="00DF18FA">
        <w:t xml:space="preserve">any part of Australia </w:t>
      </w:r>
      <w:r w:rsidR="00B26B9E" w:rsidRPr="00DF18FA">
        <w:t xml:space="preserve">that is </w:t>
      </w:r>
      <w:r w:rsidR="00E438B7" w:rsidRPr="00DF18FA">
        <w:t xml:space="preserve">located in </w:t>
      </w:r>
      <w:r w:rsidR="00290899" w:rsidRPr="00DF18FA">
        <w:t>the class of</w:t>
      </w:r>
      <w:r w:rsidR="00E438B7" w:rsidRPr="00DF18FA">
        <w:t xml:space="preserve"> </w:t>
      </w:r>
      <w:r w:rsidR="00FA11E4" w:rsidRPr="00DF18FA">
        <w:t>“</w:t>
      </w:r>
      <w:r w:rsidR="00E438B7" w:rsidRPr="00DF18FA">
        <w:t>Remoteness Area</w:t>
      </w:r>
      <w:r w:rsidR="00FA11E4" w:rsidRPr="00DF18FA">
        <w:t>”</w:t>
      </w:r>
      <w:r w:rsidR="00EB57EA" w:rsidRPr="00DF18FA">
        <w:t>,</w:t>
      </w:r>
      <w:r w:rsidR="00E438B7" w:rsidRPr="00DF18FA">
        <w:t xml:space="preserve"> </w:t>
      </w:r>
      <w:r w:rsidR="00EB57EA" w:rsidRPr="00DF18FA">
        <w:t xml:space="preserve">as categorised under the </w:t>
      </w:r>
      <w:r w:rsidR="00290899" w:rsidRPr="00DF18FA">
        <w:t>“</w:t>
      </w:r>
      <w:r w:rsidR="00D504DB" w:rsidRPr="00DF18FA">
        <w:t>Remoteness Structure</w:t>
      </w:r>
      <w:r w:rsidR="00290899" w:rsidRPr="00DF18FA">
        <w:t>”</w:t>
      </w:r>
      <w:r w:rsidR="00B700B8" w:rsidRPr="00DF18FA">
        <w:t xml:space="preserve"> </w:t>
      </w:r>
      <w:r w:rsidR="000D010B" w:rsidRPr="00DF18FA">
        <w:t>(within the meaning of the Australian Statistical Geography Standard)</w:t>
      </w:r>
      <w:r w:rsidR="00EB57EA" w:rsidRPr="00DF18FA">
        <w:t xml:space="preserve">, </w:t>
      </w:r>
      <w:r w:rsidR="00E806F1" w:rsidRPr="00DF18FA">
        <w:t>as “</w:t>
      </w:r>
      <w:r w:rsidR="00485298" w:rsidRPr="00DF18FA">
        <w:t xml:space="preserve">Inner </w:t>
      </w:r>
      <w:r w:rsidR="00F54895" w:rsidRPr="00DF18FA">
        <w:t>R</w:t>
      </w:r>
      <w:r w:rsidR="00485298" w:rsidRPr="00DF18FA">
        <w:t>egional Australia</w:t>
      </w:r>
      <w:r w:rsidR="00FA11E4" w:rsidRPr="00DF18FA">
        <w:t>”</w:t>
      </w:r>
      <w:r w:rsidR="00485298" w:rsidRPr="00DF18FA">
        <w:t xml:space="preserve">, “Outer </w:t>
      </w:r>
      <w:r w:rsidR="00AB1D66" w:rsidRPr="00DF18FA">
        <w:t>R</w:t>
      </w:r>
      <w:r w:rsidR="00485298" w:rsidRPr="00DF18FA">
        <w:t>egional Australia”, “Remote Australia” or “Very Remote Australia”</w:t>
      </w:r>
      <w:r w:rsidR="00F017F1" w:rsidRPr="00DF18FA">
        <w:t>.</w:t>
      </w:r>
    </w:p>
    <w:p w14:paraId="594F08EC" w14:textId="02749232" w:rsidR="00ED6BEA" w:rsidRPr="00DF18FA" w:rsidRDefault="00ED6BEA" w:rsidP="00DA4AF5">
      <w:pPr>
        <w:pStyle w:val="Definition"/>
      </w:pPr>
      <w:r w:rsidRPr="00DF18FA">
        <w:rPr>
          <w:b/>
          <w:bCs/>
          <w:i/>
          <w:iCs/>
        </w:rPr>
        <w:t>regional bank branch</w:t>
      </w:r>
      <w:r w:rsidRPr="00DF18FA">
        <w:t xml:space="preserve"> means an office in a regional area in which an authorised deposit-taking institution carries on a part of its banking business</w:t>
      </w:r>
      <w:r w:rsidR="001A3A39" w:rsidRPr="00DF18FA">
        <w:t xml:space="preserve"> </w:t>
      </w:r>
      <w:r w:rsidR="00A8584E" w:rsidRPr="00DF18FA">
        <w:t xml:space="preserve">by way of </w:t>
      </w:r>
      <w:r w:rsidR="00E575F9" w:rsidRPr="00DF18FA">
        <w:t xml:space="preserve">the </w:t>
      </w:r>
      <w:r w:rsidR="0014282B" w:rsidRPr="00DF18FA">
        <w:t xml:space="preserve">provision of </w:t>
      </w:r>
      <w:r w:rsidR="00A8584E" w:rsidRPr="00DF18FA">
        <w:t>face</w:t>
      </w:r>
      <w:r w:rsidR="00A8584E" w:rsidRPr="00DF18FA">
        <w:noBreakHyphen/>
        <w:t xml:space="preserve">to-face </w:t>
      </w:r>
      <w:r w:rsidR="0014282B" w:rsidRPr="00DF18FA">
        <w:t xml:space="preserve">and other services to </w:t>
      </w:r>
      <w:r w:rsidR="00D46C14" w:rsidRPr="00DF18FA">
        <w:t xml:space="preserve">retail </w:t>
      </w:r>
      <w:r w:rsidR="0014282B" w:rsidRPr="00DF18FA">
        <w:t xml:space="preserve">customers or potential </w:t>
      </w:r>
      <w:r w:rsidR="00D46C14" w:rsidRPr="00DF18FA">
        <w:t xml:space="preserve">retail </w:t>
      </w:r>
      <w:r w:rsidR="0014282B" w:rsidRPr="00DF18FA">
        <w:t>customers.</w:t>
      </w:r>
    </w:p>
    <w:p w14:paraId="35D59286" w14:textId="372D20C5" w:rsidR="00922682" w:rsidRPr="00DF18FA" w:rsidRDefault="00EF0AEE" w:rsidP="00DA4AF5">
      <w:pPr>
        <w:pStyle w:val="Definition"/>
      </w:pPr>
      <w:r w:rsidRPr="00DF18FA">
        <w:rPr>
          <w:b/>
          <w:bCs/>
          <w:i/>
          <w:iCs/>
        </w:rPr>
        <w:t>r</w:t>
      </w:r>
      <w:r w:rsidR="00092D1F" w:rsidRPr="00DF18FA">
        <w:rPr>
          <w:b/>
          <w:bCs/>
          <w:i/>
          <w:iCs/>
        </w:rPr>
        <w:t>elated body corporate</w:t>
      </w:r>
      <w:r w:rsidR="00092D1F" w:rsidRPr="00DF18FA">
        <w:t xml:space="preserve"> has the </w:t>
      </w:r>
      <w:r w:rsidR="004148C5" w:rsidRPr="00DF18FA">
        <w:t xml:space="preserve">meaning </w:t>
      </w:r>
      <w:r w:rsidR="0043434F" w:rsidRPr="00DF18FA">
        <w:t>it has</w:t>
      </w:r>
      <w:r w:rsidR="004148C5" w:rsidRPr="00DF18FA">
        <w:t xml:space="preserve"> in </w:t>
      </w:r>
      <w:r w:rsidR="000B4178" w:rsidRPr="00DF18FA">
        <w:t>section 50C of the</w:t>
      </w:r>
      <w:r w:rsidR="00BC3EC4" w:rsidRPr="00DF18FA">
        <w:t xml:space="preserve"> </w:t>
      </w:r>
      <w:r w:rsidR="00BC3EC4" w:rsidRPr="00DF18FA">
        <w:rPr>
          <w:i/>
          <w:iCs/>
        </w:rPr>
        <w:t>Corporations Act 2001</w:t>
      </w:r>
      <w:r w:rsidR="00235339" w:rsidRPr="00DF18FA">
        <w:t>.</w:t>
      </w:r>
    </w:p>
    <w:p w14:paraId="3D8AE006" w14:textId="3D47CA73" w:rsidR="00092D1F" w:rsidRPr="00DF18FA" w:rsidRDefault="00922682" w:rsidP="00DA4AF5">
      <w:pPr>
        <w:pStyle w:val="Definition"/>
      </w:pPr>
      <w:r w:rsidRPr="00DF18FA">
        <w:rPr>
          <w:b/>
          <w:bCs/>
          <w:i/>
          <w:iCs/>
        </w:rPr>
        <w:t>the Act</w:t>
      </w:r>
      <w:r w:rsidRPr="00DF18FA">
        <w:t xml:space="preserve"> means the </w:t>
      </w:r>
      <w:r w:rsidRPr="00DF18FA">
        <w:rPr>
          <w:i/>
          <w:iCs/>
        </w:rPr>
        <w:t>Financial Sector (Shareholdings</w:t>
      </w:r>
      <w:r w:rsidR="00235339" w:rsidRPr="00DF18FA">
        <w:rPr>
          <w:i/>
          <w:iCs/>
        </w:rPr>
        <w:t>)</w:t>
      </w:r>
      <w:r w:rsidRPr="00DF18FA">
        <w:rPr>
          <w:i/>
          <w:iCs/>
        </w:rPr>
        <w:t xml:space="preserve"> Act 1998</w:t>
      </w:r>
      <w:r w:rsidRPr="00DF18FA">
        <w:t>.</w:t>
      </w:r>
    </w:p>
    <w:p w14:paraId="4D0CF92D" w14:textId="3E7B25E9" w:rsidR="00746A60" w:rsidRPr="00DF18FA" w:rsidRDefault="00746A60" w:rsidP="00DA4AF5">
      <w:pPr>
        <w:pStyle w:val="Definition"/>
      </w:pPr>
      <w:r w:rsidRPr="00DF18FA">
        <w:rPr>
          <w:b/>
          <w:bCs/>
          <w:i/>
          <w:iCs/>
        </w:rPr>
        <w:t>Treasury</w:t>
      </w:r>
      <w:r w:rsidRPr="00DF18FA">
        <w:t xml:space="preserve"> means the Department of the Treasury.</w:t>
      </w:r>
    </w:p>
    <w:p w14:paraId="7F362B68" w14:textId="233EB125" w:rsidR="00A019DF" w:rsidRPr="00DF18FA" w:rsidRDefault="00867551" w:rsidP="00867551">
      <w:pPr>
        <w:pStyle w:val="ActHead2"/>
        <w:pageBreakBefore/>
        <w:rPr>
          <w:lang w:eastAsia="en-US"/>
        </w:rPr>
      </w:pPr>
      <w:bookmarkStart w:id="21" w:name="_Toc167559634"/>
      <w:r w:rsidRPr="00DF18FA">
        <w:rPr>
          <w:rStyle w:val="CharPartNo"/>
        </w:rPr>
        <w:lastRenderedPageBreak/>
        <w:t>Part</w:t>
      </w:r>
      <w:r w:rsidR="00B36D59" w:rsidRPr="00DF18FA">
        <w:rPr>
          <w:rStyle w:val="CharPartNo"/>
        </w:rPr>
        <w:t> </w:t>
      </w:r>
      <w:r w:rsidRPr="00DF18FA">
        <w:rPr>
          <w:rStyle w:val="CharPartNo"/>
        </w:rPr>
        <w:t>2</w:t>
      </w:r>
      <w:r w:rsidRPr="00DF18FA">
        <w:t>—</w:t>
      </w:r>
      <w:r w:rsidRPr="00DF18FA">
        <w:rPr>
          <w:rStyle w:val="CharPartText"/>
        </w:rPr>
        <w:t>Approvals to exceed 20% shareholding limit</w:t>
      </w:r>
      <w:bookmarkEnd w:id="21"/>
    </w:p>
    <w:p w14:paraId="57404943" w14:textId="4D83B663" w:rsidR="008845EE" w:rsidRPr="00DF18FA" w:rsidRDefault="00867551" w:rsidP="003B273D">
      <w:pPr>
        <w:pStyle w:val="ActHead5"/>
      </w:pPr>
      <w:bookmarkStart w:id="22" w:name="_Toc167559635"/>
      <w:r w:rsidRPr="00DF18FA">
        <w:rPr>
          <w:rStyle w:val="CharSectno"/>
        </w:rPr>
        <w:t>5</w:t>
      </w:r>
      <w:r w:rsidRPr="00DF18FA">
        <w:t xml:space="preserve">  Approval of application</w:t>
      </w:r>
      <w:bookmarkEnd w:id="22"/>
    </w:p>
    <w:p w14:paraId="2077C3F1" w14:textId="71816CB3" w:rsidR="00013860" w:rsidRPr="00DF18FA" w:rsidRDefault="00DE1D57" w:rsidP="00DE1D57">
      <w:pPr>
        <w:pStyle w:val="subsection"/>
      </w:pPr>
      <w:r w:rsidRPr="00DF18FA">
        <w:tab/>
        <w:t>(1)</w:t>
      </w:r>
      <w:r w:rsidRPr="00DF18FA">
        <w:tab/>
      </w:r>
      <w:r w:rsidR="00013860" w:rsidRPr="00DF18FA">
        <w:t xml:space="preserve">Under paragraph 14(1)(a) of the </w:t>
      </w:r>
      <w:r w:rsidR="00FF59BA" w:rsidRPr="00DF18FA">
        <w:t>A</w:t>
      </w:r>
      <w:r w:rsidR="00013860" w:rsidRPr="00DF18FA">
        <w:t>ct, each applicant covered by subsection (2) is granted approval:</w:t>
      </w:r>
    </w:p>
    <w:p w14:paraId="334B4AA5" w14:textId="345CBF6D" w:rsidR="00013860" w:rsidRPr="00DF18FA" w:rsidRDefault="00DE1D57" w:rsidP="00DE1D57">
      <w:pPr>
        <w:pStyle w:val="paragraph"/>
      </w:pPr>
      <w:r w:rsidRPr="00DF18FA">
        <w:tab/>
        <w:t>(a)</w:t>
      </w:r>
      <w:r w:rsidRPr="00DF18FA">
        <w:tab/>
      </w:r>
      <w:r w:rsidR="00064B32" w:rsidRPr="00DF18FA">
        <w:t>to hold more than a 20% stake in a financial sector company covered by subsection (3); and</w:t>
      </w:r>
    </w:p>
    <w:p w14:paraId="72B71C5A" w14:textId="33C66E2D" w:rsidR="00064B32" w:rsidRPr="00DF18FA" w:rsidRDefault="00DE1D57" w:rsidP="00DE1D57">
      <w:pPr>
        <w:pStyle w:val="paragraph"/>
      </w:pPr>
      <w:r w:rsidRPr="00DF18FA">
        <w:tab/>
        <w:t>(b)</w:t>
      </w:r>
      <w:r w:rsidRPr="00DF18FA">
        <w:tab/>
      </w:r>
      <w:r w:rsidR="00056C25" w:rsidRPr="00DF18FA">
        <w:t xml:space="preserve">to hold no more </w:t>
      </w:r>
      <w:r w:rsidR="00947E19" w:rsidRPr="00DF18FA">
        <w:t>of the stake specified in the financial sector</w:t>
      </w:r>
      <w:r w:rsidR="00315927" w:rsidRPr="00DF18FA">
        <w:t xml:space="preserve"> company as is specified in subsection (3).</w:t>
      </w:r>
    </w:p>
    <w:p w14:paraId="4504630A" w14:textId="4A36F709" w:rsidR="0078328D" w:rsidRPr="00DF18FA" w:rsidRDefault="00DE1D57" w:rsidP="00DE1D57">
      <w:pPr>
        <w:pStyle w:val="subsection"/>
      </w:pPr>
      <w:r w:rsidRPr="00DF18FA">
        <w:tab/>
        <w:t>(2)</w:t>
      </w:r>
      <w:r w:rsidRPr="00DF18FA">
        <w:tab/>
      </w:r>
      <w:r w:rsidR="00315927" w:rsidRPr="00DF18FA">
        <w:t xml:space="preserve">For the purposes of subsection (1), an applicant is covered by this subsection if the </w:t>
      </w:r>
      <w:r w:rsidR="001D2C26" w:rsidRPr="00DF18FA">
        <w:t>applicant</w:t>
      </w:r>
      <w:r w:rsidR="00315927" w:rsidRPr="00DF18FA">
        <w:t xml:space="preserve"> is li</w:t>
      </w:r>
      <w:r w:rsidR="004041A7" w:rsidRPr="00DF18FA">
        <w:t>sted in an item of the following table:</w:t>
      </w:r>
    </w:p>
    <w:p w14:paraId="7C046709" w14:textId="77777777" w:rsidR="00DA6042" w:rsidRPr="00DF18FA" w:rsidRDefault="00DA6042" w:rsidP="00DE1D57">
      <w:pPr>
        <w:pStyle w:val="Tabletext"/>
      </w:pPr>
    </w:p>
    <w:tbl>
      <w:tblPr>
        <w:tblW w:w="6555" w:type="dxa"/>
        <w:tblInd w:w="1332" w:type="dxa"/>
        <w:tblBorders>
          <w:top w:val="single" w:sz="4" w:space="0" w:color="auto"/>
          <w:bottom w:val="single" w:sz="2" w:space="0" w:color="auto"/>
          <w:insideH w:val="single" w:sz="2" w:space="0" w:color="auto"/>
        </w:tblBorders>
        <w:shd w:val="clear" w:color="auto" w:fill="FFFFFF"/>
        <w:tblCellMar>
          <w:left w:w="0" w:type="dxa"/>
          <w:right w:w="0" w:type="dxa"/>
        </w:tblCellMar>
        <w:tblLook w:val="04A0" w:firstRow="1" w:lastRow="0" w:firstColumn="1" w:lastColumn="0" w:noHBand="0" w:noVBand="1"/>
      </w:tblPr>
      <w:tblGrid>
        <w:gridCol w:w="714"/>
        <w:gridCol w:w="3802"/>
        <w:gridCol w:w="2039"/>
      </w:tblGrid>
      <w:tr w:rsidR="004926D1" w:rsidRPr="00DF18FA" w14:paraId="45944D4A" w14:textId="77777777">
        <w:trPr>
          <w:tblHeader/>
        </w:trPr>
        <w:tc>
          <w:tcPr>
            <w:tcW w:w="714" w:type="dxa"/>
            <w:tcBorders>
              <w:top w:val="single" w:sz="12" w:space="0" w:color="auto"/>
              <w:bottom w:val="single" w:sz="12" w:space="0" w:color="auto"/>
            </w:tcBorders>
            <w:shd w:val="clear" w:color="auto" w:fill="FFFFFF"/>
            <w:tcMar>
              <w:top w:w="0" w:type="dxa"/>
              <w:left w:w="108" w:type="dxa"/>
              <w:bottom w:w="0" w:type="dxa"/>
              <w:right w:w="108" w:type="dxa"/>
            </w:tcMar>
            <w:hideMark/>
          </w:tcPr>
          <w:p w14:paraId="0EDE85FD" w14:textId="77777777" w:rsidR="004926D1" w:rsidRPr="00DF18FA" w:rsidRDefault="004926D1">
            <w:pPr>
              <w:pStyle w:val="TableHeading"/>
            </w:pPr>
            <w:r w:rsidRPr="00DF18FA">
              <w:t>Item</w:t>
            </w:r>
          </w:p>
        </w:tc>
        <w:tc>
          <w:tcPr>
            <w:tcW w:w="3802" w:type="dxa"/>
            <w:tcBorders>
              <w:top w:val="single" w:sz="12" w:space="0" w:color="auto"/>
              <w:bottom w:val="single" w:sz="12" w:space="0" w:color="auto"/>
            </w:tcBorders>
            <w:shd w:val="clear" w:color="auto" w:fill="FFFFFF"/>
            <w:tcMar>
              <w:top w:w="0" w:type="dxa"/>
              <w:left w:w="108" w:type="dxa"/>
              <w:bottom w:w="0" w:type="dxa"/>
              <w:right w:w="108" w:type="dxa"/>
            </w:tcMar>
            <w:hideMark/>
          </w:tcPr>
          <w:p w14:paraId="09C6EA7E" w14:textId="77777777" w:rsidR="004926D1" w:rsidRPr="00DF18FA" w:rsidRDefault="004926D1">
            <w:pPr>
              <w:pStyle w:val="TableHeading"/>
            </w:pPr>
            <w:r w:rsidRPr="00DF18FA">
              <w:t>Name of applicant</w:t>
            </w:r>
          </w:p>
        </w:tc>
        <w:tc>
          <w:tcPr>
            <w:tcW w:w="2039" w:type="dxa"/>
            <w:tcBorders>
              <w:top w:val="single" w:sz="12" w:space="0" w:color="auto"/>
              <w:bottom w:val="single" w:sz="12" w:space="0" w:color="auto"/>
            </w:tcBorders>
            <w:shd w:val="clear" w:color="auto" w:fill="FFFFFF"/>
            <w:tcMar>
              <w:top w:w="0" w:type="dxa"/>
              <w:left w:w="108" w:type="dxa"/>
              <w:bottom w:w="0" w:type="dxa"/>
              <w:right w:w="108" w:type="dxa"/>
            </w:tcMar>
            <w:hideMark/>
          </w:tcPr>
          <w:p w14:paraId="2F1EA45D" w14:textId="77777777" w:rsidR="004926D1" w:rsidRPr="00DF18FA" w:rsidRDefault="004926D1">
            <w:pPr>
              <w:pStyle w:val="TableHeading"/>
            </w:pPr>
            <w:r w:rsidRPr="00DF18FA">
              <w:t>ABN of applicant (if any)</w:t>
            </w:r>
          </w:p>
        </w:tc>
      </w:tr>
      <w:tr w:rsidR="004926D1" w:rsidRPr="00DF18FA" w14:paraId="4AC50CE6" w14:textId="77777777">
        <w:tc>
          <w:tcPr>
            <w:tcW w:w="714" w:type="dxa"/>
            <w:tcBorders>
              <w:bottom w:val="single" w:sz="2" w:space="0" w:color="auto"/>
            </w:tcBorders>
            <w:shd w:val="clear" w:color="auto" w:fill="FFFFFF"/>
            <w:tcMar>
              <w:top w:w="0" w:type="dxa"/>
              <w:left w:w="108" w:type="dxa"/>
              <w:bottom w:w="0" w:type="dxa"/>
              <w:right w:w="108" w:type="dxa"/>
            </w:tcMar>
            <w:vAlign w:val="bottom"/>
          </w:tcPr>
          <w:p w14:paraId="4D4AB2F0" w14:textId="2ABBA2A6" w:rsidR="004926D1" w:rsidRPr="00DF18FA" w:rsidRDefault="001016C7" w:rsidP="00DE1D57">
            <w:pPr>
              <w:pStyle w:val="Tabletext"/>
            </w:pPr>
            <w:r w:rsidRPr="00DF18FA">
              <w:t>1</w:t>
            </w:r>
          </w:p>
        </w:tc>
        <w:tc>
          <w:tcPr>
            <w:tcW w:w="3802" w:type="dxa"/>
            <w:tcBorders>
              <w:bottom w:val="single" w:sz="2" w:space="0" w:color="auto"/>
            </w:tcBorders>
            <w:shd w:val="clear" w:color="auto" w:fill="FFFFFF"/>
            <w:tcMar>
              <w:top w:w="0" w:type="dxa"/>
              <w:left w:w="108" w:type="dxa"/>
              <w:bottom w:w="0" w:type="dxa"/>
              <w:right w:w="108" w:type="dxa"/>
            </w:tcMar>
            <w:vAlign w:val="center"/>
          </w:tcPr>
          <w:p w14:paraId="45BF752F" w14:textId="3F5BF09A" w:rsidR="004926D1" w:rsidRPr="00DF18FA" w:rsidRDefault="00EE4803" w:rsidP="00DE1D57">
            <w:pPr>
              <w:pStyle w:val="Tabletext"/>
            </w:pPr>
            <w:r w:rsidRPr="00DF18FA">
              <w:t>ANZ BH Pty Ltd</w:t>
            </w:r>
          </w:p>
        </w:tc>
        <w:tc>
          <w:tcPr>
            <w:tcW w:w="2039" w:type="dxa"/>
            <w:tcBorders>
              <w:bottom w:val="single" w:sz="2" w:space="0" w:color="auto"/>
            </w:tcBorders>
            <w:shd w:val="clear" w:color="auto" w:fill="FFFFFF"/>
            <w:tcMar>
              <w:top w:w="0" w:type="dxa"/>
              <w:left w:w="108" w:type="dxa"/>
              <w:bottom w:w="0" w:type="dxa"/>
              <w:right w:w="108" w:type="dxa"/>
            </w:tcMar>
          </w:tcPr>
          <w:p w14:paraId="5CFF574D" w14:textId="756BED88" w:rsidR="004926D1" w:rsidRPr="00DF18FA" w:rsidRDefault="00E265AA" w:rsidP="00DE1D57">
            <w:pPr>
              <w:pStyle w:val="Tabletext"/>
            </w:pPr>
            <w:r w:rsidRPr="00DF18FA">
              <w:t>45 658 939 952</w:t>
            </w:r>
          </w:p>
        </w:tc>
      </w:tr>
      <w:tr w:rsidR="004926D1" w:rsidRPr="00DF18FA" w14:paraId="0DCC2FE3" w14:textId="77777777" w:rsidTr="001016C7">
        <w:tc>
          <w:tcPr>
            <w:tcW w:w="714" w:type="dxa"/>
            <w:tcBorders>
              <w:top w:val="single" w:sz="2" w:space="0" w:color="auto"/>
              <w:bottom w:val="single" w:sz="2" w:space="0" w:color="auto"/>
            </w:tcBorders>
            <w:shd w:val="clear" w:color="auto" w:fill="FFFFFF"/>
            <w:tcMar>
              <w:top w:w="0" w:type="dxa"/>
              <w:left w:w="108" w:type="dxa"/>
              <w:bottom w:w="0" w:type="dxa"/>
              <w:right w:w="108" w:type="dxa"/>
            </w:tcMar>
            <w:vAlign w:val="bottom"/>
            <w:hideMark/>
          </w:tcPr>
          <w:p w14:paraId="048CAAED" w14:textId="1EA9BB80" w:rsidR="004926D1" w:rsidRPr="00DF18FA" w:rsidRDefault="001016C7" w:rsidP="00DE1D57">
            <w:pPr>
              <w:pStyle w:val="Tabletext"/>
            </w:pPr>
            <w:r w:rsidRPr="00DF18FA">
              <w:t>2</w:t>
            </w:r>
          </w:p>
        </w:tc>
        <w:tc>
          <w:tcPr>
            <w:tcW w:w="3802" w:type="dxa"/>
            <w:tcBorders>
              <w:top w:val="single" w:sz="2" w:space="0" w:color="auto"/>
              <w:bottom w:val="single" w:sz="2" w:space="0" w:color="auto"/>
            </w:tcBorders>
            <w:shd w:val="clear" w:color="auto" w:fill="FFFFFF"/>
            <w:tcMar>
              <w:top w:w="0" w:type="dxa"/>
              <w:left w:w="108" w:type="dxa"/>
              <w:bottom w:w="0" w:type="dxa"/>
              <w:right w:w="108" w:type="dxa"/>
            </w:tcMar>
            <w:vAlign w:val="center"/>
            <w:hideMark/>
          </w:tcPr>
          <w:p w14:paraId="2385F1A2" w14:textId="28A6016F" w:rsidR="004926D1" w:rsidRPr="00DF18FA" w:rsidRDefault="00EE4803" w:rsidP="00DE1D57">
            <w:pPr>
              <w:pStyle w:val="Tabletext"/>
            </w:pPr>
            <w:r w:rsidRPr="00DF18FA">
              <w:t>ANZ Group Holdings Limited</w:t>
            </w:r>
          </w:p>
        </w:tc>
        <w:tc>
          <w:tcPr>
            <w:tcW w:w="2039" w:type="dxa"/>
            <w:tcBorders>
              <w:top w:val="single" w:sz="2" w:space="0" w:color="auto"/>
              <w:bottom w:val="single" w:sz="2" w:space="0" w:color="auto"/>
            </w:tcBorders>
            <w:shd w:val="clear" w:color="auto" w:fill="FFFFFF"/>
            <w:tcMar>
              <w:top w:w="0" w:type="dxa"/>
              <w:left w:w="108" w:type="dxa"/>
              <w:bottom w:w="0" w:type="dxa"/>
              <w:right w:w="108" w:type="dxa"/>
            </w:tcMar>
            <w:hideMark/>
          </w:tcPr>
          <w:p w14:paraId="64939BC8" w14:textId="1CC51BE5" w:rsidR="004926D1" w:rsidRPr="00DF18FA" w:rsidRDefault="00961C60" w:rsidP="00DE1D57">
            <w:pPr>
              <w:pStyle w:val="Tabletext"/>
            </w:pPr>
            <w:r w:rsidRPr="00DF18FA">
              <w:t>16 659 510 791</w:t>
            </w:r>
          </w:p>
        </w:tc>
      </w:tr>
      <w:tr w:rsidR="001016C7" w:rsidRPr="00DF18FA" w14:paraId="097A58E2" w14:textId="77777777">
        <w:tc>
          <w:tcPr>
            <w:tcW w:w="714" w:type="dxa"/>
            <w:tcBorders>
              <w:top w:val="single" w:sz="2" w:space="0" w:color="auto"/>
              <w:bottom w:val="single" w:sz="12" w:space="0" w:color="auto"/>
            </w:tcBorders>
            <w:shd w:val="clear" w:color="auto" w:fill="FFFFFF"/>
            <w:tcMar>
              <w:top w:w="0" w:type="dxa"/>
              <w:left w:w="108" w:type="dxa"/>
              <w:bottom w:w="0" w:type="dxa"/>
              <w:right w:w="108" w:type="dxa"/>
            </w:tcMar>
            <w:vAlign w:val="bottom"/>
          </w:tcPr>
          <w:p w14:paraId="0FCBE593" w14:textId="3291A711" w:rsidR="001016C7" w:rsidRPr="00DF18FA" w:rsidRDefault="001016C7" w:rsidP="00DE1D57">
            <w:pPr>
              <w:pStyle w:val="Tabletext"/>
            </w:pPr>
            <w:r w:rsidRPr="00DF18FA">
              <w:t>3</w:t>
            </w:r>
          </w:p>
        </w:tc>
        <w:tc>
          <w:tcPr>
            <w:tcW w:w="3802" w:type="dxa"/>
            <w:tcBorders>
              <w:top w:val="single" w:sz="2" w:space="0" w:color="auto"/>
              <w:bottom w:val="single" w:sz="12" w:space="0" w:color="auto"/>
            </w:tcBorders>
            <w:shd w:val="clear" w:color="auto" w:fill="FFFFFF"/>
            <w:tcMar>
              <w:top w:w="0" w:type="dxa"/>
              <w:left w:w="108" w:type="dxa"/>
              <w:bottom w:w="0" w:type="dxa"/>
              <w:right w:w="108" w:type="dxa"/>
            </w:tcMar>
            <w:vAlign w:val="center"/>
          </w:tcPr>
          <w:p w14:paraId="1C32EC55" w14:textId="3DF17D18" w:rsidR="001016C7" w:rsidRPr="00DF18FA" w:rsidRDefault="001016C7" w:rsidP="00DE1D57">
            <w:pPr>
              <w:pStyle w:val="Tabletext"/>
            </w:pPr>
            <w:r w:rsidRPr="00DF18FA">
              <w:t>Australia and New Zealand Banking Group Limited</w:t>
            </w:r>
          </w:p>
        </w:tc>
        <w:tc>
          <w:tcPr>
            <w:tcW w:w="2039" w:type="dxa"/>
            <w:tcBorders>
              <w:top w:val="single" w:sz="2" w:space="0" w:color="auto"/>
              <w:bottom w:val="single" w:sz="12" w:space="0" w:color="auto"/>
            </w:tcBorders>
            <w:shd w:val="clear" w:color="auto" w:fill="FFFFFF"/>
            <w:tcMar>
              <w:top w:w="0" w:type="dxa"/>
              <w:left w:w="108" w:type="dxa"/>
              <w:bottom w:w="0" w:type="dxa"/>
              <w:right w:w="108" w:type="dxa"/>
            </w:tcMar>
          </w:tcPr>
          <w:p w14:paraId="68A127A2" w14:textId="60B04042" w:rsidR="001016C7" w:rsidRPr="00DF18FA" w:rsidRDefault="00E265AA" w:rsidP="00DE1D57">
            <w:pPr>
              <w:pStyle w:val="Tabletext"/>
            </w:pPr>
            <w:r w:rsidRPr="00DF18FA">
              <w:t>11 005 357 522</w:t>
            </w:r>
          </w:p>
        </w:tc>
      </w:tr>
    </w:tbl>
    <w:p w14:paraId="1188D816" w14:textId="77777777" w:rsidR="00DE1D57" w:rsidRPr="00DF18FA" w:rsidRDefault="00DE1D57" w:rsidP="00DE1D57">
      <w:pPr>
        <w:pStyle w:val="Tabletext"/>
      </w:pPr>
    </w:p>
    <w:p w14:paraId="50D62B5C" w14:textId="6F2A82F2" w:rsidR="00DE0072" w:rsidRPr="00DF18FA" w:rsidRDefault="00DE1D57" w:rsidP="00DE1D57">
      <w:pPr>
        <w:pStyle w:val="subsection"/>
        <w:rPr>
          <w:shd w:val="clear" w:color="auto" w:fill="FFFFFF"/>
        </w:rPr>
      </w:pPr>
      <w:r w:rsidRPr="00DF18FA">
        <w:rPr>
          <w:shd w:val="clear" w:color="auto" w:fill="FFFFFF"/>
        </w:rPr>
        <w:tab/>
        <w:t>(3)</w:t>
      </w:r>
      <w:r w:rsidRPr="00DF18FA">
        <w:rPr>
          <w:shd w:val="clear" w:color="auto" w:fill="FFFFFF"/>
        </w:rPr>
        <w:tab/>
      </w:r>
      <w:r w:rsidR="00DE0072" w:rsidRPr="00DF18FA">
        <w:rPr>
          <w:shd w:val="clear" w:color="auto" w:fill="FFFFFF"/>
        </w:rPr>
        <w:t>For the purposes of subsection (1), a financial sector company is covered by this subsection if the company is listed in an item of the following table:</w:t>
      </w:r>
    </w:p>
    <w:p w14:paraId="2BD2C8C9" w14:textId="77777777" w:rsidR="006D5A53" w:rsidRPr="00DF18FA" w:rsidRDefault="006D5A53" w:rsidP="00DE1D57">
      <w:pPr>
        <w:pStyle w:val="Tabletext"/>
      </w:pPr>
    </w:p>
    <w:tbl>
      <w:tblPr>
        <w:tblW w:w="8310" w:type="dxa"/>
        <w:tblInd w:w="113" w:type="dxa"/>
        <w:shd w:val="clear" w:color="auto" w:fill="FFFFFF"/>
        <w:tblCellMar>
          <w:left w:w="0" w:type="dxa"/>
          <w:right w:w="0" w:type="dxa"/>
        </w:tblCellMar>
        <w:tblLook w:val="04A0" w:firstRow="1" w:lastRow="0" w:firstColumn="1" w:lastColumn="0" w:noHBand="0" w:noVBand="1"/>
      </w:tblPr>
      <w:tblGrid>
        <w:gridCol w:w="714"/>
        <w:gridCol w:w="3849"/>
        <w:gridCol w:w="1985"/>
        <w:gridCol w:w="1762"/>
      </w:tblGrid>
      <w:tr w:rsidR="006D5A53" w:rsidRPr="00DF18FA" w14:paraId="38216BD3" w14:textId="77777777">
        <w:trPr>
          <w:tblHeader/>
        </w:trPr>
        <w:tc>
          <w:tcPr>
            <w:tcW w:w="714" w:type="dxa"/>
            <w:tcBorders>
              <w:top w:val="single" w:sz="12" w:space="0" w:color="auto"/>
              <w:left w:val="nil"/>
              <w:bottom w:val="single" w:sz="12" w:space="0" w:color="auto"/>
              <w:right w:val="nil"/>
            </w:tcBorders>
            <w:shd w:val="clear" w:color="auto" w:fill="FFFFFF"/>
            <w:tcMar>
              <w:top w:w="0" w:type="dxa"/>
              <w:left w:w="108" w:type="dxa"/>
              <w:bottom w:w="0" w:type="dxa"/>
              <w:right w:w="108" w:type="dxa"/>
            </w:tcMar>
            <w:hideMark/>
          </w:tcPr>
          <w:p w14:paraId="0F9CEC19" w14:textId="77777777" w:rsidR="006D5A53" w:rsidRPr="00DF18FA" w:rsidRDefault="006D5A53">
            <w:pPr>
              <w:pStyle w:val="TableHeading"/>
            </w:pPr>
            <w:r w:rsidRPr="00DF18FA">
              <w:t>Item</w:t>
            </w:r>
          </w:p>
        </w:tc>
        <w:tc>
          <w:tcPr>
            <w:tcW w:w="3849" w:type="dxa"/>
            <w:tcBorders>
              <w:top w:val="single" w:sz="12" w:space="0" w:color="auto"/>
              <w:left w:val="nil"/>
              <w:bottom w:val="single" w:sz="12" w:space="0" w:color="auto"/>
              <w:right w:val="nil"/>
            </w:tcBorders>
            <w:shd w:val="clear" w:color="auto" w:fill="FFFFFF"/>
            <w:tcMar>
              <w:top w:w="0" w:type="dxa"/>
              <w:left w:w="108" w:type="dxa"/>
              <w:bottom w:w="0" w:type="dxa"/>
              <w:right w:w="108" w:type="dxa"/>
            </w:tcMar>
            <w:hideMark/>
          </w:tcPr>
          <w:p w14:paraId="121A3A2D" w14:textId="77777777" w:rsidR="006D5A53" w:rsidRPr="00DF18FA" w:rsidRDefault="006D5A53">
            <w:pPr>
              <w:pStyle w:val="TableHeading"/>
            </w:pPr>
            <w:r w:rsidRPr="00DF18FA">
              <w:t>Financial sector company</w:t>
            </w:r>
          </w:p>
        </w:tc>
        <w:tc>
          <w:tcPr>
            <w:tcW w:w="1985" w:type="dxa"/>
            <w:tcBorders>
              <w:top w:val="single" w:sz="12" w:space="0" w:color="auto"/>
              <w:left w:val="nil"/>
              <w:bottom w:val="single" w:sz="12" w:space="0" w:color="auto"/>
              <w:right w:val="nil"/>
            </w:tcBorders>
            <w:shd w:val="clear" w:color="auto" w:fill="FFFFFF"/>
            <w:tcMar>
              <w:top w:w="0" w:type="dxa"/>
              <w:left w:w="108" w:type="dxa"/>
              <w:bottom w:w="0" w:type="dxa"/>
              <w:right w:w="108" w:type="dxa"/>
            </w:tcMar>
            <w:hideMark/>
          </w:tcPr>
          <w:p w14:paraId="13368194" w14:textId="77777777" w:rsidR="006D5A53" w:rsidRPr="00DF18FA" w:rsidRDefault="006D5A53">
            <w:pPr>
              <w:pStyle w:val="TableHeading"/>
            </w:pPr>
            <w:r w:rsidRPr="00DF18FA">
              <w:t>ABN of financial sector company (if any)</w:t>
            </w:r>
          </w:p>
        </w:tc>
        <w:tc>
          <w:tcPr>
            <w:tcW w:w="1762" w:type="dxa"/>
            <w:tcBorders>
              <w:top w:val="single" w:sz="12" w:space="0" w:color="auto"/>
              <w:left w:val="nil"/>
              <w:bottom w:val="single" w:sz="12" w:space="0" w:color="auto"/>
              <w:right w:val="nil"/>
            </w:tcBorders>
            <w:shd w:val="clear" w:color="auto" w:fill="FFFFFF"/>
            <w:tcMar>
              <w:top w:w="0" w:type="dxa"/>
              <w:left w:w="108" w:type="dxa"/>
              <w:bottom w:w="0" w:type="dxa"/>
              <w:right w:w="108" w:type="dxa"/>
            </w:tcMar>
            <w:hideMark/>
          </w:tcPr>
          <w:p w14:paraId="2D15CB35" w14:textId="77777777" w:rsidR="006D5A53" w:rsidRPr="00DF18FA" w:rsidRDefault="006D5A53">
            <w:pPr>
              <w:pStyle w:val="TableHeading"/>
            </w:pPr>
            <w:r w:rsidRPr="00DF18FA">
              <w:t>Approved holding in the financial sector company</w:t>
            </w:r>
          </w:p>
        </w:tc>
      </w:tr>
      <w:tr w:rsidR="006D5A53" w:rsidRPr="00DF18FA" w14:paraId="055902B9" w14:textId="77777777">
        <w:tc>
          <w:tcPr>
            <w:tcW w:w="714" w:type="dxa"/>
            <w:tcBorders>
              <w:top w:val="nil"/>
              <w:left w:val="nil"/>
              <w:bottom w:val="single" w:sz="8" w:space="0" w:color="auto"/>
              <w:right w:val="nil"/>
            </w:tcBorders>
            <w:shd w:val="clear" w:color="auto" w:fill="FFFFFF"/>
            <w:tcMar>
              <w:top w:w="0" w:type="dxa"/>
              <w:left w:w="108" w:type="dxa"/>
              <w:bottom w:w="0" w:type="dxa"/>
              <w:right w:w="108" w:type="dxa"/>
            </w:tcMar>
            <w:hideMark/>
          </w:tcPr>
          <w:p w14:paraId="2B18EE2A" w14:textId="1D279DBF" w:rsidR="006D5A53" w:rsidRPr="00DF18FA" w:rsidRDefault="00C652E7">
            <w:pPr>
              <w:pStyle w:val="Tabletext"/>
            </w:pPr>
            <w:r w:rsidRPr="00DF18FA">
              <w:t>1</w:t>
            </w:r>
          </w:p>
        </w:tc>
        <w:tc>
          <w:tcPr>
            <w:tcW w:w="3849" w:type="dxa"/>
            <w:tcBorders>
              <w:top w:val="nil"/>
              <w:left w:val="nil"/>
              <w:bottom w:val="single" w:sz="8" w:space="0" w:color="auto"/>
              <w:right w:val="nil"/>
            </w:tcBorders>
            <w:shd w:val="clear" w:color="auto" w:fill="FFFFFF"/>
            <w:tcMar>
              <w:top w:w="0" w:type="dxa"/>
              <w:left w:w="108" w:type="dxa"/>
              <w:bottom w:w="0" w:type="dxa"/>
              <w:right w:w="108" w:type="dxa"/>
            </w:tcMar>
            <w:hideMark/>
          </w:tcPr>
          <w:p w14:paraId="76759819" w14:textId="62A7CB8E" w:rsidR="006D5A53" w:rsidRPr="00DF18FA" w:rsidRDefault="007A3FDE">
            <w:pPr>
              <w:pStyle w:val="Tabletext"/>
            </w:pPr>
            <w:r w:rsidRPr="00DF18FA">
              <w:t>Suncorp-Metway Limited</w:t>
            </w:r>
          </w:p>
        </w:tc>
        <w:tc>
          <w:tcPr>
            <w:tcW w:w="1985" w:type="dxa"/>
            <w:tcBorders>
              <w:top w:val="nil"/>
              <w:left w:val="nil"/>
              <w:bottom w:val="single" w:sz="8" w:space="0" w:color="auto"/>
              <w:right w:val="nil"/>
            </w:tcBorders>
            <w:shd w:val="clear" w:color="auto" w:fill="FFFFFF"/>
            <w:tcMar>
              <w:top w:w="0" w:type="dxa"/>
              <w:left w:w="108" w:type="dxa"/>
              <w:bottom w:w="0" w:type="dxa"/>
              <w:right w:w="108" w:type="dxa"/>
            </w:tcMar>
          </w:tcPr>
          <w:p w14:paraId="1858E4EE" w14:textId="6FCF1EB3" w:rsidR="006D5A53" w:rsidRPr="00DF18FA" w:rsidRDefault="00D11201">
            <w:pPr>
              <w:pStyle w:val="Tabletext"/>
            </w:pPr>
            <w:r w:rsidRPr="00DF18FA">
              <w:t>66 010 831 722</w:t>
            </w:r>
          </w:p>
        </w:tc>
        <w:tc>
          <w:tcPr>
            <w:tcW w:w="176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25533D07" w14:textId="77777777" w:rsidR="006D5A53" w:rsidRPr="00DF18FA" w:rsidRDefault="006D5A53">
            <w:pPr>
              <w:pStyle w:val="Tabletext"/>
            </w:pPr>
            <w:r w:rsidRPr="00DF18FA">
              <w:t>100%</w:t>
            </w:r>
          </w:p>
        </w:tc>
      </w:tr>
      <w:tr w:rsidR="006D5A53" w:rsidRPr="00DF18FA" w14:paraId="4334FF8B" w14:textId="77777777">
        <w:tc>
          <w:tcPr>
            <w:tcW w:w="714" w:type="dxa"/>
            <w:tcBorders>
              <w:top w:val="nil"/>
              <w:left w:val="nil"/>
              <w:bottom w:val="single" w:sz="12" w:space="0" w:color="auto"/>
              <w:right w:val="nil"/>
            </w:tcBorders>
            <w:shd w:val="clear" w:color="auto" w:fill="FFFFFF"/>
            <w:tcMar>
              <w:top w:w="0" w:type="dxa"/>
              <w:left w:w="108" w:type="dxa"/>
              <w:bottom w:w="0" w:type="dxa"/>
              <w:right w:w="108" w:type="dxa"/>
            </w:tcMar>
            <w:hideMark/>
          </w:tcPr>
          <w:p w14:paraId="42CA2A21" w14:textId="769D79A1" w:rsidR="006D5A53" w:rsidRPr="00DF18FA" w:rsidRDefault="00C652E7">
            <w:pPr>
              <w:pStyle w:val="Tabletext"/>
            </w:pPr>
            <w:r w:rsidRPr="00DF18FA">
              <w:t>2</w:t>
            </w:r>
          </w:p>
        </w:tc>
        <w:tc>
          <w:tcPr>
            <w:tcW w:w="3849" w:type="dxa"/>
            <w:tcBorders>
              <w:top w:val="nil"/>
              <w:left w:val="nil"/>
              <w:bottom w:val="single" w:sz="12" w:space="0" w:color="auto"/>
              <w:right w:val="nil"/>
            </w:tcBorders>
            <w:shd w:val="clear" w:color="auto" w:fill="FFFFFF"/>
            <w:tcMar>
              <w:top w:w="0" w:type="dxa"/>
              <w:left w:w="108" w:type="dxa"/>
              <w:bottom w:w="0" w:type="dxa"/>
              <w:right w:w="108" w:type="dxa"/>
            </w:tcMar>
            <w:hideMark/>
          </w:tcPr>
          <w:p w14:paraId="60BF134C" w14:textId="701853D7" w:rsidR="006D5A53" w:rsidRPr="00DF18FA" w:rsidRDefault="00C652E7">
            <w:pPr>
              <w:pStyle w:val="Tabletext"/>
            </w:pPr>
            <w:r w:rsidRPr="00DF18FA">
              <w:t>SBGH Limited</w:t>
            </w:r>
          </w:p>
        </w:tc>
        <w:tc>
          <w:tcPr>
            <w:tcW w:w="1985" w:type="dxa"/>
            <w:tcBorders>
              <w:top w:val="nil"/>
              <w:left w:val="nil"/>
              <w:bottom w:val="single" w:sz="12" w:space="0" w:color="auto"/>
              <w:right w:val="nil"/>
            </w:tcBorders>
            <w:shd w:val="clear" w:color="auto" w:fill="FFFFFF"/>
            <w:tcMar>
              <w:top w:w="0" w:type="dxa"/>
              <w:left w:w="108" w:type="dxa"/>
              <w:bottom w:w="0" w:type="dxa"/>
              <w:right w:w="108" w:type="dxa"/>
            </w:tcMar>
          </w:tcPr>
          <w:p w14:paraId="1D542640" w14:textId="7349253D" w:rsidR="006D5A53" w:rsidRPr="00DF18FA" w:rsidRDefault="00D11201">
            <w:pPr>
              <w:pStyle w:val="Tabletext"/>
            </w:pPr>
            <w:r w:rsidRPr="00DF18FA">
              <w:t>83 145 980 838</w:t>
            </w:r>
          </w:p>
        </w:tc>
        <w:tc>
          <w:tcPr>
            <w:tcW w:w="1762" w:type="dxa"/>
            <w:tcBorders>
              <w:top w:val="nil"/>
              <w:left w:val="nil"/>
              <w:bottom w:val="single" w:sz="12" w:space="0" w:color="auto"/>
              <w:right w:val="nil"/>
            </w:tcBorders>
            <w:shd w:val="clear" w:color="auto" w:fill="FFFFFF"/>
            <w:tcMar>
              <w:top w:w="0" w:type="dxa"/>
              <w:left w:w="108" w:type="dxa"/>
              <w:bottom w:w="0" w:type="dxa"/>
              <w:right w:w="108" w:type="dxa"/>
            </w:tcMar>
            <w:hideMark/>
          </w:tcPr>
          <w:p w14:paraId="404C1E58" w14:textId="77777777" w:rsidR="006D5A53" w:rsidRPr="00DF18FA" w:rsidRDefault="006D5A53">
            <w:pPr>
              <w:pStyle w:val="Tabletext"/>
            </w:pPr>
            <w:r w:rsidRPr="00DF18FA">
              <w:t>100%</w:t>
            </w:r>
          </w:p>
        </w:tc>
      </w:tr>
    </w:tbl>
    <w:p w14:paraId="18B5945E" w14:textId="77777777" w:rsidR="004612D1" w:rsidRPr="00DF18FA" w:rsidRDefault="004612D1" w:rsidP="00DE1D57">
      <w:pPr>
        <w:pStyle w:val="Tabletext"/>
      </w:pPr>
    </w:p>
    <w:p w14:paraId="3A1B5059" w14:textId="11E2725F" w:rsidR="00894DB7" w:rsidRPr="00DF18FA" w:rsidRDefault="00DE1D57" w:rsidP="00DE1D57">
      <w:pPr>
        <w:pStyle w:val="subsection"/>
      </w:pPr>
      <w:r w:rsidRPr="00DF18FA">
        <w:tab/>
        <w:t>(</w:t>
      </w:r>
      <w:r w:rsidR="000C3118" w:rsidRPr="00DF18FA">
        <w:t>4</w:t>
      </w:r>
      <w:r w:rsidRPr="00DF18FA">
        <w:t>)</w:t>
      </w:r>
      <w:r w:rsidRPr="00DF18FA">
        <w:tab/>
      </w:r>
      <w:r w:rsidR="00894DB7" w:rsidRPr="00DF18FA">
        <w:t>The approvals granted under subsection</w:t>
      </w:r>
      <w:r w:rsidR="00E20EED" w:rsidRPr="00DF18FA">
        <w:t xml:space="preserve"> (1) remain in force until repealed or otherwise re</w:t>
      </w:r>
      <w:r w:rsidR="00125791" w:rsidRPr="00DF18FA">
        <w:t>voked.</w:t>
      </w:r>
    </w:p>
    <w:p w14:paraId="40400904" w14:textId="77777777" w:rsidR="00AA0D2F" w:rsidRPr="00DF18FA" w:rsidRDefault="00AA0D2F" w:rsidP="00AA0D2F">
      <w:pPr>
        <w:pStyle w:val="ActHead5"/>
      </w:pPr>
      <w:bookmarkStart w:id="23" w:name="_Toc167559636"/>
      <w:r w:rsidRPr="00DF18FA">
        <w:rPr>
          <w:rStyle w:val="CharSectno"/>
        </w:rPr>
        <w:t>6</w:t>
      </w:r>
      <w:r w:rsidRPr="00DF18FA">
        <w:t xml:space="preserve">  Conditions on approvals</w:t>
      </w:r>
      <w:bookmarkEnd w:id="23"/>
    </w:p>
    <w:p w14:paraId="73A6C1BB" w14:textId="77777777" w:rsidR="00AA0D2F" w:rsidRPr="00DF18FA" w:rsidRDefault="00AA0D2F" w:rsidP="00AA0D2F">
      <w:pPr>
        <w:pStyle w:val="subsection"/>
      </w:pPr>
      <w:r w:rsidRPr="00DF18FA">
        <w:tab/>
        <w:t>(1)</w:t>
      </w:r>
      <w:r w:rsidRPr="00DF18FA">
        <w:tab/>
        <w:t>Under section 16 of the Act, each approval granted under subsection 5(1) is subject to each of the conditions set out in this section.</w:t>
      </w:r>
    </w:p>
    <w:p w14:paraId="5F63169F" w14:textId="7E1B45EC" w:rsidR="00AA0D2F" w:rsidRPr="00DF18FA" w:rsidRDefault="00AA0D2F" w:rsidP="00AA0D2F">
      <w:pPr>
        <w:pStyle w:val="SubsectionHead"/>
      </w:pPr>
      <w:r w:rsidRPr="00DF18FA">
        <w:t xml:space="preserve">Condition 1:  </w:t>
      </w:r>
      <w:r w:rsidR="00545CC8" w:rsidRPr="00DF18FA">
        <w:t xml:space="preserve">Access to </w:t>
      </w:r>
      <w:r w:rsidRPr="00DF18FA">
        <w:t>Bank@Post</w:t>
      </w:r>
      <w:r w:rsidR="00545CC8" w:rsidRPr="00DF18FA">
        <w:t xml:space="preserve"> services</w:t>
      </w:r>
    </w:p>
    <w:p w14:paraId="7767BCFB" w14:textId="77777777" w:rsidR="00AA0D2F" w:rsidRPr="00DF18FA" w:rsidRDefault="00AA0D2F" w:rsidP="00AA0D2F">
      <w:pPr>
        <w:pStyle w:val="subsection"/>
      </w:pPr>
      <w:r w:rsidRPr="00DF18FA">
        <w:tab/>
        <w:t>(2)</w:t>
      </w:r>
      <w:r w:rsidRPr="00DF18FA">
        <w:tab/>
        <w:t xml:space="preserve">The applicant covered by item 3 of the table in subsection 5(2) (the </w:t>
      </w:r>
      <w:r w:rsidRPr="00DF18FA">
        <w:rPr>
          <w:b/>
          <w:bCs/>
          <w:i/>
          <w:iCs/>
        </w:rPr>
        <w:t>responsible</w:t>
      </w:r>
      <w:r w:rsidRPr="00DF18FA">
        <w:t xml:space="preserve"> </w:t>
      </w:r>
      <w:r w:rsidRPr="00DF18FA">
        <w:rPr>
          <w:b/>
          <w:bCs/>
          <w:i/>
          <w:iCs/>
        </w:rPr>
        <w:t>applicant</w:t>
      </w:r>
      <w:r w:rsidRPr="00DF18FA">
        <w:t>) must use its best endeavours:</w:t>
      </w:r>
    </w:p>
    <w:p w14:paraId="61C9E69D" w14:textId="77777777" w:rsidR="00AA0D2F" w:rsidRPr="00DF18FA" w:rsidRDefault="00AA0D2F" w:rsidP="00AA0D2F">
      <w:pPr>
        <w:pStyle w:val="paragraph"/>
      </w:pPr>
      <w:r w:rsidRPr="00DF18FA">
        <w:tab/>
        <w:t>(a)</w:t>
      </w:r>
      <w:r w:rsidRPr="00DF18FA">
        <w:tab/>
        <w:t xml:space="preserve">to ensure the financial sector company covered by item 1 of the table in subsection 5(3) (the </w:t>
      </w:r>
      <w:r w:rsidRPr="00DF18FA">
        <w:rPr>
          <w:b/>
          <w:bCs/>
          <w:i/>
          <w:iCs/>
        </w:rPr>
        <w:t>FS company</w:t>
      </w:r>
      <w:r w:rsidRPr="00DF18FA">
        <w:t>) maintains an agreement, on terms that are commercially reasonable, with Australia Post for Bank@Post services for a period that satisfies one of the following:</w:t>
      </w:r>
    </w:p>
    <w:p w14:paraId="19A0F193" w14:textId="77777777" w:rsidR="00AA0D2F" w:rsidRPr="00DF18FA" w:rsidRDefault="00AA0D2F" w:rsidP="00AA0D2F">
      <w:pPr>
        <w:pStyle w:val="paragraphsub"/>
      </w:pPr>
      <w:r w:rsidRPr="00DF18FA">
        <w:lastRenderedPageBreak/>
        <w:tab/>
        <w:t>(i)</w:t>
      </w:r>
      <w:r w:rsidRPr="00DF18FA">
        <w:tab/>
        <w:t>a period of at least 3 years from the day after the day the acquisition that is approved under this instrument happens; or</w:t>
      </w:r>
    </w:p>
    <w:p w14:paraId="4E605464" w14:textId="65B7FB43" w:rsidR="00AA0D2F" w:rsidRPr="00DF18FA" w:rsidRDefault="00AA0D2F" w:rsidP="00AA0D2F">
      <w:pPr>
        <w:pStyle w:val="paragraphsub"/>
      </w:pPr>
      <w:r w:rsidRPr="00DF18FA">
        <w:tab/>
        <w:t>(ii)</w:t>
      </w:r>
      <w:r w:rsidRPr="00DF18FA">
        <w:tab/>
        <w:t xml:space="preserve">if the FS company stops being an authorised deposit-taking institution within the period covered by subparagraph (i)—a period starting from </w:t>
      </w:r>
      <w:r w:rsidR="00853D8B" w:rsidRPr="00DF18FA">
        <w:t xml:space="preserve">the </w:t>
      </w:r>
      <w:r w:rsidRPr="00DF18FA">
        <w:t>day after the day the acquisition that is approved under this instrument happens until the FS company stops being an authorised deposit</w:t>
      </w:r>
      <w:r w:rsidRPr="00DF18FA">
        <w:noBreakHyphen/>
        <w:t>taking institution; and</w:t>
      </w:r>
    </w:p>
    <w:p w14:paraId="60925ED0" w14:textId="77777777" w:rsidR="00AA0D2F" w:rsidRPr="00DF18FA" w:rsidRDefault="00AA0D2F" w:rsidP="00AA0D2F">
      <w:pPr>
        <w:pStyle w:val="paragraph"/>
      </w:pPr>
      <w:r w:rsidRPr="00DF18FA">
        <w:tab/>
        <w:t>(b)</w:t>
      </w:r>
      <w:r w:rsidRPr="00DF18FA">
        <w:tab/>
        <w:t>to enter into an agreement with Australia Post, on terms that are commercially reasonable, for Bank@Post services in relation to the responsible applicant’s banking business, as soon as is practicable, but by no later than 12 months from the day after the day the acquisition that is approved under this instrument happens, for a period of at least 3 years, with the services to be offered to customers of the responsible applicant being the same or better than those available to customers of the FS company.</w:t>
      </w:r>
    </w:p>
    <w:p w14:paraId="6A4C2D46" w14:textId="77777777" w:rsidR="00AA0D2F" w:rsidRPr="00DF18FA" w:rsidRDefault="00AA0D2F" w:rsidP="00AA0D2F">
      <w:pPr>
        <w:pStyle w:val="subsection"/>
      </w:pPr>
      <w:r w:rsidRPr="00DF18FA">
        <w:tab/>
        <w:t>(3)</w:t>
      </w:r>
      <w:r w:rsidRPr="00DF18FA">
        <w:tab/>
        <w:t>For the purposes of paragraph (2)(a), an agreement is maintained if, and only if, one of the following is satisfied:</w:t>
      </w:r>
    </w:p>
    <w:p w14:paraId="0771BCDC" w14:textId="77777777" w:rsidR="00AA0D2F" w:rsidRPr="00DF18FA" w:rsidRDefault="00AA0D2F" w:rsidP="00AA0D2F">
      <w:pPr>
        <w:pStyle w:val="paragraph"/>
      </w:pPr>
      <w:r w:rsidRPr="00DF18FA">
        <w:tab/>
        <w:t>(a)</w:t>
      </w:r>
      <w:r w:rsidRPr="00DF18FA">
        <w:tab/>
        <w:t>an agreement remains in force between the FS company and Australia Post for Bank@Post services to be offered on the same or better terms to customers of the FS company, as are available under the agreement that is in force between those parties on the day the acquisition that is approved under this instrument happens; or</w:t>
      </w:r>
    </w:p>
    <w:p w14:paraId="31670303" w14:textId="5F6AB394" w:rsidR="00AA0D2F" w:rsidRPr="00DF18FA" w:rsidRDefault="00AA0D2F" w:rsidP="00AA0D2F">
      <w:pPr>
        <w:pStyle w:val="paragraph"/>
      </w:pPr>
      <w:r w:rsidRPr="00DF18FA">
        <w:tab/>
        <w:t>(b)</w:t>
      </w:r>
      <w:r w:rsidRPr="00DF18FA">
        <w:tab/>
        <w:t>an agreement comes into force between the responsible applicant and Australia Post, for Bank@Post services</w:t>
      </w:r>
      <w:r w:rsidR="00015676" w:rsidRPr="00DF18FA">
        <w:t>,</w:t>
      </w:r>
      <w:r w:rsidRPr="00DF18FA">
        <w:t xml:space="preserve"> in relation to both the responsible applicant’s banking business and the FS company’s banking business, for services to be offered on the same or better terms to their respective customers, as are available under the agreement that is in force between the FS company and Australia Post on the day the acquisition that is approved under this instrument happens, and there is no period during which Bank@Post services are </w:t>
      </w:r>
      <w:r w:rsidRPr="00DF18FA">
        <w:rPr>
          <w:i/>
          <w:iCs/>
        </w:rPr>
        <w:t>not</w:t>
      </w:r>
      <w:r w:rsidRPr="00DF18FA">
        <w:t xml:space="preserve"> offered in relation to customers of the FS company.</w:t>
      </w:r>
    </w:p>
    <w:p w14:paraId="57EB61AE" w14:textId="1BBA0496" w:rsidR="00AA0D2F" w:rsidRPr="00DF18FA" w:rsidRDefault="00AA0D2F" w:rsidP="00AA0D2F">
      <w:pPr>
        <w:pStyle w:val="SubsectionHead"/>
        <w:ind w:left="1140"/>
      </w:pPr>
      <w:r w:rsidRPr="00DF18FA">
        <w:t xml:space="preserve">Condition 2: </w:t>
      </w:r>
      <w:r w:rsidR="00897538" w:rsidRPr="00DF18FA">
        <w:t>Maintain r</w:t>
      </w:r>
      <w:r w:rsidRPr="00DF18FA">
        <w:t>egional branch footprint</w:t>
      </w:r>
    </w:p>
    <w:p w14:paraId="7C0F3702" w14:textId="77777777" w:rsidR="00AA0D2F" w:rsidRPr="00DF18FA" w:rsidRDefault="00AA0D2F" w:rsidP="00AA0D2F">
      <w:pPr>
        <w:pStyle w:val="subsection"/>
      </w:pPr>
      <w:r w:rsidRPr="00DF18FA">
        <w:tab/>
        <w:t>(4)</w:t>
      </w:r>
      <w:r w:rsidRPr="00DF18FA">
        <w:tab/>
        <w:t xml:space="preserve">The responsible applicant must ensure that the total number of regional bank branches of the FS company is </w:t>
      </w:r>
      <w:r w:rsidRPr="00DF18FA">
        <w:rPr>
          <w:i/>
          <w:iCs/>
        </w:rPr>
        <w:t>not</w:t>
      </w:r>
      <w:r w:rsidRPr="00DF18FA">
        <w:t xml:space="preserve"> reduced during a period of at least 3 years from the day after the day the acquisition that is approved under this instrument happens.</w:t>
      </w:r>
    </w:p>
    <w:p w14:paraId="6EBE5005" w14:textId="77777777" w:rsidR="00AA0D2F" w:rsidRPr="00DF18FA" w:rsidRDefault="00AA0D2F" w:rsidP="00AA0D2F">
      <w:pPr>
        <w:pStyle w:val="subsection"/>
      </w:pPr>
      <w:r w:rsidRPr="00DF18FA">
        <w:tab/>
        <w:t>(5)</w:t>
      </w:r>
      <w:r w:rsidRPr="00DF18FA">
        <w:tab/>
        <w:t xml:space="preserve">The responsible applicant must ensure that the total number of regional bank branches of the responsible applicant is </w:t>
      </w:r>
      <w:r w:rsidRPr="00DF18FA">
        <w:rPr>
          <w:i/>
          <w:iCs/>
        </w:rPr>
        <w:t>not</w:t>
      </w:r>
      <w:r w:rsidRPr="00DF18FA">
        <w:t xml:space="preserve"> reduced during a period of at least 3 years from the day after the day the acquisition that is approved under this instrument happens.</w:t>
      </w:r>
    </w:p>
    <w:p w14:paraId="1610B93E" w14:textId="77777777" w:rsidR="00AA0D2F" w:rsidRPr="00DF18FA" w:rsidRDefault="00AA0D2F" w:rsidP="00AA0D2F">
      <w:pPr>
        <w:pStyle w:val="subsection"/>
      </w:pPr>
      <w:r w:rsidRPr="00DF18FA">
        <w:tab/>
        <w:t>(6)</w:t>
      </w:r>
      <w:r w:rsidRPr="00DF18FA">
        <w:tab/>
        <w:t>Where the FS company stops carrying on part of its banking business through a particular regional bank branch, and the responsible applicant begins to carry on part of its banking business through a regional bank branch that is in the same location as the FS company’s former branch (or is near to that location) at around the same time, and the new branch of the responsible applicant is genuinely intended to replace the FS company’s branch (and no other branch), subsections (4) and (5) are applied as if:</w:t>
      </w:r>
    </w:p>
    <w:p w14:paraId="1A9F48E1" w14:textId="77777777" w:rsidR="00AA0D2F" w:rsidRPr="00DF18FA" w:rsidRDefault="00AA0D2F" w:rsidP="00AA0D2F">
      <w:pPr>
        <w:pStyle w:val="paragraph"/>
      </w:pPr>
      <w:r w:rsidRPr="00DF18FA">
        <w:lastRenderedPageBreak/>
        <w:tab/>
        <w:t>(a)</w:t>
      </w:r>
      <w:r w:rsidRPr="00DF18FA">
        <w:tab/>
        <w:t>the FS’s company’s branch is taken never to have been a regional bank branch of the FS company; and</w:t>
      </w:r>
    </w:p>
    <w:p w14:paraId="6BBBB2E8" w14:textId="77777777" w:rsidR="00AA0D2F" w:rsidRPr="00DF18FA" w:rsidRDefault="00AA0D2F" w:rsidP="00AA0D2F">
      <w:pPr>
        <w:pStyle w:val="paragraph"/>
      </w:pPr>
      <w:r w:rsidRPr="00DF18FA">
        <w:tab/>
        <w:t>(b)</w:t>
      </w:r>
      <w:r w:rsidRPr="00DF18FA">
        <w:tab/>
        <w:t>the new branch of the responsible applicant is taken to have always been a regional bank branch of the responsible applicant.</w:t>
      </w:r>
    </w:p>
    <w:p w14:paraId="1ACB5FF3" w14:textId="0FEC023F" w:rsidR="00AA0D2F" w:rsidRPr="00DF18FA" w:rsidRDefault="00AA0D2F" w:rsidP="00AA0D2F">
      <w:pPr>
        <w:pStyle w:val="SubsectionHead"/>
        <w:ind w:left="1140"/>
      </w:pPr>
      <w:r w:rsidRPr="00DF18FA">
        <w:t>Condition 3: No net job losses</w:t>
      </w:r>
      <w:r w:rsidR="00897538" w:rsidRPr="00DF18FA">
        <w:t xml:space="preserve"> result</w:t>
      </w:r>
      <w:r w:rsidR="001107E2" w:rsidRPr="00DF18FA">
        <w:t>ing</w:t>
      </w:r>
      <w:r w:rsidR="00897538" w:rsidRPr="00DF18FA">
        <w:t xml:space="preserve"> </w:t>
      </w:r>
      <w:r w:rsidR="001107E2" w:rsidRPr="00DF18FA">
        <w:t>from</w:t>
      </w:r>
      <w:r w:rsidR="00897538" w:rsidRPr="00DF18FA">
        <w:t xml:space="preserve"> the acquisit</w:t>
      </w:r>
      <w:r w:rsidR="001107E2" w:rsidRPr="00DF18FA">
        <w:t>ion</w:t>
      </w:r>
    </w:p>
    <w:p w14:paraId="072CB5E3" w14:textId="5B3B5AC5" w:rsidR="00AA0D2F" w:rsidRPr="00DF18FA" w:rsidRDefault="00AA0D2F" w:rsidP="00AA0D2F">
      <w:pPr>
        <w:pStyle w:val="subsection"/>
      </w:pPr>
      <w:r w:rsidRPr="00DF18FA">
        <w:tab/>
        <w:t>(7)</w:t>
      </w:r>
      <w:r w:rsidRPr="00DF18FA">
        <w:tab/>
        <w:t xml:space="preserve">The responsible applicant must ensure that there are no net job losses in Australia (as calculated under subsection (8)), in relation to the responsible applicant, the FS company, and all related bodies corporate of the responsible applicant and FS company, </w:t>
      </w:r>
      <w:r w:rsidR="001107E2" w:rsidRPr="00DF18FA">
        <w:t xml:space="preserve">that occur as a direct result of the acquisition, </w:t>
      </w:r>
      <w:r w:rsidRPr="00DF18FA">
        <w:t>during a period of at least 3 years from the day after the day the acquisition that is approved under this instrument happens.</w:t>
      </w:r>
    </w:p>
    <w:p w14:paraId="594A7950" w14:textId="77777777" w:rsidR="00AA0D2F" w:rsidRPr="00DF18FA" w:rsidRDefault="00AA0D2F" w:rsidP="00AA0D2F">
      <w:pPr>
        <w:pStyle w:val="notetext"/>
      </w:pPr>
      <w:r w:rsidRPr="00DF18FA">
        <w:t>Example 1:</w:t>
      </w:r>
      <w:r w:rsidRPr="00DF18FA">
        <w:tab/>
        <w:t>Job losses from a branch of the FS company that has been closed because it is located near a branch of the responsible applicant, occur as a direct result of the acquisition.</w:t>
      </w:r>
    </w:p>
    <w:p w14:paraId="191CE694" w14:textId="77777777" w:rsidR="00AA0D2F" w:rsidRPr="00DF18FA" w:rsidRDefault="00AA0D2F" w:rsidP="00AA0D2F">
      <w:pPr>
        <w:pStyle w:val="notetext"/>
      </w:pPr>
      <w:r w:rsidRPr="00DF18FA">
        <w:t>Example 2:</w:t>
      </w:r>
      <w:r w:rsidRPr="00DF18FA">
        <w:tab/>
        <w:t>New jobs created (not merely transferred from one place in Australia to another) from giving effect to a commitment the responsible applicant made with the State of Queensland in connection with the acquisition, occur as a direct result of the acquisition.</w:t>
      </w:r>
    </w:p>
    <w:p w14:paraId="04C6808E" w14:textId="77777777" w:rsidR="00AA0D2F" w:rsidRPr="00DF18FA" w:rsidRDefault="00AA0D2F" w:rsidP="00AA0D2F">
      <w:pPr>
        <w:pStyle w:val="notetext"/>
      </w:pPr>
      <w:r w:rsidRPr="00DF18FA">
        <w:t>Example 3:</w:t>
      </w:r>
      <w:r w:rsidRPr="00DF18FA">
        <w:tab/>
      </w:r>
      <w:r w:rsidRPr="00DF18FA">
        <w:rPr>
          <w:szCs w:val="18"/>
        </w:rPr>
        <w:t xml:space="preserve">Employees engaged for the purposes of giving effect to the acquisition, including the integration of the operations of the FS company with those of the responsible applicant, </w:t>
      </w:r>
      <w:r w:rsidRPr="00DF18FA">
        <w:t>occur as a direct result of the acquisition.</w:t>
      </w:r>
    </w:p>
    <w:p w14:paraId="4E3E7152" w14:textId="77777777" w:rsidR="00AA0D2F" w:rsidRPr="00DF18FA" w:rsidRDefault="00AA0D2F" w:rsidP="00AA0D2F">
      <w:pPr>
        <w:pStyle w:val="subsection"/>
      </w:pPr>
      <w:r w:rsidRPr="00DF18FA">
        <w:tab/>
        <w:t>(8)</w:t>
      </w:r>
      <w:r w:rsidRPr="00DF18FA">
        <w:tab/>
        <w:t>For the purposes of subsection (7), there are no net job losses for a period if:</w:t>
      </w:r>
    </w:p>
    <w:p w14:paraId="4C8E374C" w14:textId="77777777" w:rsidR="00AA0D2F" w:rsidRPr="00DF18FA" w:rsidRDefault="00AA0D2F" w:rsidP="00AA0D2F">
      <w:pPr>
        <w:pStyle w:val="paragraph"/>
      </w:pPr>
      <w:r w:rsidRPr="00DF18FA">
        <w:tab/>
        <w:t>(a)</w:t>
      </w:r>
      <w:r w:rsidRPr="00DF18FA">
        <w:tab/>
        <w:t>the sum of the aggregate number of employees in Australia of all the companies mentioned in subsection (7) at the end of the period is equal to or more than the aggregate number at the start of the period; or</w:t>
      </w:r>
    </w:p>
    <w:p w14:paraId="06EC36A7" w14:textId="77777777" w:rsidR="00AA0D2F" w:rsidRPr="00DF18FA" w:rsidRDefault="00AA0D2F" w:rsidP="00AA0D2F">
      <w:pPr>
        <w:pStyle w:val="paragraph"/>
      </w:pPr>
      <w:r w:rsidRPr="00DF18FA">
        <w:tab/>
        <w:t>(b)</w:t>
      </w:r>
      <w:r w:rsidRPr="00DF18FA">
        <w:tab/>
        <w:t xml:space="preserve">if paragraph (a) is </w:t>
      </w:r>
      <w:r w:rsidRPr="00DF18FA">
        <w:rPr>
          <w:i/>
          <w:iCs/>
        </w:rPr>
        <w:t>not</w:t>
      </w:r>
      <w:r w:rsidRPr="00DF18FA">
        <w:t xml:space="preserve"> satisfied—the aggregate number of employees who lose their jobs during the period as a direct result of the acquisition is less than or equal to the aggregate number of persons who are employed at the start of the period, or start employment during the period, as a direct result of the acquisition, with the employment being on an ongoing basis or on a fixed term contract with a term of 6 months or more.</w:t>
      </w:r>
    </w:p>
    <w:p w14:paraId="2EF9688E" w14:textId="77777777" w:rsidR="00AA0D2F" w:rsidRPr="00DF18FA" w:rsidRDefault="00AA0D2F" w:rsidP="00AA0D2F">
      <w:pPr>
        <w:pStyle w:val="subsection"/>
      </w:pPr>
      <w:r w:rsidRPr="00DF18FA">
        <w:tab/>
        <w:t>(9)</w:t>
      </w:r>
      <w:r w:rsidRPr="00DF18FA">
        <w:tab/>
        <w:t xml:space="preserve">For the purposes of subsections (7) and (8), where it is </w:t>
      </w:r>
      <w:r w:rsidRPr="00DF18FA">
        <w:rPr>
          <w:i/>
          <w:iCs/>
        </w:rPr>
        <w:t>not</w:t>
      </w:r>
      <w:r w:rsidRPr="00DF18FA">
        <w:t xml:space="preserve"> reasonable to draw a direct connection between a job loss or gain, and the acquisition, assume that the loss or gain is </w:t>
      </w:r>
      <w:r w:rsidRPr="00DF18FA">
        <w:rPr>
          <w:i/>
          <w:iCs/>
        </w:rPr>
        <w:t>not</w:t>
      </w:r>
      <w:r w:rsidRPr="00DF18FA">
        <w:t xml:space="preserve"> a direct result of the acquisition.</w:t>
      </w:r>
    </w:p>
    <w:p w14:paraId="312CD8CB" w14:textId="77777777" w:rsidR="00AA0D2F" w:rsidRPr="00DF18FA" w:rsidRDefault="00AA0D2F" w:rsidP="00AA0D2F">
      <w:pPr>
        <w:pStyle w:val="SubsectionHead"/>
        <w:ind w:left="1140"/>
      </w:pPr>
      <w:r w:rsidRPr="00DF18FA">
        <w:t>Condition 4: Employee support</w:t>
      </w:r>
    </w:p>
    <w:p w14:paraId="2085A8FB" w14:textId="77777777" w:rsidR="00AA0D2F" w:rsidRPr="00DF18FA" w:rsidRDefault="00AA0D2F" w:rsidP="00AA0D2F">
      <w:pPr>
        <w:pStyle w:val="subsection"/>
      </w:pPr>
      <w:r w:rsidRPr="00DF18FA">
        <w:tab/>
        <w:t>(10)</w:t>
      </w:r>
      <w:r w:rsidRPr="00DF18FA">
        <w:tab/>
        <w:t>The responsible applicant must use its best endeavours, during a reasonable period before and after the day the acquisition that is approved under this instrument happens, to undertake all of the following:</w:t>
      </w:r>
    </w:p>
    <w:p w14:paraId="42B078BB" w14:textId="77777777" w:rsidR="00AA0D2F" w:rsidRPr="00DF18FA" w:rsidRDefault="00AA0D2F" w:rsidP="00AA0D2F">
      <w:pPr>
        <w:pStyle w:val="paragraph"/>
      </w:pPr>
      <w:r w:rsidRPr="00DF18FA">
        <w:tab/>
        <w:t>(a)</w:t>
      </w:r>
      <w:r w:rsidRPr="00DF18FA">
        <w:tab/>
        <w:t>in relation to employees of the FS company (and all related bodies corporate of the FS company for which the responsible applicant will hold a stake) affected by the acquisition—undertake a genuine process to redeploy employees where reasonably possible, support employees to secure external jobs by making available genuine job readiness and outplacement support services (if redundancies occur), and ensure timely access to employee entitlements, in full, under relevant redundancy arrangements;</w:t>
      </w:r>
    </w:p>
    <w:p w14:paraId="071465B8" w14:textId="77777777" w:rsidR="00AA0D2F" w:rsidRPr="00DF18FA" w:rsidRDefault="00AA0D2F" w:rsidP="00AA0D2F">
      <w:pPr>
        <w:pStyle w:val="paragraph"/>
      </w:pPr>
      <w:r w:rsidRPr="00DF18FA">
        <w:lastRenderedPageBreak/>
        <w:tab/>
        <w:t>(b)</w:t>
      </w:r>
      <w:r w:rsidRPr="00DF18FA">
        <w:tab/>
        <w:t>work closely with consumer advocates and community stakeholders to seek to minimise community concerns about the acquisition and its possible impact on customers and the community, and respond to any such concerns as sensitively and quickly as is possible;</w:t>
      </w:r>
    </w:p>
    <w:p w14:paraId="348EF7C5" w14:textId="77777777" w:rsidR="00AA0D2F" w:rsidRPr="00DF18FA" w:rsidRDefault="00AA0D2F" w:rsidP="00AA0D2F">
      <w:pPr>
        <w:pStyle w:val="paragraph"/>
      </w:pPr>
      <w:r w:rsidRPr="00DF18FA">
        <w:tab/>
        <w:t>(c)</w:t>
      </w:r>
      <w:r w:rsidRPr="00DF18FA">
        <w:tab/>
        <w:t>manage any major workplace changes affecting employees of the FS company (and all related bodies corporate of the FS company for which the responsible applicant will hold a stake), arising from the acquisition, as quickly, reasonably and sensitively as possible, in consultation with employees, employee representatives (including representatives of the Finance Sector Union) and other relevant stakeholders;</w:t>
      </w:r>
    </w:p>
    <w:p w14:paraId="6BC415AF" w14:textId="77777777" w:rsidR="00AA0D2F" w:rsidRPr="00DF18FA" w:rsidRDefault="00AA0D2F" w:rsidP="00AA0D2F">
      <w:pPr>
        <w:pStyle w:val="paragraph"/>
      </w:pPr>
      <w:r w:rsidRPr="00DF18FA">
        <w:tab/>
        <w:t>(d)</w:t>
      </w:r>
      <w:r w:rsidRPr="00DF18FA">
        <w:tab/>
        <w:t>ensure support is accessible and available, by way of a commonly offered and reasonable employee assistance program, to assist employees of the FS company (and all related bodies corporate of the FS company for which the responsible applicant will hold a stake) affected by the acquisition.</w:t>
      </w:r>
    </w:p>
    <w:p w14:paraId="5C80C199" w14:textId="77777777" w:rsidR="00AA0D2F" w:rsidRPr="00DF18FA" w:rsidRDefault="00AA0D2F" w:rsidP="00AA0D2F">
      <w:pPr>
        <w:pStyle w:val="SubsectionHead"/>
        <w:ind w:left="1140"/>
      </w:pPr>
      <w:r w:rsidRPr="00DF18FA">
        <w:t>Condition 5: Notification and reporting</w:t>
      </w:r>
    </w:p>
    <w:p w14:paraId="5290017E" w14:textId="77777777" w:rsidR="00AA0D2F" w:rsidRPr="00DF18FA" w:rsidRDefault="00AA0D2F" w:rsidP="00AA0D2F">
      <w:pPr>
        <w:pStyle w:val="subsection"/>
      </w:pPr>
      <w:r w:rsidRPr="00DF18FA">
        <w:tab/>
        <w:t>(11)</w:t>
      </w:r>
      <w:r w:rsidRPr="00DF18FA">
        <w:tab/>
        <w:t>The responsible applicant must:</w:t>
      </w:r>
    </w:p>
    <w:p w14:paraId="799622B9" w14:textId="77777777" w:rsidR="00AA0D2F" w:rsidRPr="00DF18FA" w:rsidRDefault="00AA0D2F" w:rsidP="00AA0D2F">
      <w:pPr>
        <w:pStyle w:val="paragraph"/>
      </w:pPr>
      <w:r w:rsidRPr="00DF18FA">
        <w:tab/>
        <w:t>(a)</w:t>
      </w:r>
      <w:r w:rsidRPr="00DF18FA">
        <w:tab/>
        <w:t>notify the Treasury of each acquisition that the applicant has made and that is approved under this instrument, by email to FSSA‑IATA@treasury.gov.au, within 30 days of the acquisition happening; and</w:t>
      </w:r>
    </w:p>
    <w:p w14:paraId="0FBF1F40" w14:textId="77777777" w:rsidR="00AA0D2F" w:rsidRPr="00DF18FA" w:rsidRDefault="00AA0D2F" w:rsidP="00AA0D2F">
      <w:pPr>
        <w:pStyle w:val="paragraph"/>
      </w:pPr>
      <w:r w:rsidRPr="00DF18FA">
        <w:tab/>
        <w:t>(b)</w:t>
      </w:r>
      <w:r w:rsidRPr="00DF18FA">
        <w:tab/>
        <w:t>by no later than 3 months after the end of each of the responsible applicant’s financial reporting years ending in 2025, 2026 and 2027, do each of the following:</w:t>
      </w:r>
    </w:p>
    <w:p w14:paraId="321EA076" w14:textId="77777777" w:rsidR="00AA0D2F" w:rsidRPr="00DF18FA" w:rsidRDefault="00AA0D2F" w:rsidP="00AA0D2F">
      <w:pPr>
        <w:pStyle w:val="paragraphsub"/>
      </w:pPr>
      <w:r w:rsidRPr="00DF18FA">
        <w:tab/>
        <w:t>(i)</w:t>
      </w:r>
      <w:r w:rsidRPr="00DF18FA">
        <w:tab/>
        <w:t>prepare, or cause to be prepared, a written report on the responsible applicant’s compliance with the conditions in this section, in relation to the reporting year; and</w:t>
      </w:r>
    </w:p>
    <w:p w14:paraId="5BFE89E9" w14:textId="77777777" w:rsidR="00AA0D2F" w:rsidRPr="00DF18FA" w:rsidRDefault="00AA0D2F" w:rsidP="00AA0D2F">
      <w:pPr>
        <w:pStyle w:val="paragraphsub"/>
      </w:pPr>
      <w:r w:rsidRPr="00DF18FA">
        <w:tab/>
        <w:t>(ii)</w:t>
      </w:r>
      <w:r w:rsidRPr="00DF18FA">
        <w:tab/>
        <w:t>arrange for the responsible applicant’s Chief Executive Officer to certify, in writing, that the written report represents a true and fair view of the responsible applicant’s compliance with the conditions in this section, in relation to the reporting year; and</w:t>
      </w:r>
    </w:p>
    <w:p w14:paraId="4EFD8E94" w14:textId="77E0E497" w:rsidR="00AA0D2F" w:rsidRPr="00DF18FA" w:rsidRDefault="00AA0D2F" w:rsidP="00AA0D2F">
      <w:pPr>
        <w:pStyle w:val="paragraphsub"/>
      </w:pPr>
      <w:r w:rsidRPr="00DF18FA">
        <w:tab/>
        <w:t>(iii)</w:t>
      </w:r>
      <w:r w:rsidRPr="00DF18FA">
        <w:tab/>
        <w:t>give the written report, and the certification, to the Treasury by email to </w:t>
      </w:r>
      <w:hyperlink r:id="rId23" w:history="1">
        <w:r w:rsidRPr="00DF18FA">
          <w:rPr>
            <w:rStyle w:val="Hyperlink1"/>
            <w:rFonts w:eastAsiaTheme="majorEastAsia"/>
            <w:color w:val="000000"/>
            <w:szCs w:val="22"/>
          </w:rPr>
          <w:t>FSSA</w:t>
        </w:r>
        <w:r w:rsidRPr="00DF18FA">
          <w:rPr>
            <w:rStyle w:val="Hyperlink1"/>
            <w:rFonts w:eastAsiaTheme="majorEastAsia"/>
            <w:color w:val="000000"/>
            <w:szCs w:val="22"/>
          </w:rPr>
          <w:noBreakHyphen/>
          <w:t>IATA@treasury.gov.au</w:t>
        </w:r>
      </w:hyperlink>
      <w:r w:rsidRPr="00DF18FA">
        <w:t>.</w:t>
      </w:r>
    </w:p>
    <w:p w14:paraId="4A6E3F6F" w14:textId="12C56193" w:rsidR="004831FD" w:rsidRPr="00DF18FA" w:rsidRDefault="004831FD" w:rsidP="00AB5303">
      <w:pPr>
        <w:pStyle w:val="notetext"/>
      </w:pPr>
      <w:r w:rsidRPr="00DF18FA">
        <w:t>Note:</w:t>
      </w:r>
      <w:r w:rsidR="00AB5303" w:rsidRPr="00DF18FA">
        <w:tab/>
      </w:r>
      <w:r w:rsidR="006649FA" w:rsidRPr="00DF18FA">
        <w:t xml:space="preserve">Offences </w:t>
      </w:r>
      <w:r w:rsidR="001D778A" w:rsidRPr="00DF18FA">
        <w:t xml:space="preserve">may </w:t>
      </w:r>
      <w:r w:rsidR="0057725B" w:rsidRPr="00DF18FA">
        <w:t>apply to</w:t>
      </w:r>
      <w:r w:rsidRPr="00DF18FA">
        <w:t xml:space="preserve"> providing false or misleading information or documents</w:t>
      </w:r>
      <w:r w:rsidR="005D5A3E" w:rsidRPr="00DF18FA">
        <w:t xml:space="preserve"> </w:t>
      </w:r>
      <w:r w:rsidR="00126523" w:rsidRPr="00DF18FA">
        <w:t xml:space="preserve">to the Treasury—see </w:t>
      </w:r>
      <w:r w:rsidR="00E075E7" w:rsidRPr="00DF18FA">
        <w:t xml:space="preserve">Part 7.4 of </w:t>
      </w:r>
      <w:r w:rsidR="00126523" w:rsidRPr="00DF18FA">
        <w:t xml:space="preserve">the </w:t>
      </w:r>
      <w:r w:rsidR="00126523" w:rsidRPr="00DF18FA">
        <w:rPr>
          <w:i/>
          <w:iCs/>
        </w:rPr>
        <w:t>Criminal Code</w:t>
      </w:r>
      <w:r w:rsidR="00E075E7" w:rsidRPr="00DF18FA">
        <w:t>.</w:t>
      </w:r>
    </w:p>
    <w:p w14:paraId="7053A2EC" w14:textId="77777777" w:rsidR="00AA0D2F" w:rsidRPr="00DF18FA" w:rsidRDefault="00AA0D2F" w:rsidP="00AA0D2F">
      <w:pPr>
        <w:pStyle w:val="subsection"/>
      </w:pPr>
      <w:r w:rsidRPr="00DF18FA">
        <w:tab/>
        <w:t>(12)</w:t>
      </w:r>
      <w:r w:rsidRPr="00DF18FA">
        <w:tab/>
        <w:t>Where:</w:t>
      </w:r>
    </w:p>
    <w:p w14:paraId="539E2BCC" w14:textId="77777777" w:rsidR="00AA0D2F" w:rsidRPr="00DF18FA" w:rsidRDefault="00AA0D2F" w:rsidP="00AA0D2F">
      <w:pPr>
        <w:pStyle w:val="paragraph"/>
      </w:pPr>
      <w:r w:rsidRPr="00DF18FA">
        <w:tab/>
        <w:t>(a)</w:t>
      </w:r>
      <w:r w:rsidRPr="00DF18FA">
        <w:tab/>
        <w:t>the responsible applicant is unable to comply with one or more of the conditions in this section; and</w:t>
      </w:r>
    </w:p>
    <w:p w14:paraId="760318E2" w14:textId="77777777" w:rsidR="00AA0D2F" w:rsidRPr="00DF18FA" w:rsidRDefault="00AA0D2F" w:rsidP="00AA0D2F">
      <w:pPr>
        <w:pStyle w:val="paragraph"/>
      </w:pPr>
      <w:r w:rsidRPr="00DF18FA">
        <w:tab/>
        <w:t>(b)</w:t>
      </w:r>
      <w:r w:rsidRPr="00DF18FA">
        <w:tab/>
        <w:t>the non-compliance is as a direct result of:</w:t>
      </w:r>
    </w:p>
    <w:p w14:paraId="6FDE85E4" w14:textId="77777777" w:rsidR="00AA0D2F" w:rsidRPr="00DF18FA" w:rsidRDefault="00AA0D2F" w:rsidP="00AA0D2F">
      <w:pPr>
        <w:pStyle w:val="paragraphsub"/>
      </w:pPr>
      <w:r w:rsidRPr="00DF18FA">
        <w:tab/>
        <w:t>(i)</w:t>
      </w:r>
      <w:r w:rsidRPr="00DF18FA">
        <w:tab/>
        <w:t xml:space="preserve">an extraordinary act, event or circumstance that was </w:t>
      </w:r>
      <w:r w:rsidRPr="00DF18FA">
        <w:rPr>
          <w:i/>
          <w:iCs/>
        </w:rPr>
        <w:t>not</w:t>
      </w:r>
      <w:r w:rsidRPr="00DF18FA">
        <w:t xml:space="preserve"> reasonably foreseeable and the resulting non-compliance was beyond the control of the responsible applicant or FS company; or</w:t>
      </w:r>
    </w:p>
    <w:p w14:paraId="46C37C54" w14:textId="77777777" w:rsidR="00AA0D2F" w:rsidRPr="00DF18FA" w:rsidRDefault="00AA0D2F" w:rsidP="00AA0D2F">
      <w:pPr>
        <w:pStyle w:val="paragraphsub"/>
      </w:pPr>
      <w:r w:rsidRPr="00DF18FA">
        <w:tab/>
        <w:t>(ii)</w:t>
      </w:r>
      <w:r w:rsidRPr="00DF18FA">
        <w:tab/>
        <w:t>lawful action by a governmental authority that was</w:t>
      </w:r>
      <w:r w:rsidRPr="00DF18FA">
        <w:rPr>
          <w:i/>
          <w:iCs/>
        </w:rPr>
        <w:t xml:space="preserve"> not </w:t>
      </w:r>
      <w:r w:rsidRPr="00DF18FA">
        <w:t>caused in any way by the unreasonable conduct of the responsible applicant or FS company; or</w:t>
      </w:r>
    </w:p>
    <w:p w14:paraId="54859023" w14:textId="6C7D4794" w:rsidR="00AA0D2F" w:rsidRPr="00DF18FA" w:rsidRDefault="00AA0D2F" w:rsidP="00AA0D2F">
      <w:pPr>
        <w:pStyle w:val="paragraphsub"/>
      </w:pPr>
      <w:r w:rsidRPr="00DF18FA">
        <w:tab/>
        <w:t>(iii)</w:t>
      </w:r>
      <w:r w:rsidRPr="00DF18FA">
        <w:tab/>
        <w:t xml:space="preserve">suspending the carrying on of part of its banking business through a particular regional bank branch for reasons related to the health and safety of employees and customers, or as a result of a genuine </w:t>
      </w:r>
      <w:r w:rsidRPr="00DF18FA">
        <w:lastRenderedPageBreak/>
        <w:t>inability of the responsible applicant or FS company to get access to the materials, services or people, or maintain access to premises, necessary to carry on part of a banking business at that branch; and</w:t>
      </w:r>
    </w:p>
    <w:p w14:paraId="22F75E97" w14:textId="77777777" w:rsidR="00AA0D2F" w:rsidRPr="00DF18FA" w:rsidRDefault="00AA0D2F" w:rsidP="00AA0D2F">
      <w:pPr>
        <w:pStyle w:val="paragraph"/>
      </w:pPr>
      <w:r w:rsidRPr="00DF18FA">
        <w:tab/>
        <w:t>(c)</w:t>
      </w:r>
      <w:r w:rsidRPr="00DF18FA">
        <w:tab/>
        <w:t xml:space="preserve">the responsible applicant or FS company could </w:t>
      </w:r>
      <w:r w:rsidRPr="00DF18FA">
        <w:rPr>
          <w:i/>
          <w:iCs/>
        </w:rPr>
        <w:t>not</w:t>
      </w:r>
      <w:r w:rsidRPr="00DF18FA">
        <w:t xml:space="preserve"> have reasonably prevented or further mitigated the non-compliance;</w:t>
      </w:r>
    </w:p>
    <w:p w14:paraId="06F49276" w14:textId="77777777" w:rsidR="00AA0D2F" w:rsidRPr="00DF18FA" w:rsidRDefault="00AA0D2F" w:rsidP="00AA0D2F">
      <w:pPr>
        <w:pStyle w:val="subsection2"/>
      </w:pPr>
      <w:r w:rsidRPr="00DF18FA">
        <w:t>the responsible applicant:</w:t>
      </w:r>
    </w:p>
    <w:p w14:paraId="6FA376E8" w14:textId="04D7D55E" w:rsidR="00AA0D2F" w:rsidRPr="00DF18FA" w:rsidRDefault="00AA0D2F" w:rsidP="00AA0D2F">
      <w:pPr>
        <w:pStyle w:val="paragraph"/>
      </w:pPr>
      <w:r w:rsidRPr="00DF18FA">
        <w:tab/>
        <w:t>(d)</w:t>
      </w:r>
      <w:r w:rsidRPr="00DF18FA">
        <w:tab/>
        <w:t>must notify the Treasury of the non-compliance (including the cause and extent), the date on which the act, event</w:t>
      </w:r>
      <w:r w:rsidR="001C7902" w:rsidRPr="00DF18FA">
        <w:t>, circumstance, action or suspension</w:t>
      </w:r>
      <w:r w:rsidR="001A56E3" w:rsidRPr="00DF18FA">
        <w:t xml:space="preserve"> (as applicable)</w:t>
      </w:r>
      <w:r w:rsidRPr="00DF18FA">
        <w:t xml:space="preserve"> occurred (or commenced occurring), and the responsible applicant’s proposed response to the non-compliance, by email to FSSA‑IATA@treasury.gov.au, within 30 days of the non</w:t>
      </w:r>
      <w:r w:rsidRPr="00DF18FA">
        <w:noBreakHyphen/>
        <w:t>compliance happening; and</w:t>
      </w:r>
    </w:p>
    <w:p w14:paraId="6D158B67" w14:textId="77777777" w:rsidR="00AA0D2F" w:rsidRPr="00DF18FA" w:rsidRDefault="00AA0D2F" w:rsidP="00AA0D2F">
      <w:pPr>
        <w:pStyle w:val="paragraph"/>
      </w:pPr>
      <w:r w:rsidRPr="00DF18FA">
        <w:tab/>
        <w:t>(e)</w:t>
      </w:r>
      <w:r w:rsidRPr="00DF18FA">
        <w:tab/>
        <w:t>must use its best endeavours to:</w:t>
      </w:r>
    </w:p>
    <w:p w14:paraId="6E91E8A0" w14:textId="5EA91087" w:rsidR="00AA0D2F" w:rsidRPr="00DF18FA" w:rsidRDefault="00AA0D2F" w:rsidP="00AA0D2F">
      <w:pPr>
        <w:pStyle w:val="paragraphsub"/>
      </w:pPr>
      <w:r w:rsidRPr="00DF18FA">
        <w:tab/>
        <w:t>(i)</w:t>
      </w:r>
      <w:r w:rsidRPr="00DF18FA">
        <w:tab/>
        <w:t xml:space="preserve">bring about compliance with the condition as soon as is possible after the act, event, circumstance, action or </w:t>
      </w:r>
      <w:r w:rsidR="001C7902" w:rsidRPr="00DF18FA">
        <w:t>suspension</w:t>
      </w:r>
      <w:r w:rsidRPr="00DF18FA">
        <w:t xml:space="preserve"> (as applicable) ends; and</w:t>
      </w:r>
    </w:p>
    <w:p w14:paraId="6E9625DA" w14:textId="77777777" w:rsidR="00AA0D2F" w:rsidRPr="00DF18FA" w:rsidRDefault="00AA0D2F" w:rsidP="00AA0D2F">
      <w:pPr>
        <w:pStyle w:val="paragraphsub"/>
      </w:pPr>
      <w:r w:rsidRPr="00DF18FA">
        <w:tab/>
        <w:t>(i)</w:t>
      </w:r>
      <w:r w:rsidRPr="00DF18FA">
        <w:tab/>
        <w:t>in the meantime, minimise the extent of any non</w:t>
      </w:r>
      <w:r w:rsidRPr="00DF18FA">
        <w:noBreakHyphen/>
        <w:t>compliance; and</w:t>
      </w:r>
    </w:p>
    <w:p w14:paraId="11371369" w14:textId="77777777" w:rsidR="00AA0D2F" w:rsidRPr="00D260BD" w:rsidRDefault="00AA0D2F" w:rsidP="00AA0D2F">
      <w:pPr>
        <w:pStyle w:val="paragraph"/>
      </w:pPr>
      <w:r w:rsidRPr="00DF18FA">
        <w:tab/>
        <w:t>(f)</w:t>
      </w:r>
      <w:r w:rsidRPr="00DF18FA">
        <w:tab/>
        <w:t xml:space="preserve">while it continues to satisfy paragraphs (d) and (e), does </w:t>
      </w:r>
      <w:r w:rsidRPr="00DF18FA">
        <w:rPr>
          <w:i/>
          <w:iCs/>
        </w:rPr>
        <w:t>not</w:t>
      </w:r>
      <w:r w:rsidRPr="00DF18FA">
        <w:t xml:space="preserve"> otherwise need to comply with the condition.</w:t>
      </w:r>
    </w:p>
    <w:sectPr w:rsidR="00AA0D2F" w:rsidRPr="00D260BD" w:rsidSect="00B824C5">
      <w:headerReference w:type="even" r:id="rId24"/>
      <w:headerReference w:type="default" r:id="rId25"/>
      <w:footerReference w:type="even" r:id="rId26"/>
      <w:footerReference w:type="default" r:id="rId27"/>
      <w:headerReference w:type="first" r:id="rId28"/>
      <w:footerReference w:type="first" r:id="rId29"/>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62F49" w14:textId="77777777" w:rsidR="00E0216F" w:rsidRDefault="00E0216F" w:rsidP="00FA06CA">
      <w:pPr>
        <w:spacing w:line="240" w:lineRule="auto"/>
      </w:pPr>
      <w:r>
        <w:separator/>
      </w:r>
    </w:p>
  </w:endnote>
  <w:endnote w:type="continuationSeparator" w:id="0">
    <w:p w14:paraId="179EFADC" w14:textId="77777777" w:rsidR="00E0216F" w:rsidRDefault="00E0216F" w:rsidP="00FA06CA">
      <w:pPr>
        <w:spacing w:line="240" w:lineRule="auto"/>
      </w:pPr>
      <w:r>
        <w:continuationSeparator/>
      </w:r>
    </w:p>
  </w:endnote>
  <w:endnote w:type="continuationNotice" w:id="1">
    <w:p w14:paraId="31DE4AB6" w14:textId="77777777" w:rsidR="00E0216F" w:rsidRDefault="00E0216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207C7" w14:textId="3C81D528" w:rsidR="00FA06CA" w:rsidRDefault="00FA06CA">
    <w:pPr>
      <w:pStyle w:val="Footer"/>
    </w:pPr>
    <w:bookmarkStart w:id="0" w:name="_Hlk26286429"/>
    <w:bookmarkStart w:id="1" w:name="_Hlk26286430"/>
    <w:bookmarkStart w:id="2" w:name="_Hlk26286433"/>
    <w:bookmarkStart w:id="3" w:name="_Hlk26286434"/>
  </w:p>
  <w:bookmarkEnd w:id="0"/>
  <w:bookmarkEnd w:id="1"/>
  <w:bookmarkEnd w:id="2"/>
  <w:bookmarkEnd w:id="3"/>
  <w:p w14:paraId="6606181A" w14:textId="77777777" w:rsidR="00FA06CA" w:rsidRPr="007500C8" w:rsidRDefault="00FA06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49C2D" w14:textId="77777777" w:rsidR="00FA06CA" w:rsidRPr="00ED79B6" w:rsidRDefault="00FA06CA">
    <w:pPr>
      <w:pStyle w:val="Footer"/>
      <w:tabs>
        <w:tab w:val="clear" w:pos="4153"/>
        <w:tab w:val="clear" w:pos="8306"/>
        <w:tab w:val="center" w:pos="4150"/>
        <w:tab w:val="right" w:pos="8307"/>
      </w:tabs>
      <w:spacing w:before="120"/>
    </w:pPr>
    <w:bookmarkStart w:id="6" w:name="_Hlk26286431"/>
    <w:bookmarkStart w:id="7" w:name="_Hlk26286432"/>
    <w:bookmarkStart w:id="8" w:name="_Hlk26286443"/>
    <w:bookmarkStart w:id="9" w:name="_Hlk26286444"/>
    <w:bookmarkEnd w:id="6"/>
    <w:bookmarkEnd w:id="7"/>
    <w:bookmarkEnd w:id="8"/>
    <w:bookmarkEnd w:id="9"/>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A649E" w14:textId="16C234D3" w:rsidR="00FA06CA" w:rsidRPr="00E33C1C" w:rsidRDefault="00FA06CA">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709"/>
      <w:gridCol w:w="6379"/>
      <w:gridCol w:w="1384"/>
    </w:tblGrid>
    <w:tr w:rsidR="00FA06CA" w14:paraId="6B87D370" w14:textId="77777777" w:rsidTr="000978C5">
      <w:tc>
        <w:tcPr>
          <w:tcW w:w="709" w:type="dxa"/>
          <w:tcBorders>
            <w:top w:val="nil"/>
            <w:left w:val="nil"/>
            <w:bottom w:val="nil"/>
            <w:right w:val="nil"/>
          </w:tcBorders>
        </w:tcPr>
        <w:p w14:paraId="2BD2CC54" w14:textId="77777777" w:rsidR="00FA06CA" w:rsidRDefault="00FA06CA">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tcBorders>
            <w:top w:val="nil"/>
            <w:left w:val="nil"/>
            <w:bottom w:val="nil"/>
            <w:right w:val="nil"/>
          </w:tcBorders>
        </w:tcPr>
        <w:p w14:paraId="50F57E91" w14:textId="7E52D7FF" w:rsidR="00FA06CA" w:rsidRDefault="00FA06CA">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01645F">
            <w:rPr>
              <w:i/>
              <w:noProof/>
              <w:sz w:val="18"/>
            </w:rPr>
            <w:t>Financial Sector (Shareholdings) (Suncorp-Metway Limited) Instrument 2024</w:t>
          </w:r>
          <w:r>
            <w:rPr>
              <w:i/>
              <w:sz w:val="18"/>
            </w:rPr>
            <w:fldChar w:fldCharType="end"/>
          </w:r>
        </w:p>
      </w:tc>
      <w:tc>
        <w:tcPr>
          <w:tcW w:w="1384" w:type="dxa"/>
          <w:tcBorders>
            <w:top w:val="nil"/>
            <w:left w:val="nil"/>
            <w:bottom w:val="nil"/>
            <w:right w:val="nil"/>
          </w:tcBorders>
        </w:tcPr>
        <w:p w14:paraId="75056886" w14:textId="77777777" w:rsidR="00FA06CA" w:rsidRDefault="00FA06CA">
          <w:pPr>
            <w:spacing w:line="0" w:lineRule="atLeast"/>
            <w:jc w:val="right"/>
            <w:rPr>
              <w:sz w:val="18"/>
            </w:rPr>
          </w:pPr>
        </w:p>
      </w:tc>
    </w:tr>
  </w:tbl>
  <w:p w14:paraId="0964EC3B" w14:textId="77777777" w:rsidR="00FA06CA" w:rsidRPr="00ED79B6" w:rsidRDefault="00FA06CA">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DAF18" w14:textId="0CBC122E" w:rsidR="00FA06CA" w:rsidRPr="00E33C1C" w:rsidRDefault="00FA06CA">
    <w:pPr>
      <w:pBdr>
        <w:top w:val="single" w:sz="6" w:space="1" w:color="auto"/>
      </w:pBdr>
      <w:spacing w:before="120" w:line="0" w:lineRule="atLeast"/>
      <w:rPr>
        <w:sz w:val="16"/>
        <w:szCs w:val="16"/>
      </w:rPr>
    </w:pPr>
    <w:bookmarkStart w:id="10" w:name="_Hlk26286441"/>
    <w:bookmarkStart w:id="11" w:name="_Hlk26286442"/>
    <w:bookmarkStart w:id="12" w:name="_Hlk26286445"/>
    <w:bookmarkStart w:id="13" w:name="_Hlk26286446"/>
  </w:p>
  <w:tbl>
    <w:tblPr>
      <w:tblStyle w:val="TableGrid"/>
      <w:tblW w:w="8472" w:type="dxa"/>
      <w:tblLayout w:type="fixed"/>
      <w:tblLook w:val="04A0" w:firstRow="1" w:lastRow="0" w:firstColumn="1" w:lastColumn="0" w:noHBand="0" w:noVBand="1"/>
    </w:tblPr>
    <w:tblGrid>
      <w:gridCol w:w="1383"/>
      <w:gridCol w:w="6380"/>
      <w:gridCol w:w="709"/>
    </w:tblGrid>
    <w:tr w:rsidR="00FA06CA" w14:paraId="4C269917" w14:textId="77777777">
      <w:tc>
        <w:tcPr>
          <w:tcW w:w="1383" w:type="dxa"/>
          <w:tcBorders>
            <w:top w:val="nil"/>
            <w:left w:val="nil"/>
            <w:bottom w:val="nil"/>
            <w:right w:val="nil"/>
          </w:tcBorders>
        </w:tcPr>
        <w:p w14:paraId="2582FD51" w14:textId="77777777" w:rsidR="00FA06CA" w:rsidRDefault="00FA06CA">
          <w:pPr>
            <w:spacing w:line="0" w:lineRule="atLeast"/>
            <w:rPr>
              <w:sz w:val="18"/>
            </w:rPr>
          </w:pPr>
        </w:p>
      </w:tc>
      <w:tc>
        <w:tcPr>
          <w:tcW w:w="6380" w:type="dxa"/>
          <w:tcBorders>
            <w:top w:val="nil"/>
            <w:left w:val="nil"/>
            <w:bottom w:val="nil"/>
            <w:right w:val="nil"/>
          </w:tcBorders>
        </w:tcPr>
        <w:p w14:paraId="2D3CDED9" w14:textId="482E0CEF" w:rsidR="00FA06CA" w:rsidRDefault="00FA06CA">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DF18FA">
            <w:rPr>
              <w:i/>
              <w:noProof/>
              <w:sz w:val="18"/>
            </w:rPr>
            <w:t>Financial Sector (Shareholdings) (Suncorp-Metway Limited) Instrument 2024</w:t>
          </w:r>
          <w:r>
            <w:rPr>
              <w:i/>
              <w:sz w:val="18"/>
            </w:rPr>
            <w:fldChar w:fldCharType="end"/>
          </w:r>
        </w:p>
      </w:tc>
      <w:tc>
        <w:tcPr>
          <w:tcW w:w="709" w:type="dxa"/>
          <w:tcBorders>
            <w:top w:val="nil"/>
            <w:left w:val="nil"/>
            <w:bottom w:val="nil"/>
            <w:right w:val="nil"/>
          </w:tcBorders>
        </w:tcPr>
        <w:p w14:paraId="133DFD2E" w14:textId="77777777" w:rsidR="00FA06CA" w:rsidRDefault="00FA06C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bookmarkEnd w:id="10"/>
    <w:bookmarkEnd w:id="11"/>
    <w:bookmarkEnd w:id="12"/>
    <w:bookmarkEnd w:id="13"/>
  </w:tbl>
  <w:p w14:paraId="3E833238" w14:textId="77777777" w:rsidR="00FA06CA" w:rsidRPr="00ED79B6" w:rsidRDefault="00FA06CA">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3C756" w14:textId="27B998A2" w:rsidR="00CF01D4" w:rsidRPr="00E33C1C" w:rsidRDefault="00CF01D4">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709"/>
      <w:gridCol w:w="6379"/>
      <w:gridCol w:w="1384"/>
    </w:tblGrid>
    <w:tr w:rsidR="009C0B75" w14:paraId="5933423D" w14:textId="77777777" w:rsidTr="000978C5">
      <w:tc>
        <w:tcPr>
          <w:tcW w:w="709" w:type="dxa"/>
          <w:tcBorders>
            <w:top w:val="nil"/>
            <w:left w:val="nil"/>
            <w:bottom w:val="nil"/>
            <w:right w:val="nil"/>
          </w:tcBorders>
        </w:tcPr>
        <w:p w14:paraId="07C2F8A6" w14:textId="77777777" w:rsidR="00CF01D4" w:rsidRDefault="0063607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5DC9B9F1" w14:textId="09ED96E1" w:rsidR="00CF01D4" w:rsidRDefault="00636078">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DF18FA">
            <w:rPr>
              <w:i/>
              <w:noProof/>
              <w:sz w:val="18"/>
            </w:rPr>
            <w:t>Financial Sector (Shareholdings) (Suncorp-Metway Limited) Instrument 2024</w:t>
          </w:r>
          <w:r>
            <w:rPr>
              <w:i/>
              <w:sz w:val="18"/>
            </w:rPr>
            <w:fldChar w:fldCharType="end"/>
          </w:r>
        </w:p>
      </w:tc>
      <w:tc>
        <w:tcPr>
          <w:tcW w:w="1384" w:type="dxa"/>
          <w:tcBorders>
            <w:top w:val="nil"/>
            <w:left w:val="nil"/>
            <w:bottom w:val="nil"/>
            <w:right w:val="nil"/>
          </w:tcBorders>
        </w:tcPr>
        <w:p w14:paraId="1EEF30E3" w14:textId="77777777" w:rsidR="00CF01D4" w:rsidRDefault="00CF01D4">
          <w:pPr>
            <w:spacing w:line="0" w:lineRule="atLeast"/>
            <w:jc w:val="right"/>
            <w:rPr>
              <w:sz w:val="18"/>
            </w:rPr>
          </w:pPr>
        </w:p>
      </w:tc>
    </w:tr>
  </w:tbl>
  <w:p w14:paraId="48A6427A" w14:textId="77777777" w:rsidR="00CF01D4" w:rsidRPr="00ED79B6" w:rsidRDefault="00CF01D4">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0A748" w14:textId="254AF607" w:rsidR="00CF01D4" w:rsidRPr="00E33C1C" w:rsidRDefault="00CF01D4">
    <w:pPr>
      <w:pBdr>
        <w:top w:val="single" w:sz="6" w:space="1" w:color="auto"/>
      </w:pBdr>
      <w:spacing w:before="120" w:line="0" w:lineRule="atLeast"/>
      <w:rPr>
        <w:sz w:val="16"/>
        <w:szCs w:val="16"/>
      </w:rPr>
    </w:pPr>
    <w:bookmarkStart w:id="28" w:name="_Hlk26286453"/>
    <w:bookmarkStart w:id="29" w:name="_Hlk26286454"/>
    <w:bookmarkStart w:id="30" w:name="_Hlk26286457"/>
    <w:bookmarkStart w:id="31" w:name="_Hlk26286458"/>
  </w:p>
  <w:tbl>
    <w:tblPr>
      <w:tblStyle w:val="TableGrid"/>
      <w:tblW w:w="0" w:type="auto"/>
      <w:tblLook w:val="04A0" w:firstRow="1" w:lastRow="0" w:firstColumn="1" w:lastColumn="0" w:noHBand="0" w:noVBand="1"/>
    </w:tblPr>
    <w:tblGrid>
      <w:gridCol w:w="1356"/>
      <w:gridCol w:w="6258"/>
      <w:gridCol w:w="699"/>
    </w:tblGrid>
    <w:tr w:rsidR="009C0B75" w14:paraId="1B4B282B" w14:textId="77777777" w:rsidTr="000978C5">
      <w:tc>
        <w:tcPr>
          <w:tcW w:w="1356" w:type="dxa"/>
          <w:tcBorders>
            <w:top w:val="nil"/>
            <w:left w:val="nil"/>
            <w:bottom w:val="nil"/>
            <w:right w:val="nil"/>
          </w:tcBorders>
        </w:tcPr>
        <w:p w14:paraId="7FEE34FE" w14:textId="77777777" w:rsidR="00CF01D4" w:rsidRDefault="00CF01D4">
          <w:pPr>
            <w:spacing w:line="0" w:lineRule="atLeast"/>
            <w:rPr>
              <w:sz w:val="18"/>
            </w:rPr>
          </w:pPr>
        </w:p>
      </w:tc>
      <w:tc>
        <w:tcPr>
          <w:tcW w:w="6258" w:type="dxa"/>
          <w:tcBorders>
            <w:top w:val="nil"/>
            <w:left w:val="nil"/>
            <w:bottom w:val="nil"/>
            <w:right w:val="nil"/>
          </w:tcBorders>
        </w:tcPr>
        <w:p w14:paraId="7073EB2F" w14:textId="050AE410" w:rsidR="00CF01D4" w:rsidRDefault="00636078">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DF18FA">
            <w:rPr>
              <w:i/>
              <w:noProof/>
              <w:sz w:val="18"/>
            </w:rPr>
            <w:t>Financial Sector (Shareholdings) (Suncorp-Metway Limited) Instrument 2024</w:t>
          </w:r>
          <w:r>
            <w:rPr>
              <w:i/>
              <w:sz w:val="18"/>
            </w:rPr>
            <w:fldChar w:fldCharType="end"/>
          </w:r>
        </w:p>
      </w:tc>
      <w:tc>
        <w:tcPr>
          <w:tcW w:w="699" w:type="dxa"/>
          <w:tcBorders>
            <w:top w:val="nil"/>
            <w:left w:val="nil"/>
            <w:bottom w:val="nil"/>
            <w:right w:val="nil"/>
          </w:tcBorders>
        </w:tcPr>
        <w:p w14:paraId="2A124E1B" w14:textId="77777777" w:rsidR="00CF01D4" w:rsidRDefault="0063607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bookmarkEnd w:id="28"/>
    <w:bookmarkEnd w:id="29"/>
    <w:bookmarkEnd w:id="30"/>
    <w:bookmarkEnd w:id="31"/>
  </w:tbl>
  <w:p w14:paraId="3D8FA120" w14:textId="77777777" w:rsidR="00CF01D4" w:rsidRPr="00ED79B6" w:rsidRDefault="00CF01D4">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8AC03" w14:textId="77777777" w:rsidR="00CF01D4" w:rsidRPr="00E33C1C" w:rsidRDefault="00CF01D4">
    <w:pPr>
      <w:pBdr>
        <w:top w:val="single" w:sz="6" w:space="1" w:color="auto"/>
      </w:pBdr>
      <w:spacing w:line="0" w:lineRule="atLeast"/>
      <w:rPr>
        <w:sz w:val="16"/>
        <w:szCs w:val="16"/>
      </w:rPr>
    </w:pPr>
    <w:bookmarkStart w:id="34" w:name="_Hlk26286455"/>
    <w:bookmarkStart w:id="35" w:name="_Hlk26286456"/>
  </w:p>
  <w:tbl>
    <w:tblPr>
      <w:tblStyle w:val="TableGrid"/>
      <w:tblW w:w="0" w:type="auto"/>
      <w:tblLook w:val="04A0" w:firstRow="1" w:lastRow="0" w:firstColumn="1" w:lastColumn="0" w:noHBand="0" w:noVBand="1"/>
    </w:tblPr>
    <w:tblGrid>
      <w:gridCol w:w="1356"/>
      <w:gridCol w:w="6258"/>
      <w:gridCol w:w="699"/>
    </w:tblGrid>
    <w:tr w:rsidR="009C0B75" w14:paraId="0DB837BF" w14:textId="77777777" w:rsidTr="000978C5">
      <w:tc>
        <w:tcPr>
          <w:tcW w:w="1356" w:type="dxa"/>
          <w:tcBorders>
            <w:top w:val="nil"/>
            <w:left w:val="nil"/>
            <w:bottom w:val="nil"/>
            <w:right w:val="nil"/>
          </w:tcBorders>
        </w:tcPr>
        <w:p w14:paraId="2B0BF464" w14:textId="77777777" w:rsidR="00CF01D4" w:rsidRDefault="00CF01D4">
          <w:pPr>
            <w:spacing w:line="0" w:lineRule="atLeast"/>
            <w:rPr>
              <w:sz w:val="18"/>
            </w:rPr>
          </w:pPr>
        </w:p>
      </w:tc>
      <w:tc>
        <w:tcPr>
          <w:tcW w:w="6258" w:type="dxa"/>
          <w:tcBorders>
            <w:top w:val="nil"/>
            <w:left w:val="nil"/>
            <w:bottom w:val="nil"/>
            <w:right w:val="nil"/>
          </w:tcBorders>
        </w:tcPr>
        <w:p w14:paraId="04AB5934" w14:textId="2A90098B" w:rsidR="00CF01D4" w:rsidRDefault="0063607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1645F">
            <w:rPr>
              <w:i/>
              <w:sz w:val="18"/>
            </w:rPr>
            <w:t>Financial Sector (Shareholdings) (Suncorp Bank) Instrument 2024</w:t>
          </w:r>
          <w:r w:rsidRPr="007A1328">
            <w:rPr>
              <w:i/>
              <w:sz w:val="18"/>
            </w:rPr>
            <w:fldChar w:fldCharType="end"/>
          </w:r>
        </w:p>
      </w:tc>
      <w:tc>
        <w:tcPr>
          <w:tcW w:w="699" w:type="dxa"/>
          <w:tcBorders>
            <w:top w:val="nil"/>
            <w:left w:val="nil"/>
            <w:bottom w:val="nil"/>
            <w:right w:val="nil"/>
          </w:tcBorders>
        </w:tcPr>
        <w:p w14:paraId="3C89CE32" w14:textId="77777777" w:rsidR="00CF01D4" w:rsidRDefault="0063607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bookmarkEnd w:id="34"/>
    <w:bookmarkEnd w:id="35"/>
  </w:tbl>
  <w:p w14:paraId="224AA40E" w14:textId="77777777" w:rsidR="00CF01D4" w:rsidRPr="00ED79B6" w:rsidRDefault="00CF01D4">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B7EEE" w14:textId="77777777" w:rsidR="00E0216F" w:rsidRDefault="00E0216F" w:rsidP="00FA06CA">
      <w:pPr>
        <w:spacing w:line="240" w:lineRule="auto"/>
      </w:pPr>
      <w:r>
        <w:separator/>
      </w:r>
    </w:p>
  </w:footnote>
  <w:footnote w:type="continuationSeparator" w:id="0">
    <w:p w14:paraId="263201A4" w14:textId="77777777" w:rsidR="00E0216F" w:rsidRDefault="00E0216F" w:rsidP="00FA06CA">
      <w:pPr>
        <w:spacing w:line="240" w:lineRule="auto"/>
      </w:pPr>
      <w:r>
        <w:continuationSeparator/>
      </w:r>
    </w:p>
  </w:footnote>
  <w:footnote w:type="continuationNotice" w:id="1">
    <w:p w14:paraId="27FDF4EE" w14:textId="77777777" w:rsidR="00E0216F" w:rsidRDefault="00E0216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4BA77" w14:textId="7A955C50" w:rsidR="00FA06CA" w:rsidRPr="005F1388" w:rsidRDefault="00FA06CA">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C1E1B" w14:textId="5A62E252" w:rsidR="00FA06CA" w:rsidRPr="005F1388" w:rsidRDefault="00FA06CA">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0E785" w14:textId="77777777" w:rsidR="00FA06CA" w:rsidRPr="005F1388" w:rsidRDefault="00FA06CA">
    <w:pPr>
      <w:pStyle w:val="Header"/>
      <w:tabs>
        <w:tab w:val="clear" w:pos="4150"/>
        <w:tab w:val="clear" w:pos="8307"/>
      </w:tabs>
    </w:pPr>
    <w:bookmarkStart w:id="4" w:name="_Hlk26286425"/>
    <w:bookmarkStart w:id="5" w:name="_Hlk26286426"/>
    <w:bookmarkEnd w:id="4"/>
    <w:bookmarkEnd w:id="5"/>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375C3" w14:textId="584F02EC" w:rsidR="00FA06CA" w:rsidRPr="00ED79B6" w:rsidRDefault="00FA06CA">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5D07B" w14:textId="0C98FC99" w:rsidR="00FA06CA" w:rsidRPr="00ED79B6" w:rsidRDefault="00FA06CA">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E2D98" w14:textId="77777777" w:rsidR="00FA06CA" w:rsidRPr="00ED79B6" w:rsidRDefault="00FA06CA">
    <w:pPr>
      <w:pStyle w:val="Header"/>
      <w:tabs>
        <w:tab w:val="clear" w:pos="4150"/>
        <w:tab w:val="clear" w:pos="8307"/>
      </w:tabs>
    </w:pPr>
    <w:bookmarkStart w:id="14" w:name="_Hlk26286437"/>
    <w:bookmarkStart w:id="15" w:name="_Hlk26286438"/>
    <w:bookmarkEnd w:id="14"/>
    <w:bookmarkEnd w:id="15"/>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F10D0" w14:textId="1DE4523E" w:rsidR="00CF01D4" w:rsidRDefault="00636078">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64B4DD1E" w14:textId="09D46490" w:rsidR="00CF01D4" w:rsidRDefault="00636078">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DF18FA">
      <w:rPr>
        <w:b/>
        <w:noProof/>
        <w:sz w:val="20"/>
      </w:rPr>
      <w:t>Part 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DF18FA">
      <w:rPr>
        <w:noProof/>
        <w:sz w:val="20"/>
      </w:rPr>
      <w:t>Approvals to exceed 20% shareholding limit</w:t>
    </w:r>
    <w:r>
      <w:rPr>
        <w:sz w:val="20"/>
      </w:rPr>
      <w:fldChar w:fldCharType="end"/>
    </w:r>
  </w:p>
  <w:p w14:paraId="0993B4C6" w14:textId="2A20942B" w:rsidR="00CF01D4" w:rsidRPr="007A1328" w:rsidRDefault="00636078">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028AC07D" w14:textId="77777777" w:rsidR="00CF01D4" w:rsidRPr="007A1328" w:rsidRDefault="00CF01D4">
    <w:pPr>
      <w:rPr>
        <w:b/>
        <w:sz w:val="24"/>
      </w:rPr>
    </w:pPr>
  </w:p>
  <w:p w14:paraId="20072380" w14:textId="5AFE34D5" w:rsidR="00CF01D4" w:rsidRPr="007A1328" w:rsidRDefault="00636078">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01645F">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DF18FA">
      <w:rPr>
        <w:noProof/>
        <w:sz w:val="24"/>
      </w:rPr>
      <w:t>6</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4" w:name="_Hlk26286447"/>
  <w:bookmarkStart w:id="25" w:name="_Hlk26286448"/>
  <w:bookmarkStart w:id="26" w:name="_Hlk26286451"/>
  <w:bookmarkStart w:id="27" w:name="_Hlk26286452"/>
  <w:p w14:paraId="39A42BBA" w14:textId="288F1AEE" w:rsidR="00CF01D4" w:rsidRPr="007A1328" w:rsidRDefault="00636078">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6A2E5782" w14:textId="6681EBCD" w:rsidR="00CF01D4" w:rsidRPr="007A1328" w:rsidRDefault="00636078">
    <w:pPr>
      <w:jc w:val="right"/>
      <w:rPr>
        <w:sz w:val="20"/>
      </w:rPr>
    </w:pPr>
    <w:r w:rsidRPr="007A1328">
      <w:rPr>
        <w:sz w:val="20"/>
      </w:rPr>
      <w:fldChar w:fldCharType="begin"/>
    </w:r>
    <w:r w:rsidRPr="007A1328">
      <w:rPr>
        <w:sz w:val="20"/>
      </w:rPr>
      <w:instrText xml:space="preserve"> STYLEREF CharPartText </w:instrText>
    </w:r>
    <w:r w:rsidR="00DF18FA">
      <w:rPr>
        <w:sz w:val="20"/>
      </w:rPr>
      <w:fldChar w:fldCharType="separate"/>
    </w:r>
    <w:r w:rsidR="00DF18FA">
      <w:rPr>
        <w:noProof/>
        <w:sz w:val="20"/>
      </w:rPr>
      <w:t>Approvals to exceed 20% shareholding limit</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DF18FA">
      <w:rPr>
        <w:b/>
        <w:sz w:val="20"/>
      </w:rPr>
      <w:fldChar w:fldCharType="separate"/>
    </w:r>
    <w:r w:rsidR="00DF18FA">
      <w:rPr>
        <w:b/>
        <w:noProof/>
        <w:sz w:val="20"/>
      </w:rPr>
      <w:t>Part 2</w:t>
    </w:r>
    <w:r>
      <w:rPr>
        <w:b/>
        <w:sz w:val="20"/>
      </w:rPr>
      <w:fldChar w:fldCharType="end"/>
    </w:r>
  </w:p>
  <w:p w14:paraId="0EE0075F" w14:textId="44F9D37E" w:rsidR="00CF01D4" w:rsidRPr="007A1328" w:rsidRDefault="00636078">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438785A1" w14:textId="77777777" w:rsidR="00CF01D4" w:rsidRPr="007A1328" w:rsidRDefault="00CF01D4">
    <w:pPr>
      <w:jc w:val="right"/>
      <w:rPr>
        <w:b/>
        <w:sz w:val="24"/>
      </w:rPr>
    </w:pPr>
  </w:p>
  <w:p w14:paraId="411E3B38" w14:textId="2EE28F29" w:rsidR="00CF01D4" w:rsidRPr="007A1328" w:rsidRDefault="00636078">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01645F">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DF18FA">
      <w:rPr>
        <w:noProof/>
        <w:sz w:val="24"/>
      </w:rPr>
      <w:t>6</w:t>
    </w:r>
    <w:r w:rsidRPr="007A1328">
      <w:rPr>
        <w:sz w:val="24"/>
      </w:rPr>
      <w:fldChar w:fldCharType="end"/>
    </w:r>
    <w:bookmarkEnd w:id="24"/>
    <w:bookmarkEnd w:id="25"/>
    <w:bookmarkEnd w:id="26"/>
    <w:bookmarkEnd w:id="27"/>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82203" w14:textId="77777777" w:rsidR="00CF01D4" w:rsidRPr="007A1328" w:rsidRDefault="00CF01D4">
    <w:bookmarkStart w:id="32" w:name="_Hlk26286449"/>
    <w:bookmarkStart w:id="33" w:name="_Hlk26286450"/>
    <w:bookmarkEnd w:id="32"/>
    <w:bookmarkEnd w:id="3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97CF7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E438D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F607C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E2C4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B22BD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2C0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78E6CE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8CAE6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95A7F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E5056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FF2717F"/>
    <w:multiLevelType w:val="hybridMultilevel"/>
    <w:tmpl w:val="A1965EA6"/>
    <w:lvl w:ilvl="0" w:tplc="638C7346">
      <w:start w:val="1"/>
      <w:numFmt w:val="lowerLetter"/>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12" w15:restartNumberingAfterBreak="0">
    <w:nsid w:val="196A1FF4"/>
    <w:multiLevelType w:val="hybridMultilevel"/>
    <w:tmpl w:val="7DF4922E"/>
    <w:lvl w:ilvl="0" w:tplc="6B4493A4">
      <w:start w:val="1"/>
      <w:numFmt w:val="decimal"/>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3" w15:restartNumberingAfterBreak="0">
    <w:nsid w:val="248712F7"/>
    <w:multiLevelType w:val="hybridMultilevel"/>
    <w:tmpl w:val="9C74782C"/>
    <w:lvl w:ilvl="0" w:tplc="D85A6CF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5" w15:restartNumberingAfterBreak="0">
    <w:nsid w:val="3E7E2096"/>
    <w:multiLevelType w:val="hybridMultilevel"/>
    <w:tmpl w:val="177C38C6"/>
    <w:lvl w:ilvl="0" w:tplc="95904360">
      <w:start w:val="1"/>
      <w:numFmt w:val="decimal"/>
      <w:lvlText w:val="(%1)"/>
      <w:lvlJc w:val="left"/>
      <w:pPr>
        <w:ind w:left="1140" w:hanging="390"/>
      </w:pPr>
      <w:rPr>
        <w:rFonts w:hint="default"/>
      </w:rPr>
    </w:lvl>
    <w:lvl w:ilvl="1" w:tplc="0C090019" w:tentative="1">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16" w15:restartNumberingAfterBreak="0">
    <w:nsid w:val="40984D52"/>
    <w:multiLevelType w:val="hybridMultilevel"/>
    <w:tmpl w:val="177C38C6"/>
    <w:lvl w:ilvl="0" w:tplc="FFFFFFFF">
      <w:start w:val="1"/>
      <w:numFmt w:val="decimal"/>
      <w:lvlText w:val="(%1)"/>
      <w:lvlJc w:val="left"/>
      <w:pPr>
        <w:ind w:left="1140" w:hanging="390"/>
      </w:pPr>
      <w:rPr>
        <w:rFonts w:hint="default"/>
      </w:rPr>
    </w:lvl>
    <w:lvl w:ilvl="1" w:tplc="FFFFFFFF" w:tentative="1">
      <w:start w:val="1"/>
      <w:numFmt w:val="lowerLetter"/>
      <w:lvlText w:val="%2."/>
      <w:lvlJc w:val="left"/>
      <w:pPr>
        <w:ind w:left="1830" w:hanging="360"/>
      </w:pPr>
    </w:lvl>
    <w:lvl w:ilvl="2" w:tplc="FFFFFFFF" w:tentative="1">
      <w:start w:val="1"/>
      <w:numFmt w:val="lowerRoman"/>
      <w:lvlText w:val="%3."/>
      <w:lvlJc w:val="right"/>
      <w:pPr>
        <w:ind w:left="2550" w:hanging="180"/>
      </w:pPr>
    </w:lvl>
    <w:lvl w:ilvl="3" w:tplc="FFFFFFFF" w:tentative="1">
      <w:start w:val="1"/>
      <w:numFmt w:val="decimal"/>
      <w:lvlText w:val="%4."/>
      <w:lvlJc w:val="left"/>
      <w:pPr>
        <w:ind w:left="3270" w:hanging="360"/>
      </w:pPr>
    </w:lvl>
    <w:lvl w:ilvl="4" w:tplc="FFFFFFFF" w:tentative="1">
      <w:start w:val="1"/>
      <w:numFmt w:val="lowerLetter"/>
      <w:lvlText w:val="%5."/>
      <w:lvlJc w:val="left"/>
      <w:pPr>
        <w:ind w:left="3990" w:hanging="360"/>
      </w:pPr>
    </w:lvl>
    <w:lvl w:ilvl="5" w:tplc="FFFFFFFF" w:tentative="1">
      <w:start w:val="1"/>
      <w:numFmt w:val="lowerRoman"/>
      <w:lvlText w:val="%6."/>
      <w:lvlJc w:val="right"/>
      <w:pPr>
        <w:ind w:left="4710" w:hanging="180"/>
      </w:pPr>
    </w:lvl>
    <w:lvl w:ilvl="6" w:tplc="FFFFFFFF" w:tentative="1">
      <w:start w:val="1"/>
      <w:numFmt w:val="decimal"/>
      <w:lvlText w:val="%7."/>
      <w:lvlJc w:val="left"/>
      <w:pPr>
        <w:ind w:left="5430" w:hanging="360"/>
      </w:pPr>
    </w:lvl>
    <w:lvl w:ilvl="7" w:tplc="FFFFFFFF" w:tentative="1">
      <w:start w:val="1"/>
      <w:numFmt w:val="lowerLetter"/>
      <w:lvlText w:val="%8."/>
      <w:lvlJc w:val="left"/>
      <w:pPr>
        <w:ind w:left="6150" w:hanging="360"/>
      </w:pPr>
    </w:lvl>
    <w:lvl w:ilvl="8" w:tplc="FFFFFFFF" w:tentative="1">
      <w:start w:val="1"/>
      <w:numFmt w:val="lowerRoman"/>
      <w:lvlText w:val="%9."/>
      <w:lvlJc w:val="right"/>
      <w:pPr>
        <w:ind w:left="6870" w:hanging="180"/>
      </w:pPr>
    </w:lvl>
  </w:abstractNum>
  <w:abstractNum w:abstractNumId="17" w15:restartNumberingAfterBreak="0">
    <w:nsid w:val="46E91640"/>
    <w:multiLevelType w:val="hybridMultilevel"/>
    <w:tmpl w:val="EBD25596"/>
    <w:lvl w:ilvl="0" w:tplc="E892EDD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BF52F3B"/>
    <w:multiLevelType w:val="hybridMultilevel"/>
    <w:tmpl w:val="4828921C"/>
    <w:lvl w:ilvl="0" w:tplc="9BF4599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1974906"/>
    <w:multiLevelType w:val="hybridMultilevel"/>
    <w:tmpl w:val="665A13F8"/>
    <w:lvl w:ilvl="0" w:tplc="70C23F2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47C4066"/>
    <w:multiLevelType w:val="hybridMultilevel"/>
    <w:tmpl w:val="177C38C6"/>
    <w:lvl w:ilvl="0" w:tplc="FFFFFFFF">
      <w:start w:val="1"/>
      <w:numFmt w:val="decimal"/>
      <w:lvlText w:val="(%1)"/>
      <w:lvlJc w:val="left"/>
      <w:pPr>
        <w:ind w:left="1140" w:hanging="390"/>
      </w:pPr>
      <w:rPr>
        <w:rFonts w:hint="default"/>
      </w:rPr>
    </w:lvl>
    <w:lvl w:ilvl="1" w:tplc="FFFFFFFF" w:tentative="1">
      <w:start w:val="1"/>
      <w:numFmt w:val="lowerLetter"/>
      <w:lvlText w:val="%2."/>
      <w:lvlJc w:val="left"/>
      <w:pPr>
        <w:ind w:left="1830" w:hanging="360"/>
      </w:pPr>
    </w:lvl>
    <w:lvl w:ilvl="2" w:tplc="FFFFFFFF" w:tentative="1">
      <w:start w:val="1"/>
      <w:numFmt w:val="lowerRoman"/>
      <w:lvlText w:val="%3."/>
      <w:lvlJc w:val="right"/>
      <w:pPr>
        <w:ind w:left="2550" w:hanging="180"/>
      </w:pPr>
    </w:lvl>
    <w:lvl w:ilvl="3" w:tplc="FFFFFFFF" w:tentative="1">
      <w:start w:val="1"/>
      <w:numFmt w:val="decimal"/>
      <w:lvlText w:val="%4."/>
      <w:lvlJc w:val="left"/>
      <w:pPr>
        <w:ind w:left="3270" w:hanging="360"/>
      </w:pPr>
    </w:lvl>
    <w:lvl w:ilvl="4" w:tplc="FFFFFFFF" w:tentative="1">
      <w:start w:val="1"/>
      <w:numFmt w:val="lowerLetter"/>
      <w:lvlText w:val="%5."/>
      <w:lvlJc w:val="left"/>
      <w:pPr>
        <w:ind w:left="3990" w:hanging="360"/>
      </w:pPr>
    </w:lvl>
    <w:lvl w:ilvl="5" w:tplc="FFFFFFFF" w:tentative="1">
      <w:start w:val="1"/>
      <w:numFmt w:val="lowerRoman"/>
      <w:lvlText w:val="%6."/>
      <w:lvlJc w:val="right"/>
      <w:pPr>
        <w:ind w:left="4710" w:hanging="180"/>
      </w:pPr>
    </w:lvl>
    <w:lvl w:ilvl="6" w:tplc="FFFFFFFF" w:tentative="1">
      <w:start w:val="1"/>
      <w:numFmt w:val="decimal"/>
      <w:lvlText w:val="%7."/>
      <w:lvlJc w:val="left"/>
      <w:pPr>
        <w:ind w:left="5430" w:hanging="360"/>
      </w:pPr>
    </w:lvl>
    <w:lvl w:ilvl="7" w:tplc="FFFFFFFF" w:tentative="1">
      <w:start w:val="1"/>
      <w:numFmt w:val="lowerLetter"/>
      <w:lvlText w:val="%8."/>
      <w:lvlJc w:val="left"/>
      <w:pPr>
        <w:ind w:left="6150" w:hanging="360"/>
      </w:pPr>
    </w:lvl>
    <w:lvl w:ilvl="8" w:tplc="FFFFFFFF" w:tentative="1">
      <w:start w:val="1"/>
      <w:numFmt w:val="lowerRoman"/>
      <w:lvlText w:val="%9."/>
      <w:lvlJc w:val="right"/>
      <w:pPr>
        <w:ind w:left="6870" w:hanging="180"/>
      </w:pPr>
    </w:lvl>
  </w:abstractNum>
  <w:abstractNum w:abstractNumId="21" w15:restartNumberingAfterBreak="0">
    <w:nsid w:val="65316152"/>
    <w:multiLevelType w:val="hybridMultilevel"/>
    <w:tmpl w:val="A2E0ED0E"/>
    <w:lvl w:ilvl="0" w:tplc="9E32904E">
      <w:start w:val="1"/>
      <w:numFmt w:val="lowerLetter"/>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22" w15:restartNumberingAfterBreak="0">
    <w:nsid w:val="67B30B8A"/>
    <w:multiLevelType w:val="hybridMultilevel"/>
    <w:tmpl w:val="2AECFE0A"/>
    <w:lvl w:ilvl="0" w:tplc="42064450">
      <w:start w:val="1"/>
      <w:numFmt w:val="lowerLetter"/>
      <w:lvlText w:val="(%1)"/>
      <w:lvlJc w:val="left"/>
      <w:pPr>
        <w:ind w:left="1920" w:hanging="360"/>
      </w:pPr>
      <w:rPr>
        <w:rFonts w:hint="default"/>
      </w:rPr>
    </w:lvl>
    <w:lvl w:ilvl="1" w:tplc="0C090019" w:tentative="1">
      <w:start w:val="1"/>
      <w:numFmt w:val="lowerLetter"/>
      <w:lvlText w:val="%2."/>
      <w:lvlJc w:val="left"/>
      <w:pPr>
        <w:ind w:left="2640" w:hanging="360"/>
      </w:pPr>
    </w:lvl>
    <w:lvl w:ilvl="2" w:tplc="0C09001B" w:tentative="1">
      <w:start w:val="1"/>
      <w:numFmt w:val="lowerRoman"/>
      <w:lvlText w:val="%3."/>
      <w:lvlJc w:val="right"/>
      <w:pPr>
        <w:ind w:left="3360" w:hanging="180"/>
      </w:pPr>
    </w:lvl>
    <w:lvl w:ilvl="3" w:tplc="0C09000F" w:tentative="1">
      <w:start w:val="1"/>
      <w:numFmt w:val="decimal"/>
      <w:lvlText w:val="%4."/>
      <w:lvlJc w:val="left"/>
      <w:pPr>
        <w:ind w:left="4080" w:hanging="360"/>
      </w:pPr>
    </w:lvl>
    <w:lvl w:ilvl="4" w:tplc="0C090019" w:tentative="1">
      <w:start w:val="1"/>
      <w:numFmt w:val="lowerLetter"/>
      <w:lvlText w:val="%5."/>
      <w:lvlJc w:val="left"/>
      <w:pPr>
        <w:ind w:left="4800" w:hanging="360"/>
      </w:pPr>
    </w:lvl>
    <w:lvl w:ilvl="5" w:tplc="0C09001B" w:tentative="1">
      <w:start w:val="1"/>
      <w:numFmt w:val="lowerRoman"/>
      <w:lvlText w:val="%6."/>
      <w:lvlJc w:val="right"/>
      <w:pPr>
        <w:ind w:left="5520" w:hanging="180"/>
      </w:pPr>
    </w:lvl>
    <w:lvl w:ilvl="6" w:tplc="0C09000F" w:tentative="1">
      <w:start w:val="1"/>
      <w:numFmt w:val="decimal"/>
      <w:lvlText w:val="%7."/>
      <w:lvlJc w:val="left"/>
      <w:pPr>
        <w:ind w:left="6240" w:hanging="360"/>
      </w:pPr>
    </w:lvl>
    <w:lvl w:ilvl="7" w:tplc="0C090019" w:tentative="1">
      <w:start w:val="1"/>
      <w:numFmt w:val="lowerLetter"/>
      <w:lvlText w:val="%8."/>
      <w:lvlJc w:val="left"/>
      <w:pPr>
        <w:ind w:left="6960" w:hanging="360"/>
      </w:pPr>
    </w:lvl>
    <w:lvl w:ilvl="8" w:tplc="0C09001B" w:tentative="1">
      <w:start w:val="1"/>
      <w:numFmt w:val="lowerRoman"/>
      <w:lvlText w:val="%9."/>
      <w:lvlJc w:val="right"/>
      <w:pPr>
        <w:ind w:left="7680" w:hanging="180"/>
      </w:pPr>
    </w:lvl>
  </w:abstractNum>
  <w:abstractNum w:abstractNumId="23" w15:restartNumberingAfterBreak="0">
    <w:nsid w:val="6B4F7FC9"/>
    <w:multiLevelType w:val="hybridMultilevel"/>
    <w:tmpl w:val="4A66BECA"/>
    <w:lvl w:ilvl="0" w:tplc="35DA3E30">
      <w:start w:val="1"/>
      <w:numFmt w:val="lowerLetter"/>
      <w:lvlText w:val="(%1)"/>
      <w:lvlJc w:val="left"/>
      <w:pPr>
        <w:ind w:left="1470" w:hanging="360"/>
      </w:pPr>
      <w:rPr>
        <w:rFonts w:hint="default"/>
      </w:rPr>
    </w:lvl>
    <w:lvl w:ilvl="1" w:tplc="0C090019" w:tentative="1">
      <w:start w:val="1"/>
      <w:numFmt w:val="lowerLetter"/>
      <w:lvlText w:val="%2."/>
      <w:lvlJc w:val="left"/>
      <w:pPr>
        <w:ind w:left="2190" w:hanging="360"/>
      </w:pPr>
    </w:lvl>
    <w:lvl w:ilvl="2" w:tplc="0C09001B" w:tentative="1">
      <w:start w:val="1"/>
      <w:numFmt w:val="lowerRoman"/>
      <w:lvlText w:val="%3."/>
      <w:lvlJc w:val="right"/>
      <w:pPr>
        <w:ind w:left="2910" w:hanging="180"/>
      </w:pPr>
    </w:lvl>
    <w:lvl w:ilvl="3" w:tplc="0C09000F" w:tentative="1">
      <w:start w:val="1"/>
      <w:numFmt w:val="decimal"/>
      <w:lvlText w:val="%4."/>
      <w:lvlJc w:val="left"/>
      <w:pPr>
        <w:ind w:left="3630" w:hanging="360"/>
      </w:pPr>
    </w:lvl>
    <w:lvl w:ilvl="4" w:tplc="0C090019" w:tentative="1">
      <w:start w:val="1"/>
      <w:numFmt w:val="lowerLetter"/>
      <w:lvlText w:val="%5."/>
      <w:lvlJc w:val="left"/>
      <w:pPr>
        <w:ind w:left="4350" w:hanging="360"/>
      </w:pPr>
    </w:lvl>
    <w:lvl w:ilvl="5" w:tplc="0C09001B" w:tentative="1">
      <w:start w:val="1"/>
      <w:numFmt w:val="lowerRoman"/>
      <w:lvlText w:val="%6."/>
      <w:lvlJc w:val="right"/>
      <w:pPr>
        <w:ind w:left="5070" w:hanging="180"/>
      </w:pPr>
    </w:lvl>
    <w:lvl w:ilvl="6" w:tplc="0C09000F" w:tentative="1">
      <w:start w:val="1"/>
      <w:numFmt w:val="decimal"/>
      <w:lvlText w:val="%7."/>
      <w:lvlJc w:val="left"/>
      <w:pPr>
        <w:ind w:left="5790" w:hanging="360"/>
      </w:pPr>
    </w:lvl>
    <w:lvl w:ilvl="7" w:tplc="0C090019" w:tentative="1">
      <w:start w:val="1"/>
      <w:numFmt w:val="lowerLetter"/>
      <w:lvlText w:val="%8."/>
      <w:lvlJc w:val="left"/>
      <w:pPr>
        <w:ind w:left="6510" w:hanging="360"/>
      </w:pPr>
    </w:lvl>
    <w:lvl w:ilvl="8" w:tplc="0C09001B" w:tentative="1">
      <w:start w:val="1"/>
      <w:numFmt w:val="lowerRoman"/>
      <w:lvlText w:val="%9."/>
      <w:lvlJc w:val="right"/>
      <w:pPr>
        <w:ind w:left="7230" w:hanging="180"/>
      </w:pPr>
    </w:lvl>
  </w:abstractNum>
  <w:abstractNum w:abstractNumId="24" w15:restartNumberingAfterBreak="0">
    <w:nsid w:val="6CA11DB8"/>
    <w:multiLevelType w:val="hybridMultilevel"/>
    <w:tmpl w:val="B4CA16FA"/>
    <w:lvl w:ilvl="0" w:tplc="E7C89B8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2AE5CEB"/>
    <w:multiLevelType w:val="hybridMultilevel"/>
    <w:tmpl w:val="62DE7A7E"/>
    <w:lvl w:ilvl="0" w:tplc="F434F974">
      <w:start w:val="1"/>
      <w:numFmt w:val="lowerLetter"/>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num w:numId="1" w16cid:durableId="1447000359">
    <w:abstractNumId w:val="9"/>
  </w:num>
  <w:num w:numId="2" w16cid:durableId="799498029">
    <w:abstractNumId w:val="7"/>
  </w:num>
  <w:num w:numId="3" w16cid:durableId="1311322195">
    <w:abstractNumId w:val="6"/>
  </w:num>
  <w:num w:numId="4" w16cid:durableId="1971671157">
    <w:abstractNumId w:val="5"/>
  </w:num>
  <w:num w:numId="5" w16cid:durableId="1796561882">
    <w:abstractNumId w:val="4"/>
  </w:num>
  <w:num w:numId="6" w16cid:durableId="2052802549">
    <w:abstractNumId w:val="8"/>
  </w:num>
  <w:num w:numId="7" w16cid:durableId="1545212129">
    <w:abstractNumId w:val="3"/>
  </w:num>
  <w:num w:numId="8" w16cid:durableId="1561941456">
    <w:abstractNumId w:val="2"/>
  </w:num>
  <w:num w:numId="9" w16cid:durableId="1393381178">
    <w:abstractNumId w:val="1"/>
  </w:num>
  <w:num w:numId="10" w16cid:durableId="911742555">
    <w:abstractNumId w:val="0"/>
  </w:num>
  <w:num w:numId="11" w16cid:durableId="2116362328">
    <w:abstractNumId w:val="14"/>
  </w:num>
  <w:num w:numId="12" w16cid:durableId="893849840">
    <w:abstractNumId w:val="10"/>
  </w:num>
  <w:num w:numId="13" w16cid:durableId="209998993">
    <w:abstractNumId w:val="24"/>
  </w:num>
  <w:num w:numId="14" w16cid:durableId="988435580">
    <w:abstractNumId w:val="18"/>
  </w:num>
  <w:num w:numId="15" w16cid:durableId="644511584">
    <w:abstractNumId w:val="13"/>
  </w:num>
  <w:num w:numId="16" w16cid:durableId="1820490547">
    <w:abstractNumId w:val="12"/>
  </w:num>
  <w:num w:numId="17" w16cid:durableId="243299460">
    <w:abstractNumId w:val="15"/>
  </w:num>
  <w:num w:numId="18" w16cid:durableId="231938455">
    <w:abstractNumId w:val="25"/>
  </w:num>
  <w:num w:numId="19" w16cid:durableId="1024862901">
    <w:abstractNumId w:val="23"/>
  </w:num>
  <w:num w:numId="20" w16cid:durableId="1281836918">
    <w:abstractNumId w:val="20"/>
  </w:num>
  <w:num w:numId="21" w16cid:durableId="326057120">
    <w:abstractNumId w:val="16"/>
  </w:num>
  <w:num w:numId="22" w16cid:durableId="875387530">
    <w:abstractNumId w:val="11"/>
  </w:num>
  <w:num w:numId="23" w16cid:durableId="1836605137">
    <w:abstractNumId w:val="21"/>
  </w:num>
  <w:num w:numId="24" w16cid:durableId="713044634">
    <w:abstractNumId w:val="17"/>
  </w:num>
  <w:num w:numId="25" w16cid:durableId="981733844">
    <w:abstractNumId w:val="19"/>
  </w:num>
  <w:num w:numId="26" w16cid:durableId="101981730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attachedTemplate r:id="rId1"/>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80E"/>
    <w:rsid w:val="00001FCE"/>
    <w:rsid w:val="00003D52"/>
    <w:rsid w:val="0000402E"/>
    <w:rsid w:val="00005D96"/>
    <w:rsid w:val="000063EE"/>
    <w:rsid w:val="00010FEC"/>
    <w:rsid w:val="00012AB2"/>
    <w:rsid w:val="00013860"/>
    <w:rsid w:val="000139F2"/>
    <w:rsid w:val="00013A12"/>
    <w:rsid w:val="00015676"/>
    <w:rsid w:val="0001645F"/>
    <w:rsid w:val="00016F15"/>
    <w:rsid w:val="00020DF7"/>
    <w:rsid w:val="0002234A"/>
    <w:rsid w:val="00023726"/>
    <w:rsid w:val="00023A9A"/>
    <w:rsid w:val="00030A81"/>
    <w:rsid w:val="0003111C"/>
    <w:rsid w:val="00032730"/>
    <w:rsid w:val="00033358"/>
    <w:rsid w:val="00033F72"/>
    <w:rsid w:val="0003402B"/>
    <w:rsid w:val="00034DC2"/>
    <w:rsid w:val="00034DD5"/>
    <w:rsid w:val="00035C13"/>
    <w:rsid w:val="000370A0"/>
    <w:rsid w:val="00041526"/>
    <w:rsid w:val="00041A6B"/>
    <w:rsid w:val="00043EA5"/>
    <w:rsid w:val="0004556A"/>
    <w:rsid w:val="00045749"/>
    <w:rsid w:val="00046CEC"/>
    <w:rsid w:val="000478D0"/>
    <w:rsid w:val="000478EB"/>
    <w:rsid w:val="000479D5"/>
    <w:rsid w:val="000506F8"/>
    <w:rsid w:val="000527E1"/>
    <w:rsid w:val="00052B37"/>
    <w:rsid w:val="00053ED0"/>
    <w:rsid w:val="00056C25"/>
    <w:rsid w:val="000571FD"/>
    <w:rsid w:val="00060220"/>
    <w:rsid w:val="00060E65"/>
    <w:rsid w:val="000633DE"/>
    <w:rsid w:val="00064B32"/>
    <w:rsid w:val="0007055D"/>
    <w:rsid w:val="00070768"/>
    <w:rsid w:val="00070878"/>
    <w:rsid w:val="00070B14"/>
    <w:rsid w:val="000716B8"/>
    <w:rsid w:val="000721E9"/>
    <w:rsid w:val="000730FF"/>
    <w:rsid w:val="00073FE4"/>
    <w:rsid w:val="00074CD6"/>
    <w:rsid w:val="00075EB4"/>
    <w:rsid w:val="00077E82"/>
    <w:rsid w:val="00081F23"/>
    <w:rsid w:val="00085B8E"/>
    <w:rsid w:val="00086D87"/>
    <w:rsid w:val="00091661"/>
    <w:rsid w:val="00091A57"/>
    <w:rsid w:val="00092135"/>
    <w:rsid w:val="00092D1F"/>
    <w:rsid w:val="00092FBB"/>
    <w:rsid w:val="00093291"/>
    <w:rsid w:val="00095B09"/>
    <w:rsid w:val="000964DD"/>
    <w:rsid w:val="000978C5"/>
    <w:rsid w:val="000A003E"/>
    <w:rsid w:val="000A0602"/>
    <w:rsid w:val="000A0F86"/>
    <w:rsid w:val="000A2C41"/>
    <w:rsid w:val="000B13C1"/>
    <w:rsid w:val="000B1E01"/>
    <w:rsid w:val="000B24D8"/>
    <w:rsid w:val="000B2650"/>
    <w:rsid w:val="000B4178"/>
    <w:rsid w:val="000B5414"/>
    <w:rsid w:val="000B7069"/>
    <w:rsid w:val="000C0962"/>
    <w:rsid w:val="000C3118"/>
    <w:rsid w:val="000C459E"/>
    <w:rsid w:val="000C574B"/>
    <w:rsid w:val="000D010B"/>
    <w:rsid w:val="000D3EFE"/>
    <w:rsid w:val="000D44EC"/>
    <w:rsid w:val="000D5FED"/>
    <w:rsid w:val="000D6691"/>
    <w:rsid w:val="000D6966"/>
    <w:rsid w:val="000D6D4A"/>
    <w:rsid w:val="000D764D"/>
    <w:rsid w:val="000E1596"/>
    <w:rsid w:val="000E3582"/>
    <w:rsid w:val="000E47F9"/>
    <w:rsid w:val="000F3061"/>
    <w:rsid w:val="000F4026"/>
    <w:rsid w:val="000F579E"/>
    <w:rsid w:val="000F5D68"/>
    <w:rsid w:val="001016C7"/>
    <w:rsid w:val="0010196A"/>
    <w:rsid w:val="00102D15"/>
    <w:rsid w:val="00103827"/>
    <w:rsid w:val="00104B35"/>
    <w:rsid w:val="001107D2"/>
    <w:rsid w:val="001107E2"/>
    <w:rsid w:val="00112390"/>
    <w:rsid w:val="00112C7E"/>
    <w:rsid w:val="00114F67"/>
    <w:rsid w:val="00116D14"/>
    <w:rsid w:val="00121241"/>
    <w:rsid w:val="001213B6"/>
    <w:rsid w:val="0012190B"/>
    <w:rsid w:val="00121CA1"/>
    <w:rsid w:val="00122010"/>
    <w:rsid w:val="00122FEA"/>
    <w:rsid w:val="00123780"/>
    <w:rsid w:val="001256E3"/>
    <w:rsid w:val="00125791"/>
    <w:rsid w:val="00126523"/>
    <w:rsid w:val="00127BB1"/>
    <w:rsid w:val="00127F95"/>
    <w:rsid w:val="001317F8"/>
    <w:rsid w:val="00131C78"/>
    <w:rsid w:val="001359AB"/>
    <w:rsid w:val="00141ABD"/>
    <w:rsid w:val="0014282B"/>
    <w:rsid w:val="00144FF9"/>
    <w:rsid w:val="00145491"/>
    <w:rsid w:val="00146D74"/>
    <w:rsid w:val="0014767E"/>
    <w:rsid w:val="00154BA3"/>
    <w:rsid w:val="00155096"/>
    <w:rsid w:val="00156856"/>
    <w:rsid w:val="001601D9"/>
    <w:rsid w:val="001602F7"/>
    <w:rsid w:val="00160A9B"/>
    <w:rsid w:val="0016222C"/>
    <w:rsid w:val="00174744"/>
    <w:rsid w:val="0017661F"/>
    <w:rsid w:val="001772D6"/>
    <w:rsid w:val="001810DE"/>
    <w:rsid w:val="00183975"/>
    <w:rsid w:val="001843C8"/>
    <w:rsid w:val="00187AEE"/>
    <w:rsid w:val="00187D80"/>
    <w:rsid w:val="00191572"/>
    <w:rsid w:val="00192054"/>
    <w:rsid w:val="00192F84"/>
    <w:rsid w:val="001A176F"/>
    <w:rsid w:val="001A1E66"/>
    <w:rsid w:val="001A2357"/>
    <w:rsid w:val="001A329E"/>
    <w:rsid w:val="001A3A39"/>
    <w:rsid w:val="001A56E3"/>
    <w:rsid w:val="001A606A"/>
    <w:rsid w:val="001A7E07"/>
    <w:rsid w:val="001B00C2"/>
    <w:rsid w:val="001B1E72"/>
    <w:rsid w:val="001B209B"/>
    <w:rsid w:val="001B3018"/>
    <w:rsid w:val="001B3B73"/>
    <w:rsid w:val="001B4993"/>
    <w:rsid w:val="001B4A64"/>
    <w:rsid w:val="001C15BB"/>
    <w:rsid w:val="001C2DD6"/>
    <w:rsid w:val="001C3793"/>
    <w:rsid w:val="001C3D88"/>
    <w:rsid w:val="001C5B5A"/>
    <w:rsid w:val="001C7902"/>
    <w:rsid w:val="001C7B29"/>
    <w:rsid w:val="001D09BE"/>
    <w:rsid w:val="001D1008"/>
    <w:rsid w:val="001D1CDE"/>
    <w:rsid w:val="001D2B57"/>
    <w:rsid w:val="001D2C26"/>
    <w:rsid w:val="001D778A"/>
    <w:rsid w:val="001E29AC"/>
    <w:rsid w:val="001E34C3"/>
    <w:rsid w:val="001E4419"/>
    <w:rsid w:val="001E635C"/>
    <w:rsid w:val="001E6C63"/>
    <w:rsid w:val="001E7480"/>
    <w:rsid w:val="001F1FEC"/>
    <w:rsid w:val="001F59D9"/>
    <w:rsid w:val="00201247"/>
    <w:rsid w:val="002014E1"/>
    <w:rsid w:val="00205FC4"/>
    <w:rsid w:val="00206986"/>
    <w:rsid w:val="002079EE"/>
    <w:rsid w:val="00210121"/>
    <w:rsid w:val="0021037A"/>
    <w:rsid w:val="0021326F"/>
    <w:rsid w:val="0021374C"/>
    <w:rsid w:val="002137B9"/>
    <w:rsid w:val="00213A07"/>
    <w:rsid w:val="002156F8"/>
    <w:rsid w:val="00215CD7"/>
    <w:rsid w:val="00216B12"/>
    <w:rsid w:val="002205CE"/>
    <w:rsid w:val="00223155"/>
    <w:rsid w:val="00226F40"/>
    <w:rsid w:val="002273C9"/>
    <w:rsid w:val="00230803"/>
    <w:rsid w:val="002309FE"/>
    <w:rsid w:val="00234A91"/>
    <w:rsid w:val="00235339"/>
    <w:rsid w:val="00241E5D"/>
    <w:rsid w:val="00242F0B"/>
    <w:rsid w:val="00244A13"/>
    <w:rsid w:val="0024638F"/>
    <w:rsid w:val="00250042"/>
    <w:rsid w:val="00251D28"/>
    <w:rsid w:val="00253184"/>
    <w:rsid w:val="00256EAE"/>
    <w:rsid w:val="002574AB"/>
    <w:rsid w:val="002577E4"/>
    <w:rsid w:val="00262AF8"/>
    <w:rsid w:val="0026417B"/>
    <w:rsid w:val="00264693"/>
    <w:rsid w:val="00265726"/>
    <w:rsid w:val="002659FE"/>
    <w:rsid w:val="00273497"/>
    <w:rsid w:val="00273DB3"/>
    <w:rsid w:val="00275276"/>
    <w:rsid w:val="00276225"/>
    <w:rsid w:val="00276B15"/>
    <w:rsid w:val="002778DA"/>
    <w:rsid w:val="00284725"/>
    <w:rsid w:val="00287A62"/>
    <w:rsid w:val="0029078A"/>
    <w:rsid w:val="00290899"/>
    <w:rsid w:val="002915E9"/>
    <w:rsid w:val="00291694"/>
    <w:rsid w:val="00293CC4"/>
    <w:rsid w:val="00293F6D"/>
    <w:rsid w:val="002966C1"/>
    <w:rsid w:val="00297639"/>
    <w:rsid w:val="00297CA3"/>
    <w:rsid w:val="002A460C"/>
    <w:rsid w:val="002A574C"/>
    <w:rsid w:val="002A5D23"/>
    <w:rsid w:val="002A6AB8"/>
    <w:rsid w:val="002B1205"/>
    <w:rsid w:val="002B1D93"/>
    <w:rsid w:val="002B50E1"/>
    <w:rsid w:val="002C18C5"/>
    <w:rsid w:val="002C3F13"/>
    <w:rsid w:val="002D2DD4"/>
    <w:rsid w:val="002D3EF4"/>
    <w:rsid w:val="002D5EBC"/>
    <w:rsid w:val="002D623D"/>
    <w:rsid w:val="002D75F9"/>
    <w:rsid w:val="002D78D8"/>
    <w:rsid w:val="002E001D"/>
    <w:rsid w:val="002E0E82"/>
    <w:rsid w:val="002E1594"/>
    <w:rsid w:val="002E360E"/>
    <w:rsid w:val="002E3AFB"/>
    <w:rsid w:val="002F1159"/>
    <w:rsid w:val="002F1A05"/>
    <w:rsid w:val="002F1E80"/>
    <w:rsid w:val="002F2BF4"/>
    <w:rsid w:val="002F357E"/>
    <w:rsid w:val="002F5BA1"/>
    <w:rsid w:val="002F6777"/>
    <w:rsid w:val="003018E7"/>
    <w:rsid w:val="00302F8C"/>
    <w:rsid w:val="00303744"/>
    <w:rsid w:val="00303BCB"/>
    <w:rsid w:val="00307456"/>
    <w:rsid w:val="00310CBE"/>
    <w:rsid w:val="00311B96"/>
    <w:rsid w:val="003127C7"/>
    <w:rsid w:val="00315927"/>
    <w:rsid w:val="0031641C"/>
    <w:rsid w:val="00316E0D"/>
    <w:rsid w:val="00320C8E"/>
    <w:rsid w:val="00323115"/>
    <w:rsid w:val="00323F9D"/>
    <w:rsid w:val="00326FDA"/>
    <w:rsid w:val="00327E3E"/>
    <w:rsid w:val="0033025B"/>
    <w:rsid w:val="0033094C"/>
    <w:rsid w:val="0033148C"/>
    <w:rsid w:val="00332470"/>
    <w:rsid w:val="00332E10"/>
    <w:rsid w:val="0033397F"/>
    <w:rsid w:val="003353B4"/>
    <w:rsid w:val="00335F24"/>
    <w:rsid w:val="0034266B"/>
    <w:rsid w:val="003436C0"/>
    <w:rsid w:val="003442DE"/>
    <w:rsid w:val="00346DF7"/>
    <w:rsid w:val="00346E10"/>
    <w:rsid w:val="003477B4"/>
    <w:rsid w:val="00351681"/>
    <w:rsid w:val="00352060"/>
    <w:rsid w:val="00352150"/>
    <w:rsid w:val="003603AA"/>
    <w:rsid w:val="00362532"/>
    <w:rsid w:val="00362E70"/>
    <w:rsid w:val="00371ED2"/>
    <w:rsid w:val="0037693A"/>
    <w:rsid w:val="003775E7"/>
    <w:rsid w:val="003811FA"/>
    <w:rsid w:val="00382005"/>
    <w:rsid w:val="00382427"/>
    <w:rsid w:val="00382C50"/>
    <w:rsid w:val="00383AEE"/>
    <w:rsid w:val="003846CC"/>
    <w:rsid w:val="00385F55"/>
    <w:rsid w:val="00386090"/>
    <w:rsid w:val="0038650B"/>
    <w:rsid w:val="00387954"/>
    <w:rsid w:val="003925F7"/>
    <w:rsid w:val="00393875"/>
    <w:rsid w:val="00394DB8"/>
    <w:rsid w:val="003A2FBB"/>
    <w:rsid w:val="003A46D7"/>
    <w:rsid w:val="003A5112"/>
    <w:rsid w:val="003A64CB"/>
    <w:rsid w:val="003B14BC"/>
    <w:rsid w:val="003B1564"/>
    <w:rsid w:val="003B1B48"/>
    <w:rsid w:val="003B273D"/>
    <w:rsid w:val="003B3BF9"/>
    <w:rsid w:val="003B4AC4"/>
    <w:rsid w:val="003B62F2"/>
    <w:rsid w:val="003B630A"/>
    <w:rsid w:val="003B6980"/>
    <w:rsid w:val="003C069C"/>
    <w:rsid w:val="003C06FD"/>
    <w:rsid w:val="003C353E"/>
    <w:rsid w:val="003C3B17"/>
    <w:rsid w:val="003C4EEC"/>
    <w:rsid w:val="003C6D04"/>
    <w:rsid w:val="003C74EC"/>
    <w:rsid w:val="003C7C7B"/>
    <w:rsid w:val="003D02D6"/>
    <w:rsid w:val="003D14D5"/>
    <w:rsid w:val="003D20B8"/>
    <w:rsid w:val="003D471C"/>
    <w:rsid w:val="003D4DDB"/>
    <w:rsid w:val="003D4F41"/>
    <w:rsid w:val="003D7AEE"/>
    <w:rsid w:val="003E225B"/>
    <w:rsid w:val="003E27C6"/>
    <w:rsid w:val="003E35F1"/>
    <w:rsid w:val="003E56A1"/>
    <w:rsid w:val="003F0AF5"/>
    <w:rsid w:val="003F1603"/>
    <w:rsid w:val="003F549A"/>
    <w:rsid w:val="003F7F40"/>
    <w:rsid w:val="00402FFD"/>
    <w:rsid w:val="00403557"/>
    <w:rsid w:val="00403CC5"/>
    <w:rsid w:val="004041A7"/>
    <w:rsid w:val="00404ED0"/>
    <w:rsid w:val="0041092A"/>
    <w:rsid w:val="00411394"/>
    <w:rsid w:val="00412912"/>
    <w:rsid w:val="00413240"/>
    <w:rsid w:val="004148C5"/>
    <w:rsid w:val="004173D9"/>
    <w:rsid w:val="00423225"/>
    <w:rsid w:val="004239E8"/>
    <w:rsid w:val="00426E8C"/>
    <w:rsid w:val="00430775"/>
    <w:rsid w:val="004333B8"/>
    <w:rsid w:val="00433E25"/>
    <w:rsid w:val="0043434F"/>
    <w:rsid w:val="004351F4"/>
    <w:rsid w:val="004361FD"/>
    <w:rsid w:val="00436AA1"/>
    <w:rsid w:val="00444C52"/>
    <w:rsid w:val="00445BAE"/>
    <w:rsid w:val="00446120"/>
    <w:rsid w:val="00447609"/>
    <w:rsid w:val="00447FDE"/>
    <w:rsid w:val="004516EE"/>
    <w:rsid w:val="0045171C"/>
    <w:rsid w:val="00451E85"/>
    <w:rsid w:val="00454511"/>
    <w:rsid w:val="004546EC"/>
    <w:rsid w:val="004551EA"/>
    <w:rsid w:val="004612D1"/>
    <w:rsid w:val="00472586"/>
    <w:rsid w:val="00473620"/>
    <w:rsid w:val="00474926"/>
    <w:rsid w:val="00474B08"/>
    <w:rsid w:val="00481FBF"/>
    <w:rsid w:val="004831FD"/>
    <w:rsid w:val="004838D5"/>
    <w:rsid w:val="00483C06"/>
    <w:rsid w:val="004845D5"/>
    <w:rsid w:val="00484E68"/>
    <w:rsid w:val="00485298"/>
    <w:rsid w:val="0048542F"/>
    <w:rsid w:val="00485456"/>
    <w:rsid w:val="00486870"/>
    <w:rsid w:val="00490843"/>
    <w:rsid w:val="00491347"/>
    <w:rsid w:val="00492165"/>
    <w:rsid w:val="00492536"/>
    <w:rsid w:val="004926D1"/>
    <w:rsid w:val="004955C4"/>
    <w:rsid w:val="00496EEC"/>
    <w:rsid w:val="004A0445"/>
    <w:rsid w:val="004A04D7"/>
    <w:rsid w:val="004A20B1"/>
    <w:rsid w:val="004A4BE3"/>
    <w:rsid w:val="004A4C26"/>
    <w:rsid w:val="004A6D69"/>
    <w:rsid w:val="004B7FA8"/>
    <w:rsid w:val="004C1777"/>
    <w:rsid w:val="004C20F1"/>
    <w:rsid w:val="004C255C"/>
    <w:rsid w:val="004C6942"/>
    <w:rsid w:val="004D0E80"/>
    <w:rsid w:val="004D3168"/>
    <w:rsid w:val="004D3417"/>
    <w:rsid w:val="004D34B2"/>
    <w:rsid w:val="004D5154"/>
    <w:rsid w:val="004D7F33"/>
    <w:rsid w:val="004E09B0"/>
    <w:rsid w:val="004E4BD6"/>
    <w:rsid w:val="004E5268"/>
    <w:rsid w:val="004E5FBE"/>
    <w:rsid w:val="004F1190"/>
    <w:rsid w:val="004F5178"/>
    <w:rsid w:val="004F5B2D"/>
    <w:rsid w:val="004F62E3"/>
    <w:rsid w:val="004F7151"/>
    <w:rsid w:val="004F7804"/>
    <w:rsid w:val="005019AD"/>
    <w:rsid w:val="00503D57"/>
    <w:rsid w:val="00504548"/>
    <w:rsid w:val="005120D8"/>
    <w:rsid w:val="00513A0B"/>
    <w:rsid w:val="005143C8"/>
    <w:rsid w:val="00514915"/>
    <w:rsid w:val="00520966"/>
    <w:rsid w:val="00521F65"/>
    <w:rsid w:val="005226B0"/>
    <w:rsid w:val="0052300B"/>
    <w:rsid w:val="005237D9"/>
    <w:rsid w:val="00524EEE"/>
    <w:rsid w:val="005323F8"/>
    <w:rsid w:val="005355AA"/>
    <w:rsid w:val="00535BF4"/>
    <w:rsid w:val="00535EC8"/>
    <w:rsid w:val="00537272"/>
    <w:rsid w:val="0053787A"/>
    <w:rsid w:val="00540F69"/>
    <w:rsid w:val="005419B2"/>
    <w:rsid w:val="00542425"/>
    <w:rsid w:val="00544059"/>
    <w:rsid w:val="00544C8A"/>
    <w:rsid w:val="00545CC8"/>
    <w:rsid w:val="00546041"/>
    <w:rsid w:val="00547025"/>
    <w:rsid w:val="00550E2E"/>
    <w:rsid w:val="0055300D"/>
    <w:rsid w:val="00553F13"/>
    <w:rsid w:val="0055566C"/>
    <w:rsid w:val="005574EC"/>
    <w:rsid w:val="0056023C"/>
    <w:rsid w:val="005610D9"/>
    <w:rsid w:val="00563B3F"/>
    <w:rsid w:val="00566AB9"/>
    <w:rsid w:val="00566B90"/>
    <w:rsid w:val="00566F10"/>
    <w:rsid w:val="00567501"/>
    <w:rsid w:val="00567A59"/>
    <w:rsid w:val="00575EE4"/>
    <w:rsid w:val="0057725B"/>
    <w:rsid w:val="00580595"/>
    <w:rsid w:val="0058270D"/>
    <w:rsid w:val="00585500"/>
    <w:rsid w:val="005866CB"/>
    <w:rsid w:val="00590E46"/>
    <w:rsid w:val="00593902"/>
    <w:rsid w:val="00593E77"/>
    <w:rsid w:val="00595ADB"/>
    <w:rsid w:val="0059633E"/>
    <w:rsid w:val="005A0C83"/>
    <w:rsid w:val="005A1093"/>
    <w:rsid w:val="005A14CE"/>
    <w:rsid w:val="005A1C3F"/>
    <w:rsid w:val="005A239C"/>
    <w:rsid w:val="005A2876"/>
    <w:rsid w:val="005A30AE"/>
    <w:rsid w:val="005A6FB7"/>
    <w:rsid w:val="005A7E34"/>
    <w:rsid w:val="005B1426"/>
    <w:rsid w:val="005B2074"/>
    <w:rsid w:val="005B2662"/>
    <w:rsid w:val="005B3B31"/>
    <w:rsid w:val="005B46F9"/>
    <w:rsid w:val="005B5A18"/>
    <w:rsid w:val="005B5A1F"/>
    <w:rsid w:val="005B7F74"/>
    <w:rsid w:val="005C13C0"/>
    <w:rsid w:val="005C4D44"/>
    <w:rsid w:val="005C6FE2"/>
    <w:rsid w:val="005C7DBC"/>
    <w:rsid w:val="005D0F64"/>
    <w:rsid w:val="005D33E1"/>
    <w:rsid w:val="005D474E"/>
    <w:rsid w:val="005D4A44"/>
    <w:rsid w:val="005D5A3E"/>
    <w:rsid w:val="005E1727"/>
    <w:rsid w:val="005E43CD"/>
    <w:rsid w:val="005E53D9"/>
    <w:rsid w:val="005E5BD7"/>
    <w:rsid w:val="005F10B3"/>
    <w:rsid w:val="005F2EE1"/>
    <w:rsid w:val="005F4FEE"/>
    <w:rsid w:val="005F52C4"/>
    <w:rsid w:val="005F70F2"/>
    <w:rsid w:val="00601332"/>
    <w:rsid w:val="00601D2B"/>
    <w:rsid w:val="0060406E"/>
    <w:rsid w:val="0060431C"/>
    <w:rsid w:val="006057F9"/>
    <w:rsid w:val="00606EBB"/>
    <w:rsid w:val="00607B3A"/>
    <w:rsid w:val="00607D00"/>
    <w:rsid w:val="006148B6"/>
    <w:rsid w:val="00621AD3"/>
    <w:rsid w:val="00623C17"/>
    <w:rsid w:val="00631077"/>
    <w:rsid w:val="00632CAB"/>
    <w:rsid w:val="0063322B"/>
    <w:rsid w:val="00635839"/>
    <w:rsid w:val="00636078"/>
    <w:rsid w:val="00636778"/>
    <w:rsid w:val="0064093B"/>
    <w:rsid w:val="00641AB8"/>
    <w:rsid w:val="00643B40"/>
    <w:rsid w:val="00643C88"/>
    <w:rsid w:val="006462AD"/>
    <w:rsid w:val="006501D8"/>
    <w:rsid w:val="006508E8"/>
    <w:rsid w:val="006515E2"/>
    <w:rsid w:val="00655E9A"/>
    <w:rsid w:val="00660431"/>
    <w:rsid w:val="006641C9"/>
    <w:rsid w:val="006649FA"/>
    <w:rsid w:val="00665699"/>
    <w:rsid w:val="00665BD9"/>
    <w:rsid w:val="006661F4"/>
    <w:rsid w:val="0066662C"/>
    <w:rsid w:val="00671B2F"/>
    <w:rsid w:val="00671BA3"/>
    <w:rsid w:val="006742AE"/>
    <w:rsid w:val="00677A0E"/>
    <w:rsid w:val="00685CF6"/>
    <w:rsid w:val="0069272A"/>
    <w:rsid w:val="00693516"/>
    <w:rsid w:val="00695C23"/>
    <w:rsid w:val="00696399"/>
    <w:rsid w:val="00696AA3"/>
    <w:rsid w:val="0069706E"/>
    <w:rsid w:val="00697349"/>
    <w:rsid w:val="006977C9"/>
    <w:rsid w:val="006A1963"/>
    <w:rsid w:val="006A2C0C"/>
    <w:rsid w:val="006A4305"/>
    <w:rsid w:val="006A7DBD"/>
    <w:rsid w:val="006B2413"/>
    <w:rsid w:val="006B3D7D"/>
    <w:rsid w:val="006B45B5"/>
    <w:rsid w:val="006B5A13"/>
    <w:rsid w:val="006B7948"/>
    <w:rsid w:val="006B7958"/>
    <w:rsid w:val="006C07D5"/>
    <w:rsid w:val="006C083C"/>
    <w:rsid w:val="006C22DC"/>
    <w:rsid w:val="006C32E7"/>
    <w:rsid w:val="006C3E98"/>
    <w:rsid w:val="006C7121"/>
    <w:rsid w:val="006C756A"/>
    <w:rsid w:val="006D256F"/>
    <w:rsid w:val="006D374E"/>
    <w:rsid w:val="006D5A53"/>
    <w:rsid w:val="006E257E"/>
    <w:rsid w:val="006E391E"/>
    <w:rsid w:val="006E42C7"/>
    <w:rsid w:val="006E636A"/>
    <w:rsid w:val="00702DC7"/>
    <w:rsid w:val="007043D6"/>
    <w:rsid w:val="0070480D"/>
    <w:rsid w:val="00707A69"/>
    <w:rsid w:val="007112A4"/>
    <w:rsid w:val="007119AA"/>
    <w:rsid w:val="00712118"/>
    <w:rsid w:val="00712492"/>
    <w:rsid w:val="007134CD"/>
    <w:rsid w:val="0071528F"/>
    <w:rsid w:val="00716311"/>
    <w:rsid w:val="007173C2"/>
    <w:rsid w:val="007229CB"/>
    <w:rsid w:val="00730B60"/>
    <w:rsid w:val="00732D8E"/>
    <w:rsid w:val="0073323C"/>
    <w:rsid w:val="00736164"/>
    <w:rsid w:val="007426D7"/>
    <w:rsid w:val="00744C13"/>
    <w:rsid w:val="007451ED"/>
    <w:rsid w:val="007453B7"/>
    <w:rsid w:val="00746A60"/>
    <w:rsid w:val="007502CD"/>
    <w:rsid w:val="00750B45"/>
    <w:rsid w:val="00750D2D"/>
    <w:rsid w:val="00752B7E"/>
    <w:rsid w:val="00753251"/>
    <w:rsid w:val="00753DBA"/>
    <w:rsid w:val="007550B2"/>
    <w:rsid w:val="00755719"/>
    <w:rsid w:val="0076272F"/>
    <w:rsid w:val="00764354"/>
    <w:rsid w:val="00765F26"/>
    <w:rsid w:val="0076606D"/>
    <w:rsid w:val="00767886"/>
    <w:rsid w:val="00770519"/>
    <w:rsid w:val="00770649"/>
    <w:rsid w:val="00773131"/>
    <w:rsid w:val="00773A70"/>
    <w:rsid w:val="00776A32"/>
    <w:rsid w:val="00780EED"/>
    <w:rsid w:val="00781970"/>
    <w:rsid w:val="007821BC"/>
    <w:rsid w:val="00782DDE"/>
    <w:rsid w:val="0078328D"/>
    <w:rsid w:val="0079025D"/>
    <w:rsid w:val="007918F5"/>
    <w:rsid w:val="00793B44"/>
    <w:rsid w:val="00795363"/>
    <w:rsid w:val="00795BC7"/>
    <w:rsid w:val="00795DBD"/>
    <w:rsid w:val="007A1F7D"/>
    <w:rsid w:val="007A2999"/>
    <w:rsid w:val="007A3670"/>
    <w:rsid w:val="007A3FDE"/>
    <w:rsid w:val="007A7C1B"/>
    <w:rsid w:val="007B215F"/>
    <w:rsid w:val="007B2735"/>
    <w:rsid w:val="007B28D8"/>
    <w:rsid w:val="007B35C0"/>
    <w:rsid w:val="007B3756"/>
    <w:rsid w:val="007B6775"/>
    <w:rsid w:val="007C09F6"/>
    <w:rsid w:val="007C1588"/>
    <w:rsid w:val="007C475E"/>
    <w:rsid w:val="007C5F40"/>
    <w:rsid w:val="007C6E3D"/>
    <w:rsid w:val="007D1050"/>
    <w:rsid w:val="007D3728"/>
    <w:rsid w:val="007D3DEB"/>
    <w:rsid w:val="007D4BA7"/>
    <w:rsid w:val="007D7C1F"/>
    <w:rsid w:val="007D7EBB"/>
    <w:rsid w:val="007E1928"/>
    <w:rsid w:val="007E6674"/>
    <w:rsid w:val="007E7945"/>
    <w:rsid w:val="007F028A"/>
    <w:rsid w:val="007F155E"/>
    <w:rsid w:val="007F4E81"/>
    <w:rsid w:val="007F72D9"/>
    <w:rsid w:val="00800926"/>
    <w:rsid w:val="00801856"/>
    <w:rsid w:val="00803360"/>
    <w:rsid w:val="00804F9E"/>
    <w:rsid w:val="00806B25"/>
    <w:rsid w:val="00807C68"/>
    <w:rsid w:val="00810CE9"/>
    <w:rsid w:val="00810D4C"/>
    <w:rsid w:val="00812B2D"/>
    <w:rsid w:val="00812F79"/>
    <w:rsid w:val="00812FAB"/>
    <w:rsid w:val="008139DE"/>
    <w:rsid w:val="008149C9"/>
    <w:rsid w:val="008168FD"/>
    <w:rsid w:val="00816D0A"/>
    <w:rsid w:val="0082060F"/>
    <w:rsid w:val="00821222"/>
    <w:rsid w:val="00821296"/>
    <w:rsid w:val="00822D7A"/>
    <w:rsid w:val="00824C67"/>
    <w:rsid w:val="00824FBF"/>
    <w:rsid w:val="008279BC"/>
    <w:rsid w:val="00827C29"/>
    <w:rsid w:val="0083127A"/>
    <w:rsid w:val="00834F08"/>
    <w:rsid w:val="00835BB7"/>
    <w:rsid w:val="00840C12"/>
    <w:rsid w:val="008413DF"/>
    <w:rsid w:val="00845E85"/>
    <w:rsid w:val="0084628D"/>
    <w:rsid w:val="008532C0"/>
    <w:rsid w:val="00853D8B"/>
    <w:rsid w:val="008541B3"/>
    <w:rsid w:val="00855E1D"/>
    <w:rsid w:val="008613B7"/>
    <w:rsid w:val="0086223C"/>
    <w:rsid w:val="00866B92"/>
    <w:rsid w:val="00867551"/>
    <w:rsid w:val="00867DC5"/>
    <w:rsid w:val="00870E0A"/>
    <w:rsid w:val="008738B6"/>
    <w:rsid w:val="00874508"/>
    <w:rsid w:val="0088004A"/>
    <w:rsid w:val="00882D65"/>
    <w:rsid w:val="008845EE"/>
    <w:rsid w:val="00887F27"/>
    <w:rsid w:val="00892D8C"/>
    <w:rsid w:val="00894DB7"/>
    <w:rsid w:val="00895EBB"/>
    <w:rsid w:val="00897538"/>
    <w:rsid w:val="008A098C"/>
    <w:rsid w:val="008A6B98"/>
    <w:rsid w:val="008A7B53"/>
    <w:rsid w:val="008A7F54"/>
    <w:rsid w:val="008B416B"/>
    <w:rsid w:val="008B4766"/>
    <w:rsid w:val="008B5F3E"/>
    <w:rsid w:val="008B6879"/>
    <w:rsid w:val="008C1C14"/>
    <w:rsid w:val="008C3042"/>
    <w:rsid w:val="008C712B"/>
    <w:rsid w:val="008D0D4E"/>
    <w:rsid w:val="008D133C"/>
    <w:rsid w:val="008D238E"/>
    <w:rsid w:val="008D2E77"/>
    <w:rsid w:val="008D34AD"/>
    <w:rsid w:val="008D3F6D"/>
    <w:rsid w:val="008D4827"/>
    <w:rsid w:val="008D670C"/>
    <w:rsid w:val="008E0730"/>
    <w:rsid w:val="008E3619"/>
    <w:rsid w:val="008E4630"/>
    <w:rsid w:val="008F60C3"/>
    <w:rsid w:val="008F6CE6"/>
    <w:rsid w:val="0090026A"/>
    <w:rsid w:val="009002A4"/>
    <w:rsid w:val="009028C8"/>
    <w:rsid w:val="0090698C"/>
    <w:rsid w:val="009078A7"/>
    <w:rsid w:val="00911186"/>
    <w:rsid w:val="0091142E"/>
    <w:rsid w:val="00911613"/>
    <w:rsid w:val="0091349E"/>
    <w:rsid w:val="0091424F"/>
    <w:rsid w:val="00914422"/>
    <w:rsid w:val="00915BAD"/>
    <w:rsid w:val="009204A9"/>
    <w:rsid w:val="0092065F"/>
    <w:rsid w:val="00920A52"/>
    <w:rsid w:val="00920F4E"/>
    <w:rsid w:val="00921E90"/>
    <w:rsid w:val="00922682"/>
    <w:rsid w:val="00922D24"/>
    <w:rsid w:val="00924B8E"/>
    <w:rsid w:val="00927C4A"/>
    <w:rsid w:val="009324FB"/>
    <w:rsid w:val="00934014"/>
    <w:rsid w:val="00934EEB"/>
    <w:rsid w:val="0093555A"/>
    <w:rsid w:val="00936D46"/>
    <w:rsid w:val="009400B0"/>
    <w:rsid w:val="0094161F"/>
    <w:rsid w:val="00944505"/>
    <w:rsid w:val="009473FD"/>
    <w:rsid w:val="00947E19"/>
    <w:rsid w:val="009500CD"/>
    <w:rsid w:val="00960977"/>
    <w:rsid w:val="00961C60"/>
    <w:rsid w:val="00962C33"/>
    <w:rsid w:val="00964E77"/>
    <w:rsid w:val="009655CD"/>
    <w:rsid w:val="00965C6F"/>
    <w:rsid w:val="00966802"/>
    <w:rsid w:val="009708F5"/>
    <w:rsid w:val="00971E36"/>
    <w:rsid w:val="009720E6"/>
    <w:rsid w:val="00975A8B"/>
    <w:rsid w:val="00976398"/>
    <w:rsid w:val="00981561"/>
    <w:rsid w:val="0098206F"/>
    <w:rsid w:val="00984749"/>
    <w:rsid w:val="00984FA2"/>
    <w:rsid w:val="00986278"/>
    <w:rsid w:val="009870E0"/>
    <w:rsid w:val="00990017"/>
    <w:rsid w:val="0099578E"/>
    <w:rsid w:val="00996EBF"/>
    <w:rsid w:val="00997919"/>
    <w:rsid w:val="009A2921"/>
    <w:rsid w:val="009A2E2E"/>
    <w:rsid w:val="009A31D9"/>
    <w:rsid w:val="009A3B06"/>
    <w:rsid w:val="009A49BE"/>
    <w:rsid w:val="009A6E05"/>
    <w:rsid w:val="009B23EA"/>
    <w:rsid w:val="009B2419"/>
    <w:rsid w:val="009B26E1"/>
    <w:rsid w:val="009B570D"/>
    <w:rsid w:val="009B5DAF"/>
    <w:rsid w:val="009B5E90"/>
    <w:rsid w:val="009B63A0"/>
    <w:rsid w:val="009B7BD2"/>
    <w:rsid w:val="009C0503"/>
    <w:rsid w:val="009C0B75"/>
    <w:rsid w:val="009C40F6"/>
    <w:rsid w:val="009D1BBD"/>
    <w:rsid w:val="009D2673"/>
    <w:rsid w:val="009D33C2"/>
    <w:rsid w:val="009E122A"/>
    <w:rsid w:val="009E1CF6"/>
    <w:rsid w:val="009E1F18"/>
    <w:rsid w:val="009E5CCE"/>
    <w:rsid w:val="009E668A"/>
    <w:rsid w:val="009F10B6"/>
    <w:rsid w:val="009F332E"/>
    <w:rsid w:val="009F407E"/>
    <w:rsid w:val="009F6B79"/>
    <w:rsid w:val="009F7D45"/>
    <w:rsid w:val="00A019DF"/>
    <w:rsid w:val="00A01B93"/>
    <w:rsid w:val="00A02A58"/>
    <w:rsid w:val="00A05BA1"/>
    <w:rsid w:val="00A06C28"/>
    <w:rsid w:val="00A070C5"/>
    <w:rsid w:val="00A1053D"/>
    <w:rsid w:val="00A10974"/>
    <w:rsid w:val="00A129B8"/>
    <w:rsid w:val="00A13E97"/>
    <w:rsid w:val="00A14BF4"/>
    <w:rsid w:val="00A23492"/>
    <w:rsid w:val="00A24522"/>
    <w:rsid w:val="00A26F1E"/>
    <w:rsid w:val="00A275AA"/>
    <w:rsid w:val="00A318AA"/>
    <w:rsid w:val="00A32DA3"/>
    <w:rsid w:val="00A40806"/>
    <w:rsid w:val="00A43C0A"/>
    <w:rsid w:val="00A444FF"/>
    <w:rsid w:val="00A44D57"/>
    <w:rsid w:val="00A50136"/>
    <w:rsid w:val="00A50311"/>
    <w:rsid w:val="00A56C75"/>
    <w:rsid w:val="00A6029B"/>
    <w:rsid w:val="00A61E9D"/>
    <w:rsid w:val="00A62586"/>
    <w:rsid w:val="00A62DEC"/>
    <w:rsid w:val="00A630BA"/>
    <w:rsid w:val="00A63217"/>
    <w:rsid w:val="00A6790B"/>
    <w:rsid w:val="00A70569"/>
    <w:rsid w:val="00A72A7C"/>
    <w:rsid w:val="00A73770"/>
    <w:rsid w:val="00A74357"/>
    <w:rsid w:val="00A74CC6"/>
    <w:rsid w:val="00A7695F"/>
    <w:rsid w:val="00A81984"/>
    <w:rsid w:val="00A824DB"/>
    <w:rsid w:val="00A857AE"/>
    <w:rsid w:val="00A8584E"/>
    <w:rsid w:val="00A87359"/>
    <w:rsid w:val="00A90105"/>
    <w:rsid w:val="00A91E55"/>
    <w:rsid w:val="00A94ED7"/>
    <w:rsid w:val="00A95C56"/>
    <w:rsid w:val="00A9611E"/>
    <w:rsid w:val="00A96169"/>
    <w:rsid w:val="00A965FD"/>
    <w:rsid w:val="00AA0D2F"/>
    <w:rsid w:val="00AA161F"/>
    <w:rsid w:val="00AA1A40"/>
    <w:rsid w:val="00AB0FD8"/>
    <w:rsid w:val="00AB1D66"/>
    <w:rsid w:val="00AB27E5"/>
    <w:rsid w:val="00AB35F2"/>
    <w:rsid w:val="00AB4342"/>
    <w:rsid w:val="00AB49E8"/>
    <w:rsid w:val="00AB5303"/>
    <w:rsid w:val="00AB5324"/>
    <w:rsid w:val="00AB5876"/>
    <w:rsid w:val="00AC0AE4"/>
    <w:rsid w:val="00AC39AC"/>
    <w:rsid w:val="00AC5538"/>
    <w:rsid w:val="00AD0907"/>
    <w:rsid w:val="00AD326B"/>
    <w:rsid w:val="00AD5348"/>
    <w:rsid w:val="00AD75F5"/>
    <w:rsid w:val="00AD7D4E"/>
    <w:rsid w:val="00AE16ED"/>
    <w:rsid w:val="00AE1822"/>
    <w:rsid w:val="00AE2BAA"/>
    <w:rsid w:val="00AE3459"/>
    <w:rsid w:val="00AE3DA0"/>
    <w:rsid w:val="00AE46D3"/>
    <w:rsid w:val="00AE47D8"/>
    <w:rsid w:val="00AE65B2"/>
    <w:rsid w:val="00AF1286"/>
    <w:rsid w:val="00AF1494"/>
    <w:rsid w:val="00AF1E9F"/>
    <w:rsid w:val="00AF232A"/>
    <w:rsid w:val="00AF4969"/>
    <w:rsid w:val="00AF771B"/>
    <w:rsid w:val="00AF7F8C"/>
    <w:rsid w:val="00B00B1E"/>
    <w:rsid w:val="00B04CF8"/>
    <w:rsid w:val="00B05320"/>
    <w:rsid w:val="00B115F2"/>
    <w:rsid w:val="00B129C8"/>
    <w:rsid w:val="00B17B70"/>
    <w:rsid w:val="00B201C0"/>
    <w:rsid w:val="00B209F3"/>
    <w:rsid w:val="00B21261"/>
    <w:rsid w:val="00B21C2B"/>
    <w:rsid w:val="00B23353"/>
    <w:rsid w:val="00B24585"/>
    <w:rsid w:val="00B24DF0"/>
    <w:rsid w:val="00B26B9E"/>
    <w:rsid w:val="00B31AE6"/>
    <w:rsid w:val="00B358BF"/>
    <w:rsid w:val="00B360C4"/>
    <w:rsid w:val="00B36739"/>
    <w:rsid w:val="00B36CB3"/>
    <w:rsid w:val="00B36D59"/>
    <w:rsid w:val="00B370C0"/>
    <w:rsid w:val="00B42872"/>
    <w:rsid w:val="00B449A1"/>
    <w:rsid w:val="00B45343"/>
    <w:rsid w:val="00B45A3F"/>
    <w:rsid w:val="00B51696"/>
    <w:rsid w:val="00B51C8F"/>
    <w:rsid w:val="00B5288A"/>
    <w:rsid w:val="00B52EE3"/>
    <w:rsid w:val="00B55A5B"/>
    <w:rsid w:val="00B56012"/>
    <w:rsid w:val="00B601E6"/>
    <w:rsid w:val="00B60E77"/>
    <w:rsid w:val="00B62B60"/>
    <w:rsid w:val="00B62C82"/>
    <w:rsid w:val="00B6735E"/>
    <w:rsid w:val="00B700B8"/>
    <w:rsid w:val="00B703E6"/>
    <w:rsid w:val="00B71245"/>
    <w:rsid w:val="00B724C8"/>
    <w:rsid w:val="00B7266A"/>
    <w:rsid w:val="00B72A26"/>
    <w:rsid w:val="00B73124"/>
    <w:rsid w:val="00B73976"/>
    <w:rsid w:val="00B74AA0"/>
    <w:rsid w:val="00B74D0B"/>
    <w:rsid w:val="00B75183"/>
    <w:rsid w:val="00B75F92"/>
    <w:rsid w:val="00B824C5"/>
    <w:rsid w:val="00B90105"/>
    <w:rsid w:val="00B93330"/>
    <w:rsid w:val="00B939D6"/>
    <w:rsid w:val="00B9407B"/>
    <w:rsid w:val="00B9462A"/>
    <w:rsid w:val="00B94A81"/>
    <w:rsid w:val="00B95BE4"/>
    <w:rsid w:val="00B96C1E"/>
    <w:rsid w:val="00B975DE"/>
    <w:rsid w:val="00BA08B8"/>
    <w:rsid w:val="00BA1D2E"/>
    <w:rsid w:val="00BA216F"/>
    <w:rsid w:val="00BA2CA4"/>
    <w:rsid w:val="00BA418F"/>
    <w:rsid w:val="00BA6039"/>
    <w:rsid w:val="00BA6701"/>
    <w:rsid w:val="00BB0FC8"/>
    <w:rsid w:val="00BB14C9"/>
    <w:rsid w:val="00BB1A07"/>
    <w:rsid w:val="00BB3943"/>
    <w:rsid w:val="00BB71F6"/>
    <w:rsid w:val="00BB7203"/>
    <w:rsid w:val="00BB7D61"/>
    <w:rsid w:val="00BC3EC4"/>
    <w:rsid w:val="00BC5171"/>
    <w:rsid w:val="00BC59EC"/>
    <w:rsid w:val="00BC5C76"/>
    <w:rsid w:val="00BC6129"/>
    <w:rsid w:val="00BC61EE"/>
    <w:rsid w:val="00BC6AD8"/>
    <w:rsid w:val="00BD025E"/>
    <w:rsid w:val="00BD074E"/>
    <w:rsid w:val="00BD3E6A"/>
    <w:rsid w:val="00BD6993"/>
    <w:rsid w:val="00BD721C"/>
    <w:rsid w:val="00BE094B"/>
    <w:rsid w:val="00BE1FBF"/>
    <w:rsid w:val="00BE2533"/>
    <w:rsid w:val="00BE2BBF"/>
    <w:rsid w:val="00BE7692"/>
    <w:rsid w:val="00BF15E7"/>
    <w:rsid w:val="00BF240C"/>
    <w:rsid w:val="00BF3A11"/>
    <w:rsid w:val="00BF6098"/>
    <w:rsid w:val="00BF7662"/>
    <w:rsid w:val="00BF76D1"/>
    <w:rsid w:val="00BF7EB5"/>
    <w:rsid w:val="00C00F89"/>
    <w:rsid w:val="00C01BC0"/>
    <w:rsid w:val="00C02565"/>
    <w:rsid w:val="00C033F2"/>
    <w:rsid w:val="00C06621"/>
    <w:rsid w:val="00C07334"/>
    <w:rsid w:val="00C07A82"/>
    <w:rsid w:val="00C148C0"/>
    <w:rsid w:val="00C2005C"/>
    <w:rsid w:val="00C20A0F"/>
    <w:rsid w:val="00C22AA4"/>
    <w:rsid w:val="00C251A4"/>
    <w:rsid w:val="00C268F2"/>
    <w:rsid w:val="00C34AB7"/>
    <w:rsid w:val="00C35829"/>
    <w:rsid w:val="00C35BA9"/>
    <w:rsid w:val="00C360DF"/>
    <w:rsid w:val="00C3698C"/>
    <w:rsid w:val="00C40692"/>
    <w:rsid w:val="00C41EF8"/>
    <w:rsid w:val="00C42D5D"/>
    <w:rsid w:val="00C440D8"/>
    <w:rsid w:val="00C444C1"/>
    <w:rsid w:val="00C44F6C"/>
    <w:rsid w:val="00C45F6E"/>
    <w:rsid w:val="00C47AB4"/>
    <w:rsid w:val="00C50A8A"/>
    <w:rsid w:val="00C53081"/>
    <w:rsid w:val="00C5478E"/>
    <w:rsid w:val="00C55E1A"/>
    <w:rsid w:val="00C561C7"/>
    <w:rsid w:val="00C6019C"/>
    <w:rsid w:val="00C62F0F"/>
    <w:rsid w:val="00C63A41"/>
    <w:rsid w:val="00C64F2A"/>
    <w:rsid w:val="00C65270"/>
    <w:rsid w:val="00C652BA"/>
    <w:rsid w:val="00C652E7"/>
    <w:rsid w:val="00C65C22"/>
    <w:rsid w:val="00C66F34"/>
    <w:rsid w:val="00C67DFF"/>
    <w:rsid w:val="00C710D1"/>
    <w:rsid w:val="00C711FF"/>
    <w:rsid w:val="00C74CAB"/>
    <w:rsid w:val="00C74FA6"/>
    <w:rsid w:val="00C7587B"/>
    <w:rsid w:val="00C75FC3"/>
    <w:rsid w:val="00C77684"/>
    <w:rsid w:val="00C84A91"/>
    <w:rsid w:val="00C84B25"/>
    <w:rsid w:val="00C85E1E"/>
    <w:rsid w:val="00C86B2D"/>
    <w:rsid w:val="00C86CD6"/>
    <w:rsid w:val="00C8713F"/>
    <w:rsid w:val="00C871CE"/>
    <w:rsid w:val="00C91C5D"/>
    <w:rsid w:val="00C9209D"/>
    <w:rsid w:val="00C9500F"/>
    <w:rsid w:val="00CA4ED1"/>
    <w:rsid w:val="00CB033E"/>
    <w:rsid w:val="00CB104F"/>
    <w:rsid w:val="00CB43C8"/>
    <w:rsid w:val="00CB581C"/>
    <w:rsid w:val="00CB58AE"/>
    <w:rsid w:val="00CB6F71"/>
    <w:rsid w:val="00CC0F0E"/>
    <w:rsid w:val="00CC1DF1"/>
    <w:rsid w:val="00CC356B"/>
    <w:rsid w:val="00CC3962"/>
    <w:rsid w:val="00CC5232"/>
    <w:rsid w:val="00CD0E3C"/>
    <w:rsid w:val="00CD1F0D"/>
    <w:rsid w:val="00CD3FAB"/>
    <w:rsid w:val="00CD686E"/>
    <w:rsid w:val="00CE1F0B"/>
    <w:rsid w:val="00CE6900"/>
    <w:rsid w:val="00CF01D4"/>
    <w:rsid w:val="00CF2A50"/>
    <w:rsid w:val="00CF49C6"/>
    <w:rsid w:val="00D016F1"/>
    <w:rsid w:val="00D03129"/>
    <w:rsid w:val="00D04FD4"/>
    <w:rsid w:val="00D06097"/>
    <w:rsid w:val="00D108C2"/>
    <w:rsid w:val="00D10960"/>
    <w:rsid w:val="00D11201"/>
    <w:rsid w:val="00D113F6"/>
    <w:rsid w:val="00D11609"/>
    <w:rsid w:val="00D11A8F"/>
    <w:rsid w:val="00D151ED"/>
    <w:rsid w:val="00D158E1"/>
    <w:rsid w:val="00D16BE9"/>
    <w:rsid w:val="00D2026A"/>
    <w:rsid w:val="00D21819"/>
    <w:rsid w:val="00D234D7"/>
    <w:rsid w:val="00D24B89"/>
    <w:rsid w:val="00D24BA6"/>
    <w:rsid w:val="00D2603B"/>
    <w:rsid w:val="00D260BD"/>
    <w:rsid w:val="00D27443"/>
    <w:rsid w:val="00D2762B"/>
    <w:rsid w:val="00D33A47"/>
    <w:rsid w:val="00D3441D"/>
    <w:rsid w:val="00D37C8D"/>
    <w:rsid w:val="00D37F7B"/>
    <w:rsid w:val="00D42466"/>
    <w:rsid w:val="00D43133"/>
    <w:rsid w:val="00D46485"/>
    <w:rsid w:val="00D46C14"/>
    <w:rsid w:val="00D47405"/>
    <w:rsid w:val="00D504DB"/>
    <w:rsid w:val="00D52D2F"/>
    <w:rsid w:val="00D538BA"/>
    <w:rsid w:val="00D556AC"/>
    <w:rsid w:val="00D6123A"/>
    <w:rsid w:val="00D64BFA"/>
    <w:rsid w:val="00D665C0"/>
    <w:rsid w:val="00D67A5A"/>
    <w:rsid w:val="00D70CCF"/>
    <w:rsid w:val="00D7541A"/>
    <w:rsid w:val="00D75CD2"/>
    <w:rsid w:val="00D76365"/>
    <w:rsid w:val="00D77C54"/>
    <w:rsid w:val="00D81AAC"/>
    <w:rsid w:val="00D83300"/>
    <w:rsid w:val="00D83332"/>
    <w:rsid w:val="00D911DE"/>
    <w:rsid w:val="00D94241"/>
    <w:rsid w:val="00D960E5"/>
    <w:rsid w:val="00D97DEE"/>
    <w:rsid w:val="00DA0D4C"/>
    <w:rsid w:val="00DA4AF5"/>
    <w:rsid w:val="00DA6042"/>
    <w:rsid w:val="00DA61BB"/>
    <w:rsid w:val="00DA7026"/>
    <w:rsid w:val="00DA79DE"/>
    <w:rsid w:val="00DB2875"/>
    <w:rsid w:val="00DB3B66"/>
    <w:rsid w:val="00DB5A9B"/>
    <w:rsid w:val="00DB6EDF"/>
    <w:rsid w:val="00DC3376"/>
    <w:rsid w:val="00DC3798"/>
    <w:rsid w:val="00DC39C3"/>
    <w:rsid w:val="00DC40CB"/>
    <w:rsid w:val="00DC4320"/>
    <w:rsid w:val="00DC50C2"/>
    <w:rsid w:val="00DC56D0"/>
    <w:rsid w:val="00DD00C6"/>
    <w:rsid w:val="00DD071C"/>
    <w:rsid w:val="00DD1707"/>
    <w:rsid w:val="00DD2C89"/>
    <w:rsid w:val="00DD3BA6"/>
    <w:rsid w:val="00DD5636"/>
    <w:rsid w:val="00DD687A"/>
    <w:rsid w:val="00DD75D2"/>
    <w:rsid w:val="00DE0072"/>
    <w:rsid w:val="00DE0B20"/>
    <w:rsid w:val="00DE1D57"/>
    <w:rsid w:val="00DE246A"/>
    <w:rsid w:val="00DE31ED"/>
    <w:rsid w:val="00DE46E2"/>
    <w:rsid w:val="00DF054C"/>
    <w:rsid w:val="00DF18FA"/>
    <w:rsid w:val="00DF1F22"/>
    <w:rsid w:val="00DF2682"/>
    <w:rsid w:val="00DF4DA4"/>
    <w:rsid w:val="00DF69CA"/>
    <w:rsid w:val="00E0216F"/>
    <w:rsid w:val="00E02972"/>
    <w:rsid w:val="00E0303F"/>
    <w:rsid w:val="00E046DF"/>
    <w:rsid w:val="00E05EFC"/>
    <w:rsid w:val="00E06CFC"/>
    <w:rsid w:val="00E073AC"/>
    <w:rsid w:val="00E075E7"/>
    <w:rsid w:val="00E10314"/>
    <w:rsid w:val="00E11ADF"/>
    <w:rsid w:val="00E13258"/>
    <w:rsid w:val="00E16301"/>
    <w:rsid w:val="00E20075"/>
    <w:rsid w:val="00E20EED"/>
    <w:rsid w:val="00E23A50"/>
    <w:rsid w:val="00E246E7"/>
    <w:rsid w:val="00E24AE6"/>
    <w:rsid w:val="00E265AA"/>
    <w:rsid w:val="00E26ADB"/>
    <w:rsid w:val="00E30392"/>
    <w:rsid w:val="00E33E20"/>
    <w:rsid w:val="00E438B7"/>
    <w:rsid w:val="00E43A95"/>
    <w:rsid w:val="00E465D8"/>
    <w:rsid w:val="00E4775C"/>
    <w:rsid w:val="00E50CE4"/>
    <w:rsid w:val="00E5183B"/>
    <w:rsid w:val="00E51DB2"/>
    <w:rsid w:val="00E556B8"/>
    <w:rsid w:val="00E575F9"/>
    <w:rsid w:val="00E57619"/>
    <w:rsid w:val="00E57C45"/>
    <w:rsid w:val="00E61501"/>
    <w:rsid w:val="00E61AC0"/>
    <w:rsid w:val="00E65561"/>
    <w:rsid w:val="00E70866"/>
    <w:rsid w:val="00E7161B"/>
    <w:rsid w:val="00E719A2"/>
    <w:rsid w:val="00E72186"/>
    <w:rsid w:val="00E73829"/>
    <w:rsid w:val="00E75BFD"/>
    <w:rsid w:val="00E765B8"/>
    <w:rsid w:val="00E806F1"/>
    <w:rsid w:val="00E80DFF"/>
    <w:rsid w:val="00E822C7"/>
    <w:rsid w:val="00E83C3C"/>
    <w:rsid w:val="00E845B8"/>
    <w:rsid w:val="00E84E03"/>
    <w:rsid w:val="00E864D6"/>
    <w:rsid w:val="00E877BA"/>
    <w:rsid w:val="00E87B94"/>
    <w:rsid w:val="00E91465"/>
    <w:rsid w:val="00EA0AC4"/>
    <w:rsid w:val="00EA0C0C"/>
    <w:rsid w:val="00EA0E56"/>
    <w:rsid w:val="00EA538A"/>
    <w:rsid w:val="00EA59C2"/>
    <w:rsid w:val="00EA7D7F"/>
    <w:rsid w:val="00EB0C28"/>
    <w:rsid w:val="00EB1F75"/>
    <w:rsid w:val="00EB2173"/>
    <w:rsid w:val="00EB3D28"/>
    <w:rsid w:val="00EB57EA"/>
    <w:rsid w:val="00EB6601"/>
    <w:rsid w:val="00EC18F9"/>
    <w:rsid w:val="00EC3648"/>
    <w:rsid w:val="00EC6134"/>
    <w:rsid w:val="00EC6B0A"/>
    <w:rsid w:val="00EC77AF"/>
    <w:rsid w:val="00ED16E0"/>
    <w:rsid w:val="00ED4475"/>
    <w:rsid w:val="00ED485B"/>
    <w:rsid w:val="00ED489C"/>
    <w:rsid w:val="00ED6498"/>
    <w:rsid w:val="00ED64DF"/>
    <w:rsid w:val="00ED6BEA"/>
    <w:rsid w:val="00ED7844"/>
    <w:rsid w:val="00ED7DAD"/>
    <w:rsid w:val="00EE115D"/>
    <w:rsid w:val="00EE4803"/>
    <w:rsid w:val="00EE4B28"/>
    <w:rsid w:val="00EE5B6C"/>
    <w:rsid w:val="00EF0AEE"/>
    <w:rsid w:val="00EF1313"/>
    <w:rsid w:val="00EF2743"/>
    <w:rsid w:val="00EF2AF1"/>
    <w:rsid w:val="00EF6654"/>
    <w:rsid w:val="00EF7DEB"/>
    <w:rsid w:val="00F00A2B"/>
    <w:rsid w:val="00F017F1"/>
    <w:rsid w:val="00F01D15"/>
    <w:rsid w:val="00F03CEE"/>
    <w:rsid w:val="00F051F2"/>
    <w:rsid w:val="00F12119"/>
    <w:rsid w:val="00F1214C"/>
    <w:rsid w:val="00F12EAA"/>
    <w:rsid w:val="00F13EF5"/>
    <w:rsid w:val="00F1642F"/>
    <w:rsid w:val="00F230D4"/>
    <w:rsid w:val="00F245FB"/>
    <w:rsid w:val="00F26327"/>
    <w:rsid w:val="00F264A1"/>
    <w:rsid w:val="00F277FA"/>
    <w:rsid w:val="00F27B0C"/>
    <w:rsid w:val="00F3217C"/>
    <w:rsid w:val="00F332C4"/>
    <w:rsid w:val="00F351B3"/>
    <w:rsid w:val="00F35CFE"/>
    <w:rsid w:val="00F360E0"/>
    <w:rsid w:val="00F366CE"/>
    <w:rsid w:val="00F36B62"/>
    <w:rsid w:val="00F405FA"/>
    <w:rsid w:val="00F409CD"/>
    <w:rsid w:val="00F41231"/>
    <w:rsid w:val="00F420E6"/>
    <w:rsid w:val="00F4380A"/>
    <w:rsid w:val="00F45BC0"/>
    <w:rsid w:val="00F45BF0"/>
    <w:rsid w:val="00F51D61"/>
    <w:rsid w:val="00F51D88"/>
    <w:rsid w:val="00F52161"/>
    <w:rsid w:val="00F532B9"/>
    <w:rsid w:val="00F54895"/>
    <w:rsid w:val="00F604B3"/>
    <w:rsid w:val="00F6057B"/>
    <w:rsid w:val="00F612E0"/>
    <w:rsid w:val="00F61A00"/>
    <w:rsid w:val="00F64284"/>
    <w:rsid w:val="00F6436C"/>
    <w:rsid w:val="00F70D6D"/>
    <w:rsid w:val="00F7168F"/>
    <w:rsid w:val="00F71909"/>
    <w:rsid w:val="00F71914"/>
    <w:rsid w:val="00F72C9F"/>
    <w:rsid w:val="00F72F88"/>
    <w:rsid w:val="00F7372A"/>
    <w:rsid w:val="00F75249"/>
    <w:rsid w:val="00F820E4"/>
    <w:rsid w:val="00F82F0A"/>
    <w:rsid w:val="00F83623"/>
    <w:rsid w:val="00F83A2C"/>
    <w:rsid w:val="00F8452F"/>
    <w:rsid w:val="00F85414"/>
    <w:rsid w:val="00F8586B"/>
    <w:rsid w:val="00F879FD"/>
    <w:rsid w:val="00F9320C"/>
    <w:rsid w:val="00F97B6F"/>
    <w:rsid w:val="00FA06CA"/>
    <w:rsid w:val="00FA11D3"/>
    <w:rsid w:val="00FA11E4"/>
    <w:rsid w:val="00FA1C15"/>
    <w:rsid w:val="00FA21FF"/>
    <w:rsid w:val="00FA50B9"/>
    <w:rsid w:val="00FB052B"/>
    <w:rsid w:val="00FB0681"/>
    <w:rsid w:val="00FB112F"/>
    <w:rsid w:val="00FB3142"/>
    <w:rsid w:val="00FB3A90"/>
    <w:rsid w:val="00FB45D3"/>
    <w:rsid w:val="00FB4B8B"/>
    <w:rsid w:val="00FC0617"/>
    <w:rsid w:val="00FC0D47"/>
    <w:rsid w:val="00FC211F"/>
    <w:rsid w:val="00FC327A"/>
    <w:rsid w:val="00FC3805"/>
    <w:rsid w:val="00FD087D"/>
    <w:rsid w:val="00FD19BF"/>
    <w:rsid w:val="00FD1EF8"/>
    <w:rsid w:val="00FD27B6"/>
    <w:rsid w:val="00FD5899"/>
    <w:rsid w:val="00FD6DAE"/>
    <w:rsid w:val="00FE275A"/>
    <w:rsid w:val="00FE38A7"/>
    <w:rsid w:val="00FE4E5E"/>
    <w:rsid w:val="00FF0425"/>
    <w:rsid w:val="00FF22A9"/>
    <w:rsid w:val="00FF59BA"/>
    <w:rsid w:val="00FF62A2"/>
    <w:rsid w:val="00FF78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672E72"/>
  <w15:chartTrackingRefBased/>
  <w15:docId w15:val="{28B8ADD4-7445-4246-9A0B-A0FEDD0A5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36D59"/>
    <w:pPr>
      <w:spacing w:after="0" w:line="260" w:lineRule="atLeast"/>
    </w:pPr>
    <w:rPr>
      <w:rFonts w:ascii="Times New Roman" w:hAnsi="Times New Roman"/>
      <w:szCs w:val="20"/>
    </w:rPr>
  </w:style>
  <w:style w:type="paragraph" w:styleId="Heading1">
    <w:name w:val="heading 1"/>
    <w:basedOn w:val="Normal"/>
    <w:next w:val="Normal"/>
    <w:link w:val="Heading1Char"/>
    <w:uiPriority w:val="9"/>
    <w:qFormat/>
    <w:rsid w:val="00B36D5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rsid w:val="00B36D5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B36D59"/>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B36D59"/>
    <w:pPr>
      <w:keepNext/>
      <w:keepLines/>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B36D59"/>
    <w:pPr>
      <w:keepNext/>
      <w:keepLines/>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B36D59"/>
    <w:pPr>
      <w:keepNext/>
      <w:keepLines/>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B36D5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36D59"/>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B36D59"/>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6D59"/>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semiHidden/>
    <w:rsid w:val="00B36D59"/>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semiHidden/>
    <w:rsid w:val="00B36D59"/>
    <w:rPr>
      <w:rFonts w:asciiTheme="majorHAnsi" w:eastAsiaTheme="majorEastAsia" w:hAnsiTheme="majorHAnsi" w:cstheme="majorBidi"/>
      <w:b/>
      <w:bCs/>
      <w:color w:val="4472C4" w:themeColor="accent1"/>
      <w:szCs w:val="20"/>
    </w:rPr>
  </w:style>
  <w:style w:type="character" w:customStyle="1" w:styleId="Heading4Char">
    <w:name w:val="Heading 4 Char"/>
    <w:basedOn w:val="DefaultParagraphFont"/>
    <w:link w:val="Heading4"/>
    <w:uiPriority w:val="9"/>
    <w:semiHidden/>
    <w:rsid w:val="00B36D59"/>
    <w:rPr>
      <w:rFonts w:asciiTheme="majorHAnsi" w:eastAsiaTheme="majorEastAsia" w:hAnsiTheme="majorHAnsi" w:cstheme="majorBidi"/>
      <w:b/>
      <w:bCs/>
      <w:i/>
      <w:iCs/>
      <w:color w:val="4472C4" w:themeColor="accent1"/>
      <w:szCs w:val="20"/>
    </w:rPr>
  </w:style>
  <w:style w:type="character" w:customStyle="1" w:styleId="Heading5Char">
    <w:name w:val="Heading 5 Char"/>
    <w:basedOn w:val="DefaultParagraphFont"/>
    <w:link w:val="Heading5"/>
    <w:uiPriority w:val="9"/>
    <w:semiHidden/>
    <w:rsid w:val="00B36D59"/>
    <w:rPr>
      <w:rFonts w:asciiTheme="majorHAnsi" w:eastAsiaTheme="majorEastAsia" w:hAnsiTheme="majorHAnsi" w:cstheme="majorBidi"/>
      <w:color w:val="1F3763" w:themeColor="accent1" w:themeShade="7F"/>
      <w:szCs w:val="20"/>
    </w:rPr>
  </w:style>
  <w:style w:type="character" w:customStyle="1" w:styleId="Heading6Char">
    <w:name w:val="Heading 6 Char"/>
    <w:basedOn w:val="DefaultParagraphFont"/>
    <w:link w:val="Heading6"/>
    <w:uiPriority w:val="9"/>
    <w:semiHidden/>
    <w:rsid w:val="00B36D59"/>
    <w:rPr>
      <w:rFonts w:asciiTheme="majorHAnsi" w:eastAsiaTheme="majorEastAsia" w:hAnsiTheme="majorHAnsi" w:cstheme="majorBidi"/>
      <w:i/>
      <w:iCs/>
      <w:color w:val="1F3763" w:themeColor="accent1" w:themeShade="7F"/>
      <w:szCs w:val="20"/>
    </w:rPr>
  </w:style>
  <w:style w:type="character" w:customStyle="1" w:styleId="Heading7Char">
    <w:name w:val="Heading 7 Char"/>
    <w:basedOn w:val="DefaultParagraphFont"/>
    <w:link w:val="Heading7"/>
    <w:uiPriority w:val="9"/>
    <w:semiHidden/>
    <w:rsid w:val="00B36D59"/>
    <w:rPr>
      <w:rFonts w:asciiTheme="majorHAnsi" w:eastAsiaTheme="majorEastAsia" w:hAnsiTheme="majorHAnsi" w:cstheme="majorBidi"/>
      <w:i/>
      <w:iCs/>
      <w:color w:val="404040" w:themeColor="text1" w:themeTint="BF"/>
      <w:szCs w:val="20"/>
    </w:rPr>
  </w:style>
  <w:style w:type="character" w:customStyle="1" w:styleId="Heading8Char">
    <w:name w:val="Heading 8 Char"/>
    <w:basedOn w:val="DefaultParagraphFont"/>
    <w:link w:val="Heading8"/>
    <w:uiPriority w:val="9"/>
    <w:semiHidden/>
    <w:rsid w:val="00B36D5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B36D59"/>
    <w:rPr>
      <w:rFonts w:asciiTheme="majorHAnsi" w:eastAsiaTheme="majorEastAsia" w:hAnsiTheme="majorHAnsi" w:cstheme="majorBidi"/>
      <w:i/>
      <w:iCs/>
      <w:color w:val="404040" w:themeColor="text1" w:themeTint="BF"/>
      <w:sz w:val="20"/>
      <w:szCs w:val="20"/>
    </w:rPr>
  </w:style>
  <w:style w:type="character" w:customStyle="1" w:styleId="OPCCharBase">
    <w:name w:val="OPCCharBase"/>
    <w:uiPriority w:val="1"/>
    <w:qFormat/>
    <w:rsid w:val="00B36D59"/>
  </w:style>
  <w:style w:type="paragraph" w:customStyle="1" w:styleId="OPCParaBase">
    <w:name w:val="OPCParaBase"/>
    <w:qFormat/>
    <w:rsid w:val="00B36D59"/>
    <w:pPr>
      <w:spacing w:after="0" w:line="260" w:lineRule="atLeast"/>
    </w:pPr>
    <w:rPr>
      <w:rFonts w:ascii="Times New Roman" w:eastAsia="Times New Roman" w:hAnsi="Times New Roman" w:cs="Times New Roman"/>
      <w:szCs w:val="20"/>
      <w:lang w:eastAsia="en-AU"/>
    </w:rPr>
  </w:style>
  <w:style w:type="paragraph" w:customStyle="1" w:styleId="ShortT">
    <w:name w:val="ShortT"/>
    <w:basedOn w:val="OPCParaBase"/>
    <w:next w:val="Normal"/>
    <w:qFormat/>
    <w:rsid w:val="00B36D59"/>
    <w:pPr>
      <w:spacing w:line="240" w:lineRule="auto"/>
    </w:pPr>
    <w:rPr>
      <w:b/>
      <w:sz w:val="40"/>
    </w:rPr>
  </w:style>
  <w:style w:type="paragraph" w:customStyle="1" w:styleId="ActHead1">
    <w:name w:val="ActHead 1"/>
    <w:aliases w:val="c"/>
    <w:basedOn w:val="OPCParaBase"/>
    <w:next w:val="Normal"/>
    <w:qFormat/>
    <w:rsid w:val="00B36D5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B36D5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36D5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36D5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B36D5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36D5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36D5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36D5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36D59"/>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B36D59"/>
  </w:style>
  <w:style w:type="paragraph" w:customStyle="1" w:styleId="Blocks">
    <w:name w:val="Blocks"/>
    <w:aliases w:val="bb"/>
    <w:basedOn w:val="OPCParaBase"/>
    <w:qFormat/>
    <w:rsid w:val="00B36D59"/>
    <w:pPr>
      <w:spacing w:line="240" w:lineRule="auto"/>
    </w:pPr>
    <w:rPr>
      <w:sz w:val="24"/>
    </w:rPr>
  </w:style>
  <w:style w:type="paragraph" w:customStyle="1" w:styleId="BoxText">
    <w:name w:val="BoxText"/>
    <w:aliases w:val="bt"/>
    <w:basedOn w:val="OPCParaBase"/>
    <w:qFormat/>
    <w:rsid w:val="00B36D5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36D59"/>
    <w:rPr>
      <w:b/>
    </w:rPr>
  </w:style>
  <w:style w:type="paragraph" w:customStyle="1" w:styleId="BoxHeadItalic">
    <w:name w:val="BoxHeadItalic"/>
    <w:aliases w:val="bhi"/>
    <w:basedOn w:val="BoxText"/>
    <w:next w:val="BoxStep"/>
    <w:qFormat/>
    <w:rsid w:val="00B36D59"/>
    <w:rPr>
      <w:i/>
    </w:rPr>
  </w:style>
  <w:style w:type="paragraph" w:customStyle="1" w:styleId="BoxList">
    <w:name w:val="BoxList"/>
    <w:aliases w:val="bl"/>
    <w:basedOn w:val="BoxText"/>
    <w:qFormat/>
    <w:rsid w:val="00B36D59"/>
    <w:pPr>
      <w:ind w:left="1559" w:hanging="425"/>
    </w:pPr>
  </w:style>
  <w:style w:type="paragraph" w:customStyle="1" w:styleId="BoxNote">
    <w:name w:val="BoxNote"/>
    <w:aliases w:val="bn"/>
    <w:basedOn w:val="BoxText"/>
    <w:qFormat/>
    <w:rsid w:val="00B36D59"/>
    <w:pPr>
      <w:tabs>
        <w:tab w:val="left" w:pos="1985"/>
      </w:tabs>
      <w:spacing w:before="122" w:line="198" w:lineRule="exact"/>
      <w:ind w:left="2948" w:hanging="1814"/>
    </w:pPr>
    <w:rPr>
      <w:sz w:val="18"/>
    </w:rPr>
  </w:style>
  <w:style w:type="paragraph" w:customStyle="1" w:styleId="BoxPara">
    <w:name w:val="BoxPara"/>
    <w:aliases w:val="bp"/>
    <w:basedOn w:val="BoxText"/>
    <w:qFormat/>
    <w:rsid w:val="00B36D59"/>
    <w:pPr>
      <w:tabs>
        <w:tab w:val="right" w:pos="2268"/>
      </w:tabs>
      <w:ind w:left="2552" w:hanging="1418"/>
    </w:pPr>
  </w:style>
  <w:style w:type="paragraph" w:customStyle="1" w:styleId="BoxStep">
    <w:name w:val="BoxStep"/>
    <w:aliases w:val="bs"/>
    <w:basedOn w:val="BoxText"/>
    <w:qFormat/>
    <w:rsid w:val="00B36D59"/>
    <w:pPr>
      <w:ind w:left="1985" w:hanging="851"/>
    </w:pPr>
  </w:style>
  <w:style w:type="character" w:customStyle="1" w:styleId="CharAmPartNo">
    <w:name w:val="CharAmPartNo"/>
    <w:basedOn w:val="OPCCharBase"/>
    <w:uiPriority w:val="1"/>
    <w:qFormat/>
    <w:rsid w:val="00B36D59"/>
  </w:style>
  <w:style w:type="character" w:customStyle="1" w:styleId="CharAmPartText">
    <w:name w:val="CharAmPartText"/>
    <w:basedOn w:val="OPCCharBase"/>
    <w:uiPriority w:val="1"/>
    <w:qFormat/>
    <w:rsid w:val="00B36D59"/>
  </w:style>
  <w:style w:type="character" w:customStyle="1" w:styleId="CharAmSchNo">
    <w:name w:val="CharAmSchNo"/>
    <w:basedOn w:val="OPCCharBase"/>
    <w:uiPriority w:val="1"/>
    <w:qFormat/>
    <w:rsid w:val="00B36D59"/>
  </w:style>
  <w:style w:type="character" w:customStyle="1" w:styleId="CharAmSchText">
    <w:name w:val="CharAmSchText"/>
    <w:basedOn w:val="OPCCharBase"/>
    <w:uiPriority w:val="1"/>
    <w:qFormat/>
    <w:rsid w:val="00B36D59"/>
  </w:style>
  <w:style w:type="character" w:customStyle="1" w:styleId="CharBoldItalic">
    <w:name w:val="CharBoldItalic"/>
    <w:basedOn w:val="OPCCharBase"/>
    <w:uiPriority w:val="1"/>
    <w:qFormat/>
    <w:rsid w:val="00B36D59"/>
    <w:rPr>
      <w:b/>
      <w:i/>
    </w:rPr>
  </w:style>
  <w:style w:type="character" w:customStyle="1" w:styleId="CharChapNo">
    <w:name w:val="CharChapNo"/>
    <w:basedOn w:val="OPCCharBase"/>
    <w:qFormat/>
    <w:rsid w:val="00B36D59"/>
  </w:style>
  <w:style w:type="character" w:customStyle="1" w:styleId="CharChapText">
    <w:name w:val="CharChapText"/>
    <w:basedOn w:val="OPCCharBase"/>
    <w:qFormat/>
    <w:rsid w:val="00B36D59"/>
  </w:style>
  <w:style w:type="character" w:customStyle="1" w:styleId="CharDivNo">
    <w:name w:val="CharDivNo"/>
    <w:basedOn w:val="OPCCharBase"/>
    <w:qFormat/>
    <w:rsid w:val="00B36D59"/>
  </w:style>
  <w:style w:type="character" w:customStyle="1" w:styleId="CharDivText">
    <w:name w:val="CharDivText"/>
    <w:basedOn w:val="OPCCharBase"/>
    <w:qFormat/>
    <w:rsid w:val="00B36D59"/>
  </w:style>
  <w:style w:type="character" w:customStyle="1" w:styleId="CharItalic">
    <w:name w:val="CharItalic"/>
    <w:basedOn w:val="OPCCharBase"/>
    <w:uiPriority w:val="1"/>
    <w:qFormat/>
    <w:rsid w:val="00B36D59"/>
    <w:rPr>
      <w:i/>
    </w:rPr>
  </w:style>
  <w:style w:type="character" w:customStyle="1" w:styleId="CharPartNo">
    <w:name w:val="CharPartNo"/>
    <w:basedOn w:val="OPCCharBase"/>
    <w:qFormat/>
    <w:rsid w:val="00B36D59"/>
  </w:style>
  <w:style w:type="character" w:customStyle="1" w:styleId="CharPartText">
    <w:name w:val="CharPartText"/>
    <w:basedOn w:val="OPCCharBase"/>
    <w:qFormat/>
    <w:rsid w:val="00B36D59"/>
  </w:style>
  <w:style w:type="character" w:customStyle="1" w:styleId="CharSectno">
    <w:name w:val="CharSectno"/>
    <w:basedOn w:val="OPCCharBase"/>
    <w:qFormat/>
    <w:rsid w:val="00B36D59"/>
  </w:style>
  <w:style w:type="character" w:customStyle="1" w:styleId="CharSubdNo">
    <w:name w:val="CharSubdNo"/>
    <w:basedOn w:val="OPCCharBase"/>
    <w:uiPriority w:val="1"/>
    <w:qFormat/>
    <w:rsid w:val="00B36D59"/>
  </w:style>
  <w:style w:type="character" w:customStyle="1" w:styleId="CharSubdText">
    <w:name w:val="CharSubdText"/>
    <w:basedOn w:val="OPCCharBase"/>
    <w:uiPriority w:val="1"/>
    <w:qFormat/>
    <w:rsid w:val="00B36D59"/>
  </w:style>
  <w:style w:type="paragraph" w:customStyle="1" w:styleId="CTA--">
    <w:name w:val="CTA --"/>
    <w:basedOn w:val="OPCParaBase"/>
    <w:next w:val="Normal"/>
    <w:rsid w:val="00B36D59"/>
    <w:pPr>
      <w:spacing w:before="60" w:line="240" w:lineRule="atLeast"/>
      <w:ind w:left="142" w:hanging="142"/>
    </w:pPr>
    <w:rPr>
      <w:sz w:val="20"/>
    </w:rPr>
  </w:style>
  <w:style w:type="paragraph" w:customStyle="1" w:styleId="CTA-">
    <w:name w:val="CTA -"/>
    <w:basedOn w:val="OPCParaBase"/>
    <w:rsid w:val="00B36D59"/>
    <w:pPr>
      <w:spacing w:before="60" w:line="240" w:lineRule="atLeast"/>
      <w:ind w:left="85" w:hanging="85"/>
    </w:pPr>
    <w:rPr>
      <w:sz w:val="20"/>
    </w:rPr>
  </w:style>
  <w:style w:type="paragraph" w:customStyle="1" w:styleId="CTA---">
    <w:name w:val="CTA ---"/>
    <w:basedOn w:val="OPCParaBase"/>
    <w:next w:val="Normal"/>
    <w:rsid w:val="00B36D59"/>
    <w:pPr>
      <w:spacing w:before="60" w:line="240" w:lineRule="atLeast"/>
      <w:ind w:left="198" w:hanging="198"/>
    </w:pPr>
    <w:rPr>
      <w:sz w:val="20"/>
    </w:rPr>
  </w:style>
  <w:style w:type="paragraph" w:customStyle="1" w:styleId="CTA----">
    <w:name w:val="CTA ----"/>
    <w:basedOn w:val="OPCParaBase"/>
    <w:next w:val="Normal"/>
    <w:rsid w:val="00B36D59"/>
    <w:pPr>
      <w:spacing w:before="60" w:line="240" w:lineRule="atLeast"/>
      <w:ind w:left="255" w:hanging="255"/>
    </w:pPr>
    <w:rPr>
      <w:sz w:val="20"/>
    </w:rPr>
  </w:style>
  <w:style w:type="paragraph" w:customStyle="1" w:styleId="CTA1a">
    <w:name w:val="CTA 1(a)"/>
    <w:basedOn w:val="OPCParaBase"/>
    <w:rsid w:val="00B36D59"/>
    <w:pPr>
      <w:tabs>
        <w:tab w:val="right" w:pos="414"/>
      </w:tabs>
      <w:spacing w:before="40" w:line="240" w:lineRule="atLeast"/>
      <w:ind w:left="675" w:hanging="675"/>
    </w:pPr>
    <w:rPr>
      <w:sz w:val="20"/>
    </w:rPr>
  </w:style>
  <w:style w:type="paragraph" w:customStyle="1" w:styleId="CTA1ai">
    <w:name w:val="CTA 1(a)(i)"/>
    <w:basedOn w:val="OPCParaBase"/>
    <w:rsid w:val="00B36D59"/>
    <w:pPr>
      <w:tabs>
        <w:tab w:val="right" w:pos="1004"/>
      </w:tabs>
      <w:spacing w:before="40" w:line="240" w:lineRule="atLeast"/>
      <w:ind w:left="1253" w:hanging="1253"/>
    </w:pPr>
    <w:rPr>
      <w:sz w:val="20"/>
    </w:rPr>
  </w:style>
  <w:style w:type="paragraph" w:customStyle="1" w:styleId="CTA2a">
    <w:name w:val="CTA 2(a)"/>
    <w:basedOn w:val="OPCParaBase"/>
    <w:rsid w:val="00B36D59"/>
    <w:pPr>
      <w:tabs>
        <w:tab w:val="right" w:pos="482"/>
      </w:tabs>
      <w:spacing w:before="40" w:line="240" w:lineRule="atLeast"/>
      <w:ind w:left="748" w:hanging="748"/>
    </w:pPr>
    <w:rPr>
      <w:sz w:val="20"/>
    </w:rPr>
  </w:style>
  <w:style w:type="paragraph" w:customStyle="1" w:styleId="CTA2ai">
    <w:name w:val="CTA 2(a)(i)"/>
    <w:basedOn w:val="OPCParaBase"/>
    <w:rsid w:val="00B36D59"/>
    <w:pPr>
      <w:tabs>
        <w:tab w:val="right" w:pos="1089"/>
      </w:tabs>
      <w:spacing w:before="40" w:line="240" w:lineRule="atLeast"/>
      <w:ind w:left="1327" w:hanging="1327"/>
    </w:pPr>
    <w:rPr>
      <w:sz w:val="20"/>
    </w:rPr>
  </w:style>
  <w:style w:type="paragraph" w:customStyle="1" w:styleId="CTA3a">
    <w:name w:val="CTA 3(a)"/>
    <w:basedOn w:val="OPCParaBase"/>
    <w:rsid w:val="00B36D59"/>
    <w:pPr>
      <w:tabs>
        <w:tab w:val="right" w:pos="556"/>
      </w:tabs>
      <w:spacing w:before="40" w:line="240" w:lineRule="atLeast"/>
      <w:ind w:left="805" w:hanging="805"/>
    </w:pPr>
    <w:rPr>
      <w:sz w:val="20"/>
    </w:rPr>
  </w:style>
  <w:style w:type="paragraph" w:customStyle="1" w:styleId="CTA3ai">
    <w:name w:val="CTA 3(a)(i)"/>
    <w:basedOn w:val="OPCParaBase"/>
    <w:rsid w:val="00B36D59"/>
    <w:pPr>
      <w:tabs>
        <w:tab w:val="right" w:pos="1140"/>
      </w:tabs>
      <w:spacing w:before="40" w:line="240" w:lineRule="atLeast"/>
      <w:ind w:left="1361" w:hanging="1361"/>
    </w:pPr>
    <w:rPr>
      <w:sz w:val="20"/>
    </w:rPr>
  </w:style>
  <w:style w:type="paragraph" w:customStyle="1" w:styleId="CTA4a">
    <w:name w:val="CTA 4(a)"/>
    <w:basedOn w:val="OPCParaBase"/>
    <w:rsid w:val="00B36D59"/>
    <w:pPr>
      <w:tabs>
        <w:tab w:val="right" w:pos="624"/>
      </w:tabs>
      <w:spacing w:before="40" w:line="240" w:lineRule="atLeast"/>
      <w:ind w:left="873" w:hanging="873"/>
    </w:pPr>
    <w:rPr>
      <w:sz w:val="20"/>
    </w:rPr>
  </w:style>
  <w:style w:type="paragraph" w:customStyle="1" w:styleId="CTA4ai">
    <w:name w:val="CTA 4(a)(i)"/>
    <w:basedOn w:val="OPCParaBase"/>
    <w:rsid w:val="00B36D59"/>
    <w:pPr>
      <w:tabs>
        <w:tab w:val="right" w:pos="1213"/>
      </w:tabs>
      <w:spacing w:before="40" w:line="240" w:lineRule="atLeast"/>
      <w:ind w:left="1452" w:hanging="1452"/>
    </w:pPr>
    <w:rPr>
      <w:sz w:val="20"/>
    </w:rPr>
  </w:style>
  <w:style w:type="paragraph" w:customStyle="1" w:styleId="CTACAPS">
    <w:name w:val="CTA CAPS"/>
    <w:basedOn w:val="OPCParaBase"/>
    <w:rsid w:val="00B36D59"/>
    <w:pPr>
      <w:spacing w:before="60" w:line="240" w:lineRule="atLeast"/>
    </w:pPr>
    <w:rPr>
      <w:sz w:val="20"/>
    </w:rPr>
  </w:style>
  <w:style w:type="paragraph" w:customStyle="1" w:styleId="CTAright">
    <w:name w:val="CTA right"/>
    <w:basedOn w:val="OPCParaBase"/>
    <w:rsid w:val="00B36D59"/>
    <w:pPr>
      <w:spacing w:before="60" w:line="240" w:lineRule="auto"/>
      <w:jc w:val="right"/>
    </w:pPr>
    <w:rPr>
      <w:sz w:val="20"/>
    </w:rPr>
  </w:style>
  <w:style w:type="paragraph" w:customStyle="1" w:styleId="subsection">
    <w:name w:val="subsection"/>
    <w:aliases w:val="ss"/>
    <w:basedOn w:val="OPCParaBase"/>
    <w:link w:val="subsectionChar"/>
    <w:rsid w:val="00B36D59"/>
    <w:pPr>
      <w:tabs>
        <w:tab w:val="right" w:pos="1021"/>
      </w:tabs>
      <w:spacing w:before="180" w:line="240" w:lineRule="auto"/>
      <w:ind w:left="1134" w:hanging="1134"/>
    </w:pPr>
  </w:style>
  <w:style w:type="paragraph" w:customStyle="1" w:styleId="Definition">
    <w:name w:val="Definition"/>
    <w:aliases w:val="dd"/>
    <w:basedOn w:val="OPCParaBase"/>
    <w:rsid w:val="00B36D59"/>
    <w:pPr>
      <w:spacing w:before="180" w:line="240" w:lineRule="auto"/>
      <w:ind w:left="1134"/>
    </w:pPr>
  </w:style>
  <w:style w:type="paragraph" w:customStyle="1" w:styleId="EndNotespara">
    <w:name w:val="EndNotes(para)"/>
    <w:aliases w:val="eta"/>
    <w:basedOn w:val="OPCParaBase"/>
    <w:next w:val="EndNotessubpara"/>
    <w:rsid w:val="00B36D5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36D5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B36D5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36D59"/>
    <w:pPr>
      <w:tabs>
        <w:tab w:val="right" w:pos="1412"/>
      </w:tabs>
      <w:spacing w:before="60" w:line="240" w:lineRule="auto"/>
      <w:ind w:left="1525" w:hanging="1525"/>
    </w:pPr>
    <w:rPr>
      <w:sz w:val="20"/>
    </w:rPr>
  </w:style>
  <w:style w:type="paragraph" w:customStyle="1" w:styleId="Formula">
    <w:name w:val="Formula"/>
    <w:basedOn w:val="OPCParaBase"/>
    <w:rsid w:val="00B36D59"/>
    <w:pPr>
      <w:spacing w:line="240" w:lineRule="auto"/>
      <w:ind w:left="1134"/>
    </w:pPr>
    <w:rPr>
      <w:sz w:val="20"/>
    </w:rPr>
  </w:style>
  <w:style w:type="paragraph" w:styleId="Header">
    <w:name w:val="header"/>
    <w:basedOn w:val="OPCParaBase"/>
    <w:link w:val="HeaderChar"/>
    <w:unhideWhenUsed/>
    <w:rsid w:val="00B36D59"/>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B36D59"/>
    <w:rPr>
      <w:rFonts w:ascii="Times New Roman" w:eastAsia="Times New Roman" w:hAnsi="Times New Roman" w:cs="Times New Roman"/>
      <w:sz w:val="16"/>
      <w:szCs w:val="20"/>
      <w:lang w:eastAsia="en-AU"/>
    </w:rPr>
  </w:style>
  <w:style w:type="paragraph" w:customStyle="1" w:styleId="House">
    <w:name w:val="House"/>
    <w:basedOn w:val="OPCParaBase"/>
    <w:rsid w:val="00B36D59"/>
    <w:pPr>
      <w:spacing w:line="240" w:lineRule="auto"/>
    </w:pPr>
    <w:rPr>
      <w:sz w:val="28"/>
    </w:rPr>
  </w:style>
  <w:style w:type="paragraph" w:customStyle="1" w:styleId="Item">
    <w:name w:val="Item"/>
    <w:aliases w:val="i"/>
    <w:basedOn w:val="OPCParaBase"/>
    <w:next w:val="ItemHead"/>
    <w:rsid w:val="00B36D59"/>
    <w:pPr>
      <w:keepLines/>
      <w:spacing w:before="80" w:line="240" w:lineRule="auto"/>
      <w:ind w:left="709"/>
    </w:pPr>
  </w:style>
  <w:style w:type="paragraph" w:customStyle="1" w:styleId="ItemHead">
    <w:name w:val="ItemHead"/>
    <w:aliases w:val="ih"/>
    <w:basedOn w:val="OPCParaBase"/>
    <w:next w:val="Item"/>
    <w:rsid w:val="00B36D5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B36D59"/>
    <w:pPr>
      <w:spacing w:line="240" w:lineRule="auto"/>
    </w:pPr>
    <w:rPr>
      <w:b/>
      <w:sz w:val="32"/>
    </w:rPr>
  </w:style>
  <w:style w:type="paragraph" w:customStyle="1" w:styleId="notedraft">
    <w:name w:val="note(draft)"/>
    <w:aliases w:val="nd"/>
    <w:basedOn w:val="OPCParaBase"/>
    <w:rsid w:val="00B36D59"/>
    <w:pPr>
      <w:spacing w:before="240" w:line="240" w:lineRule="auto"/>
      <w:ind w:left="284" w:hanging="284"/>
    </w:pPr>
    <w:rPr>
      <w:i/>
      <w:sz w:val="24"/>
    </w:rPr>
  </w:style>
  <w:style w:type="paragraph" w:customStyle="1" w:styleId="notemargin">
    <w:name w:val="note(margin)"/>
    <w:aliases w:val="nm"/>
    <w:basedOn w:val="OPCParaBase"/>
    <w:rsid w:val="00B36D59"/>
    <w:pPr>
      <w:tabs>
        <w:tab w:val="left" w:pos="709"/>
      </w:tabs>
      <w:spacing w:before="122" w:line="198" w:lineRule="exact"/>
      <w:ind w:left="709" w:hanging="709"/>
    </w:pPr>
    <w:rPr>
      <w:sz w:val="18"/>
    </w:rPr>
  </w:style>
  <w:style w:type="paragraph" w:customStyle="1" w:styleId="noteToPara">
    <w:name w:val="noteToPara"/>
    <w:aliases w:val="ntp"/>
    <w:basedOn w:val="OPCParaBase"/>
    <w:rsid w:val="00B36D59"/>
    <w:pPr>
      <w:spacing w:before="122" w:line="198" w:lineRule="exact"/>
      <w:ind w:left="2353" w:hanging="709"/>
    </w:pPr>
    <w:rPr>
      <w:sz w:val="18"/>
    </w:rPr>
  </w:style>
  <w:style w:type="paragraph" w:customStyle="1" w:styleId="noteParlAmend">
    <w:name w:val="note(ParlAmend)"/>
    <w:aliases w:val="npp"/>
    <w:basedOn w:val="OPCParaBase"/>
    <w:next w:val="ParlAmend"/>
    <w:rsid w:val="00B36D59"/>
    <w:pPr>
      <w:spacing w:line="240" w:lineRule="auto"/>
      <w:jc w:val="right"/>
    </w:pPr>
    <w:rPr>
      <w:rFonts w:ascii="Arial" w:hAnsi="Arial"/>
      <w:b/>
      <w:i/>
    </w:rPr>
  </w:style>
  <w:style w:type="paragraph" w:customStyle="1" w:styleId="Page1">
    <w:name w:val="Page1"/>
    <w:basedOn w:val="OPCParaBase"/>
    <w:rsid w:val="00B36D59"/>
    <w:pPr>
      <w:spacing w:before="5600" w:line="240" w:lineRule="auto"/>
    </w:pPr>
    <w:rPr>
      <w:b/>
      <w:sz w:val="32"/>
    </w:rPr>
  </w:style>
  <w:style w:type="paragraph" w:customStyle="1" w:styleId="PageBreak">
    <w:name w:val="PageBreak"/>
    <w:aliases w:val="pb"/>
    <w:basedOn w:val="OPCParaBase"/>
    <w:rsid w:val="00B36D59"/>
    <w:pPr>
      <w:spacing w:line="240" w:lineRule="auto"/>
    </w:pPr>
    <w:rPr>
      <w:sz w:val="20"/>
    </w:rPr>
  </w:style>
  <w:style w:type="paragraph" w:customStyle="1" w:styleId="paragraphsub">
    <w:name w:val="paragraph(sub)"/>
    <w:aliases w:val="aa"/>
    <w:basedOn w:val="OPCParaBase"/>
    <w:rsid w:val="00B36D59"/>
    <w:pPr>
      <w:tabs>
        <w:tab w:val="right" w:pos="1985"/>
      </w:tabs>
      <w:spacing w:before="40" w:line="240" w:lineRule="auto"/>
      <w:ind w:left="2098" w:hanging="2098"/>
    </w:pPr>
  </w:style>
  <w:style w:type="paragraph" w:customStyle="1" w:styleId="paragraphsub-sub">
    <w:name w:val="paragraph(sub-sub)"/>
    <w:aliases w:val="aaa"/>
    <w:basedOn w:val="OPCParaBase"/>
    <w:rsid w:val="00B36D59"/>
    <w:pPr>
      <w:tabs>
        <w:tab w:val="right" w:pos="2722"/>
      </w:tabs>
      <w:spacing w:before="40" w:line="240" w:lineRule="auto"/>
      <w:ind w:left="2835" w:hanging="2835"/>
    </w:pPr>
  </w:style>
  <w:style w:type="paragraph" w:customStyle="1" w:styleId="paragraph">
    <w:name w:val="paragraph"/>
    <w:aliases w:val="a"/>
    <w:basedOn w:val="OPCParaBase"/>
    <w:rsid w:val="00B36D59"/>
    <w:pPr>
      <w:tabs>
        <w:tab w:val="right" w:pos="1531"/>
      </w:tabs>
      <w:spacing w:before="40" w:line="240" w:lineRule="auto"/>
      <w:ind w:left="1644" w:hanging="1644"/>
    </w:pPr>
  </w:style>
  <w:style w:type="paragraph" w:customStyle="1" w:styleId="ParlAmend">
    <w:name w:val="ParlAmend"/>
    <w:aliases w:val="pp"/>
    <w:basedOn w:val="OPCParaBase"/>
    <w:rsid w:val="00B36D59"/>
    <w:pPr>
      <w:spacing w:before="240" w:line="240" w:lineRule="atLeast"/>
      <w:ind w:hanging="567"/>
    </w:pPr>
    <w:rPr>
      <w:sz w:val="24"/>
    </w:rPr>
  </w:style>
  <w:style w:type="paragraph" w:customStyle="1" w:styleId="Penalty">
    <w:name w:val="Penalty"/>
    <w:basedOn w:val="OPCParaBase"/>
    <w:rsid w:val="00B36D59"/>
    <w:pPr>
      <w:tabs>
        <w:tab w:val="left" w:pos="2977"/>
      </w:tabs>
      <w:spacing w:before="180" w:line="240" w:lineRule="auto"/>
      <w:ind w:left="1985" w:hanging="851"/>
    </w:pPr>
  </w:style>
  <w:style w:type="paragraph" w:customStyle="1" w:styleId="Portfolio">
    <w:name w:val="Portfolio"/>
    <w:basedOn w:val="OPCParaBase"/>
    <w:rsid w:val="00B36D59"/>
    <w:pPr>
      <w:spacing w:line="240" w:lineRule="auto"/>
    </w:pPr>
    <w:rPr>
      <w:i/>
      <w:sz w:val="20"/>
    </w:rPr>
  </w:style>
  <w:style w:type="paragraph" w:customStyle="1" w:styleId="Preamble">
    <w:name w:val="Preamble"/>
    <w:basedOn w:val="OPCParaBase"/>
    <w:next w:val="Normal"/>
    <w:rsid w:val="00B36D5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36D59"/>
    <w:pPr>
      <w:spacing w:line="240" w:lineRule="auto"/>
    </w:pPr>
    <w:rPr>
      <w:i/>
      <w:sz w:val="20"/>
    </w:rPr>
  </w:style>
  <w:style w:type="paragraph" w:customStyle="1" w:styleId="Session">
    <w:name w:val="Session"/>
    <w:basedOn w:val="OPCParaBase"/>
    <w:rsid w:val="00B36D59"/>
    <w:pPr>
      <w:spacing w:line="240" w:lineRule="auto"/>
    </w:pPr>
    <w:rPr>
      <w:sz w:val="28"/>
    </w:rPr>
  </w:style>
  <w:style w:type="paragraph" w:customStyle="1" w:styleId="Sponsor">
    <w:name w:val="Sponsor"/>
    <w:basedOn w:val="OPCParaBase"/>
    <w:rsid w:val="00B36D59"/>
    <w:pPr>
      <w:spacing w:line="240" w:lineRule="auto"/>
    </w:pPr>
    <w:rPr>
      <w:i/>
    </w:rPr>
  </w:style>
  <w:style w:type="paragraph" w:customStyle="1" w:styleId="Subitem">
    <w:name w:val="Subitem"/>
    <w:aliases w:val="iss"/>
    <w:basedOn w:val="OPCParaBase"/>
    <w:rsid w:val="00B36D59"/>
    <w:pPr>
      <w:spacing w:before="180" w:line="240" w:lineRule="auto"/>
      <w:ind w:left="709" w:hanging="709"/>
    </w:pPr>
  </w:style>
  <w:style w:type="paragraph" w:customStyle="1" w:styleId="SubitemHead">
    <w:name w:val="SubitemHead"/>
    <w:aliases w:val="issh"/>
    <w:basedOn w:val="OPCParaBase"/>
    <w:rsid w:val="00B36D5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36D59"/>
    <w:pPr>
      <w:spacing w:before="40" w:line="240" w:lineRule="auto"/>
      <w:ind w:left="1134"/>
    </w:pPr>
  </w:style>
  <w:style w:type="paragraph" w:customStyle="1" w:styleId="SubsectionHead">
    <w:name w:val="SubsectionHead"/>
    <w:aliases w:val="ssh"/>
    <w:basedOn w:val="OPCParaBase"/>
    <w:next w:val="subsection"/>
    <w:rsid w:val="00B36D59"/>
    <w:pPr>
      <w:keepNext/>
      <w:keepLines/>
      <w:spacing w:before="240" w:line="240" w:lineRule="auto"/>
      <w:ind w:left="1134"/>
    </w:pPr>
    <w:rPr>
      <w:i/>
    </w:rPr>
  </w:style>
  <w:style w:type="paragraph" w:customStyle="1" w:styleId="Tablea">
    <w:name w:val="Table(a)"/>
    <w:aliases w:val="ta"/>
    <w:basedOn w:val="OPCParaBase"/>
    <w:rsid w:val="00B36D59"/>
    <w:pPr>
      <w:spacing w:before="60" w:line="240" w:lineRule="auto"/>
      <w:ind w:left="284" w:hanging="284"/>
    </w:pPr>
    <w:rPr>
      <w:sz w:val="20"/>
    </w:rPr>
  </w:style>
  <w:style w:type="paragraph" w:customStyle="1" w:styleId="TableAA">
    <w:name w:val="Table(AA)"/>
    <w:aliases w:val="taaa"/>
    <w:basedOn w:val="OPCParaBase"/>
    <w:rsid w:val="00B36D5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36D5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36D59"/>
    <w:pPr>
      <w:spacing w:before="60" w:line="240" w:lineRule="atLeast"/>
    </w:pPr>
    <w:rPr>
      <w:sz w:val="20"/>
    </w:rPr>
  </w:style>
  <w:style w:type="paragraph" w:customStyle="1" w:styleId="TLPBoxTextnote">
    <w:name w:val="TLPBoxText(note"/>
    <w:aliases w:val="right)"/>
    <w:basedOn w:val="OPCParaBase"/>
    <w:rsid w:val="00B36D5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36D5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36D59"/>
    <w:pPr>
      <w:spacing w:before="122" w:line="198" w:lineRule="exact"/>
      <w:ind w:left="1985" w:hanging="851"/>
      <w:jc w:val="right"/>
    </w:pPr>
    <w:rPr>
      <w:sz w:val="18"/>
    </w:rPr>
  </w:style>
  <w:style w:type="paragraph" w:customStyle="1" w:styleId="TLPTableBullet">
    <w:name w:val="TLPTableBullet"/>
    <w:aliases w:val="ttb"/>
    <w:basedOn w:val="OPCParaBase"/>
    <w:rsid w:val="00B36D59"/>
    <w:pPr>
      <w:spacing w:line="240" w:lineRule="exact"/>
      <w:ind w:left="284" w:hanging="284"/>
    </w:pPr>
    <w:rPr>
      <w:sz w:val="20"/>
    </w:rPr>
  </w:style>
  <w:style w:type="paragraph" w:styleId="TOC1">
    <w:name w:val="toc 1"/>
    <w:basedOn w:val="OPCParaBase"/>
    <w:next w:val="Normal"/>
    <w:uiPriority w:val="39"/>
    <w:semiHidden/>
    <w:unhideWhenUsed/>
    <w:rsid w:val="00B36D5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36D5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B36D5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B36D5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36D59"/>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B36D5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36D5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36D5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B36D5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B36D59"/>
    <w:pPr>
      <w:keepLines/>
      <w:spacing w:before="240" w:after="120" w:line="240" w:lineRule="auto"/>
      <w:ind w:left="794"/>
    </w:pPr>
    <w:rPr>
      <w:b/>
      <w:kern w:val="28"/>
      <w:sz w:val="20"/>
    </w:rPr>
  </w:style>
  <w:style w:type="paragraph" w:customStyle="1" w:styleId="TofSectsHeading">
    <w:name w:val="TofSects(Heading)"/>
    <w:basedOn w:val="OPCParaBase"/>
    <w:rsid w:val="00B36D59"/>
    <w:pPr>
      <w:spacing w:before="240" w:after="120" w:line="240" w:lineRule="auto"/>
    </w:pPr>
    <w:rPr>
      <w:b/>
      <w:sz w:val="24"/>
    </w:rPr>
  </w:style>
  <w:style w:type="paragraph" w:customStyle="1" w:styleId="TofSectsSection">
    <w:name w:val="TofSects(Section)"/>
    <w:basedOn w:val="OPCParaBase"/>
    <w:rsid w:val="00B36D59"/>
    <w:pPr>
      <w:keepLines/>
      <w:spacing w:before="40" w:line="240" w:lineRule="auto"/>
      <w:ind w:left="1588" w:hanging="794"/>
    </w:pPr>
    <w:rPr>
      <w:kern w:val="28"/>
      <w:sz w:val="18"/>
    </w:rPr>
  </w:style>
  <w:style w:type="paragraph" w:customStyle="1" w:styleId="TofSectsSubdiv">
    <w:name w:val="TofSects(Subdiv)"/>
    <w:basedOn w:val="OPCParaBase"/>
    <w:rsid w:val="00B36D59"/>
    <w:pPr>
      <w:keepLines/>
      <w:spacing w:before="80" w:line="240" w:lineRule="auto"/>
      <w:ind w:left="1588" w:hanging="794"/>
    </w:pPr>
    <w:rPr>
      <w:kern w:val="28"/>
    </w:rPr>
  </w:style>
  <w:style w:type="paragraph" w:customStyle="1" w:styleId="WRStyle">
    <w:name w:val="WR Style"/>
    <w:aliases w:val="WR"/>
    <w:basedOn w:val="OPCParaBase"/>
    <w:rsid w:val="00B36D59"/>
    <w:pPr>
      <w:spacing w:before="240" w:line="240" w:lineRule="auto"/>
      <w:ind w:left="284" w:hanging="284"/>
    </w:pPr>
    <w:rPr>
      <w:b/>
      <w:i/>
      <w:kern w:val="28"/>
      <w:sz w:val="24"/>
    </w:rPr>
  </w:style>
  <w:style w:type="paragraph" w:customStyle="1" w:styleId="notepara">
    <w:name w:val="note(para)"/>
    <w:aliases w:val="na"/>
    <w:basedOn w:val="OPCParaBase"/>
    <w:rsid w:val="00B36D59"/>
    <w:pPr>
      <w:spacing w:before="40" w:line="198" w:lineRule="exact"/>
      <w:ind w:left="2354" w:hanging="369"/>
    </w:pPr>
    <w:rPr>
      <w:sz w:val="18"/>
    </w:rPr>
  </w:style>
  <w:style w:type="paragraph" w:styleId="Footer">
    <w:name w:val="footer"/>
    <w:link w:val="FooterChar"/>
    <w:rsid w:val="00B36D59"/>
    <w:pPr>
      <w:tabs>
        <w:tab w:val="center" w:pos="4153"/>
        <w:tab w:val="right" w:pos="8306"/>
      </w:tabs>
      <w:spacing w:after="0" w:line="240" w:lineRule="auto"/>
    </w:pPr>
    <w:rPr>
      <w:rFonts w:ascii="Times New Roman" w:eastAsia="Times New Roman" w:hAnsi="Times New Roman" w:cs="Times New Roman"/>
      <w:szCs w:val="24"/>
      <w:lang w:eastAsia="en-AU"/>
    </w:rPr>
  </w:style>
  <w:style w:type="character" w:customStyle="1" w:styleId="FooterChar">
    <w:name w:val="Footer Char"/>
    <w:basedOn w:val="DefaultParagraphFont"/>
    <w:link w:val="Footer"/>
    <w:rsid w:val="00B36D59"/>
    <w:rPr>
      <w:rFonts w:ascii="Times New Roman" w:eastAsia="Times New Roman" w:hAnsi="Times New Roman" w:cs="Times New Roman"/>
      <w:szCs w:val="24"/>
      <w:lang w:eastAsia="en-AU"/>
    </w:rPr>
  </w:style>
  <w:style w:type="character" w:styleId="LineNumber">
    <w:name w:val="line number"/>
    <w:basedOn w:val="OPCCharBase"/>
    <w:uiPriority w:val="99"/>
    <w:semiHidden/>
    <w:unhideWhenUsed/>
    <w:rsid w:val="00B36D59"/>
    <w:rPr>
      <w:sz w:val="16"/>
    </w:rPr>
  </w:style>
  <w:style w:type="table" w:customStyle="1" w:styleId="CFlag">
    <w:name w:val="CFlag"/>
    <w:basedOn w:val="TableNormal"/>
    <w:uiPriority w:val="99"/>
    <w:rsid w:val="00B36D59"/>
    <w:pPr>
      <w:spacing w:after="0" w:line="240" w:lineRule="auto"/>
    </w:pPr>
    <w:rPr>
      <w:rFonts w:ascii="Times New Roman" w:eastAsia="Times New Roman" w:hAnsi="Times New Roman" w:cs="Times New Roman"/>
      <w:sz w:val="20"/>
      <w:szCs w:val="20"/>
      <w:lang w:eastAsia="en-AU"/>
    </w:rPr>
    <w:tblPr/>
  </w:style>
  <w:style w:type="paragraph" w:styleId="BalloonText">
    <w:name w:val="Balloon Text"/>
    <w:basedOn w:val="Normal"/>
    <w:link w:val="BalloonTextChar"/>
    <w:uiPriority w:val="99"/>
    <w:semiHidden/>
    <w:unhideWhenUsed/>
    <w:rsid w:val="00B36D5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6D59"/>
    <w:rPr>
      <w:rFonts w:ascii="Tahoma" w:hAnsi="Tahoma" w:cs="Tahoma"/>
      <w:sz w:val="16"/>
      <w:szCs w:val="16"/>
    </w:rPr>
  </w:style>
  <w:style w:type="table" w:styleId="TableGrid">
    <w:name w:val="Table Grid"/>
    <w:basedOn w:val="TableNormal"/>
    <w:uiPriority w:val="59"/>
    <w:rsid w:val="00B36D59"/>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B36D59"/>
    <w:rPr>
      <w:b/>
      <w:sz w:val="28"/>
      <w:szCs w:val="32"/>
    </w:rPr>
  </w:style>
  <w:style w:type="paragraph" w:customStyle="1" w:styleId="LegislationMadeUnder">
    <w:name w:val="LegislationMadeUnder"/>
    <w:basedOn w:val="OPCParaBase"/>
    <w:next w:val="Normal"/>
    <w:rsid w:val="00B36D59"/>
    <w:rPr>
      <w:i/>
      <w:sz w:val="32"/>
      <w:szCs w:val="32"/>
    </w:rPr>
  </w:style>
  <w:style w:type="paragraph" w:customStyle="1" w:styleId="SignCoverPageEnd">
    <w:name w:val="SignCoverPageEnd"/>
    <w:basedOn w:val="OPCParaBase"/>
    <w:next w:val="Normal"/>
    <w:rsid w:val="00B36D59"/>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B36D59"/>
    <w:pPr>
      <w:pBdr>
        <w:top w:val="single" w:sz="4" w:space="1" w:color="auto"/>
      </w:pBdr>
      <w:spacing w:before="360"/>
      <w:ind w:right="397"/>
      <w:jc w:val="both"/>
    </w:pPr>
  </w:style>
  <w:style w:type="paragraph" w:customStyle="1" w:styleId="NotesHeading1">
    <w:name w:val="NotesHeading 1"/>
    <w:basedOn w:val="OPCParaBase"/>
    <w:next w:val="Normal"/>
    <w:rsid w:val="00B36D59"/>
    <w:pPr>
      <w:outlineLvl w:val="0"/>
    </w:pPr>
    <w:rPr>
      <w:b/>
      <w:sz w:val="28"/>
      <w:szCs w:val="28"/>
    </w:rPr>
  </w:style>
  <w:style w:type="paragraph" w:customStyle="1" w:styleId="NotesHeading2">
    <w:name w:val="NotesHeading 2"/>
    <w:basedOn w:val="OPCParaBase"/>
    <w:next w:val="Normal"/>
    <w:rsid w:val="00B36D59"/>
    <w:rPr>
      <w:b/>
      <w:sz w:val="28"/>
      <w:szCs w:val="28"/>
    </w:rPr>
  </w:style>
  <w:style w:type="paragraph" w:customStyle="1" w:styleId="CompiledActNo">
    <w:name w:val="CompiledActNo"/>
    <w:basedOn w:val="OPCParaBase"/>
    <w:next w:val="Normal"/>
    <w:rsid w:val="00B36D59"/>
    <w:rPr>
      <w:b/>
      <w:sz w:val="24"/>
      <w:szCs w:val="24"/>
    </w:rPr>
  </w:style>
  <w:style w:type="paragraph" w:customStyle="1" w:styleId="ENotesText">
    <w:name w:val="ENotesText"/>
    <w:aliases w:val="Ent"/>
    <w:basedOn w:val="OPCParaBase"/>
    <w:next w:val="Normal"/>
    <w:rsid w:val="00B36D59"/>
    <w:pPr>
      <w:spacing w:before="120"/>
    </w:pPr>
  </w:style>
  <w:style w:type="paragraph" w:customStyle="1" w:styleId="CompiledMadeUnder">
    <w:name w:val="CompiledMadeUnder"/>
    <w:basedOn w:val="OPCParaBase"/>
    <w:next w:val="Normal"/>
    <w:rsid w:val="00B36D59"/>
    <w:rPr>
      <w:i/>
      <w:sz w:val="24"/>
      <w:szCs w:val="24"/>
    </w:rPr>
  </w:style>
  <w:style w:type="paragraph" w:customStyle="1" w:styleId="Paragraphsub-sub-sub">
    <w:name w:val="Paragraph(sub-sub-sub)"/>
    <w:aliases w:val="aaaa"/>
    <w:basedOn w:val="OPCParaBase"/>
    <w:rsid w:val="00B36D59"/>
    <w:pPr>
      <w:tabs>
        <w:tab w:val="right" w:pos="3402"/>
      </w:tabs>
      <w:spacing w:before="40" w:line="240" w:lineRule="auto"/>
      <w:ind w:left="3402" w:hanging="3402"/>
    </w:pPr>
  </w:style>
  <w:style w:type="paragraph" w:customStyle="1" w:styleId="TableTextEndNotes">
    <w:name w:val="TableTextEndNotes"/>
    <w:aliases w:val="Tten"/>
    <w:basedOn w:val="Normal"/>
    <w:rsid w:val="00B36D59"/>
    <w:pPr>
      <w:spacing w:before="60" w:line="240" w:lineRule="auto"/>
    </w:pPr>
    <w:rPr>
      <w:rFonts w:cs="Arial"/>
      <w:sz w:val="20"/>
      <w:szCs w:val="22"/>
    </w:rPr>
  </w:style>
  <w:style w:type="paragraph" w:customStyle="1" w:styleId="NoteToSubpara">
    <w:name w:val="NoteToSubpara"/>
    <w:aliases w:val="nts"/>
    <w:basedOn w:val="OPCParaBase"/>
    <w:rsid w:val="00B36D59"/>
    <w:pPr>
      <w:spacing w:before="40" w:line="198" w:lineRule="exact"/>
      <w:ind w:left="2835" w:hanging="709"/>
    </w:pPr>
    <w:rPr>
      <w:sz w:val="18"/>
    </w:rPr>
  </w:style>
  <w:style w:type="paragraph" w:customStyle="1" w:styleId="ENoteTableHeading">
    <w:name w:val="ENoteTableHeading"/>
    <w:aliases w:val="enth"/>
    <w:basedOn w:val="OPCParaBase"/>
    <w:rsid w:val="00B36D59"/>
    <w:pPr>
      <w:keepNext/>
      <w:spacing w:before="60" w:line="240" w:lineRule="atLeast"/>
    </w:pPr>
    <w:rPr>
      <w:rFonts w:ascii="Arial" w:hAnsi="Arial"/>
      <w:b/>
      <w:sz w:val="16"/>
    </w:rPr>
  </w:style>
  <w:style w:type="paragraph" w:customStyle="1" w:styleId="ENoteTTi">
    <w:name w:val="ENoteTTi"/>
    <w:aliases w:val="entti"/>
    <w:basedOn w:val="OPCParaBase"/>
    <w:rsid w:val="00B36D59"/>
    <w:pPr>
      <w:keepNext/>
      <w:spacing w:before="60" w:line="240" w:lineRule="atLeast"/>
      <w:ind w:left="170"/>
    </w:pPr>
    <w:rPr>
      <w:sz w:val="16"/>
    </w:rPr>
  </w:style>
  <w:style w:type="paragraph" w:customStyle="1" w:styleId="ENotesHeading1">
    <w:name w:val="ENotesHeading 1"/>
    <w:aliases w:val="Enh1"/>
    <w:basedOn w:val="OPCParaBase"/>
    <w:next w:val="Normal"/>
    <w:rsid w:val="00B36D59"/>
    <w:pPr>
      <w:spacing w:before="120"/>
      <w:outlineLvl w:val="1"/>
    </w:pPr>
    <w:rPr>
      <w:b/>
      <w:sz w:val="28"/>
      <w:szCs w:val="28"/>
    </w:rPr>
  </w:style>
  <w:style w:type="paragraph" w:customStyle="1" w:styleId="ENotesHeading2">
    <w:name w:val="ENotesHeading 2"/>
    <w:aliases w:val="Enh2"/>
    <w:basedOn w:val="OPCParaBase"/>
    <w:next w:val="Normal"/>
    <w:rsid w:val="00B36D59"/>
    <w:pPr>
      <w:spacing w:before="120" w:after="120"/>
      <w:outlineLvl w:val="2"/>
    </w:pPr>
    <w:rPr>
      <w:b/>
      <w:sz w:val="24"/>
      <w:szCs w:val="28"/>
    </w:rPr>
  </w:style>
  <w:style w:type="paragraph" w:customStyle="1" w:styleId="ENoteTTIndentHeading">
    <w:name w:val="ENoteTTIndentHeading"/>
    <w:aliases w:val="enTTHi"/>
    <w:basedOn w:val="OPCParaBase"/>
    <w:rsid w:val="00B36D5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36D59"/>
    <w:pPr>
      <w:spacing w:before="60" w:line="240" w:lineRule="atLeast"/>
    </w:pPr>
    <w:rPr>
      <w:sz w:val="16"/>
    </w:rPr>
  </w:style>
  <w:style w:type="paragraph" w:customStyle="1" w:styleId="MadeunderText">
    <w:name w:val="MadeunderText"/>
    <w:basedOn w:val="OPCParaBase"/>
    <w:next w:val="CompiledMadeUnder"/>
    <w:rsid w:val="00B36D59"/>
    <w:pPr>
      <w:spacing w:before="240"/>
    </w:pPr>
    <w:rPr>
      <w:sz w:val="24"/>
      <w:szCs w:val="24"/>
    </w:rPr>
  </w:style>
  <w:style w:type="paragraph" w:customStyle="1" w:styleId="ENotesHeading3">
    <w:name w:val="ENotesHeading 3"/>
    <w:aliases w:val="Enh3"/>
    <w:basedOn w:val="OPCParaBase"/>
    <w:next w:val="Normal"/>
    <w:rsid w:val="00B36D59"/>
    <w:pPr>
      <w:keepNext/>
      <w:spacing w:before="120" w:line="240" w:lineRule="auto"/>
      <w:outlineLvl w:val="4"/>
    </w:pPr>
    <w:rPr>
      <w:b/>
      <w:szCs w:val="24"/>
    </w:rPr>
  </w:style>
  <w:style w:type="character" w:customStyle="1" w:styleId="CharSubPartTextCASA">
    <w:name w:val="CharSubPartText(CASA)"/>
    <w:basedOn w:val="OPCCharBase"/>
    <w:uiPriority w:val="1"/>
    <w:rsid w:val="00B36D59"/>
  </w:style>
  <w:style w:type="character" w:customStyle="1" w:styleId="CharSubPartNoCASA">
    <w:name w:val="CharSubPartNo(CASA)"/>
    <w:basedOn w:val="OPCCharBase"/>
    <w:uiPriority w:val="1"/>
    <w:rsid w:val="00B36D59"/>
  </w:style>
  <w:style w:type="paragraph" w:customStyle="1" w:styleId="ENoteTTIndentHeadingSub">
    <w:name w:val="ENoteTTIndentHeadingSub"/>
    <w:aliases w:val="enTTHis"/>
    <w:basedOn w:val="OPCParaBase"/>
    <w:rsid w:val="00B36D59"/>
    <w:pPr>
      <w:keepNext/>
      <w:spacing w:before="60" w:line="240" w:lineRule="atLeast"/>
      <w:ind w:left="340"/>
    </w:pPr>
    <w:rPr>
      <w:b/>
      <w:sz w:val="16"/>
    </w:rPr>
  </w:style>
  <w:style w:type="paragraph" w:customStyle="1" w:styleId="ENoteTTiSub">
    <w:name w:val="ENoteTTiSub"/>
    <w:aliases w:val="enttis"/>
    <w:basedOn w:val="OPCParaBase"/>
    <w:rsid w:val="00B36D59"/>
    <w:pPr>
      <w:keepNext/>
      <w:spacing w:before="60" w:line="240" w:lineRule="atLeast"/>
      <w:ind w:left="340"/>
    </w:pPr>
    <w:rPr>
      <w:sz w:val="16"/>
    </w:rPr>
  </w:style>
  <w:style w:type="paragraph" w:customStyle="1" w:styleId="SubDivisionMigration">
    <w:name w:val="SubDivisionMigration"/>
    <w:aliases w:val="sdm"/>
    <w:basedOn w:val="OPCParaBase"/>
    <w:rsid w:val="00B36D5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36D59"/>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B36D59"/>
    <w:pPr>
      <w:spacing w:before="122" w:line="240" w:lineRule="auto"/>
      <w:ind w:left="1985" w:hanging="851"/>
    </w:pPr>
    <w:rPr>
      <w:sz w:val="18"/>
    </w:rPr>
  </w:style>
  <w:style w:type="paragraph" w:customStyle="1" w:styleId="FreeForm">
    <w:name w:val="FreeForm"/>
    <w:rsid w:val="00FA06CA"/>
    <w:pPr>
      <w:spacing w:after="0" w:line="240" w:lineRule="auto"/>
    </w:pPr>
    <w:rPr>
      <w:rFonts w:ascii="Arial" w:hAnsi="Arial"/>
      <w:szCs w:val="20"/>
    </w:rPr>
  </w:style>
  <w:style w:type="paragraph" w:customStyle="1" w:styleId="SOText">
    <w:name w:val="SO Text"/>
    <w:aliases w:val="sot"/>
    <w:link w:val="SOTextChar"/>
    <w:rsid w:val="00B36D59"/>
    <w:pPr>
      <w:pBdr>
        <w:top w:val="single" w:sz="6" w:space="5" w:color="auto"/>
        <w:left w:val="single" w:sz="6" w:space="5" w:color="auto"/>
        <w:bottom w:val="single" w:sz="6" w:space="5" w:color="auto"/>
        <w:right w:val="single" w:sz="6" w:space="5" w:color="auto"/>
      </w:pBdr>
      <w:spacing w:before="240" w:after="0" w:line="240" w:lineRule="auto"/>
      <w:ind w:left="1134"/>
    </w:pPr>
    <w:rPr>
      <w:rFonts w:ascii="Times New Roman" w:hAnsi="Times New Roman"/>
      <w:szCs w:val="20"/>
    </w:rPr>
  </w:style>
  <w:style w:type="character" w:customStyle="1" w:styleId="SOTextChar">
    <w:name w:val="SO Text Char"/>
    <w:aliases w:val="sot Char"/>
    <w:basedOn w:val="DefaultParagraphFont"/>
    <w:link w:val="SOText"/>
    <w:rsid w:val="00B36D59"/>
    <w:rPr>
      <w:rFonts w:ascii="Times New Roman" w:hAnsi="Times New Roman"/>
      <w:szCs w:val="20"/>
    </w:rPr>
  </w:style>
  <w:style w:type="paragraph" w:customStyle="1" w:styleId="SOTextNote">
    <w:name w:val="SO TextNote"/>
    <w:aliases w:val="sont"/>
    <w:basedOn w:val="SOText"/>
    <w:qFormat/>
    <w:rsid w:val="00B36D59"/>
    <w:pPr>
      <w:spacing w:before="122" w:line="198" w:lineRule="exact"/>
      <w:ind w:left="1843" w:hanging="709"/>
    </w:pPr>
    <w:rPr>
      <w:sz w:val="18"/>
    </w:rPr>
  </w:style>
  <w:style w:type="paragraph" w:customStyle="1" w:styleId="SOPara">
    <w:name w:val="SO Para"/>
    <w:aliases w:val="soa"/>
    <w:basedOn w:val="SOText"/>
    <w:link w:val="SOParaChar"/>
    <w:qFormat/>
    <w:rsid w:val="00B36D59"/>
    <w:pPr>
      <w:tabs>
        <w:tab w:val="right" w:pos="1786"/>
      </w:tabs>
      <w:spacing w:before="40"/>
      <w:ind w:left="2070" w:hanging="936"/>
    </w:pPr>
  </w:style>
  <w:style w:type="character" w:customStyle="1" w:styleId="SOParaChar">
    <w:name w:val="SO Para Char"/>
    <w:aliases w:val="soa Char"/>
    <w:basedOn w:val="DefaultParagraphFont"/>
    <w:link w:val="SOPara"/>
    <w:rsid w:val="00B36D59"/>
    <w:rPr>
      <w:rFonts w:ascii="Times New Roman" w:hAnsi="Times New Roman"/>
      <w:szCs w:val="20"/>
    </w:rPr>
  </w:style>
  <w:style w:type="paragraph" w:customStyle="1" w:styleId="FileName">
    <w:name w:val="FileName"/>
    <w:basedOn w:val="Normal"/>
    <w:rsid w:val="00B36D59"/>
  </w:style>
  <w:style w:type="paragraph" w:customStyle="1" w:styleId="TableHeading">
    <w:name w:val="TableHeading"/>
    <w:aliases w:val="th"/>
    <w:basedOn w:val="OPCParaBase"/>
    <w:next w:val="Tabletext"/>
    <w:rsid w:val="00B36D59"/>
    <w:pPr>
      <w:keepNext/>
      <w:spacing w:before="60" w:line="240" w:lineRule="atLeast"/>
    </w:pPr>
    <w:rPr>
      <w:b/>
      <w:sz w:val="20"/>
    </w:rPr>
  </w:style>
  <w:style w:type="paragraph" w:customStyle="1" w:styleId="SOHeadBold">
    <w:name w:val="SO HeadBold"/>
    <w:aliases w:val="sohb"/>
    <w:basedOn w:val="SOText"/>
    <w:next w:val="SOText"/>
    <w:link w:val="SOHeadBoldChar"/>
    <w:qFormat/>
    <w:rsid w:val="00B36D59"/>
    <w:rPr>
      <w:b/>
    </w:rPr>
  </w:style>
  <w:style w:type="character" w:customStyle="1" w:styleId="SOHeadBoldChar">
    <w:name w:val="SO HeadBold Char"/>
    <w:aliases w:val="sohb Char"/>
    <w:basedOn w:val="DefaultParagraphFont"/>
    <w:link w:val="SOHeadBold"/>
    <w:rsid w:val="00B36D59"/>
    <w:rPr>
      <w:rFonts w:ascii="Times New Roman" w:hAnsi="Times New Roman"/>
      <w:b/>
      <w:szCs w:val="20"/>
    </w:rPr>
  </w:style>
  <w:style w:type="paragraph" w:customStyle="1" w:styleId="SOHeadItalic">
    <w:name w:val="SO HeadItalic"/>
    <w:aliases w:val="sohi"/>
    <w:basedOn w:val="SOText"/>
    <w:next w:val="SOText"/>
    <w:link w:val="SOHeadItalicChar"/>
    <w:qFormat/>
    <w:rsid w:val="00B36D59"/>
    <w:rPr>
      <w:i/>
    </w:rPr>
  </w:style>
  <w:style w:type="character" w:customStyle="1" w:styleId="SOHeadItalicChar">
    <w:name w:val="SO HeadItalic Char"/>
    <w:aliases w:val="sohi Char"/>
    <w:basedOn w:val="DefaultParagraphFont"/>
    <w:link w:val="SOHeadItalic"/>
    <w:rsid w:val="00B36D59"/>
    <w:rPr>
      <w:rFonts w:ascii="Times New Roman" w:hAnsi="Times New Roman"/>
      <w:i/>
      <w:szCs w:val="20"/>
    </w:rPr>
  </w:style>
  <w:style w:type="paragraph" w:customStyle="1" w:styleId="SOBullet">
    <w:name w:val="SO Bullet"/>
    <w:aliases w:val="sotb"/>
    <w:basedOn w:val="SOText"/>
    <w:link w:val="SOBulletChar"/>
    <w:qFormat/>
    <w:rsid w:val="00B36D59"/>
    <w:pPr>
      <w:ind w:left="1559" w:hanging="425"/>
    </w:pPr>
  </w:style>
  <w:style w:type="character" w:customStyle="1" w:styleId="SOBulletChar">
    <w:name w:val="SO Bullet Char"/>
    <w:aliases w:val="sotb Char"/>
    <w:basedOn w:val="DefaultParagraphFont"/>
    <w:link w:val="SOBullet"/>
    <w:rsid w:val="00B36D59"/>
    <w:rPr>
      <w:rFonts w:ascii="Times New Roman" w:hAnsi="Times New Roman"/>
      <w:szCs w:val="20"/>
    </w:rPr>
  </w:style>
  <w:style w:type="paragraph" w:customStyle="1" w:styleId="SOBulletNote">
    <w:name w:val="SO BulletNote"/>
    <w:aliases w:val="sonb"/>
    <w:basedOn w:val="SOTextNote"/>
    <w:link w:val="SOBulletNoteChar"/>
    <w:qFormat/>
    <w:rsid w:val="00B36D59"/>
    <w:pPr>
      <w:tabs>
        <w:tab w:val="left" w:pos="1560"/>
      </w:tabs>
      <w:ind w:left="2268" w:hanging="1134"/>
    </w:pPr>
  </w:style>
  <w:style w:type="character" w:customStyle="1" w:styleId="SOBulletNoteChar">
    <w:name w:val="SO BulletNote Char"/>
    <w:aliases w:val="sonb Char"/>
    <w:basedOn w:val="DefaultParagraphFont"/>
    <w:link w:val="SOBulletNote"/>
    <w:rsid w:val="00B36D59"/>
    <w:rPr>
      <w:rFonts w:ascii="Times New Roman" w:hAnsi="Times New Roman"/>
      <w:sz w:val="18"/>
      <w:szCs w:val="20"/>
    </w:rPr>
  </w:style>
  <w:style w:type="paragraph" w:customStyle="1" w:styleId="SOText2">
    <w:name w:val="SO Text2"/>
    <w:aliases w:val="sot2"/>
    <w:basedOn w:val="Normal"/>
    <w:next w:val="SOText"/>
    <w:link w:val="SOText2Char"/>
    <w:rsid w:val="00B36D5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B36D59"/>
    <w:rPr>
      <w:rFonts w:ascii="Times New Roman" w:hAnsi="Times New Roman"/>
      <w:szCs w:val="20"/>
    </w:rPr>
  </w:style>
  <w:style w:type="paragraph" w:customStyle="1" w:styleId="SubPartCASA">
    <w:name w:val="SubPart(CASA)"/>
    <w:aliases w:val="csp"/>
    <w:basedOn w:val="OPCParaBase"/>
    <w:next w:val="ActHead3"/>
    <w:rsid w:val="00B36D59"/>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B36D59"/>
    <w:rPr>
      <w:rFonts w:ascii="Times New Roman" w:eastAsia="Times New Roman" w:hAnsi="Times New Roman" w:cs="Times New Roman"/>
      <w:szCs w:val="20"/>
      <w:lang w:eastAsia="en-AU"/>
    </w:rPr>
  </w:style>
  <w:style w:type="character" w:customStyle="1" w:styleId="notetextChar">
    <w:name w:val="note(text) Char"/>
    <w:aliases w:val="n Char"/>
    <w:basedOn w:val="DefaultParagraphFont"/>
    <w:link w:val="notetext"/>
    <w:rsid w:val="00B36D59"/>
    <w:rPr>
      <w:rFonts w:ascii="Times New Roman" w:eastAsia="Times New Roman" w:hAnsi="Times New Roman" w:cs="Times New Roman"/>
      <w:sz w:val="18"/>
      <w:szCs w:val="20"/>
      <w:lang w:eastAsia="en-AU"/>
    </w:rPr>
  </w:style>
  <w:style w:type="character" w:styleId="CommentReference">
    <w:name w:val="annotation reference"/>
    <w:basedOn w:val="DefaultParagraphFont"/>
    <w:uiPriority w:val="99"/>
    <w:semiHidden/>
    <w:unhideWhenUsed/>
    <w:rsid w:val="00B05320"/>
    <w:rPr>
      <w:sz w:val="16"/>
      <w:szCs w:val="16"/>
    </w:rPr>
  </w:style>
  <w:style w:type="paragraph" w:styleId="CommentText">
    <w:name w:val="annotation text"/>
    <w:basedOn w:val="Normal"/>
    <w:link w:val="CommentTextChar"/>
    <w:uiPriority w:val="99"/>
    <w:unhideWhenUsed/>
    <w:rsid w:val="00B05320"/>
    <w:pPr>
      <w:spacing w:line="240" w:lineRule="auto"/>
    </w:pPr>
    <w:rPr>
      <w:sz w:val="20"/>
    </w:rPr>
  </w:style>
  <w:style w:type="character" w:customStyle="1" w:styleId="CommentTextChar">
    <w:name w:val="Comment Text Char"/>
    <w:basedOn w:val="DefaultParagraphFont"/>
    <w:link w:val="CommentText"/>
    <w:uiPriority w:val="99"/>
    <w:rsid w:val="00B05320"/>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B05320"/>
    <w:rPr>
      <w:b/>
      <w:bCs/>
    </w:rPr>
  </w:style>
  <w:style w:type="character" w:customStyle="1" w:styleId="CommentSubjectChar">
    <w:name w:val="Comment Subject Char"/>
    <w:basedOn w:val="CommentTextChar"/>
    <w:link w:val="CommentSubject"/>
    <w:uiPriority w:val="99"/>
    <w:semiHidden/>
    <w:rsid w:val="00B05320"/>
    <w:rPr>
      <w:rFonts w:ascii="Times New Roman" w:hAnsi="Times New Roman"/>
      <w:b/>
      <w:bCs/>
      <w:sz w:val="20"/>
      <w:szCs w:val="20"/>
    </w:rPr>
  </w:style>
  <w:style w:type="character" w:styleId="Hyperlink">
    <w:name w:val="Hyperlink"/>
    <w:basedOn w:val="DefaultParagraphFont"/>
    <w:uiPriority w:val="99"/>
    <w:semiHidden/>
    <w:unhideWhenUsed/>
    <w:rsid w:val="00EF2AF1"/>
    <w:rPr>
      <w:color w:val="0000FF"/>
      <w:u w:val="single"/>
    </w:rPr>
  </w:style>
  <w:style w:type="character" w:customStyle="1" w:styleId="Hyperlink1">
    <w:name w:val="Hyperlink1"/>
    <w:basedOn w:val="DefaultParagraphFont"/>
    <w:rsid w:val="00D2026A"/>
  </w:style>
  <w:style w:type="paragraph" w:customStyle="1" w:styleId="definition0">
    <w:name w:val="definition"/>
    <w:basedOn w:val="Normal"/>
    <w:rsid w:val="00BC6AD8"/>
    <w:pPr>
      <w:spacing w:before="100" w:beforeAutospacing="1" w:after="100" w:afterAutospacing="1" w:line="240" w:lineRule="auto"/>
    </w:pPr>
    <w:rPr>
      <w:rFonts w:eastAsia="Times New Roman" w:cs="Times New Roman"/>
      <w:sz w:val="24"/>
      <w:szCs w:val="24"/>
      <w:lang w:eastAsia="en-AU"/>
    </w:rPr>
  </w:style>
  <w:style w:type="paragraph" w:customStyle="1" w:styleId="notetext0">
    <w:name w:val="notetext"/>
    <w:basedOn w:val="Normal"/>
    <w:rsid w:val="00BC6AD8"/>
    <w:pPr>
      <w:spacing w:before="100" w:beforeAutospacing="1" w:after="100" w:afterAutospacing="1" w:line="240" w:lineRule="auto"/>
    </w:pPr>
    <w:rPr>
      <w:rFonts w:eastAsia="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0940">
      <w:bodyDiv w:val="1"/>
      <w:marLeft w:val="0"/>
      <w:marRight w:val="0"/>
      <w:marTop w:val="0"/>
      <w:marBottom w:val="0"/>
      <w:divBdr>
        <w:top w:val="none" w:sz="0" w:space="0" w:color="auto"/>
        <w:left w:val="none" w:sz="0" w:space="0" w:color="auto"/>
        <w:bottom w:val="none" w:sz="0" w:space="0" w:color="auto"/>
        <w:right w:val="none" w:sz="0" w:space="0" w:color="auto"/>
      </w:divBdr>
    </w:div>
    <w:div w:id="657152399">
      <w:bodyDiv w:val="1"/>
      <w:marLeft w:val="0"/>
      <w:marRight w:val="0"/>
      <w:marTop w:val="0"/>
      <w:marBottom w:val="0"/>
      <w:divBdr>
        <w:top w:val="none" w:sz="0" w:space="0" w:color="auto"/>
        <w:left w:val="none" w:sz="0" w:space="0" w:color="auto"/>
        <w:bottom w:val="none" w:sz="0" w:space="0" w:color="auto"/>
        <w:right w:val="none" w:sz="0" w:space="0" w:color="auto"/>
      </w:divBdr>
    </w:div>
    <w:div w:id="700908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footer" Target="footer2.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3.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7.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mailto:FSSAIATA@treasury.gov.au" TargetMode="External"/><Relationship Id="rId28" Type="http://schemas.openxmlformats.org/officeDocument/2006/relationships/header" Target="header9.xml"/><Relationship Id="rId10" Type="http://schemas.openxmlformats.org/officeDocument/2006/relationships/footnotes" Target="footnotes.xml"/><Relationship Id="rId19" Type="http://schemas.openxmlformats.org/officeDocument/2006/relationships/header" Target="header5.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footer" Target="footer6.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e4fe7dcdd1c0411bbf19a4de3665191f xmlns="fe39d773-a83d-4623-ae74-f25711a76616">
      <Terms xmlns="http://schemas.microsoft.com/office/infopath/2007/PartnerControls">
        <TermInfo xmlns="http://schemas.microsoft.com/office/infopath/2007/PartnerControls">
          <TermName xmlns="http://schemas.microsoft.com/office/infopath/2007/PartnerControls">Legislative measures</TermName>
          <TermId xmlns="http://schemas.microsoft.com/office/infopath/2007/PartnerControls">0d31ce10-0017-4a46-8d2d-ba60058cb6a2</TermId>
        </TermInfo>
      </Terms>
    </e4fe7dcdd1c0411bbf19a4de3665191f>
    <kfc39f3e4e2747ae990d3c8bb74a5a64 xmlns="fe39d773-a83d-4623-ae74-f25711a76616">
      <Terms xmlns="http://schemas.microsoft.com/office/infopath/2007/PartnerControls">
        <TermInfo xmlns="http://schemas.microsoft.com/office/infopath/2007/PartnerControls">
          <TermName xmlns="http://schemas.microsoft.com/office/infopath/2007/PartnerControls">Legislation</TermName>
          <TermId xmlns="http://schemas.microsoft.com/office/infopath/2007/PartnerControls">bc5c492f-641e-4b74-8651-322acd553d0f</TermId>
        </TermInfo>
      </Terms>
    </kfc39f3e4e2747ae990d3c8bb74a5a64>
    <ge25bdd0d6464e36b066695d9e81d63d xmlns="fe39d773-a83d-4623-ae74-f25711a76616">
      <Terms xmlns="http://schemas.microsoft.com/office/infopath/2007/PartnerControls"/>
    </ge25bdd0d6464e36b066695d9e81d63d>
    <DocumentSetDescription xmlns="http://schemas.microsoft.com/sharepoint/v3" xsi:nil="true"/>
    <Measureorigin xmlns="a289cb20-8bb9-401f-8d7b-706fb1a2988d" xsi:nil="true"/>
    <PT_x002f_Measure_x0020_No. xmlns="ff38c824-6e29-4496-8487-69f397e7ed29">TSY/47/0737</PT_x002f_Measure_x0020_No.>
    <Keydoc xmlns="a289cb20-8bb9-401f-8d7b-706fb1a2988d" xsi:nil="true"/>
    <Act_x0028_s_x0029_beingamended xmlns="a289cb20-8bb9-401f-8d7b-706fb1a2988d" xsi:nil="true"/>
    <Projectname xmlns="a289cb20-8bb9-401f-8d7b-706fb1a2988d" xsi:nil="true"/>
    <a48f371a4a874164b16a8c4aab488f5c xmlns="fe39d773-a83d-4623-ae74-f25711a76616">
      <Terms xmlns="http://schemas.microsoft.com/office/infopath/2007/PartnerControls">
        <TermInfo xmlns="http://schemas.microsoft.com/office/infopath/2007/PartnerControls">
          <TermName xmlns="http://schemas.microsoft.com/office/infopath/2007/PartnerControls">Law Design</TermName>
          <TermId xmlns="http://schemas.microsoft.com/office/infopath/2007/PartnerControls">318dd2d2-18da-4b8e-a458-14db2c1af95f</TermId>
        </TermInfo>
      </Terms>
    </a48f371a4a874164b16a8c4aab488f5c>
    <TaxCatchAll xmlns="ff38c824-6e29-4496-8487-69f397e7ed29">
      <Value>68</Value>
      <Value>93</Value>
      <Value>1</Value>
      <Value>28</Value>
    </TaxCatchAll>
    <gfba5f33532c49208d2320ce38cc3c2b xmlns="fe39d773-a83d-4623-ae74-f25711a76616">
      <Terms xmlns="http://schemas.microsoft.com/office/infopath/2007/PartnerControls">
        <TermInfo xmlns="http://schemas.microsoft.com/office/infopath/2007/PartnerControls">
          <TermName xmlns="http://schemas.microsoft.com/office/infopath/2007/PartnerControls">Banking</TermName>
          <TermId xmlns="http://schemas.microsoft.com/office/infopath/2007/PartnerControls">a80f1bf8-7f20-4745-be5a-677803385232</TermId>
        </TermInfo>
      </Terms>
    </gfba5f33532c49208d2320ce38cc3c2b>
    <_dlc_DocId xmlns="fe39d773-a83d-4623-ae74-f25711a76616">5D7SUYYWNZQE-1616336108-2133</_dlc_DocId>
    <_dlc_DocIdUrl xmlns="fe39d773-a83d-4623-ae74-f25711a76616">
      <Url>https://austreasury.sharepoint.com/sites/leg-meas-function/_layouts/15/DocIdRedir.aspx?ID=5D7SUYYWNZQE-1616336108-2133</Url>
      <Description>5D7SUYYWNZQE-1616336108-2133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9F666C557CD6C41B02D0F5E9912B6FE" ma:contentTypeVersion="24" ma:contentTypeDescription="Create a new document." ma:contentTypeScope="" ma:versionID="517e0a9a2359a4a3eb8cf2ff5295b511">
  <xsd:schema xmlns:xsd="http://www.w3.org/2001/XMLSchema" xmlns:xs="http://www.w3.org/2001/XMLSchema" xmlns:p="http://schemas.microsoft.com/office/2006/metadata/properties" xmlns:ns1="http://schemas.microsoft.com/sharepoint/v3" xmlns:ns2="ff38c824-6e29-4496-8487-69f397e7ed29" xmlns:ns3="fe39d773-a83d-4623-ae74-f25711a76616" xmlns:ns4="a289cb20-8bb9-401f-8d7b-706fb1a2988d" xmlns:ns5="59a97669-a6c8-4691-b007-60f3016a35d2" targetNamespace="http://schemas.microsoft.com/office/2006/metadata/properties" ma:root="true" ma:fieldsID="91adf779f9fe8ff4dbee68b0bbf0ffa3" ns1:_="" ns2:_="" ns3:_="" ns4:_="" ns5:_="">
    <xsd:import namespace="http://schemas.microsoft.com/sharepoint/v3"/>
    <xsd:import namespace="ff38c824-6e29-4496-8487-69f397e7ed29"/>
    <xsd:import namespace="fe39d773-a83d-4623-ae74-f25711a76616"/>
    <xsd:import namespace="a289cb20-8bb9-401f-8d7b-706fb1a2988d"/>
    <xsd:import namespace="59a97669-a6c8-4691-b007-60f3016a35d2"/>
    <xsd:element name="properties">
      <xsd:complexType>
        <xsd:sequence>
          <xsd:element name="documentManagement">
            <xsd:complexType>
              <xsd:all>
                <xsd:element ref="ns3:_dlc_DocId" minOccurs="0"/>
                <xsd:element ref="ns3:_dlc_DocIdUrl" minOccurs="0"/>
                <xsd:element ref="ns3:_dlc_DocIdPersistId" minOccurs="0"/>
                <xsd:element ref="ns3:a48f371a4a874164b16a8c4aab488f5c"/>
                <xsd:element ref="ns2:TaxCatchAll" minOccurs="0"/>
                <xsd:element ref="ns2:TaxCatchAllLabel" minOccurs="0"/>
                <xsd:element ref="ns3:e4fe7dcdd1c0411bbf19a4de3665191f"/>
                <xsd:element ref="ns3:gfba5f33532c49208d2320ce38cc3c2b"/>
                <xsd:element ref="ns3:kfc39f3e4e2747ae990d3c8bb74a5a64"/>
                <xsd:element ref="ns3:ge25bdd0d6464e36b066695d9e81d63d" minOccurs="0"/>
                <xsd:element ref="ns4:MediaServiceMetadata" minOccurs="0"/>
                <xsd:element ref="ns4:MediaServiceFastMetadata" minOccurs="0"/>
                <xsd:element ref="ns4:Keydoc" minOccurs="0"/>
                <xsd:element ref="ns4:Projectname" minOccurs="0"/>
                <xsd:element ref="ns4:Measureorigin" minOccurs="0"/>
                <xsd:element ref="ns4:Act_x0028_s_x0029_beingamended" minOccurs="0"/>
                <xsd:element ref="ns2:PT_x002f_Measure_x0020_No." minOccurs="0"/>
                <xsd:element ref="ns1:DocumentSetDescription" minOccurs="0"/>
                <xsd:element ref="ns2:SharedWithUsers" minOccurs="0"/>
                <xsd:element ref="ns2:SharedWithDetails"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30" nillable="true" ma:displayName="Description" ma:description="A description of the Document Set" ma:hidden="true"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38c824-6e29-4496-8487-69f397e7ed2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d71235a-ff49-47a8-898e-6f6472b160f4}" ma:internalName="TaxCatchAll" ma:showField="CatchAllData"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ed71235a-ff49-47a8-898e-6f6472b160f4}" ma:internalName="TaxCatchAllLabel" ma:readOnly="true" ma:showField="CatchAllDataLabel"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PT_x002f_Measure_x0020_No." ma:index="29" nillable="true" ma:displayName="PT/Measure No." ma:internalName="PT_x002F_Measure_x0020_No_x002e_">
      <xsd:simpleType>
        <xsd:restriction base="dms:Text">
          <xsd:maxLength value="255"/>
        </xsd:restriction>
      </xsd:simpleType>
    </xsd:element>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48f371a4a874164b16a8c4aab488f5c" ma:index="11" ma:taxonomy="true" ma:internalName="a48f371a4a874164b16a8c4aab488f5c" ma:taxonomyFieldName="eTheme" ma:displayName="Theme" ma:readOnly="false" ma:default="1;#Law Design|318dd2d2-18da-4b8e-a458-14db2c1af95f" ma:fieldId="{a48f371a-4a87-4164-b16a-8c4aab488f5c}" ma:sspId="218240cd-c75f-40bd-87f4-262ac964b25b" ma:termSetId="8e821040-f1a6-4dbe-a897-c33883d56fe7" ma:anchorId="00000000-0000-0000-0000-000000000000" ma:open="false" ma:isKeyword="false">
      <xsd:complexType>
        <xsd:sequence>
          <xsd:element ref="pc:Terms" minOccurs="0" maxOccurs="1"/>
        </xsd:sequence>
      </xsd:complexType>
    </xsd:element>
    <xsd:element name="e4fe7dcdd1c0411bbf19a4de3665191f" ma:index="15" ma:taxonomy="true" ma:internalName="e4fe7dcdd1c0411bbf19a4de3665191f" ma:taxonomyFieldName="eActivity" ma:displayName="Activity" ma:readOnly="false" ma:default="28;#Legislative measures|0d31ce10-0017-4a46-8d2d-ba60058cb6a2" ma:fieldId="{e4fe7dcd-d1c0-411b-bf19-a4de3665191f}" ma:sspId="218240cd-c75f-40bd-87f4-262ac964b25b" ma:termSetId="b4be457e-5c7d-4d18-a155-e172d003877f" ma:anchorId="00000000-0000-0000-0000-000000000000" ma:open="false" ma:isKeyword="false">
      <xsd:complexType>
        <xsd:sequence>
          <xsd:element ref="pc:Terms" minOccurs="0" maxOccurs="1"/>
        </xsd:sequence>
      </xsd:complexType>
    </xsd:element>
    <xsd:element name="gfba5f33532c49208d2320ce38cc3c2b" ma:index="17" ma:taxonomy="true" ma:internalName="gfba5f33532c49208d2320ce38cc3c2b" ma:taxonomyFieldName="eTopic" ma:displayName="Topic" ma:readOnly="false" ma:default="" ma:fieldId="{0fba5f33-532c-4920-8d23-20ce38cc3c2b}" ma:taxonomyMulti="true" ma:sspId="218240cd-c75f-40bd-87f4-262ac964b25b" ma:termSetId="2ff3be35-0a0f-4026-b5c8-217e69393ad5" ma:anchorId="00000000-0000-0000-0000-000000000000" ma:open="false" ma:isKeyword="false">
      <xsd:complexType>
        <xsd:sequence>
          <xsd:element ref="pc:Terms" minOccurs="0" maxOccurs="1"/>
        </xsd:sequence>
      </xsd:complexType>
    </xsd:element>
    <xsd:element name="kfc39f3e4e2747ae990d3c8bb74a5a64" ma:index="19" ma:taxonomy="true" ma:internalName="kfc39f3e4e2747ae990d3c8bb74a5a64" ma:taxonomyFieldName="eDocumentType" ma:displayName="Document Type" ma:readOnly="false" ma:default="" ma:fieldId="{4fc39f3e-4e27-47ae-990d-3c8bb74a5a64}" ma:sspId="218240cd-c75f-40bd-87f4-262ac964b25b" ma:termSetId="7065a85d-cd15-46f8-9e6e-4898c90348b1" ma:anchorId="00000000-0000-0000-0000-000000000000" ma:open="false" ma:isKeyword="false">
      <xsd:complexType>
        <xsd:sequence>
          <xsd:element ref="pc:Terms" minOccurs="0" maxOccurs="1"/>
        </xsd:sequence>
      </xsd:complexType>
    </xsd:element>
    <xsd:element name="ge25bdd0d6464e36b066695d9e81d63d" ma:index="21"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89cb20-8bb9-401f-8d7b-706fb1a2988d"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Keydoc" ma:index="25" nillable="true" ma:displayName="Key doc?" ma:description="Optional tag to help keep track of key documents in a measure (e.g. the exposure draft, introduced versions of explanatory memoranda, a finalised NPP, particularly important legal advices)" ma:format="RadioButtons" ma:internalName="Keydoc">
      <xsd:simpleType>
        <xsd:restriction base="dms:Choice">
          <xsd:enumeration value="Yes"/>
          <xsd:enumeration value="No"/>
        </xsd:restriction>
      </xsd:simpleType>
    </xsd:element>
    <xsd:element name="Projectname" ma:index="26" nillable="true" ma:displayName="Project Name" ma:description="Optional tag if you have several PT-numbered measures which are the same project in substance (e.g. 'digital tax')" ma:format="Dropdown" ma:internalName="Projectname">
      <xsd:simpleType>
        <xsd:restriction base="dms:Text">
          <xsd:maxLength value="255"/>
        </xsd:restriction>
      </xsd:simpleType>
    </xsd:element>
    <xsd:element name="Measureorigin" ma:index="27" nillable="true" ma:displayName="Measure Origin" ma:description="Optional tag to identify measure origin (e.g. Budget, Financial Services Royal Commission)" ma:format="Dropdown" ma:internalName="Measureorigin">
      <xsd:simpleType>
        <xsd:restriction base="dms:Text">
          <xsd:maxLength value="255"/>
        </xsd:restriction>
      </xsd:simpleType>
    </xsd:element>
    <xsd:element name="Act_x0028_s_x0029_beingamended" ma:index="28" nillable="true" ma:displayName="Act(s) Being Amended" ma:description="Optional tag to identify Act(s) being amended by your measure" ma:format="Dropdown" ma:internalName="Act_x0028_s_x0029_beingamended">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a97669-a6c8-4691-b007-60f3016a35d2" elementFormDefault="qualified">
    <xsd:import namespace="http://schemas.microsoft.com/office/2006/documentManagement/types"/>
    <xsd:import namespace="http://schemas.microsoft.com/office/infopath/2007/PartnerControls"/>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362A75-C14A-46B4-A610-ECB34A1B0862}">
  <ds:schemaRefs>
    <ds:schemaRef ds:uri="http://schemas.microsoft.com/sharepoint/v3/contenttype/forms"/>
  </ds:schemaRefs>
</ds:datastoreItem>
</file>

<file path=customXml/itemProps2.xml><?xml version="1.0" encoding="utf-8"?>
<ds:datastoreItem xmlns:ds="http://schemas.openxmlformats.org/officeDocument/2006/customXml" ds:itemID="{50A009DE-BFAC-4B4B-8C1C-170E530F4741}">
  <ds:schemaRefs>
    <ds:schemaRef ds:uri="http://schemas.microsoft.com/sharepoint/events"/>
  </ds:schemaRefs>
</ds:datastoreItem>
</file>

<file path=customXml/itemProps3.xml><?xml version="1.0" encoding="utf-8"?>
<ds:datastoreItem xmlns:ds="http://schemas.openxmlformats.org/officeDocument/2006/customXml" ds:itemID="{8E5537DA-ADDB-4F75-844C-DE3EEAA4D6BE}">
  <ds:schemaRefs>
    <ds:schemaRef ds:uri="http://schemas.microsoft.com/office/2006/metadata/properties"/>
    <ds:schemaRef ds:uri="http://schemas.microsoft.com/office/infopath/2007/PartnerControls"/>
    <ds:schemaRef ds:uri="fe39d773-a83d-4623-ae74-f25711a76616"/>
    <ds:schemaRef ds:uri="http://schemas.microsoft.com/sharepoint/v3"/>
    <ds:schemaRef ds:uri="a289cb20-8bb9-401f-8d7b-706fb1a2988d"/>
    <ds:schemaRef ds:uri="ff38c824-6e29-4496-8487-69f397e7ed29"/>
  </ds:schemaRefs>
</ds:datastoreItem>
</file>

<file path=customXml/itemProps4.xml><?xml version="1.0" encoding="utf-8"?>
<ds:datastoreItem xmlns:ds="http://schemas.openxmlformats.org/officeDocument/2006/customXml" ds:itemID="{6960D88D-9BBA-4BF7-8B7F-CB2C8BC5C3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f38c824-6e29-4496-8487-69f397e7ed29"/>
    <ds:schemaRef ds:uri="fe39d773-a83d-4623-ae74-f25711a76616"/>
    <ds:schemaRef ds:uri="a289cb20-8bb9-401f-8d7b-706fb1a2988d"/>
    <ds:schemaRef ds:uri="59a97669-a6c8-4691-b007-60f3016a35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AD96223-32D1-49EA-AA1C-BF373F3A2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1</TotalTime>
  <Pages>11</Pages>
  <Words>2341</Words>
  <Characters>13345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15655</CharactersWithSpaces>
  <SharedDoc>false</SharedDoc>
  <HLinks>
    <vt:vector size="6" baseType="variant">
      <vt:variant>
        <vt:i4>3014707</vt:i4>
      </vt:variant>
      <vt:variant>
        <vt:i4>0</vt:i4>
      </vt:variant>
      <vt:variant>
        <vt:i4>0</vt:i4>
      </vt:variant>
      <vt:variant>
        <vt:i4>5</vt:i4>
      </vt:variant>
      <vt:variant>
        <vt:lpwstr>https://www.legislation.gov.au/F2016L01687/asmade/text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Bitmead, James</dc:creator>
  <cp:keywords/>
  <dc:description/>
  <cp:lastModifiedBy>Jaramillo, Justin</cp:lastModifiedBy>
  <cp:revision>2</cp:revision>
  <cp:lastPrinted>2024-06-27T03:44:00Z</cp:lastPrinted>
  <dcterms:created xsi:type="dcterms:W3CDTF">2024-06-27T08:35:00Z</dcterms:created>
  <dcterms:modified xsi:type="dcterms:W3CDTF">2024-06-27T08:35:00Z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Financial Sector (Shareholdings) (Suncorp Bank) Instrument 2024</vt:lpwstr>
  </property>
  <property fmtid="{D5CDD505-2E9C-101B-9397-08002B2CF9AE}" pid="4" name="Header">
    <vt:lpwstr>Section</vt:lpwstr>
  </property>
  <property fmtid="{D5CDD505-2E9C-101B-9397-08002B2CF9AE}" pid="5" name="Class">
    <vt:lpwstr>Instrument</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2024</vt:lpwstr>
  </property>
  <property fmtid="{D5CDD505-2E9C-101B-9397-08002B2CF9AE}" pid="10" name="Authority">
    <vt:lpwstr>Unk</vt:lpwstr>
  </property>
  <property fmtid="{D5CDD505-2E9C-101B-9397-08002B2CF9AE}" pid="11" name="ID">
    <vt:lpwstr> </vt:lpwstr>
  </property>
  <property fmtid="{D5CDD505-2E9C-101B-9397-08002B2CF9AE}" pid="12" name="Classification">
    <vt:lpwstr> </vt:lpwstr>
  </property>
  <property fmtid="{D5CDD505-2E9C-101B-9397-08002B2CF9AE}" pid="13" name="DLM">
    <vt:lpwstr> </vt:lpwstr>
  </property>
  <property fmtid="{D5CDD505-2E9C-101B-9397-08002B2CF9AE}" pid="14" name="ContentTypeId">
    <vt:lpwstr>0x01010069F666C557CD6C41B02D0F5E9912B6FE</vt:lpwstr>
  </property>
  <property fmtid="{D5CDD505-2E9C-101B-9397-08002B2CF9AE}" pid="15" name="TSYRecordClass">
    <vt:lpwstr>1;#AE-20260-Destroy 7 years after action completed|623f5ec9-ec5d-4824-8e13-9c9bfc51fe7e</vt:lpwstr>
  </property>
  <property fmtid="{D5CDD505-2E9C-101B-9397-08002B2CF9AE}" pid="16" name="_dlc_DocIdItemGuid">
    <vt:lpwstr>085e0312-f793-4de7-8964-43336d441148</vt:lpwstr>
  </property>
  <property fmtid="{D5CDD505-2E9C-101B-9397-08002B2CF9AE}" pid="17" name="TSYStatus">
    <vt:lpwstr/>
  </property>
  <property fmtid="{D5CDD505-2E9C-101B-9397-08002B2CF9AE}" pid="18" name="eTheme">
    <vt:lpwstr>1;#Law Design|318dd2d2-18da-4b8e-a458-14db2c1af95f</vt:lpwstr>
  </property>
  <property fmtid="{D5CDD505-2E9C-101B-9397-08002B2CF9AE}" pid="19" name="eDocumentType">
    <vt:lpwstr>68;#Legislation|bc5c492f-641e-4b74-8651-322acd553d0f</vt:lpwstr>
  </property>
  <property fmtid="{D5CDD505-2E9C-101B-9397-08002B2CF9AE}" pid="20" name="eTopic">
    <vt:lpwstr>93;#Banking|a80f1bf8-7f20-4745-be5a-677803385232</vt:lpwstr>
  </property>
  <property fmtid="{D5CDD505-2E9C-101B-9397-08002B2CF9AE}" pid="21" name="LMDivision">
    <vt:lpwstr/>
  </property>
  <property fmtid="{D5CDD505-2E9C-101B-9397-08002B2CF9AE}" pid="22" name="eActivity">
    <vt:lpwstr>28;#Legislative measures|0d31ce10-0017-4a46-8d2d-ba60058cb6a2</vt:lpwstr>
  </property>
  <property fmtid="{D5CDD505-2E9C-101B-9397-08002B2CF9AE}" pid="23" name="k8424359e03846678cc4a99dd97e9705">
    <vt:lpwstr/>
  </property>
  <property fmtid="{D5CDD505-2E9C-101B-9397-08002B2CF9AE}" pid="24" name="_docset_NoMedatataSyncRequired">
    <vt:lpwstr>False</vt:lpwstr>
  </property>
</Properties>
</file>