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25018A0C" w:rsidR="00584C92" w:rsidRPr="00EB58D4" w:rsidRDefault="00584C92" w:rsidP="00584C92">
      <w:pPr>
        <w:spacing w:after="80"/>
        <w:rPr>
          <w:rFonts w:cs="Arial"/>
          <w:b/>
          <w:sz w:val="28"/>
          <w:szCs w:val="28"/>
        </w:rPr>
      </w:pPr>
      <w:r w:rsidRPr="00EB58D4">
        <w:rPr>
          <w:rFonts w:cs="Arial"/>
          <w:b/>
          <w:sz w:val="28"/>
          <w:szCs w:val="28"/>
        </w:rPr>
        <w:t>Notice of Ruling</w:t>
      </w:r>
      <w:r w:rsidR="00AE2C72">
        <w:rPr>
          <w:rFonts w:cs="Arial"/>
          <w:b/>
          <w:sz w:val="28"/>
          <w:szCs w:val="28"/>
        </w:rPr>
        <w:t>s</w:t>
      </w:r>
      <w:r w:rsidRPr="00EB58D4">
        <w:rPr>
          <w:rFonts w:cs="Arial"/>
          <w:b/>
          <w:sz w:val="28"/>
          <w:szCs w:val="28"/>
        </w:rPr>
        <w:t xml:space="preserve"> </w:t>
      </w:r>
      <w:r w:rsidR="00132CFA">
        <w:rPr>
          <w:rFonts w:cs="Arial"/>
          <w:b/>
          <w:sz w:val="28"/>
          <w:szCs w:val="28"/>
        </w:rPr>
        <w:t>24</w:t>
      </w:r>
      <w:r w:rsidR="00D1558A">
        <w:rPr>
          <w:rFonts w:cs="Arial"/>
          <w:b/>
          <w:sz w:val="28"/>
          <w:szCs w:val="28"/>
        </w:rPr>
        <w:t xml:space="preserve"> </w:t>
      </w:r>
      <w:r w:rsidR="00E41B89">
        <w:rPr>
          <w:rFonts w:cs="Arial"/>
          <w:b/>
          <w:sz w:val="28"/>
          <w:szCs w:val="28"/>
        </w:rPr>
        <w:t>Ju</w:t>
      </w:r>
      <w:r w:rsidR="007857D4">
        <w:rPr>
          <w:rFonts w:cs="Arial"/>
          <w:b/>
          <w:sz w:val="28"/>
          <w:szCs w:val="28"/>
        </w:rPr>
        <w:t>ly</w:t>
      </w:r>
      <w:r w:rsidR="00FC3007">
        <w:rPr>
          <w:rFonts w:cs="Arial"/>
          <w:b/>
          <w:sz w:val="28"/>
          <w:szCs w:val="28"/>
        </w:rPr>
        <w:t xml:space="preserve"> 2024</w:t>
      </w:r>
    </w:p>
    <w:p w14:paraId="2E87CFDE" w14:textId="21BB214A" w:rsidR="00C01DF2" w:rsidRPr="00EB58D4" w:rsidRDefault="00C01DF2" w:rsidP="00C01DF2">
      <w:pPr>
        <w:rPr>
          <w:rFonts w:cs="Arial"/>
          <w:sz w:val="18"/>
          <w:szCs w:val="18"/>
        </w:rPr>
      </w:pPr>
      <w:r w:rsidRPr="00EB58D4">
        <w:rPr>
          <w:rFonts w:cs="Arial"/>
          <w:sz w:val="18"/>
          <w:szCs w:val="18"/>
        </w:rPr>
        <w:t xml:space="preserve">The Commissioner of Taxation, </w:t>
      </w:r>
      <w:r w:rsidR="00737A1C">
        <w:rPr>
          <w:rFonts w:cs="Arial"/>
          <w:sz w:val="18"/>
          <w:szCs w:val="18"/>
        </w:rPr>
        <w:t xml:space="preserve">Rob </w:t>
      </w:r>
      <w:proofErr w:type="spellStart"/>
      <w:r w:rsidR="00737A1C">
        <w:rPr>
          <w:rFonts w:cs="Arial"/>
          <w:sz w:val="18"/>
          <w:szCs w:val="18"/>
        </w:rPr>
        <w:t>Heferen</w:t>
      </w:r>
      <w:proofErr w:type="spellEnd"/>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w:t>
      </w:r>
      <w:r w:rsidR="00482F39">
        <w:rPr>
          <w:rFonts w:cs="Arial"/>
          <w:sz w:val="18"/>
          <w:szCs w:val="18"/>
        </w:rPr>
        <w:t>s</w:t>
      </w:r>
      <w:r w:rsidRPr="00EB58D4">
        <w:rPr>
          <w:rFonts w:cs="Arial"/>
          <w:sz w:val="18"/>
          <w:szCs w:val="18"/>
        </w:rPr>
        <w:t xml:space="preserve">, copies of which can be obtained from </w:t>
      </w:r>
      <w:hyperlink r:id="rId9" w:history="1">
        <w:r w:rsidRPr="00EB58D4">
          <w:rPr>
            <w:rStyle w:val="Hyperlink"/>
            <w:rFonts w:cs="Arial"/>
            <w:sz w:val="18"/>
            <w:szCs w:val="18"/>
          </w:rPr>
          <w:t>ato.gov.au/law</w:t>
        </w:r>
      </w:hyperlink>
    </w:p>
    <w:p w14:paraId="71496C31" w14:textId="0E98B255" w:rsidR="0087097B" w:rsidRDefault="0087097B" w:rsidP="00E45A56">
      <w:pPr>
        <w:spacing w:after="60"/>
        <w:rPr>
          <w:sz w:val="18"/>
          <w:szCs w:val="18"/>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686"/>
        <w:gridCol w:w="4253"/>
      </w:tblGrid>
      <w:tr w:rsidR="00C01DF2" w:rsidRPr="00EB58D4" w14:paraId="6C9717DB" w14:textId="77777777" w:rsidTr="002E6515">
        <w:tc>
          <w:tcPr>
            <w:tcW w:w="9923" w:type="dxa"/>
            <w:gridSpan w:val="3"/>
          </w:tcPr>
          <w:p w14:paraId="36942689" w14:textId="1938B8C1" w:rsidR="00C01DF2" w:rsidRPr="00EB58D4" w:rsidRDefault="00C01DF2" w:rsidP="00A344E5">
            <w:pPr>
              <w:pStyle w:val="Heading3"/>
              <w:keepLines/>
              <w:spacing w:before="60"/>
              <w:jc w:val="center"/>
              <w:rPr>
                <w:sz w:val="20"/>
                <w:szCs w:val="20"/>
              </w:rPr>
            </w:pPr>
            <w:r w:rsidRPr="00EB58D4">
              <w:rPr>
                <w:sz w:val="20"/>
                <w:szCs w:val="20"/>
              </w:rPr>
              <w:t xml:space="preserve">NOTICE OF </w:t>
            </w:r>
            <w:r w:rsidR="00482F39">
              <w:rPr>
                <w:sz w:val="20"/>
                <w:szCs w:val="20"/>
              </w:rPr>
              <w:t>RULING</w:t>
            </w:r>
          </w:p>
        </w:tc>
      </w:tr>
      <w:tr w:rsidR="00C01DF2" w:rsidRPr="00EB58D4" w14:paraId="36888AD9" w14:textId="77777777" w:rsidTr="002E6515">
        <w:tc>
          <w:tcPr>
            <w:tcW w:w="1984" w:type="dxa"/>
            <w:vAlign w:val="center"/>
          </w:tcPr>
          <w:p w14:paraId="7B7B0E56" w14:textId="77777777" w:rsidR="00C01DF2" w:rsidRPr="00EB58D4" w:rsidRDefault="00C01DF2" w:rsidP="00A344E5">
            <w:pPr>
              <w:pStyle w:val="Heading3"/>
              <w:keepLines/>
              <w:spacing w:before="60"/>
              <w:jc w:val="center"/>
              <w:rPr>
                <w:sz w:val="20"/>
                <w:szCs w:val="20"/>
              </w:rPr>
            </w:pPr>
            <w:r w:rsidRPr="00EB58D4">
              <w:rPr>
                <w:sz w:val="20"/>
                <w:szCs w:val="20"/>
              </w:rPr>
              <w:t>Ruling number</w:t>
            </w:r>
          </w:p>
        </w:tc>
        <w:tc>
          <w:tcPr>
            <w:tcW w:w="3686" w:type="dxa"/>
            <w:vAlign w:val="center"/>
          </w:tcPr>
          <w:p w14:paraId="3AE1FB18" w14:textId="77777777" w:rsidR="00C01DF2" w:rsidRPr="00EB58D4" w:rsidRDefault="00C01DF2" w:rsidP="00A344E5">
            <w:pPr>
              <w:pStyle w:val="Heading3"/>
              <w:keepLines/>
              <w:spacing w:before="60"/>
              <w:jc w:val="center"/>
              <w:rPr>
                <w:sz w:val="20"/>
                <w:szCs w:val="20"/>
              </w:rPr>
            </w:pPr>
            <w:r w:rsidRPr="00EB58D4">
              <w:rPr>
                <w:sz w:val="20"/>
                <w:szCs w:val="20"/>
              </w:rPr>
              <w:t>Subject</w:t>
            </w:r>
          </w:p>
        </w:tc>
        <w:tc>
          <w:tcPr>
            <w:tcW w:w="4253" w:type="dxa"/>
            <w:vAlign w:val="center"/>
          </w:tcPr>
          <w:p w14:paraId="0A6A9952" w14:textId="77777777" w:rsidR="00C01DF2" w:rsidRPr="00EB58D4" w:rsidRDefault="00C01DF2" w:rsidP="00A344E5">
            <w:pPr>
              <w:pStyle w:val="Heading3"/>
              <w:keepLines/>
              <w:spacing w:before="60"/>
              <w:jc w:val="center"/>
              <w:rPr>
                <w:sz w:val="20"/>
                <w:szCs w:val="20"/>
              </w:rPr>
            </w:pPr>
            <w:r w:rsidRPr="00EB58D4">
              <w:rPr>
                <w:sz w:val="20"/>
                <w:szCs w:val="20"/>
              </w:rPr>
              <w:t>Brief description</w:t>
            </w:r>
          </w:p>
        </w:tc>
      </w:tr>
      <w:tr w:rsidR="00B57F1B" w:rsidRPr="00EB58D4" w14:paraId="6281B195" w14:textId="77777777" w:rsidTr="00B57F1B">
        <w:tc>
          <w:tcPr>
            <w:tcW w:w="1984" w:type="dxa"/>
          </w:tcPr>
          <w:p w14:paraId="730112BF" w14:textId="5E567F47" w:rsidR="00B57F1B" w:rsidRPr="00B57F1B" w:rsidRDefault="00B57F1B" w:rsidP="00A344E5">
            <w:pPr>
              <w:pStyle w:val="Header"/>
              <w:spacing w:before="60" w:after="60"/>
              <w:rPr>
                <w:rFonts w:cs="Arial"/>
                <w:sz w:val="20"/>
                <w:szCs w:val="20"/>
              </w:rPr>
            </w:pPr>
            <w:r w:rsidRPr="00B57F1B">
              <w:rPr>
                <w:rFonts w:cs="Arial"/>
                <w:sz w:val="20"/>
                <w:szCs w:val="20"/>
              </w:rPr>
              <w:t>TD 2024/</w:t>
            </w:r>
            <w:r w:rsidR="002B170D">
              <w:rPr>
                <w:rFonts w:cs="Arial"/>
                <w:sz w:val="20"/>
                <w:szCs w:val="20"/>
              </w:rPr>
              <w:t>6</w:t>
            </w:r>
          </w:p>
        </w:tc>
        <w:tc>
          <w:tcPr>
            <w:tcW w:w="3686" w:type="dxa"/>
          </w:tcPr>
          <w:p w14:paraId="0B3910A4" w14:textId="375DA368" w:rsidR="00B57F1B" w:rsidRPr="00B57F1B" w:rsidRDefault="00B57F1B" w:rsidP="00A344E5">
            <w:pPr>
              <w:pStyle w:val="Header"/>
              <w:spacing w:before="60" w:after="60"/>
              <w:rPr>
                <w:rFonts w:cs="Arial"/>
                <w:sz w:val="20"/>
                <w:szCs w:val="20"/>
              </w:rPr>
            </w:pPr>
            <w:r w:rsidRPr="00B57F1B">
              <w:rPr>
                <w:rFonts w:cs="Arial"/>
                <w:sz w:val="20"/>
                <w:szCs w:val="20"/>
              </w:rPr>
              <w:t xml:space="preserve">Income tax: </w:t>
            </w:r>
            <w:r w:rsidR="002B170D">
              <w:rPr>
                <w:rFonts w:cs="Arial"/>
                <w:sz w:val="20"/>
                <w:szCs w:val="20"/>
              </w:rPr>
              <w:t xml:space="preserve"> trustee risk reserves </w:t>
            </w:r>
            <w:r w:rsidR="002B170D" w:rsidRPr="008623D7">
              <w:rPr>
                <w:rFonts w:cs="Arial"/>
                <w:sz w:val="20"/>
                <w:szCs w:val="20"/>
              </w:rPr>
              <w:t>–</w:t>
            </w:r>
            <w:r w:rsidR="002B170D">
              <w:rPr>
                <w:rFonts w:cs="Arial"/>
                <w:sz w:val="20"/>
                <w:szCs w:val="20"/>
              </w:rPr>
              <w:t>deductibility of payments made by a superannuation fund to its trustee</w:t>
            </w:r>
          </w:p>
        </w:tc>
        <w:tc>
          <w:tcPr>
            <w:tcW w:w="4253" w:type="dxa"/>
          </w:tcPr>
          <w:p w14:paraId="0D2F2363" w14:textId="01DEB7DD" w:rsidR="00346F72" w:rsidRPr="00E72CCF" w:rsidRDefault="00346F72" w:rsidP="009D3926">
            <w:pPr>
              <w:pStyle w:val="Numberedpara"/>
              <w:spacing w:before="60" w:after="60"/>
            </w:pPr>
            <w:bookmarkStart w:id="0" w:name="_Hlk126747702"/>
            <w:r w:rsidRPr="00E72CCF">
              <w:t xml:space="preserve">This </w:t>
            </w:r>
            <w:r w:rsidRPr="00346F72">
              <w:rPr>
                <w:rFonts w:eastAsia="Calibri"/>
                <w:sz w:val="20"/>
                <w:szCs w:val="20"/>
                <w:lang w:eastAsia="en-US"/>
              </w:rPr>
              <w:t xml:space="preserve">Determination sets out the Commissioner’s views on the deductibility for the fund, under section 8-1 of the </w:t>
            </w:r>
            <w:r w:rsidRPr="00346F72">
              <w:rPr>
                <w:rFonts w:eastAsia="Calibri"/>
                <w:i/>
                <w:iCs/>
                <w:sz w:val="20"/>
                <w:szCs w:val="20"/>
                <w:lang w:eastAsia="en-US"/>
              </w:rPr>
              <w:t>Income Tax Assessment Act 1997</w:t>
            </w:r>
            <w:r w:rsidRPr="00346F72">
              <w:rPr>
                <w:rFonts w:eastAsia="Calibri"/>
                <w:sz w:val="20"/>
                <w:szCs w:val="20"/>
                <w:lang w:eastAsia="en-US"/>
              </w:rPr>
              <w:t>, of payments that are made by the trustee of the fund (in its capacity as trustee) to the trustee in its own capacity as outlined in this Determination.</w:t>
            </w:r>
          </w:p>
          <w:bookmarkEnd w:id="0"/>
          <w:p w14:paraId="274022BF" w14:textId="0C98243C" w:rsidR="00993EC7" w:rsidRPr="00EB58D4" w:rsidRDefault="00993EC7" w:rsidP="00A344E5">
            <w:pPr>
              <w:pStyle w:val="Numberedparagraph"/>
              <w:spacing w:before="60" w:after="60"/>
              <w:rPr>
                <w:sz w:val="20"/>
                <w:szCs w:val="20"/>
              </w:rPr>
            </w:pPr>
            <w:r w:rsidRPr="00993EC7">
              <w:rPr>
                <w:sz w:val="20"/>
                <w:szCs w:val="20"/>
              </w:rPr>
              <w:t>This Determination applies both before and after its date of issue.</w:t>
            </w:r>
          </w:p>
        </w:tc>
      </w:tr>
    </w:tbl>
    <w:p w14:paraId="222536FB" w14:textId="77777777" w:rsidR="00D1558A" w:rsidRDefault="00D1558A" w:rsidP="009612DE">
      <w:pPr>
        <w:spacing w:after="60"/>
        <w:rPr>
          <w:sz w:val="18"/>
          <w:szCs w:val="18"/>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686"/>
        <w:gridCol w:w="4253"/>
      </w:tblGrid>
      <w:tr w:rsidR="00E4608F" w:rsidRPr="00EB58D4" w14:paraId="5512362F" w14:textId="77777777" w:rsidTr="008C22FB">
        <w:tc>
          <w:tcPr>
            <w:tcW w:w="9923" w:type="dxa"/>
            <w:gridSpan w:val="3"/>
          </w:tcPr>
          <w:p w14:paraId="347DB193" w14:textId="330101DE" w:rsidR="00E4608F" w:rsidRPr="00EB58D4" w:rsidRDefault="00E4608F" w:rsidP="008C22FB">
            <w:pPr>
              <w:pStyle w:val="Heading3"/>
              <w:keepLines/>
              <w:spacing w:before="60"/>
              <w:jc w:val="center"/>
              <w:rPr>
                <w:sz w:val="20"/>
                <w:szCs w:val="20"/>
              </w:rPr>
            </w:pPr>
            <w:r w:rsidRPr="00EB58D4">
              <w:rPr>
                <w:sz w:val="20"/>
                <w:szCs w:val="20"/>
              </w:rPr>
              <w:t xml:space="preserve">NOTICE OF </w:t>
            </w:r>
            <w:r w:rsidR="00132CFA">
              <w:rPr>
                <w:sz w:val="20"/>
                <w:szCs w:val="20"/>
              </w:rPr>
              <w:t>ADDEND</w:t>
            </w:r>
            <w:r w:rsidR="00B244B0">
              <w:rPr>
                <w:sz w:val="20"/>
                <w:szCs w:val="20"/>
              </w:rPr>
              <w:t>UM</w:t>
            </w:r>
          </w:p>
        </w:tc>
      </w:tr>
      <w:tr w:rsidR="00E4608F" w:rsidRPr="00EB58D4" w14:paraId="5A202E94" w14:textId="77777777" w:rsidTr="008C22FB">
        <w:tc>
          <w:tcPr>
            <w:tcW w:w="1984" w:type="dxa"/>
            <w:vAlign w:val="center"/>
          </w:tcPr>
          <w:p w14:paraId="36B5847D" w14:textId="77777777" w:rsidR="00E4608F" w:rsidRPr="00EB58D4" w:rsidRDefault="00E4608F" w:rsidP="008C22FB">
            <w:pPr>
              <w:pStyle w:val="Heading3"/>
              <w:keepLines/>
              <w:spacing w:before="60"/>
              <w:jc w:val="center"/>
              <w:rPr>
                <w:sz w:val="20"/>
                <w:szCs w:val="20"/>
              </w:rPr>
            </w:pPr>
            <w:r w:rsidRPr="00EB58D4">
              <w:rPr>
                <w:sz w:val="20"/>
                <w:szCs w:val="20"/>
              </w:rPr>
              <w:t>Ruling number</w:t>
            </w:r>
          </w:p>
        </w:tc>
        <w:tc>
          <w:tcPr>
            <w:tcW w:w="3686" w:type="dxa"/>
            <w:vAlign w:val="center"/>
          </w:tcPr>
          <w:p w14:paraId="6CA879F6" w14:textId="77777777" w:rsidR="00E4608F" w:rsidRPr="00EB58D4" w:rsidRDefault="00E4608F" w:rsidP="008C22FB">
            <w:pPr>
              <w:pStyle w:val="Heading3"/>
              <w:keepLines/>
              <w:spacing w:before="60"/>
              <w:jc w:val="center"/>
              <w:rPr>
                <w:sz w:val="20"/>
                <w:szCs w:val="20"/>
              </w:rPr>
            </w:pPr>
            <w:r w:rsidRPr="00EB58D4">
              <w:rPr>
                <w:sz w:val="20"/>
                <w:szCs w:val="20"/>
              </w:rPr>
              <w:t>Subject</w:t>
            </w:r>
          </w:p>
        </w:tc>
        <w:tc>
          <w:tcPr>
            <w:tcW w:w="4253" w:type="dxa"/>
            <w:vAlign w:val="center"/>
          </w:tcPr>
          <w:p w14:paraId="165BC84F" w14:textId="77777777" w:rsidR="00E4608F" w:rsidRPr="00EB58D4" w:rsidRDefault="00E4608F" w:rsidP="008C22FB">
            <w:pPr>
              <w:pStyle w:val="Heading3"/>
              <w:keepLines/>
              <w:spacing w:before="60"/>
              <w:jc w:val="center"/>
              <w:rPr>
                <w:sz w:val="20"/>
                <w:szCs w:val="20"/>
              </w:rPr>
            </w:pPr>
            <w:r w:rsidRPr="00EB58D4">
              <w:rPr>
                <w:sz w:val="20"/>
                <w:szCs w:val="20"/>
              </w:rPr>
              <w:t>Brief description</w:t>
            </w:r>
          </w:p>
        </w:tc>
      </w:tr>
      <w:tr w:rsidR="000B2B8F" w:rsidRPr="00BF5351" w14:paraId="05D9AFF2" w14:textId="77777777" w:rsidTr="008C22FB">
        <w:tc>
          <w:tcPr>
            <w:tcW w:w="1984" w:type="dxa"/>
          </w:tcPr>
          <w:p w14:paraId="1FA7C03B" w14:textId="05C689D9" w:rsidR="000B2B8F" w:rsidRPr="000B2B8F" w:rsidRDefault="00132CFA" w:rsidP="000B2B8F">
            <w:pPr>
              <w:pStyle w:val="Header"/>
              <w:spacing w:before="60" w:after="60"/>
              <w:rPr>
                <w:rFonts w:cs="Arial"/>
                <w:sz w:val="20"/>
                <w:szCs w:val="20"/>
              </w:rPr>
            </w:pPr>
            <w:r>
              <w:rPr>
                <w:rFonts w:cs="Arial"/>
                <w:sz w:val="20"/>
                <w:szCs w:val="20"/>
              </w:rPr>
              <w:t>P</w:t>
            </w:r>
            <w:r w:rsidR="000B2B8F" w:rsidRPr="000B2B8F">
              <w:rPr>
                <w:rFonts w:cs="Arial"/>
                <w:sz w:val="20"/>
                <w:szCs w:val="20"/>
              </w:rPr>
              <w:t>R 202</w:t>
            </w:r>
            <w:r>
              <w:rPr>
                <w:rFonts w:cs="Arial"/>
                <w:sz w:val="20"/>
                <w:szCs w:val="20"/>
              </w:rPr>
              <w:t>1</w:t>
            </w:r>
            <w:r w:rsidR="000B2B8F" w:rsidRPr="000B2B8F">
              <w:rPr>
                <w:rFonts w:cs="Arial"/>
                <w:sz w:val="20"/>
                <w:szCs w:val="20"/>
              </w:rPr>
              <w:t>/</w:t>
            </w:r>
            <w:r>
              <w:rPr>
                <w:rFonts w:cs="Arial"/>
                <w:sz w:val="20"/>
                <w:szCs w:val="20"/>
              </w:rPr>
              <w:t>11</w:t>
            </w:r>
          </w:p>
        </w:tc>
        <w:tc>
          <w:tcPr>
            <w:tcW w:w="3686" w:type="dxa"/>
          </w:tcPr>
          <w:p w14:paraId="01865075" w14:textId="3D69FFC2" w:rsidR="000B2B8F" w:rsidRPr="000B2B8F" w:rsidRDefault="00132CFA" w:rsidP="000B2B8F">
            <w:pPr>
              <w:pStyle w:val="Header"/>
              <w:spacing w:before="60" w:after="60"/>
              <w:rPr>
                <w:rFonts w:cs="Arial"/>
                <w:sz w:val="20"/>
                <w:szCs w:val="20"/>
              </w:rPr>
            </w:pPr>
            <w:r>
              <w:rPr>
                <w:rFonts w:cs="Arial"/>
                <w:sz w:val="20"/>
                <w:szCs w:val="20"/>
              </w:rPr>
              <w:t>Tax consequences for Australian policyholders of a Quilter executive investment bond</w:t>
            </w:r>
          </w:p>
        </w:tc>
        <w:tc>
          <w:tcPr>
            <w:tcW w:w="4253" w:type="dxa"/>
          </w:tcPr>
          <w:p w14:paraId="65C0C147" w14:textId="2A26F8F5" w:rsidR="000B2B8F" w:rsidRPr="000B2B8F" w:rsidRDefault="000B2B8F" w:rsidP="000B2B8F">
            <w:pPr>
              <w:spacing w:before="60" w:after="60"/>
              <w:rPr>
                <w:rFonts w:cs="Arial"/>
                <w:sz w:val="20"/>
                <w:szCs w:val="20"/>
              </w:rPr>
            </w:pPr>
            <w:r w:rsidRPr="000B2B8F">
              <w:rPr>
                <w:rFonts w:cs="Arial"/>
                <w:sz w:val="20"/>
                <w:szCs w:val="20"/>
              </w:rPr>
              <w:t xml:space="preserve">This </w:t>
            </w:r>
            <w:r w:rsidR="00132CFA">
              <w:rPr>
                <w:rFonts w:cs="Arial"/>
                <w:sz w:val="20"/>
                <w:szCs w:val="20"/>
              </w:rPr>
              <w:t>Addendum</w:t>
            </w:r>
            <w:r w:rsidR="00186CF3">
              <w:rPr>
                <w:rFonts w:cs="Arial"/>
                <w:sz w:val="20"/>
                <w:szCs w:val="20"/>
              </w:rPr>
              <w:t xml:space="preserve"> </w:t>
            </w:r>
            <w:r w:rsidR="004723E7">
              <w:rPr>
                <w:rFonts w:cs="Arial"/>
                <w:sz w:val="20"/>
                <w:szCs w:val="20"/>
              </w:rPr>
              <w:t>amends</w:t>
            </w:r>
            <w:r w:rsidR="00186CF3">
              <w:rPr>
                <w:rFonts w:cs="Arial"/>
                <w:sz w:val="20"/>
                <w:szCs w:val="20"/>
              </w:rPr>
              <w:t xml:space="preserve"> </w:t>
            </w:r>
            <w:r w:rsidR="00132CFA">
              <w:rPr>
                <w:rFonts w:cs="Arial"/>
                <w:sz w:val="20"/>
                <w:szCs w:val="20"/>
              </w:rPr>
              <w:t>Product</w:t>
            </w:r>
            <w:r w:rsidR="00186CF3">
              <w:rPr>
                <w:rFonts w:cs="Arial"/>
                <w:sz w:val="20"/>
                <w:szCs w:val="20"/>
              </w:rPr>
              <w:t xml:space="preserve"> Ruling </w:t>
            </w:r>
            <w:r w:rsidR="00132CFA">
              <w:rPr>
                <w:rFonts w:cs="Arial"/>
                <w:sz w:val="20"/>
                <w:szCs w:val="20"/>
              </w:rPr>
              <w:t>P</w:t>
            </w:r>
            <w:r w:rsidR="00186CF3">
              <w:rPr>
                <w:rFonts w:cs="Arial"/>
                <w:sz w:val="20"/>
                <w:szCs w:val="20"/>
              </w:rPr>
              <w:t>R 202</w:t>
            </w:r>
            <w:r w:rsidR="00132CFA">
              <w:rPr>
                <w:rFonts w:cs="Arial"/>
                <w:sz w:val="20"/>
                <w:szCs w:val="20"/>
              </w:rPr>
              <w:t>1</w:t>
            </w:r>
            <w:r w:rsidR="00186CF3">
              <w:rPr>
                <w:rFonts w:cs="Arial"/>
                <w:sz w:val="20"/>
                <w:szCs w:val="20"/>
              </w:rPr>
              <w:t>/</w:t>
            </w:r>
            <w:r w:rsidR="00132CFA">
              <w:rPr>
                <w:rFonts w:cs="Arial"/>
                <w:sz w:val="20"/>
                <w:szCs w:val="20"/>
              </w:rPr>
              <w:t>11</w:t>
            </w:r>
            <w:r w:rsidR="00186CF3">
              <w:rPr>
                <w:rFonts w:cs="Arial"/>
                <w:sz w:val="20"/>
                <w:szCs w:val="20"/>
              </w:rPr>
              <w:t xml:space="preserve"> to </w:t>
            </w:r>
            <w:r w:rsidR="00132CFA">
              <w:rPr>
                <w:rFonts w:cs="Arial"/>
                <w:sz w:val="20"/>
                <w:szCs w:val="20"/>
              </w:rPr>
              <w:t>reflect the issuer’s change of name and to update the list of scheme documents</w:t>
            </w:r>
            <w:r w:rsidR="000D3CB0">
              <w:rPr>
                <w:rFonts w:cs="Arial"/>
                <w:sz w:val="20"/>
                <w:szCs w:val="20"/>
              </w:rPr>
              <w:t>.</w:t>
            </w:r>
          </w:p>
          <w:p w14:paraId="7CF2B369" w14:textId="3E0B01CA" w:rsidR="000B2B8F" w:rsidRPr="000B2B8F" w:rsidRDefault="000B2B8F" w:rsidP="000B2B8F">
            <w:pPr>
              <w:spacing w:before="60" w:after="60"/>
              <w:rPr>
                <w:rFonts w:cs="Arial"/>
                <w:sz w:val="20"/>
                <w:szCs w:val="20"/>
              </w:rPr>
            </w:pPr>
            <w:r w:rsidRPr="000B2B8F">
              <w:rPr>
                <w:rFonts w:cs="Arial"/>
                <w:sz w:val="20"/>
                <w:szCs w:val="20"/>
              </w:rPr>
              <w:t xml:space="preserve">This </w:t>
            </w:r>
            <w:r w:rsidR="00132CFA">
              <w:rPr>
                <w:rFonts w:cs="Arial"/>
                <w:sz w:val="20"/>
                <w:szCs w:val="20"/>
              </w:rPr>
              <w:t>Addendum</w:t>
            </w:r>
            <w:r w:rsidRPr="000B2B8F">
              <w:rPr>
                <w:rFonts w:cs="Arial"/>
                <w:sz w:val="20"/>
                <w:szCs w:val="20"/>
              </w:rPr>
              <w:t xml:space="preserve"> applies</w:t>
            </w:r>
            <w:r w:rsidR="00186CF3">
              <w:rPr>
                <w:rFonts w:cs="Arial"/>
                <w:sz w:val="20"/>
                <w:szCs w:val="20"/>
              </w:rPr>
              <w:t xml:space="preserve"> </w:t>
            </w:r>
            <w:r w:rsidR="00132CFA">
              <w:rPr>
                <w:rFonts w:cs="Arial"/>
                <w:sz w:val="20"/>
                <w:szCs w:val="20"/>
              </w:rPr>
              <w:t>both before and after its date of issue</w:t>
            </w:r>
            <w:r w:rsidRPr="000B2B8F">
              <w:rPr>
                <w:rFonts w:cs="Arial"/>
                <w:sz w:val="20"/>
                <w:szCs w:val="20"/>
              </w:rPr>
              <w:t>.</w:t>
            </w:r>
          </w:p>
        </w:tc>
      </w:tr>
    </w:tbl>
    <w:p w14:paraId="3BEB522C" w14:textId="77777777" w:rsidR="00557796" w:rsidRDefault="00557796" w:rsidP="009612DE">
      <w:pPr>
        <w:spacing w:after="60"/>
        <w:rPr>
          <w:sz w:val="18"/>
          <w:szCs w:val="18"/>
        </w:rPr>
      </w:pPr>
    </w:p>
    <w:sectPr w:rsidR="0055779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00CE2"/>
    <w:multiLevelType w:val="hybridMultilevel"/>
    <w:tmpl w:val="AD900B2E"/>
    <w:lvl w:ilvl="0" w:tplc="8DF80428">
      <w:start w:val="1"/>
      <w:numFmt w:val="bullet"/>
      <w:pStyle w:val="Dotpoint1"/>
      <w:lvlText w:val=""/>
      <w:lvlJc w:val="left"/>
      <w:pPr>
        <w:ind w:left="720" w:hanging="360"/>
      </w:pPr>
      <w:rPr>
        <w:rFonts w:ascii="Symbol" w:hAnsi="Symbol" w:hint="default"/>
      </w:rPr>
    </w:lvl>
    <w:lvl w:ilvl="1" w:tplc="C690156C">
      <w:start w:val="1"/>
      <w:numFmt w:val="bullet"/>
      <w:pStyle w:val="Dotpoint2"/>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8A4858"/>
    <w:multiLevelType w:val="hybridMultilevel"/>
    <w:tmpl w:val="1DB4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7946E5"/>
    <w:multiLevelType w:val="hybridMultilevel"/>
    <w:tmpl w:val="818EBE5C"/>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A2515F"/>
    <w:multiLevelType w:val="hybridMultilevel"/>
    <w:tmpl w:val="BC7444F8"/>
    <w:lvl w:ilvl="0" w:tplc="479EE20A">
      <w:start w:val="1"/>
      <w:numFmt w:val="decimal"/>
      <w:lvlText w:val="%1."/>
      <w:lvlJc w:val="left"/>
      <w:pPr>
        <w:tabs>
          <w:tab w:val="num" w:pos="720"/>
        </w:tabs>
        <w:ind w:left="720" w:hanging="360"/>
      </w:pPr>
      <w:rPr>
        <w:rFonts w:ascii="Arial" w:hAnsi="Arial" w:cs="Arial" w:hint="default"/>
        <w:i w:val="0"/>
        <w:iCs w:val="0"/>
      </w:rPr>
    </w:lvl>
    <w:lvl w:ilvl="1" w:tplc="8E8E5DFA">
      <w:start w:val="1"/>
      <w:numFmt w:val="bullet"/>
      <w:lvlText w:val=""/>
      <w:lvlJc w:val="left"/>
      <w:pPr>
        <w:tabs>
          <w:tab w:val="num" w:pos="1511"/>
        </w:tabs>
        <w:ind w:left="1511" w:hanging="431"/>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6"/>
  </w:num>
  <w:num w:numId="2" w16cid:durableId="176577212">
    <w:abstractNumId w:val="3"/>
  </w:num>
  <w:num w:numId="3" w16cid:durableId="1407603569">
    <w:abstractNumId w:val="4"/>
  </w:num>
  <w:num w:numId="4" w16cid:durableId="2013141901">
    <w:abstractNumId w:val="0"/>
  </w:num>
  <w:num w:numId="5" w16cid:durableId="281152630">
    <w:abstractNumId w:val="2"/>
  </w:num>
  <w:num w:numId="6" w16cid:durableId="1706711737">
    <w:abstractNumId w:val="1"/>
  </w:num>
  <w:num w:numId="7" w16cid:durableId="837695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hideSpellingErrors/>
  <w:hideGrammaticalErrors/>
  <w:proofState w:spelling="clean" w:grammar="clean"/>
  <w:trackRevisions/>
  <w:documentProtection w:edit="forms" w:enforcement="0"/>
  <w:defaultTabStop w:val="720"/>
  <w:characterSpacingControl w:val="doNotCompress"/>
  <w:hdrShapeDefaults>
    <o:shapedefaults v:ext="edit" spidmax="405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1C8F"/>
    <w:rsid w:val="00002898"/>
    <w:rsid w:val="00007360"/>
    <w:rsid w:val="00007BEE"/>
    <w:rsid w:val="00040813"/>
    <w:rsid w:val="00041366"/>
    <w:rsid w:val="00051432"/>
    <w:rsid w:val="00071777"/>
    <w:rsid w:val="00072705"/>
    <w:rsid w:val="00072757"/>
    <w:rsid w:val="00083D9D"/>
    <w:rsid w:val="00084784"/>
    <w:rsid w:val="000866D9"/>
    <w:rsid w:val="0009697D"/>
    <w:rsid w:val="000970F2"/>
    <w:rsid w:val="000B28A8"/>
    <w:rsid w:val="000B2B8F"/>
    <w:rsid w:val="000D1D43"/>
    <w:rsid w:val="000D3CB0"/>
    <w:rsid w:val="000E02CE"/>
    <w:rsid w:val="000E1F2B"/>
    <w:rsid w:val="000E39B7"/>
    <w:rsid w:val="000E5D61"/>
    <w:rsid w:val="000E71F0"/>
    <w:rsid w:val="000F011C"/>
    <w:rsid w:val="000F0DB1"/>
    <w:rsid w:val="00105CCA"/>
    <w:rsid w:val="00114CB2"/>
    <w:rsid w:val="00132CFA"/>
    <w:rsid w:val="001336AA"/>
    <w:rsid w:val="00141674"/>
    <w:rsid w:val="00151647"/>
    <w:rsid w:val="00154999"/>
    <w:rsid w:val="00157BAB"/>
    <w:rsid w:val="00160BA0"/>
    <w:rsid w:val="00162794"/>
    <w:rsid w:val="00171921"/>
    <w:rsid w:val="00174BD4"/>
    <w:rsid w:val="00180A9A"/>
    <w:rsid w:val="00186CF3"/>
    <w:rsid w:val="00190C5A"/>
    <w:rsid w:val="001A7663"/>
    <w:rsid w:val="001B2475"/>
    <w:rsid w:val="001C0A45"/>
    <w:rsid w:val="001C2AAD"/>
    <w:rsid w:val="001C3060"/>
    <w:rsid w:val="001C4A7B"/>
    <w:rsid w:val="001D1F31"/>
    <w:rsid w:val="001E062D"/>
    <w:rsid w:val="001F30A0"/>
    <w:rsid w:val="001F3F6A"/>
    <w:rsid w:val="001F6733"/>
    <w:rsid w:val="001F6E54"/>
    <w:rsid w:val="001F7130"/>
    <w:rsid w:val="0020000F"/>
    <w:rsid w:val="00205517"/>
    <w:rsid w:val="002074D9"/>
    <w:rsid w:val="00212459"/>
    <w:rsid w:val="00214E16"/>
    <w:rsid w:val="002166EF"/>
    <w:rsid w:val="0023113A"/>
    <w:rsid w:val="0023133C"/>
    <w:rsid w:val="0023575A"/>
    <w:rsid w:val="00237961"/>
    <w:rsid w:val="002412B8"/>
    <w:rsid w:val="00245ECE"/>
    <w:rsid w:val="00252923"/>
    <w:rsid w:val="00254158"/>
    <w:rsid w:val="00257336"/>
    <w:rsid w:val="00266BEC"/>
    <w:rsid w:val="00276144"/>
    <w:rsid w:val="00276FAE"/>
    <w:rsid w:val="002770C5"/>
    <w:rsid w:val="00280BCD"/>
    <w:rsid w:val="00281C7E"/>
    <w:rsid w:val="002843FD"/>
    <w:rsid w:val="002B170D"/>
    <w:rsid w:val="002C0CCE"/>
    <w:rsid w:val="002C1614"/>
    <w:rsid w:val="002C65F9"/>
    <w:rsid w:val="002C7B06"/>
    <w:rsid w:val="002D414B"/>
    <w:rsid w:val="002D493C"/>
    <w:rsid w:val="002E1A8C"/>
    <w:rsid w:val="002E3208"/>
    <w:rsid w:val="002E6515"/>
    <w:rsid w:val="002F3FFB"/>
    <w:rsid w:val="00304E50"/>
    <w:rsid w:val="00310825"/>
    <w:rsid w:val="00314F29"/>
    <w:rsid w:val="00325B6B"/>
    <w:rsid w:val="00332505"/>
    <w:rsid w:val="00335AB1"/>
    <w:rsid w:val="00337211"/>
    <w:rsid w:val="00340545"/>
    <w:rsid w:val="00346F72"/>
    <w:rsid w:val="003551C8"/>
    <w:rsid w:val="0036599C"/>
    <w:rsid w:val="00372678"/>
    <w:rsid w:val="003772DE"/>
    <w:rsid w:val="00383A21"/>
    <w:rsid w:val="00394E1E"/>
    <w:rsid w:val="0039702D"/>
    <w:rsid w:val="003A0276"/>
    <w:rsid w:val="003A45F7"/>
    <w:rsid w:val="003A707F"/>
    <w:rsid w:val="003B0EC1"/>
    <w:rsid w:val="003B573B"/>
    <w:rsid w:val="003C5997"/>
    <w:rsid w:val="003C61EF"/>
    <w:rsid w:val="003C6D3F"/>
    <w:rsid w:val="003D05C0"/>
    <w:rsid w:val="003D3F32"/>
    <w:rsid w:val="003E1DB2"/>
    <w:rsid w:val="003F0986"/>
    <w:rsid w:val="003F2CBD"/>
    <w:rsid w:val="003F7FA7"/>
    <w:rsid w:val="00402808"/>
    <w:rsid w:val="00402A68"/>
    <w:rsid w:val="004066D4"/>
    <w:rsid w:val="00412EC5"/>
    <w:rsid w:val="00413DA1"/>
    <w:rsid w:val="00414173"/>
    <w:rsid w:val="00414AAF"/>
    <w:rsid w:val="00421CA6"/>
    <w:rsid w:val="00422A1A"/>
    <w:rsid w:val="004242FC"/>
    <w:rsid w:val="00424B97"/>
    <w:rsid w:val="004453CF"/>
    <w:rsid w:val="0045064C"/>
    <w:rsid w:val="00456620"/>
    <w:rsid w:val="00472314"/>
    <w:rsid w:val="004723E7"/>
    <w:rsid w:val="00475FF1"/>
    <w:rsid w:val="00482F39"/>
    <w:rsid w:val="00492E6F"/>
    <w:rsid w:val="004B1588"/>
    <w:rsid w:val="004B2753"/>
    <w:rsid w:val="004B49C1"/>
    <w:rsid w:val="004C5A5D"/>
    <w:rsid w:val="004D6052"/>
    <w:rsid w:val="004E4D69"/>
    <w:rsid w:val="004E56BF"/>
    <w:rsid w:val="004E6157"/>
    <w:rsid w:val="004E672E"/>
    <w:rsid w:val="004F2518"/>
    <w:rsid w:val="004F51B7"/>
    <w:rsid w:val="004F5615"/>
    <w:rsid w:val="00517DF8"/>
    <w:rsid w:val="00520873"/>
    <w:rsid w:val="005238F7"/>
    <w:rsid w:val="00523B4B"/>
    <w:rsid w:val="0053476B"/>
    <w:rsid w:val="0053511E"/>
    <w:rsid w:val="005501BC"/>
    <w:rsid w:val="00555165"/>
    <w:rsid w:val="0055598A"/>
    <w:rsid w:val="00557796"/>
    <w:rsid w:val="005634B4"/>
    <w:rsid w:val="00573D44"/>
    <w:rsid w:val="00577E81"/>
    <w:rsid w:val="00577F43"/>
    <w:rsid w:val="00584C92"/>
    <w:rsid w:val="0058754D"/>
    <w:rsid w:val="0059166E"/>
    <w:rsid w:val="00591D51"/>
    <w:rsid w:val="0059270A"/>
    <w:rsid w:val="0059392B"/>
    <w:rsid w:val="005A6C30"/>
    <w:rsid w:val="005A77FC"/>
    <w:rsid w:val="005B2481"/>
    <w:rsid w:val="005B3569"/>
    <w:rsid w:val="005B3694"/>
    <w:rsid w:val="005D3A51"/>
    <w:rsid w:val="005D61EA"/>
    <w:rsid w:val="005D7EFC"/>
    <w:rsid w:val="005E7AE5"/>
    <w:rsid w:val="00601B68"/>
    <w:rsid w:val="00616661"/>
    <w:rsid w:val="00616998"/>
    <w:rsid w:val="00622E61"/>
    <w:rsid w:val="006234C3"/>
    <w:rsid w:val="00625C28"/>
    <w:rsid w:val="0063183E"/>
    <w:rsid w:val="006324C1"/>
    <w:rsid w:val="00635548"/>
    <w:rsid w:val="00636F01"/>
    <w:rsid w:val="00637D69"/>
    <w:rsid w:val="00644A6B"/>
    <w:rsid w:val="00646143"/>
    <w:rsid w:val="006479F6"/>
    <w:rsid w:val="006539A6"/>
    <w:rsid w:val="00684600"/>
    <w:rsid w:val="006915AA"/>
    <w:rsid w:val="00693226"/>
    <w:rsid w:val="006937A0"/>
    <w:rsid w:val="006946BE"/>
    <w:rsid w:val="006A0B1F"/>
    <w:rsid w:val="006A2BB4"/>
    <w:rsid w:val="006A578F"/>
    <w:rsid w:val="006B0009"/>
    <w:rsid w:val="006B1038"/>
    <w:rsid w:val="006B1A9D"/>
    <w:rsid w:val="006B38CC"/>
    <w:rsid w:val="006B4EE4"/>
    <w:rsid w:val="006B533E"/>
    <w:rsid w:val="006B61D3"/>
    <w:rsid w:val="006C2351"/>
    <w:rsid w:val="006D66A7"/>
    <w:rsid w:val="006D788A"/>
    <w:rsid w:val="006F12E6"/>
    <w:rsid w:val="006F79B3"/>
    <w:rsid w:val="007075B1"/>
    <w:rsid w:val="00713E66"/>
    <w:rsid w:val="007140D2"/>
    <w:rsid w:val="0072002A"/>
    <w:rsid w:val="007343FA"/>
    <w:rsid w:val="00737A1C"/>
    <w:rsid w:val="00742951"/>
    <w:rsid w:val="007449F0"/>
    <w:rsid w:val="00745C94"/>
    <w:rsid w:val="00752230"/>
    <w:rsid w:val="007569CE"/>
    <w:rsid w:val="007637CF"/>
    <w:rsid w:val="00765AD8"/>
    <w:rsid w:val="00773255"/>
    <w:rsid w:val="00775E96"/>
    <w:rsid w:val="00783566"/>
    <w:rsid w:val="007857D4"/>
    <w:rsid w:val="00792582"/>
    <w:rsid w:val="00793D58"/>
    <w:rsid w:val="007B27F4"/>
    <w:rsid w:val="007C490F"/>
    <w:rsid w:val="007D0E05"/>
    <w:rsid w:val="007D25C1"/>
    <w:rsid w:val="007D2640"/>
    <w:rsid w:val="007D3AFB"/>
    <w:rsid w:val="007D41FB"/>
    <w:rsid w:val="007E2CA6"/>
    <w:rsid w:val="007E75F8"/>
    <w:rsid w:val="007F191A"/>
    <w:rsid w:val="007F3630"/>
    <w:rsid w:val="007F47F3"/>
    <w:rsid w:val="00804121"/>
    <w:rsid w:val="008049D1"/>
    <w:rsid w:val="008061E3"/>
    <w:rsid w:val="00827D16"/>
    <w:rsid w:val="00831C85"/>
    <w:rsid w:val="00840A06"/>
    <w:rsid w:val="008439B7"/>
    <w:rsid w:val="008467D1"/>
    <w:rsid w:val="00851B19"/>
    <w:rsid w:val="00851F51"/>
    <w:rsid w:val="008604AD"/>
    <w:rsid w:val="00862E51"/>
    <w:rsid w:val="008639C6"/>
    <w:rsid w:val="008661A6"/>
    <w:rsid w:val="0087097B"/>
    <w:rsid w:val="0087102A"/>
    <w:rsid w:val="0087253F"/>
    <w:rsid w:val="00873E5F"/>
    <w:rsid w:val="00874074"/>
    <w:rsid w:val="00874399"/>
    <w:rsid w:val="00886FC3"/>
    <w:rsid w:val="00893D7A"/>
    <w:rsid w:val="008A25CE"/>
    <w:rsid w:val="008A414E"/>
    <w:rsid w:val="008D0A06"/>
    <w:rsid w:val="008D17C9"/>
    <w:rsid w:val="008D30A5"/>
    <w:rsid w:val="008E4F6C"/>
    <w:rsid w:val="008F21CD"/>
    <w:rsid w:val="008F4BCF"/>
    <w:rsid w:val="00902328"/>
    <w:rsid w:val="00910AC7"/>
    <w:rsid w:val="00911D92"/>
    <w:rsid w:val="00916ADC"/>
    <w:rsid w:val="00930E40"/>
    <w:rsid w:val="0094219E"/>
    <w:rsid w:val="00943B8D"/>
    <w:rsid w:val="0094556B"/>
    <w:rsid w:val="00953438"/>
    <w:rsid w:val="009539C7"/>
    <w:rsid w:val="009551EC"/>
    <w:rsid w:val="0095650D"/>
    <w:rsid w:val="009612DE"/>
    <w:rsid w:val="00963963"/>
    <w:rsid w:val="009641EC"/>
    <w:rsid w:val="00993EC7"/>
    <w:rsid w:val="00995840"/>
    <w:rsid w:val="009B286B"/>
    <w:rsid w:val="009B3C0E"/>
    <w:rsid w:val="009B7E6D"/>
    <w:rsid w:val="009C61A2"/>
    <w:rsid w:val="009D1CB0"/>
    <w:rsid w:val="009D3926"/>
    <w:rsid w:val="009D6AA1"/>
    <w:rsid w:val="009E0B4D"/>
    <w:rsid w:val="009F07E1"/>
    <w:rsid w:val="009F72D9"/>
    <w:rsid w:val="00A00F21"/>
    <w:rsid w:val="00A10A8C"/>
    <w:rsid w:val="00A120A5"/>
    <w:rsid w:val="00A1479A"/>
    <w:rsid w:val="00A14AE1"/>
    <w:rsid w:val="00A21862"/>
    <w:rsid w:val="00A27309"/>
    <w:rsid w:val="00A305B7"/>
    <w:rsid w:val="00A34205"/>
    <w:rsid w:val="00A344E5"/>
    <w:rsid w:val="00A345B4"/>
    <w:rsid w:val="00A4113A"/>
    <w:rsid w:val="00A41F5C"/>
    <w:rsid w:val="00A45F0B"/>
    <w:rsid w:val="00A466C2"/>
    <w:rsid w:val="00A47D2C"/>
    <w:rsid w:val="00A47E4F"/>
    <w:rsid w:val="00A52674"/>
    <w:rsid w:val="00A60CE8"/>
    <w:rsid w:val="00A62E9F"/>
    <w:rsid w:val="00A729A0"/>
    <w:rsid w:val="00A73ED7"/>
    <w:rsid w:val="00A75B9B"/>
    <w:rsid w:val="00A7730B"/>
    <w:rsid w:val="00A82066"/>
    <w:rsid w:val="00A83BCC"/>
    <w:rsid w:val="00A857C5"/>
    <w:rsid w:val="00A85D11"/>
    <w:rsid w:val="00A9541B"/>
    <w:rsid w:val="00AB2F03"/>
    <w:rsid w:val="00AC1547"/>
    <w:rsid w:val="00AC2CF5"/>
    <w:rsid w:val="00AC5A00"/>
    <w:rsid w:val="00AD0943"/>
    <w:rsid w:val="00AD2B46"/>
    <w:rsid w:val="00AD33EB"/>
    <w:rsid w:val="00AE1163"/>
    <w:rsid w:val="00AE2C72"/>
    <w:rsid w:val="00AE64B6"/>
    <w:rsid w:val="00B04E06"/>
    <w:rsid w:val="00B05622"/>
    <w:rsid w:val="00B10857"/>
    <w:rsid w:val="00B11F4E"/>
    <w:rsid w:val="00B1254B"/>
    <w:rsid w:val="00B211EA"/>
    <w:rsid w:val="00B216AF"/>
    <w:rsid w:val="00B2247C"/>
    <w:rsid w:val="00B244B0"/>
    <w:rsid w:val="00B37DAC"/>
    <w:rsid w:val="00B4309A"/>
    <w:rsid w:val="00B4706B"/>
    <w:rsid w:val="00B4789B"/>
    <w:rsid w:val="00B52F82"/>
    <w:rsid w:val="00B533E7"/>
    <w:rsid w:val="00B55871"/>
    <w:rsid w:val="00B559ED"/>
    <w:rsid w:val="00B57F1B"/>
    <w:rsid w:val="00B6156F"/>
    <w:rsid w:val="00B6354C"/>
    <w:rsid w:val="00B6495D"/>
    <w:rsid w:val="00B72DF8"/>
    <w:rsid w:val="00B84226"/>
    <w:rsid w:val="00B8599A"/>
    <w:rsid w:val="00BB05B1"/>
    <w:rsid w:val="00BB4D13"/>
    <w:rsid w:val="00BC0E22"/>
    <w:rsid w:val="00BC26BC"/>
    <w:rsid w:val="00BC3F4D"/>
    <w:rsid w:val="00BC5467"/>
    <w:rsid w:val="00BC7276"/>
    <w:rsid w:val="00BE2C61"/>
    <w:rsid w:val="00BE35F3"/>
    <w:rsid w:val="00BE3600"/>
    <w:rsid w:val="00BF2DF1"/>
    <w:rsid w:val="00BF5351"/>
    <w:rsid w:val="00C01DF2"/>
    <w:rsid w:val="00C140F9"/>
    <w:rsid w:val="00C22D0C"/>
    <w:rsid w:val="00C26E41"/>
    <w:rsid w:val="00C33FB6"/>
    <w:rsid w:val="00C444AA"/>
    <w:rsid w:val="00C4464A"/>
    <w:rsid w:val="00C51D3C"/>
    <w:rsid w:val="00C54A4E"/>
    <w:rsid w:val="00C63C4E"/>
    <w:rsid w:val="00C6757F"/>
    <w:rsid w:val="00C7251F"/>
    <w:rsid w:val="00C74EDB"/>
    <w:rsid w:val="00C80FFB"/>
    <w:rsid w:val="00C841ED"/>
    <w:rsid w:val="00C92A0E"/>
    <w:rsid w:val="00C92E6D"/>
    <w:rsid w:val="00C9661C"/>
    <w:rsid w:val="00CA40B6"/>
    <w:rsid w:val="00CA77E9"/>
    <w:rsid w:val="00CA7CF5"/>
    <w:rsid w:val="00CB3FEC"/>
    <w:rsid w:val="00CE1E87"/>
    <w:rsid w:val="00CE267A"/>
    <w:rsid w:val="00CE7173"/>
    <w:rsid w:val="00CF7558"/>
    <w:rsid w:val="00D075CE"/>
    <w:rsid w:val="00D1558A"/>
    <w:rsid w:val="00D200AD"/>
    <w:rsid w:val="00D222D8"/>
    <w:rsid w:val="00D25524"/>
    <w:rsid w:val="00D27F4D"/>
    <w:rsid w:val="00D30C78"/>
    <w:rsid w:val="00D4639E"/>
    <w:rsid w:val="00D5675C"/>
    <w:rsid w:val="00D61839"/>
    <w:rsid w:val="00D72F7F"/>
    <w:rsid w:val="00D74EBD"/>
    <w:rsid w:val="00D77A88"/>
    <w:rsid w:val="00D835CF"/>
    <w:rsid w:val="00D8538D"/>
    <w:rsid w:val="00DA554D"/>
    <w:rsid w:val="00DA5918"/>
    <w:rsid w:val="00DA6712"/>
    <w:rsid w:val="00DB40B0"/>
    <w:rsid w:val="00DC142B"/>
    <w:rsid w:val="00DD63D9"/>
    <w:rsid w:val="00E111E4"/>
    <w:rsid w:val="00E11D4B"/>
    <w:rsid w:val="00E17ED8"/>
    <w:rsid w:val="00E21085"/>
    <w:rsid w:val="00E2427F"/>
    <w:rsid w:val="00E3086B"/>
    <w:rsid w:val="00E3794F"/>
    <w:rsid w:val="00E41B89"/>
    <w:rsid w:val="00E45A56"/>
    <w:rsid w:val="00E4608F"/>
    <w:rsid w:val="00E468D7"/>
    <w:rsid w:val="00E46CDD"/>
    <w:rsid w:val="00E5306A"/>
    <w:rsid w:val="00E5374C"/>
    <w:rsid w:val="00E547E1"/>
    <w:rsid w:val="00E62820"/>
    <w:rsid w:val="00E6384F"/>
    <w:rsid w:val="00E71E90"/>
    <w:rsid w:val="00E73E6D"/>
    <w:rsid w:val="00E823AE"/>
    <w:rsid w:val="00E82452"/>
    <w:rsid w:val="00E84708"/>
    <w:rsid w:val="00E856D7"/>
    <w:rsid w:val="00E9386A"/>
    <w:rsid w:val="00E93891"/>
    <w:rsid w:val="00EA5EEA"/>
    <w:rsid w:val="00EB0EA8"/>
    <w:rsid w:val="00EB3C1D"/>
    <w:rsid w:val="00EB58D4"/>
    <w:rsid w:val="00EB5CFD"/>
    <w:rsid w:val="00EB7089"/>
    <w:rsid w:val="00EB77BB"/>
    <w:rsid w:val="00ED2E52"/>
    <w:rsid w:val="00EE0763"/>
    <w:rsid w:val="00EE1A57"/>
    <w:rsid w:val="00EF15C0"/>
    <w:rsid w:val="00F033F3"/>
    <w:rsid w:val="00F05324"/>
    <w:rsid w:val="00F139EF"/>
    <w:rsid w:val="00F14519"/>
    <w:rsid w:val="00F146B1"/>
    <w:rsid w:val="00F17E13"/>
    <w:rsid w:val="00F232E7"/>
    <w:rsid w:val="00F26E3F"/>
    <w:rsid w:val="00F278A7"/>
    <w:rsid w:val="00F40885"/>
    <w:rsid w:val="00F44FF5"/>
    <w:rsid w:val="00F50771"/>
    <w:rsid w:val="00F62A39"/>
    <w:rsid w:val="00F71461"/>
    <w:rsid w:val="00F72D25"/>
    <w:rsid w:val="00F831F5"/>
    <w:rsid w:val="00F847E2"/>
    <w:rsid w:val="00F90BD0"/>
    <w:rsid w:val="00F934BE"/>
    <w:rsid w:val="00F957F0"/>
    <w:rsid w:val="00F95869"/>
    <w:rsid w:val="00FA0A9F"/>
    <w:rsid w:val="00FA3043"/>
    <w:rsid w:val="00FA73FF"/>
    <w:rsid w:val="00FB64A0"/>
    <w:rsid w:val="00FB72F6"/>
    <w:rsid w:val="00FC16C8"/>
    <w:rsid w:val="00FC1DCD"/>
    <w:rsid w:val="00FC3007"/>
    <w:rsid w:val="00FC3C11"/>
    <w:rsid w:val="00FC4639"/>
    <w:rsid w:val="00FC4862"/>
    <w:rsid w:val="00FE1698"/>
    <w:rsid w:val="00FE2579"/>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5505"/>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nhideWhenUsed/>
    <w:rsid w:val="00BE2C61"/>
    <w:rPr>
      <w:sz w:val="16"/>
      <w:szCs w:val="16"/>
    </w:rPr>
  </w:style>
  <w:style w:type="paragraph" w:styleId="CommentText">
    <w:name w:val="annotation text"/>
    <w:basedOn w:val="Normal"/>
    <w:link w:val="CommentTextChar"/>
    <w:uiPriority w:val="99"/>
    <w:unhideWhenUsed/>
    <w:rsid w:val="00BE2C61"/>
    <w:rPr>
      <w:sz w:val="20"/>
      <w:szCs w:val="20"/>
    </w:rPr>
  </w:style>
  <w:style w:type="character" w:customStyle="1" w:styleId="CommentTextChar">
    <w:name w:val="Comment Text Char"/>
    <w:basedOn w:val="DefaultParagraphFont"/>
    <w:link w:val="CommentText"/>
    <w:uiPriority w:val="99"/>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 w:type="character" w:styleId="UnresolvedMention">
    <w:name w:val="Unresolved Mention"/>
    <w:basedOn w:val="DefaultParagraphFont"/>
    <w:uiPriority w:val="99"/>
    <w:semiHidden/>
    <w:unhideWhenUsed/>
    <w:rsid w:val="004F5615"/>
    <w:rPr>
      <w:color w:val="605E5C"/>
      <w:shd w:val="clear" w:color="auto" w:fill="E1DFDD"/>
    </w:rPr>
  </w:style>
  <w:style w:type="paragraph" w:customStyle="1" w:styleId="Dotpoint1">
    <w:name w:val="Dot point 1"/>
    <w:basedOn w:val="ListParagraph"/>
    <w:next w:val="Normal"/>
    <w:uiPriority w:val="7"/>
    <w:qFormat/>
    <w:rsid w:val="006B1038"/>
    <w:pPr>
      <w:numPr>
        <w:numId w:val="4"/>
      </w:numPr>
      <w:contextualSpacing w:val="0"/>
    </w:pPr>
    <w:rPr>
      <w:rFonts w:cs="Arial"/>
    </w:rPr>
  </w:style>
  <w:style w:type="paragraph" w:customStyle="1" w:styleId="Dotpoint2">
    <w:name w:val="Dot point 2"/>
    <w:basedOn w:val="ListParagraph"/>
    <w:next w:val="Normal"/>
    <w:uiPriority w:val="8"/>
    <w:qFormat/>
    <w:rsid w:val="006B1038"/>
    <w:pPr>
      <w:numPr>
        <w:ilvl w:val="1"/>
        <w:numId w:val="4"/>
      </w:numPr>
      <w:contextualSpacing w:val="0"/>
    </w:pPr>
    <w:rPr>
      <w:rFonts w:cs="Arial"/>
    </w:rPr>
  </w:style>
  <w:style w:type="paragraph" w:styleId="ListParagraph">
    <w:name w:val="List Paragraph"/>
    <w:basedOn w:val="Normal"/>
    <w:uiPriority w:val="34"/>
    <w:qFormat/>
    <w:rsid w:val="006B1038"/>
    <w:pPr>
      <w:ind w:left="720"/>
      <w:contextualSpacing/>
    </w:pPr>
  </w:style>
  <w:style w:type="paragraph" w:styleId="FootnoteText">
    <w:name w:val="footnote text"/>
    <w:basedOn w:val="Normal"/>
    <w:link w:val="FootnoteTextChar"/>
    <w:uiPriority w:val="99"/>
    <w:semiHidden/>
    <w:unhideWhenUsed/>
    <w:rsid w:val="00B57F1B"/>
    <w:pPr>
      <w:spacing w:after="0"/>
    </w:pPr>
    <w:rPr>
      <w:rFonts w:eastAsia="Times New Roman" w:cs="Arial"/>
      <w:sz w:val="20"/>
      <w:szCs w:val="20"/>
      <w:lang w:eastAsia="en-AU"/>
    </w:rPr>
  </w:style>
  <w:style w:type="character" w:customStyle="1" w:styleId="FootnoteTextChar">
    <w:name w:val="Footnote Text Char"/>
    <w:basedOn w:val="DefaultParagraphFont"/>
    <w:link w:val="FootnoteText"/>
    <w:uiPriority w:val="99"/>
    <w:semiHidden/>
    <w:rsid w:val="00B57F1B"/>
    <w:rPr>
      <w:rFonts w:ascii="Arial" w:eastAsia="Times New Roman" w:hAnsi="Arial" w:cs="Arial"/>
      <w:sz w:val="20"/>
      <w:szCs w:val="20"/>
    </w:rPr>
  </w:style>
  <w:style w:type="character" w:styleId="FootnoteReference">
    <w:name w:val="footnote reference"/>
    <w:basedOn w:val="DefaultParagraphFont"/>
    <w:uiPriority w:val="99"/>
    <w:semiHidden/>
    <w:unhideWhenUsed/>
    <w:rsid w:val="00B57F1B"/>
    <w:rPr>
      <w:vertAlign w:val="superscript"/>
    </w:rPr>
  </w:style>
  <w:style w:type="paragraph" w:customStyle="1" w:styleId="Numberedparagraph">
    <w:name w:val="Numbered paragraph"/>
    <w:basedOn w:val="Normal"/>
    <w:uiPriority w:val="6"/>
    <w:qFormat/>
    <w:rsid w:val="00B57F1B"/>
    <w:rPr>
      <w:rFonts w:eastAsia="Times New Roman" w:cs="Arial"/>
      <w:lang w:eastAsia="en-AU"/>
    </w:rPr>
  </w:style>
  <w:style w:type="paragraph" w:customStyle="1" w:styleId="Numberedpara">
    <w:name w:val="Numbered para"/>
    <w:basedOn w:val="Normal"/>
    <w:qFormat/>
    <w:rsid w:val="00346F72"/>
    <w:pPr>
      <w:tabs>
        <w:tab w:val="left" w:pos="709"/>
      </w:tabs>
    </w:pPr>
    <w:rPr>
      <w:rFonts w:eastAsia="Times New Roman"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153765008">
      <w:bodyDiv w:val="1"/>
      <w:marLeft w:val="0"/>
      <w:marRight w:val="0"/>
      <w:marTop w:val="0"/>
      <w:marBottom w:val="0"/>
      <w:divBdr>
        <w:top w:val="none" w:sz="0" w:space="0" w:color="auto"/>
        <w:left w:val="none" w:sz="0" w:space="0" w:color="auto"/>
        <w:bottom w:val="none" w:sz="0" w:space="0" w:color="auto"/>
        <w:right w:val="none" w:sz="0" w:space="0" w:color="auto"/>
      </w:divBdr>
    </w:div>
    <w:div w:id="177038653">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02782853">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366293902">
      <w:bodyDiv w:val="1"/>
      <w:marLeft w:val="0"/>
      <w:marRight w:val="0"/>
      <w:marTop w:val="0"/>
      <w:marBottom w:val="0"/>
      <w:divBdr>
        <w:top w:val="none" w:sz="0" w:space="0" w:color="auto"/>
        <w:left w:val="none" w:sz="0" w:space="0" w:color="auto"/>
        <w:bottom w:val="none" w:sz="0" w:space="0" w:color="auto"/>
        <w:right w:val="none" w:sz="0" w:space="0" w:color="auto"/>
      </w:divBdr>
    </w:div>
    <w:div w:id="407962949">
      <w:bodyDiv w:val="1"/>
      <w:marLeft w:val="0"/>
      <w:marRight w:val="0"/>
      <w:marTop w:val="0"/>
      <w:marBottom w:val="0"/>
      <w:divBdr>
        <w:top w:val="none" w:sz="0" w:space="0" w:color="auto"/>
        <w:left w:val="none" w:sz="0" w:space="0" w:color="auto"/>
        <w:bottom w:val="none" w:sz="0" w:space="0" w:color="auto"/>
        <w:right w:val="none" w:sz="0" w:space="0" w:color="auto"/>
      </w:divBdr>
    </w:div>
    <w:div w:id="479226809">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07673726">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573317641">
      <w:bodyDiv w:val="1"/>
      <w:marLeft w:val="0"/>
      <w:marRight w:val="0"/>
      <w:marTop w:val="0"/>
      <w:marBottom w:val="0"/>
      <w:divBdr>
        <w:top w:val="none" w:sz="0" w:space="0" w:color="auto"/>
        <w:left w:val="none" w:sz="0" w:space="0" w:color="auto"/>
        <w:bottom w:val="none" w:sz="0" w:space="0" w:color="auto"/>
        <w:right w:val="none" w:sz="0" w:space="0" w:color="auto"/>
      </w:divBdr>
    </w:div>
    <w:div w:id="63814475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795639314">
      <w:bodyDiv w:val="1"/>
      <w:marLeft w:val="0"/>
      <w:marRight w:val="0"/>
      <w:marTop w:val="0"/>
      <w:marBottom w:val="0"/>
      <w:divBdr>
        <w:top w:val="none" w:sz="0" w:space="0" w:color="auto"/>
        <w:left w:val="none" w:sz="0" w:space="0" w:color="auto"/>
        <w:bottom w:val="none" w:sz="0" w:space="0" w:color="auto"/>
        <w:right w:val="none" w:sz="0" w:space="0" w:color="auto"/>
      </w:divBdr>
    </w:div>
    <w:div w:id="845703842">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75718232">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148942213">
      <w:bodyDiv w:val="1"/>
      <w:marLeft w:val="0"/>
      <w:marRight w:val="0"/>
      <w:marTop w:val="0"/>
      <w:marBottom w:val="0"/>
      <w:divBdr>
        <w:top w:val="none" w:sz="0" w:space="0" w:color="auto"/>
        <w:left w:val="none" w:sz="0" w:space="0" w:color="auto"/>
        <w:bottom w:val="none" w:sz="0" w:space="0" w:color="auto"/>
        <w:right w:val="none" w:sz="0" w:space="0" w:color="auto"/>
      </w:divBdr>
    </w:div>
    <w:div w:id="1232698382">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534465901">
      <w:bodyDiv w:val="1"/>
      <w:marLeft w:val="0"/>
      <w:marRight w:val="0"/>
      <w:marTop w:val="0"/>
      <w:marBottom w:val="0"/>
      <w:divBdr>
        <w:top w:val="none" w:sz="0" w:space="0" w:color="auto"/>
        <w:left w:val="none" w:sz="0" w:space="0" w:color="auto"/>
        <w:bottom w:val="none" w:sz="0" w:space="0" w:color="auto"/>
        <w:right w:val="none" w:sz="0" w:space="0" w:color="auto"/>
      </w:divBdr>
    </w:div>
    <w:div w:id="1674449252">
      <w:bodyDiv w:val="1"/>
      <w:marLeft w:val="0"/>
      <w:marRight w:val="0"/>
      <w:marTop w:val="0"/>
      <w:marBottom w:val="0"/>
      <w:divBdr>
        <w:top w:val="none" w:sz="0" w:space="0" w:color="auto"/>
        <w:left w:val="none" w:sz="0" w:space="0" w:color="auto"/>
        <w:bottom w:val="none" w:sz="0" w:space="0" w:color="auto"/>
        <w:right w:val="none" w:sz="0" w:space="0" w:color="auto"/>
      </w:divBdr>
    </w:div>
    <w:div w:id="1682657209">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2024-07-18T09:54:00Z</dcterms:created>
  <dcterms:modified xsi:type="dcterms:W3CDTF">2024-07-19T02:07:00Z</dcterms:modified>
  <cp:category/>
</cp:coreProperties>
</file>