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04F3" w14:textId="77777777" w:rsidR="005F5179" w:rsidRDefault="001C15F7">
      <w:pPr>
        <w:pStyle w:val="BodyText"/>
        <w:ind w:left="137"/>
        <w:rPr>
          <w:sz w:val="20"/>
        </w:rPr>
      </w:pPr>
      <w:r>
        <w:rPr>
          <w:noProof/>
          <w:sz w:val="20"/>
        </w:rPr>
        <w:drawing>
          <wp:inline distT="0" distB="0" distL="0" distR="0" wp14:anchorId="1EE30509" wp14:editId="1EE3050A">
            <wp:extent cx="1498772" cy="1101852"/>
            <wp:effectExtent l="0" t="0" r="0" b="0"/>
            <wp:docPr id="1" name="image1.jpeg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72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304F4" w14:textId="77777777" w:rsidR="005F5179" w:rsidRDefault="005F5179">
      <w:pPr>
        <w:pStyle w:val="BodyText"/>
        <w:spacing w:before="8"/>
        <w:rPr>
          <w:sz w:val="15"/>
        </w:rPr>
      </w:pPr>
    </w:p>
    <w:p w14:paraId="1EE304F5" w14:textId="0426EC47" w:rsidR="005F5179" w:rsidRDefault="001C15F7">
      <w:pPr>
        <w:pStyle w:val="Title"/>
      </w:pPr>
      <w:r>
        <w:t>Inspector-General of Taxation (Acting Inspector-General)</w:t>
      </w:r>
      <w:r>
        <w:rPr>
          <w:spacing w:val="-9"/>
        </w:rPr>
        <w:t xml:space="preserve"> </w:t>
      </w:r>
      <w:r>
        <w:t>Appointment</w:t>
      </w:r>
      <w:r>
        <w:rPr>
          <w:spacing w:val="-7"/>
        </w:rPr>
        <w:t xml:space="preserve"> </w:t>
      </w:r>
      <w:r w:rsidRPr="00850330">
        <w:t>(No.</w:t>
      </w:r>
      <w:r w:rsidRPr="00850330">
        <w:rPr>
          <w:spacing w:val="-8"/>
        </w:rPr>
        <w:t xml:space="preserve"> </w:t>
      </w:r>
      <w:r w:rsidR="006B7A61" w:rsidRPr="00850330">
        <w:t>3</w:t>
      </w:r>
      <w:r w:rsidRPr="00850330">
        <w:t>)</w:t>
      </w:r>
      <w:r w:rsidRPr="00850330">
        <w:rPr>
          <w:spacing w:val="-9"/>
        </w:rPr>
        <w:t xml:space="preserve"> </w:t>
      </w:r>
      <w:r w:rsidRPr="00850330">
        <w:t>202</w:t>
      </w:r>
      <w:r w:rsidR="00BC661C" w:rsidRPr="00850330">
        <w:t>4</w:t>
      </w:r>
    </w:p>
    <w:p w14:paraId="1EE304F6" w14:textId="24F68495" w:rsidR="005F5179" w:rsidRDefault="001C15F7">
      <w:pPr>
        <w:pStyle w:val="BodyText"/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E3050B" wp14:editId="46B4E65E">
                <wp:simplePos x="0" y="0"/>
                <wp:positionH relativeFrom="page">
                  <wp:posOffset>1123315</wp:posOffset>
                </wp:positionH>
                <wp:positionV relativeFrom="paragraph">
                  <wp:posOffset>157480</wp:posOffset>
                </wp:positionV>
                <wp:extent cx="5063490" cy="635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3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D1BEF" id="docshape1" o:spid="_x0000_s1026" style="position:absolute;margin-left:88.45pt;margin-top:12.4pt;width:398.7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A9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EE304F7" w14:textId="77777777" w:rsidR="005F5179" w:rsidRDefault="001C15F7">
      <w:pPr>
        <w:spacing w:before="18" w:line="247" w:lineRule="auto"/>
        <w:ind w:left="138" w:right="508"/>
        <w:jc w:val="both"/>
      </w:pPr>
      <w:r>
        <w:t>I,</w:t>
      </w:r>
      <w:r>
        <w:rPr>
          <w:spacing w:val="-8"/>
        </w:rPr>
        <w:t xml:space="preserve"> </w:t>
      </w:r>
      <w:r>
        <w:t>Stephen</w:t>
      </w:r>
      <w:r>
        <w:rPr>
          <w:spacing w:val="-10"/>
        </w:rPr>
        <w:t xml:space="preserve"> </w:t>
      </w:r>
      <w:r>
        <w:t>Jones,</w:t>
      </w:r>
      <w:r>
        <w:rPr>
          <w:spacing w:val="-7"/>
        </w:rPr>
        <w:t xml:space="preserve"> </w:t>
      </w:r>
      <w:r>
        <w:t>Assistant</w:t>
      </w:r>
      <w:r>
        <w:rPr>
          <w:spacing w:val="-8"/>
        </w:rPr>
        <w:t xml:space="preserve"> </w:t>
      </w:r>
      <w:r>
        <w:t>Treasurer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Minister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Services,</w:t>
      </w:r>
      <w:r>
        <w:rPr>
          <w:spacing w:val="-10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 xml:space="preserve">29 of the </w:t>
      </w:r>
      <w:r>
        <w:rPr>
          <w:i/>
        </w:rPr>
        <w:t xml:space="preserve">Inspector-General of Taxation Act 2003 </w:t>
      </w:r>
      <w:r>
        <w:t>and subsection 33</w:t>
      </w:r>
      <w:proofErr w:type="gramStart"/>
      <w:r>
        <w:t>A(</w:t>
      </w:r>
      <w:proofErr w:type="gramEnd"/>
      <w:r>
        <w:t xml:space="preserve">1) of the </w:t>
      </w:r>
      <w:r>
        <w:rPr>
          <w:i/>
        </w:rPr>
        <w:t xml:space="preserve">Acts Interpretation Act 1901, </w:t>
      </w:r>
      <w:r>
        <w:t xml:space="preserve">appoint David </w:t>
      </w:r>
      <w:proofErr w:type="spellStart"/>
      <w:r>
        <w:t>Pengilley</w:t>
      </w:r>
      <w:proofErr w:type="spellEnd"/>
      <w:r>
        <w:t xml:space="preserve"> to act as the Inspector-General:</w:t>
      </w:r>
    </w:p>
    <w:p w14:paraId="1EE304F8" w14:textId="002F641D" w:rsidR="005F5179" w:rsidRDefault="001C15F7">
      <w:pPr>
        <w:pStyle w:val="ListParagraph"/>
        <w:numPr>
          <w:ilvl w:val="0"/>
          <w:numId w:val="1"/>
        </w:numPr>
        <w:tabs>
          <w:tab w:val="left" w:pos="1271"/>
        </w:tabs>
        <w:spacing w:before="171" w:line="412" w:lineRule="auto"/>
        <w:ind w:right="1236" w:firstLine="775"/>
        <w:jc w:val="both"/>
      </w:pP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 w:rsidR="008667C5">
        <w:t>15 August</w:t>
      </w:r>
      <w:r w:rsidR="008E173E">
        <w:t xml:space="preserve"> 2024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 w:rsidR="00090B7F">
        <w:t xml:space="preserve">30 August </w:t>
      </w:r>
      <w:r w:rsidR="00F13454">
        <w:t>2024</w:t>
      </w:r>
      <w:r>
        <w:t>; and determine that the following terms and conditions apply:</w:t>
      </w:r>
    </w:p>
    <w:p w14:paraId="1EE304F9" w14:textId="77777777" w:rsidR="005F5179" w:rsidRDefault="001C15F7">
      <w:pPr>
        <w:pStyle w:val="ListParagraph"/>
        <w:numPr>
          <w:ilvl w:val="0"/>
          <w:numId w:val="1"/>
        </w:numPr>
        <w:tabs>
          <w:tab w:val="left" w:pos="1271"/>
        </w:tabs>
        <w:spacing w:line="249" w:lineRule="exact"/>
        <w:ind w:left="1270" w:hanging="370"/>
        <w:jc w:val="both"/>
      </w:pPr>
      <w:r>
        <w:t>the</w:t>
      </w:r>
      <w:r>
        <w:rPr>
          <w:spacing w:val="-3"/>
        </w:rPr>
        <w:t xml:space="preserve"> </w:t>
      </w:r>
      <w:r>
        <w:t>appointment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full-time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basis;</w:t>
      </w:r>
      <w:proofErr w:type="gramEnd"/>
    </w:p>
    <w:p w14:paraId="1EE304FA" w14:textId="000B9C5B" w:rsidR="005F5179" w:rsidRDefault="001C15F7">
      <w:pPr>
        <w:pStyle w:val="ListParagraph"/>
        <w:numPr>
          <w:ilvl w:val="0"/>
          <w:numId w:val="1"/>
        </w:numPr>
        <w:tabs>
          <w:tab w:val="left" w:pos="1271"/>
        </w:tabs>
        <w:spacing w:before="179"/>
        <w:ind w:left="1270" w:right="168"/>
      </w:pPr>
      <w:r>
        <w:t>the appointee is to receive additional remuneration during the period of appointment 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salary</w:t>
      </w:r>
      <w:r>
        <w:rPr>
          <w:spacing w:val="-2"/>
        </w:rPr>
        <w:t xml:space="preserve"> </w:t>
      </w:r>
      <w:r>
        <w:t>(within</w:t>
      </w:r>
      <w:r>
        <w:rPr>
          <w:spacing w:val="-5"/>
        </w:rPr>
        <w:t xml:space="preserve"> </w:t>
      </w:r>
      <w:r>
        <w:t xml:space="preserve">the meaning of the </w:t>
      </w:r>
      <w:r>
        <w:rPr>
          <w:i/>
        </w:rPr>
        <w:t>Australian Public Service Remuneration Report 202</w:t>
      </w:r>
      <w:r w:rsidR="00090B7F">
        <w:rPr>
          <w:i/>
        </w:rPr>
        <w:t>2</w:t>
      </w:r>
      <w:r>
        <w:rPr>
          <w:i/>
        </w:rPr>
        <w:t xml:space="preserve"> </w:t>
      </w:r>
      <w:r>
        <w:t>published by the Australian Public</w:t>
      </w:r>
      <w:r>
        <w:rPr>
          <w:spacing w:val="-2"/>
        </w:rPr>
        <w:t xml:space="preserve"> </w:t>
      </w:r>
      <w:r>
        <w:t>Service Commission), including any salary</w:t>
      </w:r>
      <w:r>
        <w:rPr>
          <w:spacing w:val="-3"/>
        </w:rPr>
        <w:t xml:space="preserve"> </w:t>
      </w:r>
      <w:r>
        <w:t>received for the</w:t>
      </w:r>
      <w:r>
        <w:rPr>
          <w:spacing w:val="-3"/>
        </w:rPr>
        <w:t xml:space="preserve"> </w:t>
      </w:r>
      <w:r>
        <w:t>appointee’s</w:t>
      </w:r>
      <w:r>
        <w:rPr>
          <w:spacing w:val="-2"/>
        </w:rPr>
        <w:t xml:space="preserve"> </w:t>
      </w:r>
      <w:r>
        <w:t>substantive</w:t>
      </w:r>
      <w:r>
        <w:rPr>
          <w:spacing w:val="-5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 w:rsidR="003C6FB2">
        <w:t>Deputy Taxation Ombudsman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Inspector-General</w:t>
      </w:r>
      <w:r>
        <w:rPr>
          <w:spacing w:val="-2"/>
        </w:rPr>
        <w:t xml:space="preserve"> </w:t>
      </w:r>
      <w:r>
        <w:t>of Taxation, is $29</w:t>
      </w:r>
      <w:r w:rsidR="00090B7F">
        <w:t>8</w:t>
      </w:r>
      <w:r>
        <w:t>,</w:t>
      </w:r>
      <w:r w:rsidR="00090B7F">
        <w:t>540</w:t>
      </w:r>
      <w:r>
        <w:t xml:space="preserve"> per annum (pro-rated for that period of appointment); and</w:t>
      </w:r>
    </w:p>
    <w:p w14:paraId="1EE304FB" w14:textId="76BFC728" w:rsidR="005F5179" w:rsidRDefault="001C15F7">
      <w:pPr>
        <w:pStyle w:val="ListParagraph"/>
        <w:numPr>
          <w:ilvl w:val="0"/>
          <w:numId w:val="1"/>
        </w:numPr>
        <w:tabs>
          <w:tab w:val="left" w:pos="1271"/>
        </w:tabs>
        <w:spacing w:before="182"/>
        <w:ind w:left="1270" w:right="339" w:hanging="370"/>
      </w:pPr>
      <w:r>
        <w:t>the appointee is to continue to receive the other entitlements (including superannuation), during that period of appointment, that the appointee usually receives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substantive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 w:rsidR="003C6FB2">
        <w:t>Deputy Taxation Ombudsman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Inspector-General of Taxation determined by reference to the total base salary specified in paragraph (c).</w:t>
      </w:r>
    </w:p>
    <w:p w14:paraId="1EE304FC" w14:textId="10E38430" w:rsidR="005F5179" w:rsidRDefault="001C15F7">
      <w:pPr>
        <w:pStyle w:val="BodyText"/>
        <w:tabs>
          <w:tab w:val="right" w:pos="2740"/>
        </w:tabs>
        <w:spacing w:before="720"/>
        <w:ind w:left="138"/>
      </w:pPr>
      <w:r>
        <w:rPr>
          <w:spacing w:val="-2"/>
        </w:rPr>
        <w:t>Dated</w:t>
      </w:r>
      <w:r>
        <w:tab/>
      </w:r>
      <w:r w:rsidR="00A70A80">
        <w:t>1 August</w:t>
      </w:r>
      <w:r w:rsidR="004416EA">
        <w:tab/>
      </w:r>
      <w:r>
        <w:rPr>
          <w:spacing w:val="-4"/>
        </w:rPr>
        <w:t>202</w:t>
      </w:r>
      <w:r w:rsidR="00F13454">
        <w:rPr>
          <w:spacing w:val="-4"/>
        </w:rPr>
        <w:t>4</w:t>
      </w:r>
    </w:p>
    <w:p w14:paraId="1EE304FD" w14:textId="77777777" w:rsidR="005F5179" w:rsidRDefault="005F5179">
      <w:pPr>
        <w:pStyle w:val="BodyText"/>
        <w:rPr>
          <w:sz w:val="24"/>
        </w:rPr>
      </w:pPr>
    </w:p>
    <w:p w14:paraId="1EE304FE" w14:textId="77777777" w:rsidR="005F5179" w:rsidRDefault="005F5179">
      <w:pPr>
        <w:pStyle w:val="BodyText"/>
        <w:rPr>
          <w:sz w:val="24"/>
        </w:rPr>
      </w:pPr>
    </w:p>
    <w:p w14:paraId="1EE304FF" w14:textId="77777777" w:rsidR="005F5179" w:rsidRDefault="005F5179">
      <w:pPr>
        <w:pStyle w:val="BodyText"/>
        <w:rPr>
          <w:sz w:val="24"/>
        </w:rPr>
      </w:pPr>
    </w:p>
    <w:p w14:paraId="1EE30500" w14:textId="77777777" w:rsidR="005F5179" w:rsidRDefault="005F5179">
      <w:pPr>
        <w:pStyle w:val="BodyText"/>
        <w:rPr>
          <w:sz w:val="24"/>
        </w:rPr>
      </w:pPr>
    </w:p>
    <w:p w14:paraId="1EE30501" w14:textId="77777777" w:rsidR="005F5179" w:rsidRDefault="005F5179">
      <w:pPr>
        <w:pStyle w:val="BodyText"/>
        <w:rPr>
          <w:sz w:val="24"/>
        </w:rPr>
      </w:pPr>
    </w:p>
    <w:p w14:paraId="1EE30502" w14:textId="77777777" w:rsidR="005F5179" w:rsidRDefault="005F5179">
      <w:pPr>
        <w:pStyle w:val="BodyText"/>
        <w:rPr>
          <w:sz w:val="24"/>
        </w:rPr>
      </w:pPr>
    </w:p>
    <w:p w14:paraId="1EE30503" w14:textId="77777777" w:rsidR="005F5179" w:rsidRDefault="005F5179">
      <w:pPr>
        <w:pStyle w:val="BodyText"/>
        <w:rPr>
          <w:sz w:val="24"/>
        </w:rPr>
      </w:pPr>
    </w:p>
    <w:p w14:paraId="1EE30504" w14:textId="77777777" w:rsidR="005F5179" w:rsidRDefault="005F5179">
      <w:pPr>
        <w:pStyle w:val="BodyText"/>
        <w:rPr>
          <w:sz w:val="24"/>
        </w:rPr>
      </w:pPr>
    </w:p>
    <w:p w14:paraId="1EE30505" w14:textId="77777777" w:rsidR="005F5179" w:rsidRDefault="005F5179">
      <w:pPr>
        <w:pStyle w:val="BodyText"/>
        <w:rPr>
          <w:sz w:val="24"/>
        </w:rPr>
      </w:pPr>
    </w:p>
    <w:p w14:paraId="1EE30506" w14:textId="77777777" w:rsidR="005F5179" w:rsidRDefault="001C15F7">
      <w:pPr>
        <w:pStyle w:val="BodyText"/>
        <w:spacing w:before="144"/>
        <w:ind w:left="138"/>
      </w:pPr>
      <w:r>
        <w:t>Stephen</w:t>
      </w:r>
      <w:r>
        <w:rPr>
          <w:spacing w:val="-2"/>
        </w:rPr>
        <w:t xml:space="preserve"> Jones</w:t>
      </w:r>
    </w:p>
    <w:p w14:paraId="1EE30507" w14:textId="77777777" w:rsidR="005F5179" w:rsidRDefault="001C15F7">
      <w:pPr>
        <w:pStyle w:val="BodyText"/>
        <w:spacing w:before="49"/>
        <w:ind w:left="138"/>
      </w:pPr>
      <w:r>
        <w:t>Assistant</w:t>
      </w:r>
      <w:r>
        <w:rPr>
          <w:spacing w:val="-4"/>
        </w:rPr>
        <w:t xml:space="preserve"> </w:t>
      </w:r>
      <w:r>
        <w:t>Treasurer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Minister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p w14:paraId="1EE30508" w14:textId="36846434" w:rsidR="005F5179" w:rsidRDefault="001C15F7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E3050C" wp14:editId="601F942D">
                <wp:simplePos x="0" y="0"/>
                <wp:positionH relativeFrom="page">
                  <wp:posOffset>1123315</wp:posOffset>
                </wp:positionH>
                <wp:positionV relativeFrom="paragraph">
                  <wp:posOffset>151130</wp:posOffset>
                </wp:positionV>
                <wp:extent cx="5063490" cy="635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3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91343" id="docshape2" o:spid="_x0000_s1026" style="position:absolute;margin-left:88.45pt;margin-top:11.9pt;width:398.7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A9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sectPr w:rsidR="005F5179">
      <w:type w:val="continuous"/>
      <w:pgSz w:w="11910" w:h="16840"/>
      <w:pgMar w:top="1420" w:right="16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D13"/>
    <w:multiLevelType w:val="hybridMultilevel"/>
    <w:tmpl w:val="47E20B34"/>
    <w:lvl w:ilvl="0" w:tplc="40569B4C">
      <w:start w:val="1"/>
      <w:numFmt w:val="lowerLetter"/>
      <w:lvlText w:val="(%1)"/>
      <w:lvlJc w:val="left"/>
      <w:pPr>
        <w:ind w:left="13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1CADD4">
      <w:numFmt w:val="bullet"/>
      <w:lvlText w:val="•"/>
      <w:lvlJc w:val="left"/>
      <w:pPr>
        <w:ind w:left="982" w:hanging="358"/>
      </w:pPr>
      <w:rPr>
        <w:rFonts w:hint="default"/>
        <w:lang w:val="en-US" w:eastAsia="en-US" w:bidi="ar-SA"/>
      </w:rPr>
    </w:lvl>
    <w:lvl w:ilvl="2" w:tplc="2BB8B902">
      <w:numFmt w:val="bullet"/>
      <w:lvlText w:val="•"/>
      <w:lvlJc w:val="left"/>
      <w:pPr>
        <w:ind w:left="1825" w:hanging="358"/>
      </w:pPr>
      <w:rPr>
        <w:rFonts w:hint="default"/>
        <w:lang w:val="en-US" w:eastAsia="en-US" w:bidi="ar-SA"/>
      </w:rPr>
    </w:lvl>
    <w:lvl w:ilvl="3" w:tplc="F768D3FE">
      <w:numFmt w:val="bullet"/>
      <w:lvlText w:val="•"/>
      <w:lvlJc w:val="left"/>
      <w:pPr>
        <w:ind w:left="2667" w:hanging="358"/>
      </w:pPr>
      <w:rPr>
        <w:rFonts w:hint="default"/>
        <w:lang w:val="en-US" w:eastAsia="en-US" w:bidi="ar-SA"/>
      </w:rPr>
    </w:lvl>
    <w:lvl w:ilvl="4" w:tplc="4204FA4A">
      <w:numFmt w:val="bullet"/>
      <w:lvlText w:val="•"/>
      <w:lvlJc w:val="left"/>
      <w:pPr>
        <w:ind w:left="3510" w:hanging="358"/>
      </w:pPr>
      <w:rPr>
        <w:rFonts w:hint="default"/>
        <w:lang w:val="en-US" w:eastAsia="en-US" w:bidi="ar-SA"/>
      </w:rPr>
    </w:lvl>
    <w:lvl w:ilvl="5" w:tplc="72161ADC">
      <w:numFmt w:val="bullet"/>
      <w:lvlText w:val="•"/>
      <w:lvlJc w:val="left"/>
      <w:pPr>
        <w:ind w:left="4353" w:hanging="358"/>
      </w:pPr>
      <w:rPr>
        <w:rFonts w:hint="default"/>
        <w:lang w:val="en-US" w:eastAsia="en-US" w:bidi="ar-SA"/>
      </w:rPr>
    </w:lvl>
    <w:lvl w:ilvl="6" w:tplc="E4FAF446">
      <w:numFmt w:val="bullet"/>
      <w:lvlText w:val="•"/>
      <w:lvlJc w:val="left"/>
      <w:pPr>
        <w:ind w:left="5195" w:hanging="358"/>
      </w:pPr>
      <w:rPr>
        <w:rFonts w:hint="default"/>
        <w:lang w:val="en-US" w:eastAsia="en-US" w:bidi="ar-SA"/>
      </w:rPr>
    </w:lvl>
    <w:lvl w:ilvl="7" w:tplc="B80E7D2E">
      <w:numFmt w:val="bullet"/>
      <w:lvlText w:val="•"/>
      <w:lvlJc w:val="left"/>
      <w:pPr>
        <w:ind w:left="6038" w:hanging="358"/>
      </w:pPr>
      <w:rPr>
        <w:rFonts w:hint="default"/>
        <w:lang w:val="en-US" w:eastAsia="en-US" w:bidi="ar-SA"/>
      </w:rPr>
    </w:lvl>
    <w:lvl w:ilvl="8" w:tplc="AAACF4E8">
      <w:numFmt w:val="bullet"/>
      <w:lvlText w:val="•"/>
      <w:lvlJc w:val="left"/>
      <w:pPr>
        <w:ind w:left="6881" w:hanging="358"/>
      </w:pPr>
      <w:rPr>
        <w:rFonts w:hint="default"/>
        <w:lang w:val="en-US" w:eastAsia="en-US" w:bidi="ar-SA"/>
      </w:rPr>
    </w:lvl>
  </w:abstractNum>
  <w:num w:numId="1" w16cid:durableId="19407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79"/>
    <w:rsid w:val="00090B7F"/>
    <w:rsid w:val="000C2D4B"/>
    <w:rsid w:val="001C15F7"/>
    <w:rsid w:val="003C6FB2"/>
    <w:rsid w:val="003E686E"/>
    <w:rsid w:val="003F7510"/>
    <w:rsid w:val="004416EA"/>
    <w:rsid w:val="005C296F"/>
    <w:rsid w:val="005D59D2"/>
    <w:rsid w:val="005F5179"/>
    <w:rsid w:val="006B7A61"/>
    <w:rsid w:val="00850330"/>
    <w:rsid w:val="008667C5"/>
    <w:rsid w:val="008E173E"/>
    <w:rsid w:val="00A70A80"/>
    <w:rsid w:val="00BC661C"/>
    <w:rsid w:val="00F1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04F3"/>
  <w15:docId w15:val="{D6EE1318-1845-4443-810C-8AFD0A6D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138" w:right="63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270" w:hanging="3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S574FYTY5PW6-969949929-1741</_dlc_DocId>
    <_dlc_DocIdUrl xmlns="fe39d773-a83d-4623-ae74-f25711a76616">
      <Url>https://austreasury.sharepoint.com/sites/leg-cord-function/_layouts/15/DocIdRedir.aspx?ID=S574FYTY5PW6-969949929-1741</Url>
      <Description>S574FYTY5PW6-969949929-1741</Description>
    </_dlc_DocIdUrl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9" ma:contentTypeDescription="Create a new document." ma:contentTypeScope="" ma:versionID="1644ddb067d32078761a9f1b26428b12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3369e2dd94ff5c1718b55a6dd28a13f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0DBC4-EDE6-438C-AB2B-DAD8BE112F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6586A66-A3CF-4969-A853-EB0A83B28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F08E5-A3AE-4952-82BD-A48BB30A5560}">
  <ds:schemaRefs>
    <ds:schemaRef ds:uri="http://www.w3.org/XML/1998/namespace"/>
    <ds:schemaRef ds:uri="fe39d773-a83d-4623-ae74-f25711a76616"/>
    <ds:schemaRef ds:uri="http://schemas.microsoft.com/office/infopath/2007/PartnerControls"/>
    <ds:schemaRef ds:uri="ff38c824-6e29-4496-8487-69f397e7ed29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42f4cb5a-261c-4c59-b165-7132460581a3"/>
    <ds:schemaRef ds:uri="30b813c2-29e2-43aa-bac2-1ed67b791ce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7DC705-75E5-48FB-B1BA-CEB66E60F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>The Department of the Treasury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220927-NI-TSY_47_TBA-Appt-Acting Inspector-General Taxation No.1_2022 final</dc:title>
  <dc:creator>Amos, Tammy</dc:creator>
  <cp:lastModifiedBy>Cuming, Anita</cp:lastModifiedBy>
  <cp:revision>2</cp:revision>
  <cp:lastPrinted>2024-07-24T04:02:00Z</cp:lastPrinted>
  <dcterms:created xsi:type="dcterms:W3CDTF">2024-08-05T02:11:00Z</dcterms:created>
  <dcterms:modified xsi:type="dcterms:W3CDTF">2024-08-05T02:11:00Z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0x010100B569D256E75E71428C72445DFBB99E7A</vt:lpwstr>
  </property>
  <property fmtid="{D5CDD505-2E9C-101B-9397-08002B2CF9AE}" pid="7" name="eTheme">
    <vt:lpwstr>1;#Law Design|318dd2d2-18da-4b8e-a458-14db2c1af95f</vt:lpwstr>
  </property>
  <property fmtid="{D5CDD505-2E9C-101B-9397-08002B2CF9AE}" pid="8" name="eDocumentType">
    <vt:lpwstr>12;#Legal Advice|381b1ed4-afc6-4e7d-913a-a8ed87705855</vt:lpwstr>
  </property>
  <property fmtid="{D5CDD505-2E9C-101B-9397-08002B2CF9AE}" pid="9" name="Division">
    <vt:lpwstr>714;#Corporate Division|9f1bf08f-4d50-4a26-a9f4-fda0ad674e46</vt:lpwstr>
  </property>
  <property fmtid="{D5CDD505-2E9C-101B-9397-08002B2CF9AE}" pid="10" name="eTopic">
    <vt:lpwstr>36;#Legislation Coordination|58c6712e-e847-48f4-81ab-b25e2bbd3986</vt:lpwstr>
  </property>
  <property fmtid="{D5CDD505-2E9C-101B-9397-08002B2CF9AE}" pid="11" name="eActivity">
    <vt:lpwstr>35;#Legislation management|cb630f2f-9155-496b-ad0f-d960eb1bf90c</vt:lpwstr>
  </property>
  <property fmtid="{D5CDD505-2E9C-101B-9397-08002B2CF9AE}" pid="12" name="Legislation">
    <vt:lpwstr/>
  </property>
  <property fmtid="{D5CDD505-2E9C-101B-9397-08002B2CF9AE}" pid="13" name="_dlc_DocIdItemGuid">
    <vt:lpwstr>bb93fe02-d79e-4909-98ca-6d35a0dc3912</vt:lpwstr>
  </property>
  <property fmtid="{D5CDD505-2E9C-101B-9397-08002B2CF9AE}" pid="14" name="LegalIssues">
    <vt:lpwstr/>
  </property>
  <property fmtid="{D5CDD505-2E9C-101B-9397-08002B2CF9AE}" pid="15" name="Firm engaged">
    <vt:lpwstr/>
  </property>
  <property fmtid="{D5CDD505-2E9C-101B-9397-08002B2CF9AE}" pid="16" name="Branch/Unit">
    <vt:lpwstr/>
  </property>
  <property fmtid="{D5CDD505-2E9C-101B-9397-08002B2CF9AE}" pid="17" name="_docset_NoMedatataSyncRequired">
    <vt:lpwstr>False</vt:lpwstr>
  </property>
  <property fmtid="{D5CDD505-2E9C-101B-9397-08002B2CF9AE}" pid="18" name="MSIP_Label_4f932d64-9ab1-4d9b-81d2-a3a8b82dd47d_Enabled">
    <vt:lpwstr>true</vt:lpwstr>
  </property>
  <property fmtid="{D5CDD505-2E9C-101B-9397-08002B2CF9AE}" pid="19" name="MSIP_Label_4f932d64-9ab1-4d9b-81d2-a3a8b82dd47d_SetDate">
    <vt:lpwstr>2024-08-05T01:29:15Z</vt:lpwstr>
  </property>
  <property fmtid="{D5CDD505-2E9C-101B-9397-08002B2CF9AE}" pid="20" name="MSIP_Label_4f932d64-9ab1-4d9b-81d2-a3a8b82dd47d_Method">
    <vt:lpwstr>Privileged</vt:lpwstr>
  </property>
  <property fmtid="{D5CDD505-2E9C-101B-9397-08002B2CF9AE}" pid="21" name="MSIP_Label_4f932d64-9ab1-4d9b-81d2-a3a8b82dd47d_Name">
    <vt:lpwstr>OFFICIAL No Visual Marking</vt:lpwstr>
  </property>
  <property fmtid="{D5CDD505-2E9C-101B-9397-08002B2CF9AE}" pid="22" name="MSIP_Label_4f932d64-9ab1-4d9b-81d2-a3a8b82dd47d_SiteId">
    <vt:lpwstr>214f1646-2021-47cc-8397-e3d3a7ba7d9d</vt:lpwstr>
  </property>
  <property fmtid="{D5CDD505-2E9C-101B-9397-08002B2CF9AE}" pid="23" name="MSIP_Label_4f932d64-9ab1-4d9b-81d2-a3a8b82dd47d_ActionId">
    <vt:lpwstr>ecdb91b5-447b-4925-8033-b7c7b7262967</vt:lpwstr>
  </property>
  <property fmtid="{D5CDD505-2E9C-101B-9397-08002B2CF9AE}" pid="24" name="MSIP_Label_4f932d64-9ab1-4d9b-81d2-a3a8b82dd47d_ContentBits">
    <vt:lpwstr>0</vt:lpwstr>
  </property>
  <property fmtid="{D5CDD505-2E9C-101B-9397-08002B2CF9AE}" pid="25" name="FirmEngaged">
    <vt:lpwstr/>
  </property>
  <property fmtid="{D5CDD505-2E9C-101B-9397-08002B2CF9AE}" pid="26" name="Topic">
    <vt:lpwstr>36;#Legislation Coordination|58c6712e-e847-48f4-81ab-b25e2bbd3986</vt:lpwstr>
  </property>
  <property fmtid="{D5CDD505-2E9C-101B-9397-08002B2CF9AE}" pid="27" name="Activity">
    <vt:lpwstr>35;#Legislation management|cb630f2f-9155-496b-ad0f-d960eb1bf90c</vt:lpwstr>
  </property>
  <property fmtid="{D5CDD505-2E9C-101B-9397-08002B2CF9AE}" pid="28" name="TSYStatus">
    <vt:lpwstr/>
  </property>
  <property fmtid="{D5CDD505-2E9C-101B-9397-08002B2CF9AE}" pid="29" name="MediaServiceImageTags">
    <vt:lpwstr/>
  </property>
  <property fmtid="{D5CDD505-2E9C-101B-9397-08002B2CF9AE}" pid="30" name="Document Type">
    <vt:lpwstr>42;#Legislation|25c35cca-98fe-4d3e-a63c-3dda1c39f3ec</vt:lpwstr>
  </property>
</Properties>
</file>