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8A558" w14:textId="7735A73F" w:rsidR="00854C33" w:rsidRPr="00EB6A4A" w:rsidRDefault="00854C33" w:rsidP="00854C33">
      <w:pPr>
        <w:pStyle w:val="Heading"/>
        <w:spacing w:after="240"/>
        <w:jc w:val="center"/>
        <w:rPr>
          <w:sz w:val="24"/>
          <w:szCs w:val="24"/>
        </w:rPr>
      </w:pPr>
      <w:r w:rsidRPr="00EB6A4A">
        <w:rPr>
          <w:sz w:val="24"/>
          <w:szCs w:val="24"/>
        </w:rPr>
        <w:t xml:space="preserve">Financial Sector (Collection of Data) (reporting standard) determination No. </w:t>
      </w:r>
      <w:r w:rsidR="002311E7" w:rsidRPr="002311E7">
        <w:rPr>
          <w:sz w:val="24"/>
          <w:szCs w:val="24"/>
        </w:rPr>
        <w:t>1</w:t>
      </w:r>
      <w:r w:rsidR="00D3684F" w:rsidRPr="002311E7">
        <w:rPr>
          <w:sz w:val="24"/>
          <w:szCs w:val="24"/>
        </w:rPr>
        <w:t xml:space="preserve"> </w:t>
      </w:r>
      <w:r w:rsidRPr="002311E7">
        <w:rPr>
          <w:sz w:val="24"/>
          <w:szCs w:val="24"/>
        </w:rPr>
        <w:t xml:space="preserve">of </w:t>
      </w:r>
      <w:r w:rsidR="00EA1C16" w:rsidRPr="002311E7">
        <w:rPr>
          <w:sz w:val="24"/>
          <w:szCs w:val="24"/>
        </w:rPr>
        <w:t>202</w:t>
      </w:r>
      <w:r w:rsidR="00436166">
        <w:rPr>
          <w:sz w:val="24"/>
          <w:szCs w:val="24"/>
        </w:rPr>
        <w:t>5</w:t>
      </w:r>
    </w:p>
    <w:p w14:paraId="121BFB7C" w14:textId="4DE9545A" w:rsidR="00854C33" w:rsidRPr="00EB6A4A" w:rsidRDefault="00854C33" w:rsidP="00854C33">
      <w:pPr>
        <w:pStyle w:val="Heading"/>
        <w:tabs>
          <w:tab w:val="left" w:pos="360"/>
        </w:tabs>
        <w:spacing w:after="240"/>
        <w:jc w:val="center"/>
        <w:rPr>
          <w:sz w:val="24"/>
          <w:szCs w:val="24"/>
          <w:u w:val="single"/>
        </w:rPr>
      </w:pPr>
      <w:bookmarkStart w:id="0" w:name="bkInstrumentSubTitle"/>
      <w:bookmarkEnd w:id="0"/>
      <w:r w:rsidRPr="00EB6A4A">
        <w:rPr>
          <w:sz w:val="24"/>
          <w:szCs w:val="24"/>
          <w:u w:val="single"/>
        </w:rPr>
        <w:t>EXPLANATORY STATEMENT</w:t>
      </w:r>
    </w:p>
    <w:p w14:paraId="568B87B5" w14:textId="77777777" w:rsidR="00854C33" w:rsidRPr="00EB6A4A" w:rsidRDefault="00854C33" w:rsidP="00854C33">
      <w:pPr>
        <w:pStyle w:val="Heading"/>
        <w:spacing w:after="240"/>
        <w:jc w:val="center"/>
        <w:rPr>
          <w:sz w:val="24"/>
          <w:szCs w:val="24"/>
        </w:rPr>
      </w:pPr>
      <w:r w:rsidRPr="00EB6A4A">
        <w:rPr>
          <w:sz w:val="24"/>
          <w:szCs w:val="24"/>
        </w:rPr>
        <w:t>Prepared by the Australian Prudential Regulation Authority (APRA)</w:t>
      </w:r>
    </w:p>
    <w:p w14:paraId="41E2056B" w14:textId="0B55F1B1" w:rsidR="00854C33" w:rsidRPr="00EB6A4A" w:rsidRDefault="00854C33" w:rsidP="00854C33">
      <w:pPr>
        <w:pStyle w:val="heading0"/>
        <w:spacing w:before="0" w:beforeAutospacing="0" w:after="240" w:afterAutospacing="0"/>
        <w:jc w:val="center"/>
      </w:pPr>
      <w:r w:rsidRPr="00EB6A4A">
        <w:rPr>
          <w:i/>
          <w:iCs/>
        </w:rPr>
        <w:t>Financial Sector (Collection of Data) Act 2001</w:t>
      </w:r>
      <w:r w:rsidRPr="00EB6A4A">
        <w:t>, sections 13 and 15</w:t>
      </w:r>
    </w:p>
    <w:p w14:paraId="16F6AB79" w14:textId="77777777" w:rsidR="00854C33" w:rsidRPr="00EB6A4A" w:rsidRDefault="00854C33" w:rsidP="00854C33">
      <w:pPr>
        <w:pStyle w:val="heading0"/>
        <w:spacing w:before="0" w:beforeAutospacing="0" w:after="240" w:afterAutospacing="0"/>
        <w:jc w:val="center"/>
      </w:pPr>
      <w:r w:rsidRPr="00EB6A4A">
        <w:rPr>
          <w:i/>
        </w:rPr>
        <w:t>Acts Interpretation Act 1901</w:t>
      </w:r>
      <w:r w:rsidRPr="00EB6A4A">
        <w:t>, section 33</w:t>
      </w:r>
    </w:p>
    <w:p w14:paraId="7578B615" w14:textId="4C46656D" w:rsidR="004E445C" w:rsidRDefault="00854C33" w:rsidP="00CD59CB">
      <w:pPr>
        <w:widowControl w:val="0"/>
        <w:numPr>
          <w:ilvl w:val="0"/>
          <w:numId w:val="0"/>
        </w:numPr>
        <w:rPr>
          <w:rFonts w:ascii="Times New Roman" w:hAnsi="Times New Roman"/>
          <w:sz w:val="24"/>
          <w:szCs w:val="24"/>
        </w:rPr>
      </w:pPr>
      <w:bookmarkStart w:id="1" w:name="bkAct"/>
      <w:bookmarkStart w:id="2" w:name="bkExplanatory"/>
      <w:bookmarkEnd w:id="1"/>
      <w:bookmarkEnd w:id="2"/>
      <w:r w:rsidRPr="004E445C">
        <w:rPr>
          <w:rFonts w:ascii="Times New Roman" w:hAnsi="Times New Roman"/>
          <w:sz w:val="24"/>
          <w:szCs w:val="24"/>
        </w:rPr>
        <w:t xml:space="preserve">Under subsection 13(1) of the </w:t>
      </w:r>
      <w:r w:rsidRPr="004E445C">
        <w:rPr>
          <w:rFonts w:ascii="Times New Roman" w:hAnsi="Times New Roman"/>
          <w:i/>
          <w:sz w:val="24"/>
          <w:szCs w:val="24"/>
        </w:rPr>
        <w:t>Financial Sector (Collection of Data) Act 2001</w:t>
      </w:r>
      <w:r w:rsidRPr="004E445C">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4E445C">
        <w:rPr>
          <w:rFonts w:ascii="Times New Roman" w:hAnsi="Times New Roman"/>
          <w:i/>
          <w:sz w:val="24"/>
          <w:szCs w:val="24"/>
        </w:rPr>
        <w:t>Acts Interpretation Act 1901</w:t>
      </w:r>
      <w:r w:rsidRPr="004E445C">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70585805" w14:textId="7B25C37A" w:rsidR="004E445C" w:rsidRPr="007D1955" w:rsidRDefault="004E445C" w:rsidP="004E445C">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ACB1084" w14:textId="603F0EAA" w:rsidR="00D05C8D" w:rsidRPr="004E445C" w:rsidRDefault="00D05C8D" w:rsidP="00CD59CB">
      <w:pPr>
        <w:widowControl w:val="0"/>
        <w:numPr>
          <w:ilvl w:val="0"/>
          <w:numId w:val="0"/>
        </w:numPr>
        <w:rPr>
          <w:rFonts w:ascii="Times New Roman" w:hAnsi="Times New Roman" w:cs="Times New Roman"/>
          <w:sz w:val="24"/>
          <w:szCs w:val="24"/>
        </w:rPr>
      </w:pPr>
      <w:r w:rsidRPr="004E445C">
        <w:rPr>
          <w:rFonts w:ascii="Times New Roman" w:hAnsi="Times New Roman" w:cs="Times New Roman"/>
          <w:sz w:val="24"/>
          <w:szCs w:val="24"/>
        </w:rPr>
        <w:t xml:space="preserve">On </w:t>
      </w:r>
      <w:r w:rsidR="009B0611">
        <w:rPr>
          <w:rFonts w:ascii="Times New Roman" w:hAnsi="Times New Roman" w:cs="Times New Roman"/>
          <w:sz w:val="24"/>
          <w:szCs w:val="24"/>
        </w:rPr>
        <w:t>6</w:t>
      </w:r>
      <w:r w:rsidRPr="00A31E7B">
        <w:rPr>
          <w:rFonts w:ascii="Times New Roman" w:hAnsi="Times New Roman" w:cs="Times New Roman"/>
          <w:sz w:val="24"/>
          <w:szCs w:val="24"/>
        </w:rPr>
        <w:t xml:space="preserve"> </w:t>
      </w:r>
      <w:r w:rsidR="00436166" w:rsidRPr="00A31E7B">
        <w:rPr>
          <w:rFonts w:ascii="Times New Roman" w:hAnsi="Times New Roman" w:cs="Times New Roman"/>
          <w:sz w:val="24"/>
          <w:szCs w:val="24"/>
        </w:rPr>
        <w:t>January</w:t>
      </w:r>
      <w:r w:rsidRPr="00A31E7B">
        <w:rPr>
          <w:rFonts w:ascii="Times New Roman" w:hAnsi="Times New Roman" w:cs="Times New Roman"/>
          <w:sz w:val="24"/>
          <w:szCs w:val="24"/>
        </w:rPr>
        <w:t xml:space="preserve"> 202</w:t>
      </w:r>
      <w:r w:rsidR="00436166" w:rsidRPr="00A31E7B">
        <w:rPr>
          <w:rFonts w:ascii="Times New Roman" w:hAnsi="Times New Roman" w:cs="Times New Roman"/>
          <w:sz w:val="24"/>
          <w:szCs w:val="24"/>
        </w:rPr>
        <w:t>5</w:t>
      </w:r>
      <w:r w:rsidRPr="00A31E7B">
        <w:rPr>
          <w:rFonts w:ascii="Times New Roman" w:hAnsi="Times New Roman" w:cs="Times New Roman"/>
          <w:sz w:val="24"/>
          <w:szCs w:val="24"/>
        </w:rPr>
        <w:t>,</w:t>
      </w:r>
      <w:r w:rsidRPr="004E445C">
        <w:rPr>
          <w:rFonts w:ascii="Times New Roman" w:hAnsi="Times New Roman" w:cs="Times New Roman"/>
          <w:sz w:val="24"/>
          <w:szCs w:val="24"/>
        </w:rPr>
        <w:t xml:space="preserve"> APRA made:</w:t>
      </w:r>
    </w:p>
    <w:p w14:paraId="1B456B47" w14:textId="04F23973" w:rsidR="00D05C8D" w:rsidRPr="00DF2C01" w:rsidRDefault="00D05C8D" w:rsidP="00D05C8D">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5C4881">
        <w:rPr>
          <w:rFonts w:ascii="Times New Roman" w:hAnsi="Times New Roman"/>
          <w:sz w:val="24"/>
          <w:szCs w:val="24"/>
        </w:rPr>
        <w:t xml:space="preserve">1 </w:t>
      </w:r>
      <w:r w:rsidRPr="00DF2C01">
        <w:rPr>
          <w:rFonts w:ascii="Times New Roman" w:hAnsi="Times New Roman"/>
          <w:sz w:val="24"/>
          <w:szCs w:val="24"/>
        </w:rPr>
        <w:t>of 202</w:t>
      </w:r>
      <w:r w:rsidR="00436166">
        <w:rPr>
          <w:rFonts w:ascii="Times New Roman" w:hAnsi="Times New Roman"/>
          <w:sz w:val="24"/>
          <w:szCs w:val="24"/>
        </w:rPr>
        <w:t>5</w:t>
      </w:r>
      <w:r w:rsidRPr="00DF2C01">
        <w:rPr>
          <w:rFonts w:ascii="Times New Roman" w:hAnsi="Times New Roman"/>
          <w:sz w:val="24"/>
          <w:szCs w:val="24"/>
        </w:rPr>
        <w:t xml:space="preserve"> which:</w:t>
      </w:r>
    </w:p>
    <w:p w14:paraId="513135AB" w14:textId="76F19552" w:rsidR="00D05C8D" w:rsidRPr="000576D1" w:rsidRDefault="00D05C8D" w:rsidP="00D05C8D">
      <w:pPr>
        <w:pStyle w:val="ListParagraph"/>
        <w:numPr>
          <w:ilvl w:val="1"/>
          <w:numId w:val="19"/>
        </w:numPr>
        <w:tabs>
          <w:tab w:val="clear" w:pos="425"/>
          <w:tab w:val="clear" w:pos="851"/>
        </w:tabs>
        <w:ind w:left="1134" w:hanging="567"/>
        <w:rPr>
          <w:rFonts w:ascii="Times New Roman" w:hAnsi="Times New Roman"/>
          <w:sz w:val="24"/>
          <w:szCs w:val="24"/>
        </w:rPr>
      </w:pPr>
      <w:r w:rsidRPr="000576D1">
        <w:rPr>
          <w:rFonts w:ascii="Times New Roman" w:hAnsi="Times New Roman"/>
          <w:sz w:val="24"/>
          <w:szCs w:val="24"/>
        </w:rPr>
        <w:t xml:space="preserve">revokes </w:t>
      </w:r>
      <w:r w:rsidR="00DC161D">
        <w:rPr>
          <w:rFonts w:ascii="Times New Roman" w:hAnsi="Times New Roman"/>
          <w:i/>
          <w:sz w:val="24"/>
          <w:szCs w:val="24"/>
        </w:rPr>
        <w:t>Reporting Standard</w:t>
      </w:r>
      <w:r>
        <w:rPr>
          <w:rFonts w:ascii="Times New Roman" w:hAnsi="Times New Roman"/>
          <w:i/>
          <w:sz w:val="24"/>
          <w:szCs w:val="24"/>
        </w:rPr>
        <w:t xml:space="preserve"> </w:t>
      </w:r>
      <w:r w:rsidR="005C4881" w:rsidRPr="00AE3F79">
        <w:rPr>
          <w:rFonts w:ascii="Times New Roman" w:hAnsi="Times New Roman"/>
          <w:i/>
          <w:sz w:val="24"/>
          <w:szCs w:val="24"/>
        </w:rPr>
        <w:t>S</w:t>
      </w:r>
      <w:r w:rsidRPr="000576D1">
        <w:rPr>
          <w:rFonts w:ascii="Times New Roman" w:hAnsi="Times New Roman"/>
          <w:i/>
          <w:sz w:val="24"/>
          <w:szCs w:val="24"/>
        </w:rPr>
        <w:t xml:space="preserve">RS </w:t>
      </w:r>
      <w:r w:rsidR="005C4881" w:rsidRPr="000576D1">
        <w:rPr>
          <w:rFonts w:ascii="Times New Roman" w:hAnsi="Times New Roman"/>
          <w:i/>
          <w:sz w:val="24"/>
          <w:szCs w:val="24"/>
        </w:rPr>
        <w:t>332.0 Expenses</w:t>
      </w:r>
      <w:r w:rsidRPr="000576D1">
        <w:rPr>
          <w:rFonts w:ascii="Times New Roman" w:hAnsi="Times New Roman"/>
          <w:sz w:val="24"/>
          <w:szCs w:val="24"/>
        </w:rPr>
        <w:t xml:space="preserve"> </w:t>
      </w:r>
      <w:r w:rsidR="00B93EFC">
        <w:rPr>
          <w:rFonts w:ascii="Times New Roman" w:hAnsi="Times New Roman"/>
          <w:sz w:val="24"/>
          <w:szCs w:val="24"/>
        </w:rPr>
        <w:t xml:space="preserve">(SRS 332.0) </w:t>
      </w:r>
      <w:r w:rsidRPr="000576D1">
        <w:rPr>
          <w:rFonts w:ascii="Times New Roman" w:hAnsi="Times New Roman"/>
          <w:sz w:val="24"/>
          <w:szCs w:val="24"/>
        </w:rPr>
        <w:t xml:space="preserve">made under </w:t>
      </w:r>
      <w:r w:rsidRPr="00240DB9">
        <w:rPr>
          <w:rFonts w:ascii="Times New Roman" w:hAnsi="Times New Roman"/>
          <w:i/>
          <w:sz w:val="24"/>
          <w:szCs w:val="24"/>
        </w:rPr>
        <w:t xml:space="preserve">Financial Sector (Collection of Data) (reporting standard) determination No. </w:t>
      </w:r>
      <w:r w:rsidR="00DC161D" w:rsidRPr="00240DB9">
        <w:rPr>
          <w:rFonts w:ascii="Times New Roman" w:hAnsi="Times New Roman"/>
          <w:i/>
          <w:sz w:val="24"/>
          <w:szCs w:val="24"/>
        </w:rPr>
        <w:t>41</w:t>
      </w:r>
      <w:r w:rsidRPr="00240DB9">
        <w:rPr>
          <w:rFonts w:ascii="Times New Roman" w:hAnsi="Times New Roman"/>
          <w:i/>
          <w:sz w:val="24"/>
          <w:szCs w:val="24"/>
        </w:rPr>
        <w:t xml:space="preserve"> of </w:t>
      </w:r>
      <w:r w:rsidR="00DC161D" w:rsidRPr="00240DB9">
        <w:rPr>
          <w:rFonts w:ascii="Times New Roman" w:hAnsi="Times New Roman"/>
          <w:i/>
          <w:sz w:val="24"/>
          <w:szCs w:val="24"/>
        </w:rPr>
        <w:t>2023</w:t>
      </w:r>
      <w:r w:rsidRPr="000576D1">
        <w:rPr>
          <w:rFonts w:ascii="Times New Roman" w:hAnsi="Times New Roman"/>
          <w:sz w:val="24"/>
          <w:szCs w:val="24"/>
        </w:rPr>
        <w:t>; and</w:t>
      </w:r>
    </w:p>
    <w:p w14:paraId="67E4C7C5" w14:textId="5C6A44B4" w:rsidR="00D05C8D" w:rsidRPr="000576D1" w:rsidRDefault="00D05C8D" w:rsidP="00D05C8D">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0576D1">
        <w:rPr>
          <w:rFonts w:ascii="Times New Roman" w:hAnsi="Times New Roman"/>
          <w:sz w:val="24"/>
          <w:szCs w:val="24"/>
        </w:rPr>
        <w:t xml:space="preserve">determines a new </w:t>
      </w:r>
      <w:r w:rsidRPr="000576D1">
        <w:rPr>
          <w:rFonts w:ascii="Times New Roman" w:hAnsi="Times New Roman"/>
          <w:i/>
          <w:sz w:val="24"/>
          <w:szCs w:val="24"/>
        </w:rPr>
        <w:t xml:space="preserve">Reporting Standard </w:t>
      </w:r>
      <w:r w:rsidR="005C4881" w:rsidRPr="000576D1">
        <w:rPr>
          <w:rFonts w:ascii="Times New Roman" w:hAnsi="Times New Roman"/>
          <w:i/>
          <w:sz w:val="24"/>
          <w:szCs w:val="24"/>
        </w:rPr>
        <w:t>S</w:t>
      </w:r>
      <w:r w:rsidRPr="000576D1">
        <w:rPr>
          <w:rFonts w:ascii="Times New Roman" w:hAnsi="Times New Roman"/>
          <w:i/>
          <w:sz w:val="24"/>
          <w:szCs w:val="24"/>
        </w:rPr>
        <w:t xml:space="preserve">RS </w:t>
      </w:r>
      <w:r w:rsidR="005C4881" w:rsidRPr="000576D1">
        <w:rPr>
          <w:rFonts w:ascii="Times New Roman" w:hAnsi="Times New Roman"/>
          <w:i/>
          <w:sz w:val="24"/>
          <w:szCs w:val="24"/>
        </w:rPr>
        <w:t xml:space="preserve">332.0 Expenses and </w:t>
      </w:r>
      <w:r w:rsidR="00DC161D" w:rsidRPr="000576D1">
        <w:rPr>
          <w:rFonts w:ascii="Times New Roman" w:hAnsi="Times New Roman"/>
          <w:i/>
          <w:sz w:val="24"/>
          <w:szCs w:val="24"/>
        </w:rPr>
        <w:t>Investment</w:t>
      </w:r>
      <w:r w:rsidR="005C4881" w:rsidRPr="000576D1">
        <w:rPr>
          <w:rFonts w:ascii="Times New Roman" w:hAnsi="Times New Roman"/>
          <w:i/>
          <w:sz w:val="24"/>
          <w:szCs w:val="24"/>
        </w:rPr>
        <w:t xml:space="preserve"> and </w:t>
      </w:r>
      <w:r w:rsidR="00DC161D" w:rsidRPr="000576D1">
        <w:rPr>
          <w:rFonts w:ascii="Times New Roman" w:hAnsi="Times New Roman"/>
          <w:i/>
          <w:sz w:val="24"/>
          <w:szCs w:val="24"/>
        </w:rPr>
        <w:t xml:space="preserve">Transaction </w:t>
      </w:r>
      <w:r w:rsidR="00DC161D" w:rsidRPr="0017332B">
        <w:rPr>
          <w:rFonts w:ascii="Times New Roman" w:hAnsi="Times New Roman"/>
          <w:i/>
          <w:sz w:val="24"/>
          <w:szCs w:val="24"/>
        </w:rPr>
        <w:t>Fees</w:t>
      </w:r>
      <w:r w:rsidR="000576D1" w:rsidRPr="000576D1">
        <w:rPr>
          <w:rFonts w:ascii="Times New Roman" w:hAnsi="Times New Roman"/>
          <w:i/>
          <w:sz w:val="24"/>
          <w:szCs w:val="24"/>
        </w:rPr>
        <w:t xml:space="preserve"> and </w:t>
      </w:r>
      <w:r w:rsidR="00DC161D" w:rsidRPr="000576D1">
        <w:rPr>
          <w:rFonts w:ascii="Times New Roman" w:hAnsi="Times New Roman"/>
          <w:i/>
          <w:sz w:val="24"/>
          <w:szCs w:val="24"/>
        </w:rPr>
        <w:t>Costs</w:t>
      </w:r>
      <w:r w:rsidR="00DC161D">
        <w:rPr>
          <w:rFonts w:ascii="Times New Roman" w:hAnsi="Times New Roman"/>
          <w:i/>
          <w:sz w:val="24"/>
          <w:szCs w:val="24"/>
        </w:rPr>
        <w:t xml:space="preserve"> </w:t>
      </w:r>
      <w:r w:rsidR="00DC161D">
        <w:rPr>
          <w:rFonts w:ascii="Times New Roman" w:hAnsi="Times New Roman"/>
          <w:sz w:val="24"/>
          <w:szCs w:val="24"/>
        </w:rPr>
        <w:t>(</w:t>
      </w:r>
      <w:r w:rsidR="003C6EEF">
        <w:rPr>
          <w:rFonts w:ascii="Times New Roman" w:hAnsi="Times New Roman"/>
          <w:sz w:val="24"/>
          <w:szCs w:val="24"/>
        </w:rPr>
        <w:t xml:space="preserve">New </w:t>
      </w:r>
      <w:r w:rsidR="00DC161D">
        <w:rPr>
          <w:rFonts w:ascii="Times New Roman" w:hAnsi="Times New Roman"/>
          <w:sz w:val="24"/>
          <w:szCs w:val="24"/>
        </w:rPr>
        <w:t>SRS 332</w:t>
      </w:r>
      <w:r w:rsidR="00AC6F7D">
        <w:rPr>
          <w:rFonts w:ascii="Times New Roman" w:hAnsi="Times New Roman"/>
          <w:sz w:val="24"/>
          <w:szCs w:val="24"/>
        </w:rPr>
        <w:t>.0</w:t>
      </w:r>
      <w:r w:rsidR="00DC161D">
        <w:rPr>
          <w:rFonts w:ascii="Times New Roman" w:hAnsi="Times New Roman"/>
          <w:sz w:val="24"/>
          <w:szCs w:val="24"/>
        </w:rPr>
        <w:t>)</w:t>
      </w:r>
      <w:r w:rsidRPr="000576D1">
        <w:rPr>
          <w:rFonts w:ascii="Times New Roman" w:hAnsi="Times New Roman"/>
          <w:sz w:val="24"/>
          <w:szCs w:val="24"/>
        </w:rPr>
        <w:t>.</w:t>
      </w:r>
    </w:p>
    <w:p w14:paraId="4ED0CAEC" w14:textId="1DA1F78F" w:rsidR="00D05C8D" w:rsidRPr="00CF46D3" w:rsidRDefault="00D05C8D" w:rsidP="00D05C8D">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w:t>
      </w:r>
      <w:r w:rsidR="00577602">
        <w:rPr>
          <w:rFonts w:ascii="Times New Roman" w:hAnsi="Times New Roman"/>
          <w:sz w:val="24"/>
          <w:szCs w:val="24"/>
        </w:rPr>
        <w:t>at the start of</w:t>
      </w:r>
      <w:r>
        <w:rPr>
          <w:rFonts w:ascii="Times New Roman" w:hAnsi="Times New Roman"/>
          <w:sz w:val="24"/>
          <w:szCs w:val="24"/>
        </w:rPr>
        <w:t xml:space="preserve"> the day after </w:t>
      </w:r>
      <w:r w:rsidR="00577602">
        <w:rPr>
          <w:rFonts w:ascii="Times New Roman" w:hAnsi="Times New Roman"/>
          <w:sz w:val="24"/>
          <w:szCs w:val="24"/>
        </w:rPr>
        <w:t>the day the instrument</w:t>
      </w:r>
      <w:r>
        <w:rPr>
          <w:rFonts w:ascii="Times New Roman" w:hAnsi="Times New Roman"/>
          <w:sz w:val="24"/>
          <w:szCs w:val="24"/>
        </w:rPr>
        <w:t xml:space="preserve"> is registered </w:t>
      </w:r>
      <w:r w:rsidRPr="00CF46D3">
        <w:rPr>
          <w:rFonts w:ascii="Times New Roman" w:hAnsi="Times New Roman"/>
          <w:sz w:val="24"/>
          <w:szCs w:val="24"/>
        </w:rPr>
        <w:t xml:space="preserve">on the Federal Register of Legislation. </w:t>
      </w:r>
    </w:p>
    <w:p w14:paraId="44D216EA" w14:textId="72C917A7" w:rsidR="00B670E9"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1.</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Background</w:t>
      </w:r>
    </w:p>
    <w:p w14:paraId="65001F4A" w14:textId="77777777" w:rsidR="00435582" w:rsidRDefault="00435582" w:rsidP="0043558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is the prudential regulator for banking, insurance and superannuation entities, and collects financial sector data for its own uses and on behalf of the Reserve Bank of Australia and the Australian Bureau of Statistics. </w:t>
      </w:r>
    </w:p>
    <w:p w14:paraId="18F00C22" w14:textId="00E623E2" w:rsidR="008420C7" w:rsidRDefault="008420C7" w:rsidP="693F8AAC">
      <w:pPr>
        <w:rPr>
          <w:rFonts w:ascii="Times New Roman" w:hAnsi="Times New Roman" w:cs="Times New Roman"/>
          <w:sz w:val="24"/>
          <w:szCs w:val="24"/>
        </w:rPr>
      </w:pPr>
      <w:r w:rsidRPr="00A31C2B">
        <w:rPr>
          <w:rFonts w:ascii="Times New Roman" w:hAnsi="Times New Roman" w:cs="Times New Roman"/>
          <w:sz w:val="24"/>
          <w:szCs w:val="24"/>
        </w:rPr>
        <w:t>SRS 332.0</w:t>
      </w:r>
      <w:r>
        <w:rPr>
          <w:rFonts w:ascii="Times New Roman" w:hAnsi="Times New Roman" w:cs="Times New Roman"/>
          <w:sz w:val="24"/>
          <w:szCs w:val="24"/>
        </w:rPr>
        <w:t xml:space="preserve"> </w:t>
      </w:r>
      <w:r w:rsidRPr="00120FDB">
        <w:rPr>
          <w:rFonts w:ascii="Times New Roman" w:hAnsi="Times New Roman" w:cs="Times New Roman"/>
          <w:sz w:val="24"/>
          <w:szCs w:val="24"/>
        </w:rPr>
        <w:t>sets out the requirements</w:t>
      </w:r>
      <w:r w:rsidR="00A816E5">
        <w:rPr>
          <w:rFonts w:ascii="Times New Roman" w:hAnsi="Times New Roman" w:cs="Times New Roman"/>
          <w:sz w:val="24"/>
          <w:szCs w:val="24"/>
        </w:rPr>
        <w:t xml:space="preserve"> </w:t>
      </w:r>
      <w:r>
        <w:rPr>
          <w:rFonts w:ascii="Times New Roman" w:hAnsi="Times New Roman" w:cs="Times New Roman"/>
          <w:sz w:val="24"/>
          <w:szCs w:val="24"/>
        </w:rPr>
        <w:t xml:space="preserve">to report </w:t>
      </w:r>
      <w:r w:rsidRPr="00120FDB">
        <w:rPr>
          <w:rFonts w:ascii="Times New Roman" w:hAnsi="Times New Roman" w:cs="Times New Roman"/>
          <w:sz w:val="24"/>
          <w:szCs w:val="24"/>
        </w:rPr>
        <w:t>information to APRA relating to</w:t>
      </w:r>
      <w:r w:rsidR="00A816E5" w:rsidRPr="00A816E5">
        <w:rPr>
          <w:rFonts w:ascii="Times New Roman" w:hAnsi="Times New Roman" w:cs="Times New Roman"/>
          <w:sz w:val="24"/>
          <w:szCs w:val="24"/>
        </w:rPr>
        <w:t xml:space="preserve"> expense reporting and investment and transaction fees and costs disclosure of each registrable superannuation entity</w:t>
      </w:r>
      <w:r w:rsidR="00E6377F">
        <w:rPr>
          <w:rFonts w:ascii="Times New Roman" w:hAnsi="Times New Roman" w:cs="Times New Roman"/>
          <w:sz w:val="24"/>
          <w:szCs w:val="24"/>
        </w:rPr>
        <w:t xml:space="preserve"> (RSE)</w:t>
      </w:r>
      <w:r w:rsidR="00A816E5" w:rsidRPr="00A816E5">
        <w:rPr>
          <w:rFonts w:ascii="Times New Roman" w:hAnsi="Times New Roman" w:cs="Times New Roman"/>
          <w:sz w:val="24"/>
          <w:szCs w:val="24"/>
        </w:rPr>
        <w:t>, defined benefit registrable superannuation entity and pooled</w:t>
      </w:r>
      <w:r w:rsidR="00A816E5" w:rsidRPr="002F3492">
        <w:rPr>
          <w:rFonts w:ascii="Times New Roman" w:hAnsi="Times New Roman" w:cs="Times New Roman"/>
          <w:sz w:val="24"/>
          <w:szCs w:val="24"/>
        </w:rPr>
        <w:t xml:space="preserve"> </w:t>
      </w:r>
      <w:r w:rsidR="00A816E5" w:rsidRPr="00A31C2B">
        <w:rPr>
          <w:rFonts w:ascii="Times New Roman" w:hAnsi="Times New Roman" w:cs="Times New Roman"/>
          <w:sz w:val="24"/>
          <w:szCs w:val="24"/>
        </w:rPr>
        <w:t>superannuation trust</w:t>
      </w:r>
      <w:r w:rsidR="00A31C2B" w:rsidRPr="00A31C2B">
        <w:rPr>
          <w:rFonts w:ascii="Times New Roman" w:hAnsi="Times New Roman" w:cs="Times New Roman"/>
          <w:sz w:val="24"/>
          <w:szCs w:val="24"/>
        </w:rPr>
        <w:t xml:space="preserve">. </w:t>
      </w:r>
      <w:r>
        <w:rPr>
          <w:rFonts w:ascii="Times New Roman" w:hAnsi="Times New Roman" w:cs="Times New Roman"/>
          <w:sz w:val="24"/>
          <w:szCs w:val="24"/>
        </w:rPr>
        <w:t xml:space="preserve"> It states the specific data items </w:t>
      </w:r>
      <w:r w:rsidR="002F3492">
        <w:rPr>
          <w:rFonts w:ascii="Times New Roman" w:hAnsi="Times New Roman" w:cs="Times New Roman"/>
          <w:sz w:val="24"/>
          <w:szCs w:val="24"/>
        </w:rPr>
        <w:t>eac</w:t>
      </w:r>
      <w:r w:rsidR="002F3492" w:rsidRPr="002F3492">
        <w:rPr>
          <w:rFonts w:ascii="Times New Roman" w:hAnsi="Times New Roman" w:cs="Times New Roman"/>
          <w:sz w:val="24"/>
          <w:szCs w:val="24"/>
        </w:rPr>
        <w:t xml:space="preserve">h RSE licensee </w:t>
      </w:r>
      <w:r w:rsidR="00492D42">
        <w:rPr>
          <w:rFonts w:ascii="Times New Roman" w:hAnsi="Times New Roman" w:cs="Times New Roman"/>
          <w:sz w:val="24"/>
          <w:szCs w:val="24"/>
        </w:rPr>
        <w:t xml:space="preserve">needs to submit </w:t>
      </w:r>
      <w:r w:rsidR="002F3492" w:rsidRPr="002F3492">
        <w:rPr>
          <w:rFonts w:ascii="Times New Roman" w:hAnsi="Times New Roman" w:cs="Times New Roman"/>
          <w:sz w:val="24"/>
          <w:szCs w:val="24"/>
        </w:rPr>
        <w:t>in respect of each RSE, defined benefit RSE and pooled superannuation trust</w:t>
      </w:r>
      <w:r>
        <w:rPr>
          <w:rFonts w:ascii="Times New Roman" w:hAnsi="Times New Roman" w:cs="Times New Roman"/>
          <w:sz w:val="24"/>
          <w:szCs w:val="24"/>
        </w:rPr>
        <w:t>, provides definitions and instructions on how to measure and report these items, and states timelines and quality requirements for providing the data to APRA.</w:t>
      </w:r>
    </w:p>
    <w:p w14:paraId="2F25927D" w14:textId="7847797F" w:rsidR="00551557" w:rsidRPr="00FE0692" w:rsidRDefault="00FC01DD" w:rsidP="00CD59CB">
      <w:pPr>
        <w:widowControl w:val="0"/>
        <w:rPr>
          <w:sz w:val="24"/>
          <w:szCs w:val="24"/>
        </w:rPr>
      </w:pPr>
      <w:r w:rsidRPr="00FE0692">
        <w:rPr>
          <w:rFonts w:ascii="Times New Roman" w:hAnsi="Times New Roman"/>
          <w:sz w:val="24"/>
          <w:szCs w:val="24"/>
        </w:rPr>
        <w:t xml:space="preserve">In </w:t>
      </w:r>
      <w:r w:rsidR="00031EF0">
        <w:rPr>
          <w:rFonts w:ascii="Times New Roman" w:hAnsi="Times New Roman"/>
          <w:sz w:val="24"/>
          <w:szCs w:val="24"/>
        </w:rPr>
        <w:t>January</w:t>
      </w:r>
      <w:r w:rsidRPr="00FE0692">
        <w:rPr>
          <w:rFonts w:ascii="Times New Roman" w:hAnsi="Times New Roman"/>
          <w:sz w:val="24"/>
          <w:szCs w:val="24"/>
        </w:rPr>
        <w:t xml:space="preserve"> 202</w:t>
      </w:r>
      <w:r w:rsidR="00031EF0">
        <w:rPr>
          <w:rFonts w:ascii="Times New Roman" w:hAnsi="Times New Roman"/>
          <w:sz w:val="24"/>
          <w:szCs w:val="24"/>
        </w:rPr>
        <w:t>5</w:t>
      </w:r>
      <w:r w:rsidRPr="00FE0692">
        <w:rPr>
          <w:rFonts w:ascii="Times New Roman" w:hAnsi="Times New Roman"/>
          <w:sz w:val="24"/>
          <w:szCs w:val="24"/>
        </w:rPr>
        <w:t xml:space="preserve">, APRA </w:t>
      </w:r>
      <w:r w:rsidR="00F745AB">
        <w:rPr>
          <w:rFonts w:ascii="Times New Roman" w:hAnsi="Times New Roman"/>
          <w:sz w:val="24"/>
          <w:szCs w:val="24"/>
        </w:rPr>
        <w:t>re</w:t>
      </w:r>
      <w:r w:rsidRPr="00FE0692">
        <w:rPr>
          <w:rFonts w:ascii="Times New Roman" w:hAnsi="Times New Roman"/>
          <w:sz w:val="24"/>
          <w:szCs w:val="24"/>
        </w:rPr>
        <w:t xml:space="preserve">determined </w:t>
      </w:r>
      <w:r w:rsidR="00F745AB">
        <w:rPr>
          <w:rFonts w:ascii="Times New Roman" w:hAnsi="Times New Roman"/>
          <w:sz w:val="24"/>
          <w:szCs w:val="24"/>
        </w:rPr>
        <w:t>this</w:t>
      </w:r>
      <w:r w:rsidRPr="00FE0692">
        <w:rPr>
          <w:rFonts w:ascii="Times New Roman" w:hAnsi="Times New Roman"/>
          <w:sz w:val="24"/>
          <w:szCs w:val="24"/>
        </w:rPr>
        <w:t xml:space="preserve"> superannuation reporting standard to capture data </w:t>
      </w:r>
      <w:r w:rsidRPr="00912454">
        <w:rPr>
          <w:rFonts w:ascii="Times New Roman" w:hAnsi="Times New Roman"/>
          <w:sz w:val="24"/>
          <w:szCs w:val="24"/>
        </w:rPr>
        <w:t xml:space="preserve">on </w:t>
      </w:r>
      <w:r w:rsidR="00F745AB">
        <w:rPr>
          <w:rFonts w:ascii="Times New Roman" w:hAnsi="Times New Roman"/>
          <w:sz w:val="24"/>
          <w:szCs w:val="24"/>
        </w:rPr>
        <w:t xml:space="preserve">total </w:t>
      </w:r>
      <w:r w:rsidRPr="00912454">
        <w:rPr>
          <w:rFonts w:ascii="Times New Roman" w:hAnsi="Times New Roman"/>
          <w:sz w:val="24"/>
          <w:szCs w:val="24"/>
        </w:rPr>
        <w:t>investment and transaction fees and costs.</w:t>
      </w:r>
      <w:r w:rsidRPr="00FE0692">
        <w:rPr>
          <w:rFonts w:ascii="Times New Roman" w:hAnsi="Times New Roman"/>
          <w:sz w:val="24"/>
          <w:szCs w:val="24"/>
        </w:rPr>
        <w:t xml:space="preserve"> </w:t>
      </w:r>
    </w:p>
    <w:p w14:paraId="349A167C" w14:textId="7EE6DBC3" w:rsidR="00211AFD"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lastRenderedPageBreak/>
        <w:t>2.</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 xml:space="preserve">Purpose and operation of the </w:t>
      </w:r>
      <w:r w:rsidR="00287F47" w:rsidRPr="00EB6A4A">
        <w:rPr>
          <w:rFonts w:ascii="Times New Roman" w:hAnsi="Times New Roman" w:cs="Times New Roman"/>
          <w:b/>
          <w:sz w:val="24"/>
          <w:szCs w:val="24"/>
        </w:rPr>
        <w:t>Legislative I</w:t>
      </w:r>
      <w:r w:rsidR="00211AFD" w:rsidRPr="00EB6A4A">
        <w:rPr>
          <w:rFonts w:ascii="Times New Roman" w:hAnsi="Times New Roman" w:cs="Times New Roman"/>
          <w:b/>
          <w:sz w:val="24"/>
          <w:szCs w:val="24"/>
        </w:rPr>
        <w:t>nstrument</w:t>
      </w:r>
    </w:p>
    <w:p w14:paraId="0897E847" w14:textId="203068FE" w:rsidR="001A601E" w:rsidRDefault="00C672BA" w:rsidP="53EF65BE">
      <w:pPr>
        <w:rPr>
          <w:rFonts w:ascii="Times New Roman" w:hAnsi="Times New Roman"/>
          <w:sz w:val="24"/>
          <w:szCs w:val="24"/>
        </w:rPr>
      </w:pPr>
      <w:r w:rsidRPr="53EF65BE">
        <w:rPr>
          <w:rFonts w:ascii="Times New Roman" w:hAnsi="Times New Roman"/>
          <w:sz w:val="24"/>
          <w:szCs w:val="24"/>
        </w:rPr>
        <w:t xml:space="preserve">The purpose of the </w:t>
      </w:r>
      <w:r w:rsidR="001A601E" w:rsidRPr="53EF65BE">
        <w:rPr>
          <w:rFonts w:ascii="Times New Roman" w:hAnsi="Times New Roman"/>
          <w:sz w:val="24"/>
          <w:szCs w:val="24"/>
        </w:rPr>
        <w:t xml:space="preserve">instrument is to revoke </w:t>
      </w:r>
      <w:r w:rsidR="001A601E" w:rsidRPr="00C13AB8">
        <w:rPr>
          <w:rFonts w:ascii="Times New Roman" w:hAnsi="Times New Roman"/>
          <w:sz w:val="24"/>
          <w:szCs w:val="24"/>
        </w:rPr>
        <w:t xml:space="preserve">SRS </w:t>
      </w:r>
      <w:r w:rsidR="0019361B" w:rsidRPr="00C13AB8">
        <w:rPr>
          <w:rFonts w:ascii="Times New Roman" w:hAnsi="Times New Roman"/>
          <w:sz w:val="24"/>
          <w:szCs w:val="24"/>
        </w:rPr>
        <w:t>332.0</w:t>
      </w:r>
      <w:r w:rsidR="001A601E" w:rsidRPr="00AE3F79">
        <w:rPr>
          <w:rFonts w:ascii="Times New Roman" w:hAnsi="Times New Roman"/>
          <w:i/>
          <w:sz w:val="24"/>
          <w:szCs w:val="24"/>
        </w:rPr>
        <w:t xml:space="preserve"> </w:t>
      </w:r>
      <w:r w:rsidR="001A601E" w:rsidRPr="00C13AB8">
        <w:rPr>
          <w:rFonts w:ascii="Times New Roman" w:hAnsi="Times New Roman"/>
          <w:sz w:val="24"/>
          <w:szCs w:val="24"/>
        </w:rPr>
        <w:t>and</w:t>
      </w:r>
      <w:r w:rsidR="001A601E" w:rsidRPr="53EF65BE">
        <w:rPr>
          <w:rFonts w:ascii="Times New Roman" w:hAnsi="Times New Roman"/>
          <w:sz w:val="24"/>
          <w:szCs w:val="24"/>
        </w:rPr>
        <w:t xml:space="preserve"> </w:t>
      </w:r>
      <w:r w:rsidR="00D10DB1">
        <w:rPr>
          <w:rFonts w:ascii="Times New Roman" w:hAnsi="Times New Roman"/>
          <w:sz w:val="24"/>
          <w:szCs w:val="24"/>
        </w:rPr>
        <w:t xml:space="preserve">to </w:t>
      </w:r>
      <w:r w:rsidR="001A601E" w:rsidRPr="53EF65BE">
        <w:rPr>
          <w:rFonts w:ascii="Times New Roman" w:hAnsi="Times New Roman"/>
          <w:sz w:val="24"/>
          <w:szCs w:val="24"/>
        </w:rPr>
        <w:t xml:space="preserve">replace it with </w:t>
      </w:r>
      <w:r w:rsidR="00762E1A">
        <w:rPr>
          <w:rFonts w:ascii="Times New Roman" w:hAnsi="Times New Roman"/>
          <w:sz w:val="24"/>
          <w:szCs w:val="24"/>
        </w:rPr>
        <w:t>the</w:t>
      </w:r>
      <w:r w:rsidR="001A601E" w:rsidRPr="53EF65BE">
        <w:rPr>
          <w:rFonts w:ascii="Times New Roman" w:hAnsi="Times New Roman"/>
          <w:sz w:val="24"/>
          <w:szCs w:val="24"/>
        </w:rPr>
        <w:t xml:space="preserve"> </w:t>
      </w:r>
      <w:r w:rsidR="00762E1A">
        <w:rPr>
          <w:rFonts w:ascii="Times New Roman" w:hAnsi="Times New Roman"/>
          <w:sz w:val="24"/>
          <w:szCs w:val="24"/>
        </w:rPr>
        <w:t>N</w:t>
      </w:r>
      <w:r w:rsidR="001A601E" w:rsidRPr="53EF65BE">
        <w:rPr>
          <w:rFonts w:ascii="Times New Roman" w:hAnsi="Times New Roman"/>
          <w:sz w:val="24"/>
          <w:szCs w:val="24"/>
        </w:rPr>
        <w:t xml:space="preserve">ew </w:t>
      </w:r>
      <w:r w:rsidR="00762E1A">
        <w:rPr>
          <w:rFonts w:ascii="Times New Roman" w:hAnsi="Times New Roman"/>
          <w:sz w:val="24"/>
          <w:szCs w:val="24"/>
        </w:rPr>
        <w:t>SRS 332.0</w:t>
      </w:r>
      <w:r w:rsidR="001A601E" w:rsidRPr="53EF65BE">
        <w:rPr>
          <w:rFonts w:ascii="Times New Roman" w:hAnsi="Times New Roman"/>
          <w:sz w:val="24"/>
          <w:szCs w:val="24"/>
        </w:rPr>
        <w:t xml:space="preserve">. The </w:t>
      </w:r>
      <w:r w:rsidR="005B51A0" w:rsidRPr="53EF65BE">
        <w:rPr>
          <w:rFonts w:ascii="Times New Roman" w:hAnsi="Times New Roman"/>
          <w:sz w:val="24"/>
          <w:szCs w:val="24"/>
        </w:rPr>
        <w:t xml:space="preserve">updated </w:t>
      </w:r>
      <w:r w:rsidR="001A601E" w:rsidRPr="53EF65BE">
        <w:rPr>
          <w:rFonts w:ascii="Times New Roman" w:hAnsi="Times New Roman"/>
          <w:sz w:val="24"/>
          <w:szCs w:val="24"/>
        </w:rPr>
        <w:t xml:space="preserve">reporting standard </w:t>
      </w:r>
      <w:r w:rsidR="00E02D78" w:rsidRPr="53EF65BE">
        <w:rPr>
          <w:rFonts w:ascii="Times New Roman" w:hAnsi="Times New Roman"/>
          <w:sz w:val="24"/>
          <w:szCs w:val="24"/>
        </w:rPr>
        <w:t xml:space="preserve">collects </w:t>
      </w:r>
      <w:r w:rsidR="00201E5C">
        <w:rPr>
          <w:rFonts w:ascii="Times New Roman" w:hAnsi="Times New Roman"/>
          <w:sz w:val="24"/>
          <w:szCs w:val="24"/>
        </w:rPr>
        <w:t xml:space="preserve">additional </w:t>
      </w:r>
      <w:r w:rsidR="00E02D78" w:rsidRPr="53EF65BE">
        <w:rPr>
          <w:rFonts w:ascii="Times New Roman" w:hAnsi="Times New Roman"/>
          <w:sz w:val="24"/>
          <w:szCs w:val="24"/>
        </w:rPr>
        <w:t>data on investment expenses and add</w:t>
      </w:r>
      <w:r w:rsidR="00B37988" w:rsidRPr="53EF65BE">
        <w:rPr>
          <w:rFonts w:ascii="Times New Roman" w:hAnsi="Times New Roman"/>
          <w:sz w:val="24"/>
          <w:szCs w:val="24"/>
        </w:rPr>
        <w:t xml:space="preserve">resses a key gap in APRA’s </w:t>
      </w:r>
      <w:r w:rsidR="001A601E" w:rsidRPr="53EF65BE">
        <w:rPr>
          <w:rFonts w:ascii="Times New Roman" w:hAnsi="Times New Roman"/>
          <w:sz w:val="24"/>
          <w:szCs w:val="24"/>
        </w:rPr>
        <w:t>superannuation data collection.</w:t>
      </w:r>
    </w:p>
    <w:p w14:paraId="24937A2F" w14:textId="4D8F60C2" w:rsidR="00B22009" w:rsidRDefault="00C672BA" w:rsidP="00B22009">
      <w:pPr>
        <w:numPr>
          <w:ilvl w:val="0"/>
          <w:numId w:val="0"/>
        </w:numPr>
        <w:rPr>
          <w:rFonts w:ascii="Times New Roman" w:hAnsi="Times New Roman" w:cs="Times New Roman"/>
          <w:sz w:val="24"/>
          <w:szCs w:val="24"/>
        </w:rPr>
      </w:pPr>
      <w:r w:rsidRPr="00EB6A4A">
        <w:rPr>
          <w:rFonts w:ascii="Times New Roman" w:hAnsi="Times New Roman"/>
          <w:sz w:val="24"/>
          <w:szCs w:val="24"/>
        </w:rPr>
        <w:t xml:space="preserve">The information collected under </w:t>
      </w:r>
      <w:r w:rsidR="002F02E9">
        <w:rPr>
          <w:rFonts w:ascii="Times New Roman" w:hAnsi="Times New Roman"/>
          <w:sz w:val="24"/>
          <w:szCs w:val="24"/>
        </w:rPr>
        <w:t>SRS 332.0</w:t>
      </w:r>
      <w:r w:rsidRPr="00EB6A4A" w:rsidDel="0074427F">
        <w:rPr>
          <w:rFonts w:ascii="Times New Roman" w:hAnsi="Times New Roman"/>
          <w:sz w:val="24"/>
          <w:szCs w:val="24"/>
        </w:rPr>
        <w:t xml:space="preserve"> </w:t>
      </w:r>
      <w:r w:rsidRPr="00EB6A4A">
        <w:rPr>
          <w:rFonts w:ascii="Times New Roman" w:hAnsi="Times New Roman"/>
          <w:sz w:val="24"/>
          <w:szCs w:val="24"/>
        </w:rPr>
        <w:t>is now collected under</w:t>
      </w:r>
      <w:r w:rsidR="00287F47" w:rsidRPr="00EB6A4A">
        <w:rPr>
          <w:rFonts w:ascii="Times New Roman" w:hAnsi="Times New Roman"/>
          <w:sz w:val="24"/>
          <w:szCs w:val="24"/>
        </w:rPr>
        <w:t xml:space="preserve"> </w:t>
      </w:r>
      <w:r w:rsidR="00B05398">
        <w:rPr>
          <w:rFonts w:ascii="Times New Roman" w:hAnsi="Times New Roman"/>
          <w:sz w:val="24"/>
          <w:szCs w:val="24"/>
        </w:rPr>
        <w:t xml:space="preserve">the </w:t>
      </w:r>
      <w:r w:rsidR="00AC636A">
        <w:rPr>
          <w:rFonts w:ascii="Times New Roman" w:hAnsi="Times New Roman"/>
          <w:sz w:val="24"/>
          <w:szCs w:val="24"/>
        </w:rPr>
        <w:t>N</w:t>
      </w:r>
      <w:r w:rsidR="00287F47" w:rsidRPr="00EB6A4A">
        <w:rPr>
          <w:rFonts w:ascii="Times New Roman" w:hAnsi="Times New Roman"/>
          <w:sz w:val="24"/>
          <w:szCs w:val="24"/>
        </w:rPr>
        <w:t xml:space="preserve">ew </w:t>
      </w:r>
      <w:r w:rsidR="00AC636A">
        <w:rPr>
          <w:rFonts w:ascii="Times New Roman" w:hAnsi="Times New Roman"/>
          <w:sz w:val="24"/>
          <w:szCs w:val="24"/>
        </w:rPr>
        <w:t>SRS 332.0</w:t>
      </w:r>
      <w:r w:rsidRPr="00EB6A4A">
        <w:rPr>
          <w:rFonts w:ascii="Times New Roman" w:hAnsi="Times New Roman" w:cs="Times New Roman"/>
          <w:sz w:val="24"/>
          <w:szCs w:val="24"/>
        </w:rPr>
        <w:t>.</w:t>
      </w:r>
      <w:r w:rsidR="00B05398">
        <w:rPr>
          <w:rFonts w:ascii="Times New Roman" w:hAnsi="Times New Roman" w:cs="Times New Roman"/>
          <w:sz w:val="24"/>
          <w:szCs w:val="24"/>
        </w:rPr>
        <w:t xml:space="preserve"> </w:t>
      </w:r>
      <w:r w:rsidR="00B22009">
        <w:rPr>
          <w:rFonts w:ascii="Times New Roman" w:hAnsi="Times New Roman" w:cs="Times New Roman"/>
          <w:sz w:val="24"/>
          <w:szCs w:val="24"/>
        </w:rPr>
        <w:t>This will reduce duplication of reporting for RSE</w:t>
      </w:r>
      <w:r w:rsidR="008B73C8">
        <w:rPr>
          <w:rFonts w:ascii="Times New Roman" w:hAnsi="Times New Roman" w:cs="Times New Roman"/>
          <w:sz w:val="24"/>
          <w:szCs w:val="24"/>
        </w:rPr>
        <w:t xml:space="preserve"> licensee</w:t>
      </w:r>
      <w:r w:rsidR="00B22009">
        <w:rPr>
          <w:rFonts w:ascii="Times New Roman" w:hAnsi="Times New Roman" w:cs="Times New Roman"/>
          <w:sz w:val="24"/>
          <w:szCs w:val="24"/>
        </w:rPr>
        <w:t>s.</w:t>
      </w:r>
    </w:p>
    <w:p w14:paraId="70BAF616" w14:textId="4C2CAF76" w:rsidR="000E7359" w:rsidRDefault="00756BB0" w:rsidP="00B22009">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New SRS 332.0 </w:t>
      </w:r>
      <w:r w:rsidR="00AC2335" w:rsidRPr="00AC2335">
        <w:rPr>
          <w:rFonts w:ascii="Times New Roman" w:hAnsi="Times New Roman" w:cs="Times New Roman"/>
          <w:sz w:val="24"/>
          <w:szCs w:val="24"/>
        </w:rPr>
        <w:t xml:space="preserve">requires reporting for reporting periods that </w:t>
      </w:r>
      <w:r w:rsidR="00673557">
        <w:rPr>
          <w:rFonts w:ascii="Times New Roman" w:hAnsi="Times New Roman" w:cs="Times New Roman"/>
          <w:sz w:val="24"/>
          <w:szCs w:val="24"/>
        </w:rPr>
        <w:t>commenced</w:t>
      </w:r>
      <w:r w:rsidR="00AC2335" w:rsidRPr="00AC2335">
        <w:rPr>
          <w:rFonts w:ascii="Times New Roman" w:hAnsi="Times New Roman" w:cs="Times New Roman"/>
          <w:sz w:val="24"/>
          <w:szCs w:val="24"/>
        </w:rPr>
        <w:t xml:space="preserve"> prior to the commencement of t</w:t>
      </w:r>
      <w:r w:rsidR="005B58BF">
        <w:rPr>
          <w:rFonts w:ascii="Times New Roman" w:hAnsi="Times New Roman" w:cs="Times New Roman"/>
          <w:sz w:val="24"/>
          <w:szCs w:val="24"/>
        </w:rPr>
        <w:t>he New SRS 332</w:t>
      </w:r>
      <w:r w:rsidR="007B7255">
        <w:rPr>
          <w:rFonts w:ascii="Times New Roman" w:hAnsi="Times New Roman" w:cs="Times New Roman"/>
          <w:sz w:val="24"/>
          <w:szCs w:val="24"/>
        </w:rPr>
        <w:t>.0</w:t>
      </w:r>
      <w:r w:rsidR="00AC2335" w:rsidRPr="00AC2335">
        <w:rPr>
          <w:rFonts w:ascii="Times New Roman" w:hAnsi="Times New Roman" w:cs="Times New Roman"/>
          <w:sz w:val="24"/>
          <w:szCs w:val="24"/>
        </w:rPr>
        <w:t>. Th</w:t>
      </w:r>
      <w:r w:rsidR="007B7255">
        <w:rPr>
          <w:rFonts w:ascii="Times New Roman" w:hAnsi="Times New Roman" w:cs="Times New Roman"/>
          <w:sz w:val="24"/>
          <w:szCs w:val="24"/>
        </w:rPr>
        <w:t xml:space="preserve">e New SRS 332.0 </w:t>
      </w:r>
      <w:r w:rsidR="00AC2335" w:rsidRPr="00AC2335">
        <w:rPr>
          <w:rFonts w:ascii="Times New Roman" w:hAnsi="Times New Roman" w:cs="Times New Roman"/>
          <w:sz w:val="24"/>
          <w:szCs w:val="24"/>
        </w:rPr>
        <w:t xml:space="preserve">is not retrospective in operation as the obligation to report on these reporting periods commences from, and not prior to, the commencement of the </w:t>
      </w:r>
      <w:r w:rsidR="007B7255">
        <w:rPr>
          <w:rFonts w:ascii="Times New Roman" w:hAnsi="Times New Roman" w:cs="Times New Roman"/>
          <w:sz w:val="24"/>
          <w:szCs w:val="24"/>
        </w:rPr>
        <w:t>New SRS 332.0</w:t>
      </w:r>
      <w:r w:rsidR="00AC2335" w:rsidRPr="00AC2335">
        <w:rPr>
          <w:rFonts w:ascii="Times New Roman" w:hAnsi="Times New Roman" w:cs="Times New Roman"/>
          <w:sz w:val="24"/>
          <w:szCs w:val="24"/>
        </w:rPr>
        <w:t>.</w:t>
      </w:r>
    </w:p>
    <w:p w14:paraId="46636AA7" w14:textId="77777777" w:rsidR="00985E63" w:rsidRPr="004B2060" w:rsidRDefault="00985E63" w:rsidP="00985E63">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6EFF516C" w14:textId="77777777" w:rsidR="00985E63" w:rsidRPr="002E123D" w:rsidRDefault="00985E63" w:rsidP="00985E63">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53E38462" w14:textId="4A3A6816" w:rsidR="00985E63" w:rsidRPr="002E123D" w:rsidRDefault="00985E63" w:rsidP="00985E63">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w:t>
      </w:r>
      <w:r w:rsidR="001C39B8">
        <w:rPr>
          <w:rFonts w:ascii="Times New Roman" w:hAnsi="Times New Roman" w:cs="Times New Roman"/>
          <w:sz w:val="24"/>
          <w:szCs w:val="24"/>
        </w:rPr>
        <w:t>authority</w:t>
      </w:r>
      <w:r w:rsidR="001C39B8" w:rsidRPr="002E123D">
        <w:rPr>
          <w:rFonts w:ascii="Times New Roman" w:hAnsi="Times New Roman" w:cs="Times New Roman"/>
          <w:sz w:val="24"/>
          <w:szCs w:val="24"/>
        </w:rPr>
        <w:t xml:space="preserve"> </w:t>
      </w:r>
      <w:r w:rsidRPr="002E123D">
        <w:rPr>
          <w:rFonts w:ascii="Times New Roman" w:hAnsi="Times New Roman" w:cs="Times New Roman"/>
          <w:sz w:val="24"/>
          <w:szCs w:val="24"/>
        </w:rPr>
        <w:t xml:space="preserve">to determine reporting standards that are required to be complied with by </w:t>
      </w:r>
      <w:r w:rsidR="00556E63">
        <w:rPr>
          <w:rFonts w:ascii="Times New Roman" w:hAnsi="Times New Roman" w:cs="Times New Roman"/>
          <w:sz w:val="24"/>
          <w:szCs w:val="24"/>
        </w:rPr>
        <w:t>relevant</w:t>
      </w:r>
      <w:r w:rsidRPr="002E123D">
        <w:rPr>
          <w:rFonts w:ascii="Times New Roman" w:hAnsi="Times New Roman" w:cs="Times New Roman"/>
          <w:sz w:val="24"/>
          <w:szCs w:val="24"/>
        </w:rPr>
        <w:t xml:space="preserve"> financial sector entities under </w:t>
      </w:r>
      <w:r w:rsidR="0030523C">
        <w:rPr>
          <w:rFonts w:ascii="Times New Roman" w:hAnsi="Times New Roman" w:cs="Times New Roman"/>
          <w:sz w:val="24"/>
          <w:szCs w:val="24"/>
        </w:rPr>
        <w:t>section</w:t>
      </w:r>
      <w:r w:rsidRPr="002E123D">
        <w:rPr>
          <w:rFonts w:ascii="Times New Roman" w:hAnsi="Times New Roman" w:cs="Times New Roman"/>
          <w:sz w:val="24"/>
          <w:szCs w:val="24"/>
        </w:rPr>
        <w:t xml:space="preserve"> 13 of the Act.</w:t>
      </w:r>
    </w:p>
    <w:p w14:paraId="5A5A9006" w14:textId="77777777" w:rsidR="00985E63" w:rsidRPr="002E123D" w:rsidRDefault="00985E63" w:rsidP="00985E63">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5F5409A6" w14:textId="7E06E16B" w:rsidR="00985E63" w:rsidRDefault="00985E63" w:rsidP="00985E63">
      <w:pPr>
        <w:rPr>
          <w:rFonts w:ascii="Times New Roman" w:hAnsi="Times New Roman" w:cs="Times New Roman"/>
          <w:sz w:val="24"/>
          <w:szCs w:val="24"/>
        </w:rPr>
      </w:pPr>
      <w:r w:rsidRPr="53EF65BE">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prudential supervision </w:t>
      </w:r>
      <w:r w:rsidR="006B125D">
        <w:rPr>
          <w:rFonts w:ascii="Times New Roman" w:hAnsi="Times New Roman" w:cs="Times New Roman"/>
          <w:sz w:val="24"/>
          <w:szCs w:val="24"/>
        </w:rPr>
        <w:t>and publication. It may also be used by the Australian Securities and Investments Commission.</w:t>
      </w:r>
    </w:p>
    <w:p w14:paraId="36030C7B" w14:textId="5A6C2A7D" w:rsidR="00985E63" w:rsidRPr="002E123D" w:rsidRDefault="00985E63" w:rsidP="00985E63">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 paragraph 3</w:t>
      </w:r>
    </w:p>
    <w:p w14:paraId="2E02A918" w14:textId="6902CF23" w:rsidR="00985E63" w:rsidRDefault="00985E63" w:rsidP="00985E63">
      <w:pPr>
        <w:rPr>
          <w:rFonts w:ascii="Times New Roman" w:hAnsi="Times New Roman" w:cs="Times New Roman"/>
          <w:sz w:val="24"/>
          <w:szCs w:val="24"/>
        </w:rPr>
      </w:pPr>
      <w:r w:rsidRPr="53EF65BE">
        <w:rPr>
          <w:rFonts w:ascii="Times New Roman" w:hAnsi="Times New Roman" w:cs="Times New Roman"/>
          <w:sz w:val="24"/>
          <w:szCs w:val="24"/>
        </w:rPr>
        <w:t>This provision states which financial sector entities must comply with the reporting standard as permitted by section 13 of the Act.</w:t>
      </w:r>
    </w:p>
    <w:p w14:paraId="6F476E81" w14:textId="1D77A793" w:rsidR="00306BCD" w:rsidRPr="002E123D" w:rsidRDefault="00306BCD" w:rsidP="00306BC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C</w:t>
      </w:r>
      <w:r w:rsidRPr="002E123D">
        <w:rPr>
          <w:rFonts w:ascii="Times New Roman" w:hAnsi="Times New Roman" w:cs="Times New Roman"/>
          <w:i/>
          <w:sz w:val="24"/>
          <w:szCs w:val="24"/>
        </w:rPr>
        <w:t>ommencement – paragraph</w:t>
      </w:r>
      <w:r>
        <w:rPr>
          <w:rFonts w:ascii="Times New Roman" w:hAnsi="Times New Roman" w:cs="Times New Roman"/>
          <w:i/>
          <w:sz w:val="24"/>
          <w:szCs w:val="24"/>
        </w:rPr>
        <w:t xml:space="preserve"> 4</w:t>
      </w:r>
    </w:p>
    <w:p w14:paraId="64C7EB93" w14:textId="474DDCD4" w:rsidR="00306BCD" w:rsidRDefault="00161FE3" w:rsidP="007A5FCF">
      <w:pPr>
        <w:rPr>
          <w:rFonts w:ascii="Times New Roman" w:hAnsi="Times New Roman" w:cs="Times New Roman"/>
          <w:sz w:val="24"/>
          <w:szCs w:val="24"/>
        </w:rPr>
      </w:pPr>
      <w:r w:rsidRPr="007A5FCF">
        <w:rPr>
          <w:rFonts w:ascii="Times New Roman" w:hAnsi="Times New Roman" w:cs="Times New Roman"/>
          <w:sz w:val="24"/>
          <w:szCs w:val="24"/>
        </w:rPr>
        <w:t>This provision states when the reporting standard commences.</w:t>
      </w:r>
    </w:p>
    <w:p w14:paraId="7579F821" w14:textId="473921EB" w:rsidR="00306BCD" w:rsidRPr="002E123D" w:rsidRDefault="00306BCD" w:rsidP="00306BC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Reporting period</w:t>
      </w:r>
      <w:r w:rsidR="002E5AE9">
        <w:rPr>
          <w:rFonts w:ascii="Times New Roman" w:hAnsi="Times New Roman" w:cs="Times New Roman"/>
          <w:i/>
          <w:sz w:val="24"/>
          <w:szCs w:val="24"/>
        </w:rPr>
        <w:t>s</w:t>
      </w:r>
      <w:r w:rsidRPr="002E123D">
        <w:rPr>
          <w:rFonts w:ascii="Times New Roman" w:hAnsi="Times New Roman" w:cs="Times New Roman"/>
          <w:i/>
          <w:sz w:val="24"/>
          <w:szCs w:val="24"/>
        </w:rPr>
        <w:t xml:space="preserve"> – paragraph </w:t>
      </w:r>
      <w:r>
        <w:rPr>
          <w:rFonts w:ascii="Times New Roman" w:hAnsi="Times New Roman" w:cs="Times New Roman"/>
          <w:i/>
          <w:sz w:val="24"/>
          <w:szCs w:val="24"/>
        </w:rPr>
        <w:t>5</w:t>
      </w:r>
    </w:p>
    <w:p w14:paraId="6B4023F2" w14:textId="77777777" w:rsidR="002E5AE9" w:rsidRPr="002E5AE9" w:rsidRDefault="002E5AE9" w:rsidP="002E5AE9">
      <w:pPr>
        <w:numPr>
          <w:ilvl w:val="0"/>
          <w:numId w:val="0"/>
        </w:numPr>
        <w:outlineLvl w:val="5"/>
        <w:rPr>
          <w:rFonts w:ascii="Times New Roman" w:eastAsia="Times New Roman" w:hAnsi="Times New Roman" w:cs="Times New Roman"/>
          <w:i/>
          <w:iCs/>
          <w:sz w:val="24"/>
          <w:szCs w:val="24"/>
          <w:lang w:eastAsia="en-AU"/>
        </w:rPr>
      </w:pPr>
      <w:r w:rsidRPr="002E5AE9">
        <w:rPr>
          <w:rFonts w:ascii="Times New Roman" w:eastAsia="Times New Roman" w:hAnsi="Times New Roman" w:cs="Times New Roman"/>
          <w:sz w:val="24"/>
          <w:szCs w:val="24"/>
          <w:lang w:eastAsia="en-AU"/>
        </w:rPr>
        <w:t>Paragraph 13(2)(d) of the Act permits reporting standards determined by APRA to include matters related to the times as at which, or the periods to which, the information in reporting documents is to relate.</w:t>
      </w:r>
    </w:p>
    <w:p w14:paraId="16AFE145" w14:textId="0F59AEFE" w:rsidR="002E5AE9" w:rsidRPr="002E5AE9" w:rsidRDefault="002E5AE9" w:rsidP="002E5AE9">
      <w:pPr>
        <w:rPr>
          <w:rFonts w:eastAsia="Times New Roman" w:cs="Arial"/>
          <w:sz w:val="24"/>
          <w:szCs w:val="24"/>
          <w:lang w:eastAsia="en-AU"/>
        </w:rPr>
      </w:pPr>
      <w:r w:rsidRPr="002E5AE9">
        <w:rPr>
          <w:rFonts w:ascii="Times New Roman" w:eastAsia="Times New Roman" w:hAnsi="Times New Roman" w:cs="Times New Roman"/>
          <w:sz w:val="24"/>
          <w:szCs w:val="24"/>
          <w:lang w:eastAsia="en-AU"/>
        </w:rPr>
        <w:t xml:space="preserve">Paragraph 5 relies on this provision. Paragraph 5 </w:t>
      </w:r>
      <w:r w:rsidR="007F6270">
        <w:rPr>
          <w:rFonts w:ascii="Times New Roman" w:eastAsia="Times New Roman" w:hAnsi="Times New Roman" w:cs="Times New Roman"/>
          <w:sz w:val="24"/>
          <w:szCs w:val="24"/>
          <w:lang w:eastAsia="en-AU"/>
        </w:rPr>
        <w:t xml:space="preserve">specifies the </w:t>
      </w:r>
      <w:r w:rsidR="00DD43F9">
        <w:rPr>
          <w:rFonts w:ascii="Times New Roman" w:eastAsia="Times New Roman" w:hAnsi="Times New Roman" w:cs="Times New Roman"/>
          <w:sz w:val="24"/>
          <w:szCs w:val="24"/>
          <w:lang w:eastAsia="en-AU"/>
        </w:rPr>
        <w:t>reporting periods for which and the due dates by which</w:t>
      </w:r>
      <w:r w:rsidRPr="002E5AE9">
        <w:rPr>
          <w:rFonts w:ascii="Times New Roman" w:eastAsia="Times New Roman" w:hAnsi="Times New Roman" w:cs="Times New Roman"/>
          <w:sz w:val="24"/>
          <w:szCs w:val="24"/>
          <w:lang w:eastAsia="en-AU"/>
        </w:rPr>
        <w:t xml:space="preserve"> RSE licensees are to provide the information required by </w:t>
      </w:r>
      <w:r w:rsidR="00D17C76">
        <w:rPr>
          <w:rFonts w:ascii="Times New Roman" w:eastAsia="Times New Roman" w:hAnsi="Times New Roman" w:cs="Times New Roman"/>
          <w:sz w:val="24"/>
          <w:szCs w:val="24"/>
          <w:lang w:eastAsia="en-AU"/>
        </w:rPr>
        <w:t>the</w:t>
      </w:r>
      <w:r w:rsidRPr="002E5AE9">
        <w:rPr>
          <w:rFonts w:ascii="Times New Roman" w:eastAsia="Times New Roman" w:hAnsi="Times New Roman" w:cs="Times New Roman"/>
          <w:sz w:val="24"/>
          <w:szCs w:val="24"/>
          <w:lang w:eastAsia="en-AU"/>
        </w:rPr>
        <w:t xml:space="preserve"> </w:t>
      </w:r>
      <w:r w:rsidR="00171CB5">
        <w:rPr>
          <w:rFonts w:ascii="Times New Roman" w:eastAsia="Times New Roman" w:hAnsi="Times New Roman" w:cs="Times New Roman"/>
          <w:sz w:val="24"/>
          <w:szCs w:val="24"/>
          <w:lang w:eastAsia="en-AU"/>
        </w:rPr>
        <w:t>r</w:t>
      </w:r>
      <w:r w:rsidRPr="002E5AE9">
        <w:rPr>
          <w:rFonts w:ascii="Times New Roman" w:eastAsia="Times New Roman" w:hAnsi="Times New Roman" w:cs="Times New Roman"/>
          <w:sz w:val="24"/>
          <w:szCs w:val="24"/>
          <w:lang w:eastAsia="en-AU"/>
        </w:rPr>
        <w:t xml:space="preserve">eporting </w:t>
      </w:r>
      <w:r w:rsidR="00171CB5">
        <w:rPr>
          <w:rFonts w:ascii="Times New Roman" w:eastAsia="Times New Roman" w:hAnsi="Times New Roman" w:cs="Times New Roman"/>
          <w:sz w:val="24"/>
          <w:szCs w:val="24"/>
          <w:lang w:eastAsia="en-AU"/>
        </w:rPr>
        <w:t>s</w:t>
      </w:r>
      <w:r w:rsidRPr="002E5AE9">
        <w:rPr>
          <w:rFonts w:ascii="Times New Roman" w:eastAsia="Times New Roman" w:hAnsi="Times New Roman" w:cs="Times New Roman"/>
          <w:sz w:val="24"/>
          <w:szCs w:val="24"/>
          <w:lang w:eastAsia="en-AU"/>
        </w:rPr>
        <w:t>tandard.</w:t>
      </w:r>
    </w:p>
    <w:p w14:paraId="076517C0" w14:textId="02509318" w:rsidR="00F64934" w:rsidRPr="00483B52" w:rsidRDefault="00F64934" w:rsidP="00483B52">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Notices</w:t>
      </w:r>
      <w:r w:rsidR="00483B52" w:rsidRPr="00483B52">
        <w:rPr>
          <w:rFonts w:ascii="Times New Roman" w:hAnsi="Times New Roman" w:cs="Times New Roman"/>
          <w:i/>
          <w:sz w:val="24"/>
          <w:szCs w:val="24"/>
        </w:rPr>
        <w:t xml:space="preserve"> </w:t>
      </w:r>
      <w:r w:rsidRPr="00483B52">
        <w:rPr>
          <w:rFonts w:ascii="Times New Roman" w:hAnsi="Times New Roman" w:cs="Times New Roman"/>
          <w:i/>
          <w:sz w:val="24"/>
          <w:szCs w:val="24"/>
        </w:rPr>
        <w:t xml:space="preserve">– paragraphs </w:t>
      </w:r>
      <w:r w:rsidR="00953ED1">
        <w:rPr>
          <w:rFonts w:ascii="Times New Roman" w:hAnsi="Times New Roman" w:cs="Times New Roman"/>
          <w:i/>
          <w:sz w:val="24"/>
          <w:szCs w:val="24"/>
        </w:rPr>
        <w:t>6</w:t>
      </w:r>
      <w:r w:rsidRPr="00483B52">
        <w:rPr>
          <w:rFonts w:ascii="Times New Roman" w:hAnsi="Times New Roman" w:cs="Times New Roman"/>
          <w:i/>
          <w:sz w:val="24"/>
          <w:szCs w:val="24"/>
        </w:rPr>
        <w:t xml:space="preserve"> – </w:t>
      </w:r>
      <w:r w:rsidR="00953ED1">
        <w:rPr>
          <w:rFonts w:ascii="Times New Roman" w:hAnsi="Times New Roman" w:cs="Times New Roman"/>
          <w:i/>
          <w:sz w:val="24"/>
          <w:szCs w:val="24"/>
        </w:rPr>
        <w:t>8</w:t>
      </w:r>
    </w:p>
    <w:p w14:paraId="4C4CD6D9" w14:textId="4DC89BA6" w:rsidR="00F64934" w:rsidRPr="00FC5274" w:rsidRDefault="00F64934" w:rsidP="00F64934">
      <w:pPr>
        <w:rPr>
          <w:rFonts w:ascii="Times New Roman" w:eastAsia="Times New Roman" w:hAnsi="Times New Roman" w:cs="Times New Roman"/>
          <w:sz w:val="24"/>
          <w:szCs w:val="24"/>
          <w:lang w:eastAsia="en-AU"/>
        </w:rPr>
      </w:pPr>
      <w:r w:rsidRPr="00FC5274">
        <w:rPr>
          <w:rFonts w:ascii="Times New Roman" w:eastAsia="Times New Roman" w:hAnsi="Times New Roman" w:cs="Times New Roman"/>
          <w:sz w:val="24"/>
          <w:szCs w:val="24"/>
          <w:lang w:eastAsia="en-AU"/>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p>
    <w:p w14:paraId="3ADB2237" w14:textId="20F6DBB2" w:rsidR="00F64934" w:rsidRPr="00FC5274" w:rsidRDefault="00F64934" w:rsidP="00F64934">
      <w:pPr>
        <w:rPr>
          <w:rFonts w:ascii="Times New Roman" w:eastAsia="Times New Roman" w:hAnsi="Times New Roman" w:cs="Times New Roman"/>
          <w:sz w:val="24"/>
          <w:szCs w:val="24"/>
          <w:lang w:eastAsia="en-AU"/>
        </w:rPr>
      </w:pPr>
      <w:r w:rsidRPr="00FC5274">
        <w:rPr>
          <w:rFonts w:ascii="Times New Roman" w:eastAsia="Times New Roman" w:hAnsi="Times New Roman" w:cs="Times New Roman"/>
          <w:sz w:val="24"/>
          <w:szCs w:val="24"/>
          <w:lang w:eastAsia="en-AU"/>
        </w:rPr>
        <w:lastRenderedPageBreak/>
        <w:t xml:space="preserve">Paragraph </w:t>
      </w:r>
      <w:r w:rsidR="009D527B">
        <w:rPr>
          <w:rFonts w:ascii="Times New Roman" w:eastAsia="Times New Roman" w:hAnsi="Times New Roman" w:cs="Times New Roman"/>
          <w:sz w:val="24"/>
          <w:szCs w:val="24"/>
          <w:lang w:eastAsia="en-AU"/>
        </w:rPr>
        <w:t>6</w:t>
      </w:r>
      <w:r w:rsidRPr="00FC5274">
        <w:rPr>
          <w:rFonts w:ascii="Times New Roman" w:eastAsia="Times New Roman" w:hAnsi="Times New Roman" w:cs="Times New Roman"/>
          <w:sz w:val="24"/>
          <w:szCs w:val="24"/>
          <w:lang w:eastAsia="en-AU"/>
        </w:rPr>
        <w:t xml:space="preserve"> provides for APRA to vary the reporting periods mentioned in paragraph 5 in writing, if, having regard to the particular circumstances of a financial sector entity, APRA considers it necessary or desirable to obtain information at a different frequency than stated in paragraph 5. Paragraph </w:t>
      </w:r>
      <w:r w:rsidR="009D527B">
        <w:rPr>
          <w:rFonts w:ascii="Times New Roman" w:eastAsia="Times New Roman" w:hAnsi="Times New Roman" w:cs="Times New Roman"/>
          <w:sz w:val="24"/>
          <w:szCs w:val="24"/>
          <w:lang w:eastAsia="en-AU"/>
        </w:rPr>
        <w:t>7</w:t>
      </w:r>
      <w:r w:rsidRPr="00FC5274">
        <w:rPr>
          <w:rFonts w:ascii="Times New Roman" w:eastAsia="Times New Roman" w:hAnsi="Times New Roman" w:cs="Times New Roman"/>
          <w:sz w:val="24"/>
          <w:szCs w:val="24"/>
          <w:lang w:eastAsia="en-AU"/>
        </w:rPr>
        <w:t xml:space="preserve"> also states that in the case of information provided in accordance with paragraph </w:t>
      </w:r>
      <w:r w:rsidR="009D527B">
        <w:rPr>
          <w:rFonts w:ascii="Times New Roman" w:eastAsia="Times New Roman" w:hAnsi="Times New Roman" w:cs="Times New Roman"/>
          <w:sz w:val="24"/>
          <w:szCs w:val="24"/>
          <w:lang w:eastAsia="en-AU"/>
        </w:rPr>
        <w:t>6</w:t>
      </w:r>
      <w:r w:rsidRPr="00FC5274">
        <w:rPr>
          <w:rFonts w:ascii="Times New Roman" w:eastAsia="Times New Roman" w:hAnsi="Times New Roman" w:cs="Times New Roman"/>
          <w:sz w:val="24"/>
          <w:szCs w:val="24"/>
          <w:lang w:eastAsia="en-AU"/>
        </w:rPr>
        <w:t xml:space="preserve">, the due date will be as stated on the written notice. Paragraph </w:t>
      </w:r>
      <w:r w:rsidR="001B4D68">
        <w:rPr>
          <w:rFonts w:ascii="Times New Roman" w:eastAsia="Times New Roman" w:hAnsi="Times New Roman" w:cs="Times New Roman"/>
          <w:sz w:val="24"/>
          <w:szCs w:val="24"/>
          <w:lang w:eastAsia="en-AU"/>
        </w:rPr>
        <w:t>8</w:t>
      </w:r>
      <w:r w:rsidRPr="00FC5274">
        <w:rPr>
          <w:rFonts w:ascii="Times New Roman" w:eastAsia="Times New Roman" w:hAnsi="Times New Roman" w:cs="Times New Roman"/>
          <w:sz w:val="24"/>
          <w:szCs w:val="24"/>
          <w:lang w:eastAsia="en-AU"/>
        </w:rPr>
        <w:t xml:space="preserve"> states that APRA may grant an extension of a due date in writing.</w:t>
      </w:r>
    </w:p>
    <w:p w14:paraId="03BC7A97" w14:textId="014EB429" w:rsidR="00F64934" w:rsidRPr="00FC5274" w:rsidRDefault="00F64934" w:rsidP="00F64934">
      <w:pPr>
        <w:rPr>
          <w:rFonts w:ascii="Times New Roman" w:eastAsia="Times New Roman" w:hAnsi="Times New Roman" w:cs="Times New Roman"/>
          <w:i/>
          <w:iCs/>
          <w:sz w:val="24"/>
          <w:szCs w:val="24"/>
          <w:lang w:eastAsia="en-AU"/>
        </w:rPr>
      </w:pPr>
      <w:r w:rsidRPr="00FC5274">
        <w:rPr>
          <w:rFonts w:ascii="Times New Roman" w:eastAsia="Times New Roman" w:hAnsi="Times New Roman" w:cs="Times New Roman"/>
          <w:i/>
          <w:iCs/>
          <w:sz w:val="24"/>
          <w:szCs w:val="24"/>
          <w:lang w:eastAsia="en-AU"/>
        </w:rPr>
        <w:t xml:space="preserve">Form and method of submission – paragraph </w:t>
      </w:r>
      <w:r w:rsidR="00AC78FC">
        <w:rPr>
          <w:rFonts w:ascii="Times New Roman" w:eastAsia="Times New Roman" w:hAnsi="Times New Roman" w:cs="Times New Roman"/>
          <w:i/>
          <w:iCs/>
          <w:sz w:val="24"/>
          <w:szCs w:val="24"/>
          <w:lang w:eastAsia="en-AU"/>
        </w:rPr>
        <w:t>9</w:t>
      </w:r>
    </w:p>
    <w:p w14:paraId="70B7A7D4" w14:textId="77777777" w:rsidR="00F64934" w:rsidRPr="00FC5274" w:rsidRDefault="00F64934" w:rsidP="00F64934">
      <w:pPr>
        <w:rPr>
          <w:rFonts w:ascii="Times New Roman" w:eastAsia="Times New Roman" w:hAnsi="Times New Roman" w:cs="Times New Roman"/>
          <w:sz w:val="24"/>
          <w:szCs w:val="24"/>
          <w:lang w:eastAsia="en-AU"/>
        </w:rPr>
      </w:pPr>
      <w:r w:rsidRPr="00FC5274">
        <w:rPr>
          <w:rFonts w:ascii="Times New Roman" w:eastAsia="Times New Roman" w:hAnsi="Times New Roman" w:cs="Times New Roman"/>
          <w:sz w:val="24"/>
          <w:szCs w:val="24"/>
          <w:lang w:eastAsia="en-AU"/>
        </w:rPr>
        <w:t>This provision specifies how information required by the reporting standard must be given to APRA as provided for in paragraph 13(2)(e) of the Act.</w:t>
      </w:r>
    </w:p>
    <w:p w14:paraId="50AE59F7" w14:textId="4DDF78FC" w:rsidR="00F64934" w:rsidRPr="00483B52" w:rsidRDefault="00F64934" w:rsidP="00483B52">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Quality control – paragraphs 1</w:t>
      </w:r>
      <w:r w:rsidR="00AC78FC">
        <w:rPr>
          <w:rFonts w:ascii="Times New Roman" w:hAnsi="Times New Roman" w:cs="Times New Roman"/>
          <w:i/>
          <w:sz w:val="24"/>
          <w:szCs w:val="24"/>
        </w:rPr>
        <w:t>0</w:t>
      </w:r>
      <w:r w:rsidRPr="00483B52">
        <w:rPr>
          <w:rFonts w:ascii="Times New Roman" w:hAnsi="Times New Roman" w:cs="Times New Roman"/>
          <w:i/>
          <w:sz w:val="24"/>
          <w:szCs w:val="24"/>
        </w:rPr>
        <w:t>-1</w:t>
      </w:r>
      <w:r w:rsidR="00AC78FC">
        <w:rPr>
          <w:rFonts w:ascii="Times New Roman" w:hAnsi="Times New Roman" w:cs="Times New Roman"/>
          <w:i/>
          <w:sz w:val="24"/>
          <w:szCs w:val="24"/>
        </w:rPr>
        <w:t>1</w:t>
      </w:r>
    </w:p>
    <w:p w14:paraId="4BBE2C93" w14:textId="2B12E386" w:rsidR="00F64934" w:rsidRPr="00483B52" w:rsidRDefault="00F64934" w:rsidP="00F64934">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Paragraph 1</w:t>
      </w:r>
      <w:r w:rsidR="00AC78FC">
        <w:rPr>
          <w:rFonts w:ascii="Times New Roman" w:eastAsia="Times New Roman" w:hAnsi="Times New Roman" w:cs="Times New Roman"/>
          <w:sz w:val="24"/>
          <w:szCs w:val="24"/>
          <w:lang w:eastAsia="en-AU"/>
        </w:rPr>
        <w:t>0</w:t>
      </w:r>
      <w:r w:rsidRPr="00483B52">
        <w:rPr>
          <w:rFonts w:ascii="Times New Roman" w:eastAsia="Times New Roman" w:hAnsi="Times New Roman" w:cs="Times New Roman"/>
          <w:sz w:val="24"/>
          <w:szCs w:val="24"/>
          <w:lang w:eastAsia="en-AU"/>
        </w:rPr>
        <w:t xml:space="preserve"> states that information provided to APRA under this reporting standard must be the product of systems, processes and controls that have been reviewed and tested by the RSE auditor of the RSE, or defined benefit RSE to which the information relates.</w:t>
      </w:r>
    </w:p>
    <w:p w14:paraId="59C0E70E" w14:textId="74FF88BA" w:rsidR="00F64934" w:rsidRPr="00483B52" w:rsidRDefault="00F64934" w:rsidP="00F64934">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Paragraph 1</w:t>
      </w:r>
      <w:r w:rsidR="00AC78FC">
        <w:rPr>
          <w:rFonts w:ascii="Times New Roman" w:eastAsia="Times New Roman" w:hAnsi="Times New Roman" w:cs="Times New Roman"/>
          <w:sz w:val="24"/>
          <w:szCs w:val="24"/>
          <w:lang w:eastAsia="en-AU"/>
        </w:rPr>
        <w:t>1</w:t>
      </w:r>
      <w:r w:rsidRPr="00483B52">
        <w:rPr>
          <w:rFonts w:ascii="Times New Roman" w:eastAsia="Times New Roman" w:hAnsi="Times New Roman" w:cs="Times New Roman"/>
          <w:sz w:val="24"/>
          <w:szCs w:val="24"/>
          <w:lang w:eastAsia="en-AU"/>
        </w:rPr>
        <w:t xml:space="preserve"> states that information provided under this reporting standard must be subject to systems, processes and controls developed by the entity for the internal review and authorisation of that information.</w:t>
      </w:r>
    </w:p>
    <w:p w14:paraId="586CF441" w14:textId="26323713" w:rsidR="00F64934" w:rsidRPr="00483B52" w:rsidRDefault="00F64934" w:rsidP="00483B52">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Authorisation – paragraphs 1</w:t>
      </w:r>
      <w:r w:rsidR="00AC78FC">
        <w:rPr>
          <w:rFonts w:ascii="Times New Roman" w:hAnsi="Times New Roman" w:cs="Times New Roman"/>
          <w:i/>
          <w:sz w:val="24"/>
          <w:szCs w:val="24"/>
        </w:rPr>
        <w:t>2</w:t>
      </w:r>
      <w:r w:rsidRPr="00483B52">
        <w:rPr>
          <w:rFonts w:ascii="Times New Roman" w:hAnsi="Times New Roman" w:cs="Times New Roman"/>
          <w:i/>
          <w:sz w:val="24"/>
          <w:szCs w:val="24"/>
        </w:rPr>
        <w:t>– 1</w:t>
      </w:r>
      <w:r w:rsidR="00AC78FC">
        <w:rPr>
          <w:rFonts w:ascii="Times New Roman" w:hAnsi="Times New Roman" w:cs="Times New Roman"/>
          <w:i/>
          <w:sz w:val="24"/>
          <w:szCs w:val="24"/>
        </w:rPr>
        <w:t>4</w:t>
      </w:r>
    </w:p>
    <w:p w14:paraId="66E3383A" w14:textId="01E8F04E" w:rsidR="00F64934" w:rsidRPr="00483B52" w:rsidRDefault="00F64934" w:rsidP="00F64934">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Paragraphs 1</w:t>
      </w:r>
      <w:r w:rsidR="00AC78FC">
        <w:rPr>
          <w:rFonts w:ascii="Times New Roman" w:eastAsia="Times New Roman" w:hAnsi="Times New Roman" w:cs="Times New Roman"/>
          <w:sz w:val="24"/>
          <w:szCs w:val="24"/>
          <w:lang w:eastAsia="en-AU"/>
        </w:rPr>
        <w:t>2</w:t>
      </w:r>
      <w:r w:rsidRPr="00483B52">
        <w:rPr>
          <w:rFonts w:ascii="Times New Roman" w:eastAsia="Times New Roman" w:hAnsi="Times New Roman" w:cs="Times New Roman"/>
          <w:sz w:val="24"/>
          <w:szCs w:val="24"/>
          <w:lang w:eastAsia="en-AU"/>
        </w:rPr>
        <w:t xml:space="preserve"> – 1</w:t>
      </w:r>
      <w:r w:rsidR="00AC78FC">
        <w:rPr>
          <w:rFonts w:ascii="Times New Roman" w:eastAsia="Times New Roman" w:hAnsi="Times New Roman" w:cs="Times New Roman"/>
          <w:sz w:val="24"/>
          <w:szCs w:val="24"/>
          <w:lang w:eastAsia="en-AU"/>
        </w:rPr>
        <w:t>4</w:t>
      </w:r>
      <w:r w:rsidRPr="00483B52">
        <w:rPr>
          <w:rFonts w:ascii="Times New Roman" w:eastAsia="Times New Roman" w:hAnsi="Times New Roman" w:cs="Times New Roman"/>
          <w:sz w:val="24"/>
          <w:szCs w:val="24"/>
          <w:lang w:eastAsia="en-AU"/>
        </w:rPr>
        <w:t xml:space="preserve"> state how information provided to APRA should be authenticated and who is authorised to provide information to APRA for a financial sector entity, and a requirement for RSE licensees to retain a copy of any information provided to APRA on their behalf.</w:t>
      </w:r>
    </w:p>
    <w:p w14:paraId="35F10860" w14:textId="4D9E4FB2" w:rsidR="00F64934" w:rsidRPr="00483B52" w:rsidRDefault="00F64934" w:rsidP="00483B52">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Minor alterations to forms and instructions – paragraphs 1</w:t>
      </w:r>
      <w:r w:rsidR="00AC78FC">
        <w:rPr>
          <w:rFonts w:ascii="Times New Roman" w:hAnsi="Times New Roman" w:cs="Times New Roman"/>
          <w:i/>
          <w:sz w:val="24"/>
          <w:szCs w:val="24"/>
        </w:rPr>
        <w:t>5</w:t>
      </w:r>
      <w:r w:rsidRPr="00483B52">
        <w:rPr>
          <w:rFonts w:ascii="Times New Roman" w:hAnsi="Times New Roman" w:cs="Times New Roman"/>
          <w:i/>
          <w:sz w:val="24"/>
          <w:szCs w:val="24"/>
        </w:rPr>
        <w:t xml:space="preserve"> – 1</w:t>
      </w:r>
      <w:r w:rsidR="00AC78FC">
        <w:rPr>
          <w:rFonts w:ascii="Times New Roman" w:hAnsi="Times New Roman" w:cs="Times New Roman"/>
          <w:i/>
          <w:sz w:val="24"/>
          <w:szCs w:val="24"/>
        </w:rPr>
        <w:t>6</w:t>
      </w:r>
    </w:p>
    <w:p w14:paraId="7ADB15A6" w14:textId="17D7225E" w:rsidR="00F64934" w:rsidRDefault="00F64934" w:rsidP="00F64934">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Paragraph 1</w:t>
      </w:r>
      <w:r w:rsidR="00AC78FC">
        <w:rPr>
          <w:rFonts w:ascii="Times New Roman" w:eastAsia="Times New Roman" w:hAnsi="Times New Roman" w:cs="Times New Roman"/>
          <w:sz w:val="24"/>
          <w:szCs w:val="24"/>
          <w:lang w:eastAsia="en-AU"/>
        </w:rPr>
        <w:t>5</w:t>
      </w:r>
      <w:r w:rsidRPr="00483B52">
        <w:rPr>
          <w:rFonts w:ascii="Times New Roman" w:eastAsia="Times New Roman" w:hAnsi="Times New Roman" w:cs="Times New Roman"/>
          <w:sz w:val="24"/>
          <w:szCs w:val="24"/>
          <w:lang w:eastAsia="en-AU"/>
        </w:rPr>
        <w:t xml:space="preserve"> states that APRA may vary the requirements of this reporting standard in relation to a financial sector entity in writing, as provided for in paragraph 13(2)(f) of the Act. Paragraph 1</w:t>
      </w:r>
      <w:r w:rsidR="00AC78FC">
        <w:rPr>
          <w:rFonts w:ascii="Times New Roman" w:eastAsia="Times New Roman" w:hAnsi="Times New Roman" w:cs="Times New Roman"/>
          <w:sz w:val="24"/>
          <w:szCs w:val="24"/>
          <w:lang w:eastAsia="en-AU"/>
        </w:rPr>
        <w:t>6</w:t>
      </w:r>
      <w:r w:rsidRPr="00483B52">
        <w:rPr>
          <w:rFonts w:ascii="Times New Roman" w:eastAsia="Times New Roman" w:hAnsi="Times New Roman" w:cs="Times New Roman"/>
          <w:sz w:val="24"/>
          <w:szCs w:val="24"/>
          <w:lang w:eastAsia="en-AU"/>
        </w:rPr>
        <w:t xml:space="preserve"> states APRA must notify entities if it makes such a variation.</w:t>
      </w:r>
    </w:p>
    <w:p w14:paraId="73FDED72" w14:textId="3F3FD767" w:rsidR="00AC78FC" w:rsidRPr="009223EB" w:rsidRDefault="00AC78FC" w:rsidP="00AC78FC">
      <w:pPr>
        <w:numPr>
          <w:ilvl w:val="0"/>
          <w:numId w:val="0"/>
        </w:numPr>
        <w:outlineLvl w:val="5"/>
        <w:rPr>
          <w:rFonts w:ascii="Times New Roman" w:hAnsi="Times New Roman" w:cs="Times New Roman"/>
          <w:i/>
          <w:color w:val="auto"/>
          <w:sz w:val="24"/>
          <w:szCs w:val="24"/>
        </w:rPr>
      </w:pPr>
      <w:r w:rsidRPr="009223EB">
        <w:rPr>
          <w:rFonts w:ascii="Times New Roman" w:hAnsi="Times New Roman" w:cs="Times New Roman"/>
          <w:i/>
          <w:color w:val="auto"/>
          <w:sz w:val="24"/>
          <w:szCs w:val="24"/>
        </w:rPr>
        <w:t>Transition – paragraph 17</w:t>
      </w:r>
    </w:p>
    <w:p w14:paraId="2C3A1A8E" w14:textId="3F3B46CF" w:rsidR="005126A4" w:rsidRPr="00A8515E" w:rsidRDefault="005126A4" w:rsidP="00CD59CB">
      <w:pPr>
        <w:rPr>
          <w:rFonts w:ascii="Times New Roman" w:hAnsi="Times New Roman" w:cs="Times New Roman"/>
          <w:sz w:val="24"/>
          <w:szCs w:val="24"/>
        </w:rPr>
      </w:pPr>
      <w:r w:rsidRPr="00A8515E">
        <w:rPr>
          <w:rFonts w:ascii="Times New Roman" w:hAnsi="Times New Roman" w:cs="Times New Roman"/>
          <w:sz w:val="24"/>
          <w:szCs w:val="24"/>
        </w:rPr>
        <w:t xml:space="preserve">Paragraph 17 clarifies that </w:t>
      </w:r>
      <w:r w:rsidR="00F90EB7">
        <w:rPr>
          <w:rFonts w:ascii="Times New Roman" w:hAnsi="Times New Roman" w:cs="Times New Roman"/>
          <w:sz w:val="24"/>
          <w:szCs w:val="24"/>
        </w:rPr>
        <w:t>RSE licensees</w:t>
      </w:r>
      <w:r w:rsidRPr="00A8515E">
        <w:rPr>
          <w:rFonts w:ascii="Times New Roman" w:hAnsi="Times New Roman" w:cs="Times New Roman"/>
          <w:sz w:val="24"/>
          <w:szCs w:val="24"/>
        </w:rPr>
        <w:t xml:space="preserve"> must continue to report under </w:t>
      </w:r>
      <w:r w:rsidR="009F1402">
        <w:rPr>
          <w:rFonts w:ascii="Times New Roman" w:hAnsi="Times New Roman" w:cs="Times New Roman"/>
          <w:sz w:val="24"/>
          <w:szCs w:val="24"/>
        </w:rPr>
        <w:t xml:space="preserve">SRS 332.0 </w:t>
      </w:r>
      <w:r w:rsidR="006A1EBC">
        <w:rPr>
          <w:rFonts w:ascii="Times New Roman" w:hAnsi="Times New Roman" w:cs="Times New Roman"/>
          <w:sz w:val="24"/>
          <w:szCs w:val="24"/>
        </w:rPr>
        <w:t>in respect of a transitional reporting period, being a reporting period</w:t>
      </w:r>
      <w:r w:rsidRPr="00A8515E">
        <w:rPr>
          <w:rFonts w:ascii="Times New Roman" w:hAnsi="Times New Roman" w:cs="Times New Roman"/>
          <w:sz w:val="24"/>
          <w:szCs w:val="24"/>
        </w:rPr>
        <w:t xml:space="preserve"> that ended before 30 </w:t>
      </w:r>
      <w:r w:rsidR="003B0901">
        <w:rPr>
          <w:rFonts w:ascii="Times New Roman" w:hAnsi="Times New Roman" w:cs="Times New Roman"/>
          <w:sz w:val="24"/>
          <w:szCs w:val="24"/>
        </w:rPr>
        <w:t>June</w:t>
      </w:r>
      <w:r w:rsidRPr="00A8515E">
        <w:rPr>
          <w:rFonts w:ascii="Times New Roman" w:hAnsi="Times New Roman" w:cs="Times New Roman"/>
          <w:sz w:val="24"/>
          <w:szCs w:val="24"/>
        </w:rPr>
        <w:t xml:space="preserve"> 202</w:t>
      </w:r>
      <w:r w:rsidR="003B0901">
        <w:rPr>
          <w:rFonts w:ascii="Times New Roman" w:hAnsi="Times New Roman" w:cs="Times New Roman"/>
          <w:sz w:val="24"/>
          <w:szCs w:val="24"/>
        </w:rPr>
        <w:t>5</w:t>
      </w:r>
      <w:r w:rsidR="000044EB">
        <w:rPr>
          <w:rFonts w:ascii="Times New Roman" w:hAnsi="Times New Roman" w:cs="Times New Roman"/>
          <w:sz w:val="24"/>
          <w:szCs w:val="24"/>
        </w:rPr>
        <w:t xml:space="preserve"> and in relation to which a RSE licensee </w:t>
      </w:r>
      <w:r w:rsidR="00B859B0">
        <w:rPr>
          <w:rFonts w:ascii="Times New Roman" w:hAnsi="Times New Roman" w:cs="Times New Roman"/>
          <w:sz w:val="24"/>
          <w:szCs w:val="24"/>
        </w:rPr>
        <w:t>was required under SRS 332.0 to report by a date on or after the date on which SRS 332.0 was revoked</w:t>
      </w:r>
      <w:r w:rsidRPr="00A8515E">
        <w:rPr>
          <w:rFonts w:ascii="Times New Roman" w:hAnsi="Times New Roman" w:cs="Times New Roman"/>
          <w:sz w:val="24"/>
          <w:szCs w:val="24"/>
        </w:rPr>
        <w:t>.</w:t>
      </w:r>
    </w:p>
    <w:p w14:paraId="41DA8C26" w14:textId="6BADC265" w:rsidR="00F64934" w:rsidRPr="00483B52" w:rsidRDefault="00F64934" w:rsidP="00483B52">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 xml:space="preserve">Interpretation – paragraphs </w:t>
      </w:r>
      <w:r w:rsidR="00337A18">
        <w:rPr>
          <w:rFonts w:ascii="Times New Roman" w:hAnsi="Times New Roman" w:cs="Times New Roman"/>
          <w:i/>
          <w:sz w:val="24"/>
          <w:szCs w:val="24"/>
        </w:rPr>
        <w:t>18</w:t>
      </w:r>
      <w:r w:rsidRPr="00483B52">
        <w:rPr>
          <w:rFonts w:ascii="Times New Roman" w:hAnsi="Times New Roman" w:cs="Times New Roman"/>
          <w:i/>
          <w:sz w:val="24"/>
          <w:szCs w:val="24"/>
        </w:rPr>
        <w:t xml:space="preserve"> – 2</w:t>
      </w:r>
      <w:r w:rsidR="00337A18">
        <w:rPr>
          <w:rFonts w:ascii="Times New Roman" w:hAnsi="Times New Roman" w:cs="Times New Roman"/>
          <w:i/>
          <w:sz w:val="24"/>
          <w:szCs w:val="24"/>
        </w:rPr>
        <w:t>0</w:t>
      </w:r>
    </w:p>
    <w:p w14:paraId="783F579B" w14:textId="51BC07F1" w:rsidR="00F64934" w:rsidRPr="00483B52" w:rsidRDefault="00F64934" w:rsidP="00F64934">
      <w:pPr>
        <w:rPr>
          <w:rFonts w:ascii="Times New Roman" w:eastAsia="Times New Roman" w:hAnsi="Times New Roman" w:cs="Times New Roman"/>
          <w:sz w:val="24"/>
          <w:szCs w:val="24"/>
          <w:lang w:eastAsia="en-AU"/>
        </w:rPr>
      </w:pPr>
      <w:r w:rsidRPr="53EF65BE">
        <w:rPr>
          <w:rFonts w:ascii="Times New Roman" w:eastAsia="Times New Roman" w:hAnsi="Times New Roman" w:cs="Times New Roman"/>
          <w:sz w:val="24"/>
          <w:szCs w:val="24"/>
          <w:lang w:eastAsia="en-AU"/>
        </w:rPr>
        <w:t xml:space="preserve">Paragraph </w:t>
      </w:r>
      <w:r w:rsidR="00337A18" w:rsidRPr="53EF65BE">
        <w:rPr>
          <w:rFonts w:ascii="Times New Roman" w:eastAsia="Times New Roman" w:hAnsi="Times New Roman" w:cs="Times New Roman"/>
          <w:sz w:val="24"/>
          <w:szCs w:val="24"/>
          <w:lang w:eastAsia="en-AU"/>
        </w:rPr>
        <w:t>18</w:t>
      </w:r>
      <w:r w:rsidRPr="53EF65BE">
        <w:rPr>
          <w:rFonts w:ascii="Times New Roman" w:eastAsia="Times New Roman" w:hAnsi="Times New Roman" w:cs="Times New Roman"/>
          <w:sz w:val="24"/>
          <w:szCs w:val="24"/>
          <w:lang w:eastAsia="en-AU"/>
        </w:rPr>
        <w:t xml:space="preserve"> provides definitions of common terms used throughout </w:t>
      </w:r>
      <w:r w:rsidR="00AA7C13">
        <w:rPr>
          <w:rFonts w:ascii="Times New Roman" w:eastAsia="Times New Roman" w:hAnsi="Times New Roman" w:cs="Times New Roman"/>
          <w:sz w:val="24"/>
          <w:szCs w:val="24"/>
          <w:lang w:eastAsia="en-AU"/>
        </w:rPr>
        <w:t>the</w:t>
      </w:r>
      <w:r w:rsidRPr="53EF65BE">
        <w:rPr>
          <w:rFonts w:ascii="Times New Roman" w:eastAsia="Times New Roman" w:hAnsi="Times New Roman" w:cs="Times New Roman"/>
          <w:sz w:val="24"/>
          <w:szCs w:val="24"/>
          <w:lang w:eastAsia="en-AU"/>
        </w:rPr>
        <w:t xml:space="preserve"> reporting standard. Paragraph </w:t>
      </w:r>
      <w:r w:rsidR="00337A18" w:rsidRPr="53EF65BE">
        <w:rPr>
          <w:rFonts w:ascii="Times New Roman" w:eastAsia="Times New Roman" w:hAnsi="Times New Roman" w:cs="Times New Roman"/>
          <w:sz w:val="24"/>
          <w:szCs w:val="24"/>
          <w:lang w:eastAsia="en-AU"/>
        </w:rPr>
        <w:t>19</w:t>
      </w:r>
      <w:r w:rsidRPr="53EF65BE">
        <w:rPr>
          <w:rFonts w:ascii="Times New Roman" w:eastAsia="Times New Roman" w:hAnsi="Times New Roman" w:cs="Times New Roman"/>
          <w:sz w:val="24"/>
          <w:szCs w:val="24"/>
          <w:lang w:eastAsia="en-AU"/>
        </w:rPr>
        <w:t xml:space="preserve"> states that unless </w:t>
      </w:r>
      <w:r w:rsidR="00D0022E">
        <w:rPr>
          <w:rFonts w:ascii="Times New Roman" w:eastAsia="Times New Roman" w:hAnsi="Times New Roman" w:cs="Times New Roman"/>
          <w:sz w:val="24"/>
          <w:szCs w:val="24"/>
          <w:lang w:eastAsia="en-AU"/>
        </w:rPr>
        <w:t>an instrument is not disallowable or</w:t>
      </w:r>
      <w:r w:rsidRPr="53EF65BE">
        <w:rPr>
          <w:rFonts w:ascii="Times New Roman" w:eastAsia="Times New Roman" w:hAnsi="Times New Roman" w:cs="Times New Roman"/>
          <w:sz w:val="24"/>
          <w:szCs w:val="24"/>
          <w:lang w:eastAsia="en-AU"/>
        </w:rPr>
        <w:t xml:space="preserve"> </w:t>
      </w:r>
      <w:r w:rsidR="00D0022E">
        <w:rPr>
          <w:rFonts w:ascii="Times New Roman" w:eastAsia="Times New Roman" w:hAnsi="Times New Roman" w:cs="Times New Roman"/>
          <w:sz w:val="24"/>
          <w:szCs w:val="24"/>
          <w:lang w:eastAsia="en-AU"/>
        </w:rPr>
        <w:t>a</w:t>
      </w:r>
      <w:r w:rsidRPr="53EF65BE">
        <w:rPr>
          <w:rFonts w:ascii="Times New Roman" w:eastAsia="Times New Roman" w:hAnsi="Times New Roman" w:cs="Times New Roman"/>
          <w:sz w:val="24"/>
          <w:szCs w:val="24"/>
          <w:lang w:eastAsia="en-AU"/>
        </w:rPr>
        <w:t xml:space="preserve"> contrary intention appears, a reference to an Act, </w:t>
      </w:r>
      <w:r w:rsidR="001E7D07">
        <w:rPr>
          <w:rFonts w:ascii="Times New Roman" w:eastAsia="Times New Roman" w:hAnsi="Times New Roman" w:cs="Times New Roman"/>
          <w:sz w:val="24"/>
          <w:szCs w:val="24"/>
          <w:lang w:eastAsia="en-AU"/>
        </w:rPr>
        <w:t xml:space="preserve">Regulation, </w:t>
      </w:r>
      <w:r w:rsidRPr="53EF65BE">
        <w:rPr>
          <w:rFonts w:ascii="Times New Roman" w:eastAsia="Times New Roman" w:hAnsi="Times New Roman" w:cs="Times New Roman"/>
          <w:sz w:val="24"/>
          <w:szCs w:val="24"/>
          <w:lang w:eastAsia="en-AU"/>
        </w:rPr>
        <w:t xml:space="preserve">Prudential Standard, Reporting Standard, Australian Accounting or Auditing Standard is a reference to the instrument as in force </w:t>
      </w:r>
      <w:r w:rsidR="00A57E81">
        <w:rPr>
          <w:rFonts w:ascii="Times New Roman" w:eastAsia="Times New Roman" w:hAnsi="Times New Roman" w:cs="Times New Roman"/>
          <w:sz w:val="24"/>
          <w:szCs w:val="24"/>
          <w:lang w:eastAsia="en-AU"/>
        </w:rPr>
        <w:t xml:space="preserve">or existing </w:t>
      </w:r>
      <w:r w:rsidRPr="53EF65BE">
        <w:rPr>
          <w:rFonts w:ascii="Times New Roman" w:eastAsia="Times New Roman" w:hAnsi="Times New Roman" w:cs="Times New Roman"/>
          <w:sz w:val="24"/>
          <w:szCs w:val="24"/>
          <w:lang w:eastAsia="en-AU"/>
        </w:rPr>
        <w:t>from time to time. Paragraph 2</w:t>
      </w:r>
      <w:r w:rsidR="33A640DB" w:rsidRPr="53EF65BE">
        <w:rPr>
          <w:rFonts w:ascii="Times New Roman" w:eastAsia="Times New Roman" w:hAnsi="Times New Roman" w:cs="Times New Roman"/>
          <w:sz w:val="24"/>
          <w:szCs w:val="24"/>
          <w:lang w:eastAsia="en-AU"/>
        </w:rPr>
        <w:t>0</w:t>
      </w:r>
      <w:r w:rsidRPr="53EF65BE">
        <w:rPr>
          <w:rFonts w:ascii="Times New Roman" w:eastAsia="Times New Roman" w:hAnsi="Times New Roman" w:cs="Times New Roman"/>
          <w:sz w:val="24"/>
          <w:szCs w:val="24"/>
          <w:lang w:eastAsia="en-AU"/>
        </w:rPr>
        <w:t xml:space="preserve"> outlines </w:t>
      </w:r>
      <w:r w:rsidR="001E3DBA">
        <w:rPr>
          <w:rFonts w:ascii="Times New Roman" w:eastAsia="Times New Roman" w:hAnsi="Times New Roman" w:cs="Times New Roman"/>
          <w:sz w:val="24"/>
          <w:szCs w:val="24"/>
          <w:lang w:eastAsia="en-AU"/>
        </w:rPr>
        <w:t xml:space="preserve">that </w:t>
      </w:r>
      <w:r w:rsidRPr="53EF65BE">
        <w:rPr>
          <w:rFonts w:ascii="Times New Roman" w:eastAsia="Times New Roman" w:hAnsi="Times New Roman" w:cs="Times New Roman"/>
          <w:sz w:val="24"/>
          <w:szCs w:val="24"/>
          <w:lang w:eastAsia="en-AU"/>
        </w:rPr>
        <w:t>where this Reporting Standard provides</w:t>
      </w:r>
      <w:r w:rsidR="004452C6">
        <w:rPr>
          <w:rFonts w:ascii="Times New Roman" w:eastAsia="Times New Roman" w:hAnsi="Times New Roman" w:cs="Times New Roman"/>
          <w:sz w:val="24"/>
          <w:szCs w:val="24"/>
          <w:lang w:eastAsia="en-AU"/>
        </w:rPr>
        <w:t xml:space="preserve"> for</w:t>
      </w:r>
      <w:r w:rsidRPr="53EF65BE">
        <w:rPr>
          <w:rFonts w:ascii="Times New Roman" w:eastAsia="Times New Roman" w:hAnsi="Times New Roman" w:cs="Times New Roman"/>
          <w:sz w:val="24"/>
          <w:szCs w:val="24"/>
          <w:lang w:eastAsia="en-AU"/>
        </w:rPr>
        <w:t xml:space="preserve"> APRA to exercise a power or discretion, the power or discretion is to be exercised in writing</w:t>
      </w:r>
      <w:r w:rsidR="0082637E">
        <w:rPr>
          <w:rFonts w:ascii="Times New Roman" w:eastAsia="Times New Roman" w:hAnsi="Times New Roman" w:cs="Times New Roman"/>
          <w:sz w:val="24"/>
          <w:szCs w:val="24"/>
          <w:lang w:eastAsia="en-AU"/>
        </w:rPr>
        <w:t>.</w:t>
      </w:r>
    </w:p>
    <w:p w14:paraId="3110D24A" w14:textId="77777777" w:rsidR="00F64934" w:rsidRPr="00483B52" w:rsidRDefault="00F64934" w:rsidP="00483B52">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General instructions</w:t>
      </w:r>
    </w:p>
    <w:p w14:paraId="6D6039D2" w14:textId="77777777" w:rsidR="00F64934" w:rsidRPr="00483B52" w:rsidRDefault="00F64934" w:rsidP="00F64934">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 xml:space="preserve">The general instructions contain details on the data to be reported to APRA under this reporting standard. Information in the general instructions applies to all data items in this reporting </w:t>
      </w:r>
      <w:r w:rsidRPr="00483B52">
        <w:rPr>
          <w:rFonts w:ascii="Times New Roman" w:eastAsia="Times New Roman" w:hAnsi="Times New Roman" w:cs="Times New Roman"/>
          <w:sz w:val="24"/>
          <w:szCs w:val="24"/>
          <w:lang w:eastAsia="en-AU"/>
        </w:rPr>
        <w:lastRenderedPageBreak/>
        <w:t>standard. This information includes definitions of terms that relate to the data reported to APRA under this reporting standard, and instructions on how to interpret the reporting tables.</w:t>
      </w:r>
    </w:p>
    <w:p w14:paraId="1F971E6F" w14:textId="58F0B5D9" w:rsidR="00F64934" w:rsidRPr="00483B52" w:rsidRDefault="00F64934" w:rsidP="00483B52">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Specific instructions</w:t>
      </w:r>
    </w:p>
    <w:p w14:paraId="03774698" w14:textId="77777777" w:rsidR="00F64934" w:rsidRPr="00483B52" w:rsidRDefault="00F64934" w:rsidP="00F64934">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The specific instructions list the specific data items that must be reported to APRA and how financial sector entities should determine these items.</w:t>
      </w:r>
    </w:p>
    <w:p w14:paraId="08BF947B" w14:textId="77777777" w:rsidR="00483B52" w:rsidRPr="00483B52" w:rsidRDefault="00483B52" w:rsidP="00483B52">
      <w:pPr>
        <w:numPr>
          <w:ilvl w:val="0"/>
          <w:numId w:val="0"/>
        </w:numPr>
        <w:outlineLvl w:val="4"/>
        <w:rPr>
          <w:rFonts w:ascii="Times New Roman" w:eastAsia="Times New Roman" w:hAnsi="Times New Roman" w:cs="Times New Roman"/>
          <w:b/>
          <w:bCs/>
          <w:i/>
          <w:iCs/>
          <w:sz w:val="24"/>
          <w:szCs w:val="24"/>
          <w:lang w:eastAsia="en-AU"/>
        </w:rPr>
      </w:pPr>
      <w:r w:rsidRPr="0067339D">
        <w:rPr>
          <w:rFonts w:ascii="Times New Roman" w:eastAsia="Times New Roman" w:hAnsi="Times New Roman" w:cs="Times New Roman"/>
          <w:b/>
          <w:bCs/>
          <w:i/>
          <w:iCs/>
          <w:sz w:val="24"/>
          <w:szCs w:val="24"/>
          <w:lang w:eastAsia="en-AU"/>
        </w:rPr>
        <w:t>Documents incorporated by reference</w:t>
      </w:r>
    </w:p>
    <w:p w14:paraId="38AFFB37" w14:textId="77777777" w:rsidR="00483B52" w:rsidRPr="00483B52" w:rsidRDefault="00483B52" w:rsidP="00483B52">
      <w:pPr>
        <w:rPr>
          <w:rFonts w:eastAsia="Times New Roman" w:cs="Arial"/>
          <w:sz w:val="24"/>
          <w:szCs w:val="24"/>
          <w:lang w:eastAsia="en-AU"/>
        </w:rPr>
      </w:pPr>
      <w:r w:rsidRPr="00483B52">
        <w:rPr>
          <w:rFonts w:ascii="Times New Roman" w:eastAsia="Times New Roman" w:hAnsi="Times New Roman" w:cs="Times New Roman"/>
          <w:sz w:val="24"/>
          <w:szCs w:val="24"/>
          <w:lang w:eastAsia="en-AU"/>
        </w:rPr>
        <w:t>Under section 14(1)(a) of the </w:t>
      </w:r>
      <w:r w:rsidRPr="00483B52">
        <w:rPr>
          <w:rFonts w:ascii="Times New Roman" w:eastAsia="Times New Roman" w:hAnsi="Times New Roman" w:cs="Times New Roman"/>
          <w:i/>
          <w:iCs/>
          <w:sz w:val="24"/>
          <w:szCs w:val="24"/>
          <w:lang w:eastAsia="en-AU"/>
        </w:rPr>
        <w:t>Legislation Act 2003</w:t>
      </w:r>
      <w:r w:rsidRPr="00483B52">
        <w:rPr>
          <w:rFonts w:ascii="Times New Roman" w:eastAsia="Times New Roman" w:hAnsi="Times New Roman" w:cs="Times New Roman"/>
          <w:sz w:val="24"/>
          <w:szCs w:val="24"/>
          <w:lang w:eastAsia="en-AU"/>
        </w:rPr>
        <w:t>, the standard incorporates by reference as in force from time to time:</w:t>
      </w:r>
    </w:p>
    <w:p w14:paraId="5245403A" w14:textId="24080D44" w:rsidR="00483B52" w:rsidRPr="00483B52" w:rsidRDefault="00483B52" w:rsidP="00AE3F79">
      <w:pPr>
        <w:numPr>
          <w:ilvl w:val="0"/>
          <w:numId w:val="26"/>
        </w:numPr>
        <w:ind w:left="426"/>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Acts of Parliament and associated delegated legislation</w:t>
      </w:r>
      <w:r w:rsidR="00AA762A">
        <w:rPr>
          <w:rFonts w:ascii="Times New Roman" w:eastAsia="Times New Roman" w:hAnsi="Times New Roman" w:cs="Times New Roman"/>
          <w:sz w:val="24"/>
          <w:szCs w:val="24"/>
          <w:lang w:eastAsia="en-AU"/>
        </w:rPr>
        <w:t xml:space="preserve">. </w:t>
      </w:r>
    </w:p>
    <w:p w14:paraId="45BDC357" w14:textId="1BB32591" w:rsidR="00483B52" w:rsidRPr="00483B52" w:rsidRDefault="00483B52" w:rsidP="00483B52">
      <w:pPr>
        <w:rPr>
          <w:rFonts w:eastAsia="Times New Roman" w:cs="Arial"/>
          <w:sz w:val="24"/>
          <w:szCs w:val="24"/>
          <w:lang w:eastAsia="en-AU"/>
        </w:rPr>
      </w:pPr>
      <w:r w:rsidRPr="00483B52">
        <w:rPr>
          <w:rFonts w:ascii="Times New Roman" w:eastAsia="Times New Roman" w:hAnsi="Times New Roman" w:cs="Times New Roman"/>
          <w:sz w:val="24"/>
          <w:szCs w:val="24"/>
          <w:lang w:eastAsia="en-AU"/>
        </w:rPr>
        <w:t xml:space="preserve">These documents may be freely obtained </w:t>
      </w:r>
      <w:r w:rsidRPr="00AE3F79">
        <w:rPr>
          <w:rFonts w:ascii="Times New Roman" w:eastAsia="Times New Roman" w:hAnsi="Times New Roman" w:cs="Times New Roman"/>
          <w:color w:val="auto"/>
          <w:sz w:val="24"/>
          <w:szCs w:val="24"/>
          <w:lang w:eastAsia="en-AU"/>
        </w:rPr>
        <w:t>at </w:t>
      </w:r>
      <w:r w:rsidR="00FB7A05" w:rsidRPr="00AE3F79">
        <w:rPr>
          <w:rFonts w:ascii="Times New Roman" w:eastAsia="Times New Roman" w:hAnsi="Times New Roman" w:cs="Times New Roman"/>
          <w:color w:val="auto"/>
          <w:sz w:val="24"/>
          <w:szCs w:val="24"/>
          <w:lang w:eastAsia="en-AU"/>
        </w:rPr>
        <w:t>www.legislation.gov.au</w:t>
      </w:r>
      <w:r w:rsidRPr="00AE3F79">
        <w:rPr>
          <w:rFonts w:ascii="Times New Roman" w:eastAsia="Times New Roman" w:hAnsi="Times New Roman" w:cs="Times New Roman"/>
          <w:color w:val="auto"/>
          <w:sz w:val="24"/>
          <w:szCs w:val="24"/>
          <w:lang w:eastAsia="en-AU"/>
        </w:rPr>
        <w:t>.</w:t>
      </w:r>
    </w:p>
    <w:p w14:paraId="1BFBCB61" w14:textId="77777777" w:rsidR="00483B52" w:rsidRPr="00483B52" w:rsidRDefault="00483B52" w:rsidP="00483B52">
      <w:pPr>
        <w:rPr>
          <w:rFonts w:eastAsia="Times New Roman" w:cs="Arial"/>
          <w:sz w:val="24"/>
          <w:szCs w:val="24"/>
          <w:lang w:eastAsia="en-AU"/>
        </w:rPr>
      </w:pPr>
      <w:r w:rsidRPr="00483B52">
        <w:rPr>
          <w:rFonts w:ascii="Times New Roman" w:eastAsia="Times New Roman" w:hAnsi="Times New Roman" w:cs="Times New Roman"/>
          <w:sz w:val="24"/>
          <w:szCs w:val="24"/>
          <w:lang w:eastAsia="en-AU"/>
        </w:rPr>
        <w:t>Under section 14(1)(b) of the Legislation Act, the standard incorporates the following documents from the time that the instrument commences:</w:t>
      </w:r>
    </w:p>
    <w:p w14:paraId="565795AC" w14:textId="34D19CE7" w:rsidR="00483B52" w:rsidRPr="00483B52" w:rsidRDefault="00483B52" w:rsidP="00AE3F79">
      <w:pPr>
        <w:numPr>
          <w:ilvl w:val="0"/>
          <w:numId w:val="26"/>
        </w:numPr>
        <w:ind w:left="426"/>
        <w:rPr>
          <w:rFonts w:eastAsia="Times New Roman" w:cs="Arial"/>
          <w:sz w:val="24"/>
          <w:szCs w:val="24"/>
          <w:lang w:eastAsia="en-AU"/>
        </w:rPr>
      </w:pPr>
      <w:r w:rsidRPr="00483B52">
        <w:rPr>
          <w:rFonts w:ascii="Times New Roman" w:eastAsia="Times New Roman" w:hAnsi="Times New Roman" w:cs="Times New Roman"/>
          <w:sz w:val="24"/>
          <w:szCs w:val="24"/>
          <w:lang w:eastAsia="en-AU"/>
        </w:rPr>
        <w:t>Prudential Standards determined by APRA under subsection 34C(1) of the </w:t>
      </w:r>
      <w:r w:rsidRPr="00483B52">
        <w:rPr>
          <w:rFonts w:ascii="Times New Roman" w:eastAsia="Times New Roman" w:hAnsi="Times New Roman" w:cs="Times New Roman"/>
          <w:i/>
          <w:iCs/>
          <w:sz w:val="24"/>
          <w:szCs w:val="24"/>
          <w:lang w:eastAsia="en-AU"/>
        </w:rPr>
        <w:t xml:space="preserve">Superannuation Industry (Supervision Act) 1993 </w:t>
      </w:r>
      <w:r w:rsidRPr="00AE3F79">
        <w:rPr>
          <w:rFonts w:ascii="Times New Roman" w:eastAsia="Times New Roman" w:hAnsi="Times New Roman" w:cs="Times New Roman"/>
          <w:sz w:val="24"/>
          <w:szCs w:val="24"/>
          <w:lang w:eastAsia="en-AU"/>
        </w:rPr>
        <w:t>that relate to superannuation</w:t>
      </w:r>
      <w:r w:rsidR="00BB7291">
        <w:rPr>
          <w:rFonts w:ascii="Times New Roman" w:eastAsia="Times New Roman" w:hAnsi="Times New Roman" w:cs="Times New Roman"/>
          <w:sz w:val="24"/>
          <w:szCs w:val="24"/>
          <w:lang w:eastAsia="en-AU"/>
        </w:rPr>
        <w:t>. These Prudential Standards may be freely obtained at www.legislation.gov.au</w:t>
      </w:r>
      <w:r w:rsidRPr="00483B52">
        <w:rPr>
          <w:rFonts w:ascii="Times New Roman" w:eastAsia="Times New Roman" w:hAnsi="Times New Roman" w:cs="Times New Roman"/>
          <w:sz w:val="24"/>
          <w:szCs w:val="24"/>
          <w:lang w:eastAsia="en-AU"/>
        </w:rPr>
        <w:t xml:space="preserve">; </w:t>
      </w:r>
    </w:p>
    <w:p w14:paraId="75AC1791" w14:textId="63F1BB00" w:rsidR="0015621E" w:rsidRPr="00AE3F79" w:rsidRDefault="00483B52" w:rsidP="0015621E">
      <w:pPr>
        <w:numPr>
          <w:ilvl w:val="0"/>
          <w:numId w:val="26"/>
        </w:numPr>
        <w:ind w:left="426"/>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Reporting Standards determined by APRA under subsection 13(1) of the Act that relate to superannuation</w:t>
      </w:r>
      <w:r w:rsidR="00D75A88">
        <w:rPr>
          <w:rFonts w:ascii="Times New Roman" w:eastAsia="Times New Roman" w:hAnsi="Times New Roman" w:cs="Times New Roman"/>
          <w:sz w:val="24"/>
          <w:szCs w:val="24"/>
          <w:lang w:eastAsia="en-AU"/>
        </w:rPr>
        <w:t xml:space="preserve">. These </w:t>
      </w:r>
      <w:r w:rsidR="00F81B3B">
        <w:rPr>
          <w:rFonts w:ascii="Times New Roman" w:eastAsia="Times New Roman" w:hAnsi="Times New Roman" w:cs="Times New Roman"/>
          <w:sz w:val="24"/>
          <w:szCs w:val="24"/>
          <w:lang w:eastAsia="en-AU"/>
        </w:rPr>
        <w:t>Reporting</w:t>
      </w:r>
      <w:r w:rsidR="00D75A88">
        <w:rPr>
          <w:rFonts w:ascii="Times New Roman" w:eastAsia="Times New Roman" w:hAnsi="Times New Roman" w:cs="Times New Roman"/>
          <w:sz w:val="24"/>
          <w:szCs w:val="24"/>
          <w:lang w:eastAsia="en-AU"/>
        </w:rPr>
        <w:t xml:space="preserve"> Standards may be freely obtained at www.legislation.gov.au</w:t>
      </w:r>
      <w:r w:rsidR="0015621E">
        <w:rPr>
          <w:rFonts w:ascii="Times New Roman" w:eastAsia="Times New Roman" w:hAnsi="Times New Roman" w:cs="Times New Roman"/>
          <w:sz w:val="24"/>
          <w:szCs w:val="24"/>
          <w:lang w:eastAsia="en-AU"/>
        </w:rPr>
        <w:t>; and</w:t>
      </w:r>
    </w:p>
    <w:p w14:paraId="00130B7B" w14:textId="1D9DBB9C" w:rsidR="0015621E" w:rsidRPr="0015621E" w:rsidRDefault="006323D4" w:rsidP="00AE3F79">
      <w:pPr>
        <w:numPr>
          <w:ilvl w:val="0"/>
          <w:numId w:val="26"/>
        </w:num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15621E" w:rsidRPr="0015621E">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 xml:space="preserve">ustralian </w:t>
      </w:r>
      <w:r w:rsidR="0015621E" w:rsidRPr="0015621E">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ecurities and </w:t>
      </w:r>
      <w:r w:rsidR="0015621E" w:rsidRPr="0015621E">
        <w:rPr>
          <w:rFonts w:ascii="Times New Roman" w:eastAsia="Times New Roman" w:hAnsi="Times New Roman" w:cs="Times New Roman"/>
          <w:sz w:val="24"/>
          <w:szCs w:val="24"/>
          <w:lang w:eastAsia="en-AU"/>
        </w:rPr>
        <w:t>I</w:t>
      </w:r>
      <w:r>
        <w:rPr>
          <w:rFonts w:ascii="Times New Roman" w:eastAsia="Times New Roman" w:hAnsi="Times New Roman" w:cs="Times New Roman"/>
          <w:sz w:val="24"/>
          <w:szCs w:val="24"/>
          <w:lang w:eastAsia="en-AU"/>
        </w:rPr>
        <w:t xml:space="preserve">nvestments </w:t>
      </w:r>
      <w:r w:rsidR="0015621E" w:rsidRPr="0015621E">
        <w:rPr>
          <w:rFonts w:ascii="Times New Roman" w:eastAsia="Times New Roman" w:hAnsi="Times New Roman" w:cs="Times New Roman"/>
          <w:sz w:val="24"/>
          <w:szCs w:val="24"/>
          <w:lang w:eastAsia="en-AU"/>
        </w:rPr>
        <w:t>C</w:t>
      </w:r>
      <w:r>
        <w:rPr>
          <w:rFonts w:ascii="Times New Roman" w:eastAsia="Times New Roman" w:hAnsi="Times New Roman" w:cs="Times New Roman"/>
          <w:sz w:val="24"/>
          <w:szCs w:val="24"/>
          <w:lang w:eastAsia="en-AU"/>
        </w:rPr>
        <w:t>ommission’s</w:t>
      </w:r>
      <w:r w:rsidR="0015621E" w:rsidRPr="0015621E">
        <w:rPr>
          <w:rFonts w:ascii="Times New Roman" w:eastAsia="Times New Roman" w:hAnsi="Times New Roman" w:cs="Times New Roman"/>
          <w:sz w:val="24"/>
          <w:szCs w:val="24"/>
          <w:lang w:eastAsia="en-AU"/>
        </w:rPr>
        <w:t xml:space="preserve"> </w:t>
      </w:r>
      <w:r w:rsidR="0015621E" w:rsidRPr="003911A6">
        <w:rPr>
          <w:rFonts w:ascii="Times New Roman" w:eastAsia="Times New Roman" w:hAnsi="Times New Roman" w:cs="Times New Roman"/>
          <w:i/>
          <w:sz w:val="24"/>
          <w:szCs w:val="24"/>
          <w:lang w:eastAsia="en-AU"/>
        </w:rPr>
        <w:t>Regulatory Guide 97</w:t>
      </w:r>
      <w:r>
        <w:rPr>
          <w:rFonts w:ascii="Times New Roman" w:eastAsia="Times New Roman" w:hAnsi="Times New Roman" w:cs="Times New Roman"/>
          <w:i/>
          <w:sz w:val="24"/>
          <w:szCs w:val="24"/>
          <w:lang w:eastAsia="en-AU"/>
        </w:rPr>
        <w:t xml:space="preserve"> (‘</w:t>
      </w:r>
      <w:r w:rsidR="0015621E" w:rsidRPr="003911A6">
        <w:rPr>
          <w:rFonts w:ascii="Times New Roman" w:eastAsia="Times New Roman" w:hAnsi="Times New Roman" w:cs="Times New Roman"/>
          <w:i/>
          <w:sz w:val="24"/>
          <w:szCs w:val="24"/>
          <w:lang w:eastAsia="en-AU"/>
        </w:rPr>
        <w:t>Disclosing fees and costs in PDSs and periodic statements</w:t>
      </w:r>
      <w:r>
        <w:rPr>
          <w:rFonts w:ascii="Times New Roman" w:eastAsia="Times New Roman" w:hAnsi="Times New Roman" w:cs="Times New Roman"/>
          <w:i/>
          <w:sz w:val="24"/>
          <w:szCs w:val="24"/>
          <w:lang w:eastAsia="en-AU"/>
        </w:rPr>
        <w:t>’)</w:t>
      </w:r>
      <w:r w:rsidR="0015621E" w:rsidRPr="0015621E">
        <w:rPr>
          <w:rFonts w:ascii="Times New Roman" w:eastAsia="Times New Roman" w:hAnsi="Times New Roman" w:cs="Times New Roman"/>
          <w:sz w:val="24"/>
          <w:szCs w:val="24"/>
          <w:lang w:eastAsia="en-AU"/>
        </w:rPr>
        <w:t xml:space="preserve"> (RG 97) </w:t>
      </w:r>
      <w:r w:rsidR="007C23F3">
        <w:rPr>
          <w:rFonts w:ascii="Times New Roman" w:eastAsia="Times New Roman" w:hAnsi="Times New Roman" w:cs="Times New Roman"/>
          <w:sz w:val="24"/>
          <w:szCs w:val="24"/>
          <w:lang w:eastAsia="en-AU"/>
        </w:rPr>
        <w:t xml:space="preserve">dated </w:t>
      </w:r>
      <w:r w:rsidR="0015621E" w:rsidRPr="0015621E">
        <w:rPr>
          <w:rFonts w:ascii="Times New Roman" w:eastAsia="Times New Roman" w:hAnsi="Times New Roman" w:cs="Times New Roman"/>
          <w:sz w:val="24"/>
          <w:szCs w:val="24"/>
          <w:lang w:eastAsia="en-AU"/>
        </w:rPr>
        <w:t>September 2020. This document provides guidance on how fees and costs should be disclosed in Product Disclosure Statements and periodic statements and can be freely accessed and used by members of the public at: https://asic.gov.au/regulatory-resources/find-a-document/regulatory-guides/rg-97-disclosing-fees-and-costs-in-pdss-and-periodic-statements.</w:t>
      </w:r>
    </w:p>
    <w:p w14:paraId="45541733" w14:textId="6DE9517D" w:rsidR="003D6C49" w:rsidRPr="00D274ED" w:rsidRDefault="003D6C49" w:rsidP="003D6C49">
      <w:pPr>
        <w:pStyle w:val="Heading5"/>
        <w:rPr>
          <w:rFonts w:ascii="Times New Roman" w:hAnsi="Times New Roman" w:cs="Times New Roman"/>
          <w:i/>
          <w:sz w:val="24"/>
          <w:szCs w:val="24"/>
        </w:rPr>
      </w:pPr>
      <w:r>
        <w:rPr>
          <w:rFonts w:ascii="Times New Roman" w:hAnsi="Times New Roman" w:cs="Times New Roman"/>
          <w:i/>
          <w:sz w:val="24"/>
          <w:szCs w:val="24"/>
        </w:rPr>
        <w:t>Exercise of discretion by APRA</w:t>
      </w:r>
    </w:p>
    <w:p w14:paraId="460AD88B" w14:textId="44E3C43A" w:rsidR="003D6C49" w:rsidRPr="00DA1C02" w:rsidRDefault="003D6C49" w:rsidP="003D6C49">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discretion and which may impact the interests of the </w:t>
      </w:r>
      <w:r>
        <w:rPr>
          <w:rFonts w:ascii="Times New Roman" w:hAnsi="Times New Roman" w:cs="Times New Roman"/>
          <w:sz w:val="24"/>
          <w:szCs w:val="24"/>
        </w:rPr>
        <w:t xml:space="preserve">entities </w:t>
      </w:r>
      <w:r w:rsidRPr="00DE3389">
        <w:rPr>
          <w:rFonts w:ascii="Times New Roman" w:hAnsi="Times New Roman" w:cs="Times New Roman"/>
          <w:sz w:val="24"/>
          <w:szCs w:val="24"/>
        </w:rPr>
        <w:t xml:space="preserve">to which the reporting standards apply. </w:t>
      </w:r>
      <w:r w:rsidRPr="00C041D3">
        <w:rPr>
          <w:rFonts w:ascii="Times New Roman" w:hAnsi="Times New Roman" w:cs="Times New Roman"/>
          <w:sz w:val="24"/>
          <w:szCs w:val="24"/>
        </w:rPr>
        <w:t xml:space="preserve">These decisions include APRA </w:t>
      </w:r>
      <w:r w:rsidRPr="00AE3F79">
        <w:rPr>
          <w:rFonts w:ascii="Times New Roman" w:hAnsi="Times New Roman" w:cs="Times New Roman"/>
          <w:sz w:val="24"/>
          <w:szCs w:val="24"/>
        </w:rPr>
        <w:t>changing a reporting period or due date for an entity to provide</w:t>
      </w:r>
      <w:r w:rsidR="000D790D">
        <w:rPr>
          <w:rFonts w:ascii="Times New Roman" w:hAnsi="Times New Roman" w:cs="Times New Roman"/>
          <w:sz w:val="24"/>
          <w:szCs w:val="24"/>
        </w:rPr>
        <w:t xml:space="preserve"> required</w:t>
      </w:r>
      <w:r w:rsidRPr="00AE3F79">
        <w:rPr>
          <w:rFonts w:ascii="Times New Roman" w:hAnsi="Times New Roman" w:cs="Times New Roman"/>
          <w:sz w:val="24"/>
          <w:szCs w:val="24"/>
        </w:rPr>
        <w:t xml:space="preserve"> information</w:t>
      </w:r>
      <w:r w:rsidR="00281EF6">
        <w:rPr>
          <w:rFonts w:ascii="Times New Roman" w:hAnsi="Times New Roman" w:cs="Times New Roman"/>
          <w:sz w:val="24"/>
          <w:szCs w:val="24"/>
        </w:rPr>
        <w:t>,</w:t>
      </w:r>
      <w:r w:rsidR="00281EF6" w:rsidRPr="00281EF6">
        <w:t xml:space="preserve"> </w:t>
      </w:r>
      <w:r w:rsidR="004A61A4" w:rsidRPr="004A61A4">
        <w:rPr>
          <w:rFonts w:ascii="Times New Roman" w:hAnsi="Times New Roman" w:cs="Times New Roman"/>
          <w:sz w:val="24"/>
          <w:szCs w:val="24"/>
        </w:rPr>
        <w:t>or</w:t>
      </w:r>
      <w:r w:rsidR="00281EF6" w:rsidRPr="00281EF6">
        <w:rPr>
          <w:rFonts w:ascii="Times New Roman" w:hAnsi="Times New Roman" w:cs="Times New Roman"/>
          <w:sz w:val="24"/>
          <w:szCs w:val="24"/>
        </w:rPr>
        <w:t xml:space="preserve"> making minor variations to </w:t>
      </w:r>
      <w:r w:rsidR="00F64A70">
        <w:rPr>
          <w:rFonts w:ascii="Times New Roman" w:hAnsi="Times New Roman" w:cs="Times New Roman"/>
          <w:sz w:val="24"/>
          <w:szCs w:val="24"/>
        </w:rPr>
        <w:t>a</w:t>
      </w:r>
      <w:r w:rsidR="00281EF6" w:rsidRPr="00281EF6">
        <w:rPr>
          <w:rFonts w:ascii="Times New Roman" w:hAnsi="Times New Roman" w:cs="Times New Roman"/>
          <w:sz w:val="24"/>
          <w:szCs w:val="24"/>
        </w:rPr>
        <w:t xml:space="preserve"> reporting standard to correct </w:t>
      </w:r>
      <w:r w:rsidR="00CC1339">
        <w:rPr>
          <w:rFonts w:ascii="Times New Roman" w:hAnsi="Times New Roman" w:cs="Times New Roman"/>
          <w:sz w:val="24"/>
          <w:szCs w:val="24"/>
        </w:rPr>
        <w:t xml:space="preserve">certain </w:t>
      </w:r>
      <w:r w:rsidR="00281EF6" w:rsidRPr="00281EF6">
        <w:rPr>
          <w:rFonts w:ascii="Times New Roman" w:hAnsi="Times New Roman" w:cs="Times New Roman"/>
          <w:sz w:val="24"/>
          <w:szCs w:val="24"/>
        </w:rPr>
        <w:t>errors,</w:t>
      </w:r>
      <w:r w:rsidR="00C231A6">
        <w:rPr>
          <w:rFonts w:ascii="Times New Roman" w:hAnsi="Times New Roman" w:cs="Times New Roman"/>
          <w:sz w:val="24"/>
          <w:szCs w:val="24"/>
        </w:rPr>
        <w:t xml:space="preserve"> to correct</w:t>
      </w:r>
      <w:r w:rsidR="00281EF6" w:rsidRPr="00281EF6">
        <w:rPr>
          <w:rFonts w:ascii="Times New Roman" w:hAnsi="Times New Roman" w:cs="Times New Roman"/>
          <w:sz w:val="24"/>
          <w:szCs w:val="24"/>
        </w:rPr>
        <w:t xml:space="preserve"> inconsistencies or anomalies, or to provide clarification </w:t>
      </w:r>
      <w:r w:rsidR="00C231A6">
        <w:rPr>
          <w:rFonts w:ascii="Times New Roman" w:hAnsi="Times New Roman" w:cs="Times New Roman"/>
          <w:sz w:val="24"/>
          <w:szCs w:val="24"/>
        </w:rPr>
        <w:t xml:space="preserve">regarding the application </w:t>
      </w:r>
      <w:r w:rsidR="00281EF6" w:rsidRPr="00281EF6">
        <w:rPr>
          <w:rFonts w:ascii="Times New Roman" w:hAnsi="Times New Roman" w:cs="Times New Roman"/>
          <w:sz w:val="24"/>
          <w:szCs w:val="24"/>
        </w:rPr>
        <w:t>of the reporting instructions</w:t>
      </w:r>
      <w:r w:rsidRPr="00281EF6">
        <w:rPr>
          <w:rFonts w:ascii="Times New Roman" w:hAnsi="Times New Roman" w:cs="Times New Roman"/>
          <w:sz w:val="24"/>
          <w:szCs w:val="24"/>
        </w:rPr>
        <w:t>.</w:t>
      </w:r>
      <w:r w:rsidRPr="00B85DCE">
        <w:rPr>
          <w:rFonts w:ascii="Times New Roman" w:hAnsi="Times New Roman" w:cs="Times New Roman"/>
          <w:sz w:val="24"/>
          <w:szCs w:val="24"/>
        </w:rPr>
        <w:t xml:space="preserve"> </w:t>
      </w:r>
    </w:p>
    <w:p w14:paraId="29221E3F" w14:textId="77777777" w:rsidR="003D6C49" w:rsidRDefault="003D6C49" w:rsidP="003D6C49">
      <w:pPr>
        <w:numPr>
          <w:ilvl w:val="0"/>
          <w:numId w:val="0"/>
        </w:numPr>
        <w:rPr>
          <w:rFonts w:ascii="Times New Roman" w:hAnsi="Times New Roman" w:cs="Times New Roman"/>
          <w:sz w:val="24"/>
          <w:szCs w:val="24"/>
        </w:rPr>
      </w:pPr>
      <w:r w:rsidRPr="00153E56">
        <w:rPr>
          <w:rFonts w:ascii="Times New Roman" w:hAnsi="Times New Roman" w:cs="Times New Roman"/>
          <w:sz w:val="24"/>
          <w:szCs w:val="24"/>
        </w:rPr>
        <w:t xml:space="preserve">The need to apply discretion is driven by entity specific issues and circumstances which are not adequately addressed by the generally applicable provisions of the </w:t>
      </w:r>
      <w:r>
        <w:rPr>
          <w:rFonts w:ascii="Times New Roman" w:hAnsi="Times New Roman" w:cs="Times New Roman"/>
          <w:sz w:val="24"/>
          <w:szCs w:val="24"/>
        </w:rPr>
        <w:t>reporting</w:t>
      </w:r>
      <w:r w:rsidRPr="00153E56">
        <w:rPr>
          <w:rFonts w:ascii="Times New Roman" w:hAnsi="Times New Roman" w:cs="Times New Roman"/>
          <w:sz w:val="24"/>
          <w:szCs w:val="24"/>
        </w:rPr>
        <w:t xml:space="preserve"> standards</w:t>
      </w:r>
      <w:r>
        <w:rPr>
          <w:rFonts w:ascii="Times New Roman" w:hAnsi="Times New Roman" w:cs="Times New Roman"/>
          <w:sz w:val="24"/>
          <w:szCs w:val="24"/>
        </w:rPr>
        <w:t xml:space="preserve">. </w:t>
      </w:r>
    </w:p>
    <w:p w14:paraId="1CEF10E2" w14:textId="3E64A042" w:rsidR="003D6C49" w:rsidRDefault="003D6C49" w:rsidP="003D6C49">
      <w:pPr>
        <w:numPr>
          <w:ilvl w:val="0"/>
          <w:numId w:val="0"/>
        </w:numPr>
        <w:rPr>
          <w:rFonts w:ascii="Times New Roman" w:hAnsi="Times New Roman" w:cs="Times New Roman"/>
          <w:sz w:val="24"/>
          <w:szCs w:val="24"/>
        </w:rPr>
      </w:pPr>
      <w:r w:rsidRPr="006D45F0">
        <w:rPr>
          <w:rFonts w:ascii="Times New Roman" w:hAnsi="Times New Roman" w:cs="Times New Roman"/>
          <w:sz w:val="24"/>
          <w:szCs w:val="24"/>
        </w:rPr>
        <w:t xml:space="preserve">APRA will exercise </w:t>
      </w:r>
      <w:r w:rsidRPr="006D45F0" w:rsidDel="009D2E47">
        <w:rPr>
          <w:rFonts w:ascii="Times New Roman" w:hAnsi="Times New Roman" w:cs="Times New Roman"/>
          <w:sz w:val="24"/>
          <w:szCs w:val="24"/>
        </w:rPr>
        <w:t>the</w:t>
      </w:r>
      <w:r w:rsidRPr="006D45F0">
        <w:rPr>
          <w:rFonts w:ascii="Times New Roman" w:hAnsi="Times New Roman" w:cs="Times New Roman"/>
          <w:sz w:val="24"/>
          <w:szCs w:val="24"/>
        </w:rPr>
        <w:t xml:space="preserve"> power to vary the reporting requirements in relation to a</w:t>
      </w:r>
      <w:r w:rsidR="00F802BB">
        <w:rPr>
          <w:rFonts w:ascii="Times New Roman" w:hAnsi="Times New Roman" w:cs="Times New Roman"/>
          <w:sz w:val="24"/>
          <w:szCs w:val="24"/>
        </w:rPr>
        <w:t xml:space="preserve"> relevant entity</w:t>
      </w:r>
      <w:r w:rsidRPr="006D45F0">
        <w:rPr>
          <w:rFonts w:ascii="Times New Roman" w:hAnsi="Times New Roman" w:cs="Times New Roman"/>
          <w:sz w:val="24"/>
          <w:szCs w:val="24"/>
        </w:rPr>
        <w:t xml:space="preserve"> if it is satisfied that this will achieve a better reporting or prudential outcome than if it remained in its original form. </w:t>
      </w:r>
      <w:r w:rsidRPr="005A0E7A">
        <w:rPr>
          <w:rFonts w:ascii="Times New Roman" w:hAnsi="Times New Roman" w:cs="Times New Roman"/>
          <w:sz w:val="24"/>
          <w:szCs w:val="24"/>
        </w:rPr>
        <w:t xml:space="preserve">A </w:t>
      </w:r>
      <w:r>
        <w:rPr>
          <w:rFonts w:ascii="Times New Roman" w:hAnsi="Times New Roman" w:cs="Times New Roman"/>
          <w:sz w:val="24"/>
          <w:szCs w:val="24"/>
        </w:rPr>
        <w:t>change to a reporting period or due date</w:t>
      </w:r>
      <w:r w:rsidRPr="005A0E7A">
        <w:rPr>
          <w:rFonts w:ascii="Times New Roman" w:hAnsi="Times New Roman" w:cs="Times New Roman"/>
          <w:sz w:val="24"/>
          <w:szCs w:val="24"/>
        </w:rPr>
        <w:t xml:space="preserve"> might be determined on APRA’s initiative taking into account APRA’s assessment of</w:t>
      </w:r>
      <w:r>
        <w:rPr>
          <w:rFonts w:ascii="Times New Roman" w:hAnsi="Times New Roman" w:cs="Times New Roman"/>
          <w:sz w:val="24"/>
          <w:szCs w:val="24"/>
        </w:rPr>
        <w:t xml:space="preserve"> whether existing data will be sufficient for APRA’s prudential supervision purposes, or whether APRA will have the required data by a particular date</w:t>
      </w:r>
      <w:r w:rsidRPr="005A0E7A">
        <w:rPr>
          <w:rFonts w:ascii="Times New Roman" w:hAnsi="Times New Roman" w:cs="Times New Roman"/>
          <w:sz w:val="24"/>
          <w:szCs w:val="24"/>
        </w:rPr>
        <w:t xml:space="preserve">. Alternatively, </w:t>
      </w:r>
      <w:r>
        <w:rPr>
          <w:rFonts w:ascii="Times New Roman" w:hAnsi="Times New Roman" w:cs="Times New Roman"/>
          <w:sz w:val="24"/>
          <w:szCs w:val="24"/>
        </w:rPr>
        <w:t>a change to a reporting period or due date</w:t>
      </w:r>
      <w:r w:rsidRPr="005A0E7A">
        <w:rPr>
          <w:rFonts w:ascii="Times New Roman" w:hAnsi="Times New Roman" w:cs="Times New Roman"/>
          <w:sz w:val="24"/>
          <w:szCs w:val="24"/>
        </w:rPr>
        <w:t xml:space="preserve"> might be considered </w:t>
      </w:r>
      <w:r w:rsidRPr="005A0E7A">
        <w:rPr>
          <w:rFonts w:ascii="Times New Roman" w:hAnsi="Times New Roman" w:cs="Times New Roman"/>
          <w:sz w:val="24"/>
          <w:szCs w:val="24"/>
        </w:rPr>
        <w:lastRenderedPageBreak/>
        <w:t>by APRA at the request of a</w:t>
      </w:r>
      <w:r>
        <w:rPr>
          <w:rFonts w:ascii="Times New Roman" w:hAnsi="Times New Roman" w:cs="Times New Roman"/>
          <w:sz w:val="24"/>
          <w:szCs w:val="24"/>
        </w:rPr>
        <w:t>n entity</w:t>
      </w:r>
      <w:r w:rsidRPr="005A0E7A">
        <w:rPr>
          <w:rFonts w:ascii="Times New Roman" w:hAnsi="Times New Roman" w:cs="Times New Roman"/>
          <w:sz w:val="24"/>
          <w:szCs w:val="24"/>
        </w:rPr>
        <w:t xml:space="preserve">, where the </w:t>
      </w:r>
      <w:r>
        <w:rPr>
          <w:rFonts w:ascii="Times New Roman" w:hAnsi="Times New Roman" w:cs="Times New Roman"/>
          <w:sz w:val="24"/>
          <w:szCs w:val="24"/>
        </w:rPr>
        <w:t>entity</w:t>
      </w:r>
      <w:r w:rsidRPr="005A0E7A">
        <w:rPr>
          <w:rFonts w:ascii="Times New Roman" w:hAnsi="Times New Roman" w:cs="Times New Roman"/>
          <w:sz w:val="24"/>
          <w:szCs w:val="24"/>
        </w:rPr>
        <w:t xml:space="preserve"> is able to </w:t>
      </w:r>
      <w:r>
        <w:rPr>
          <w:rFonts w:ascii="Times New Roman" w:hAnsi="Times New Roman" w:cs="Times New Roman"/>
          <w:sz w:val="24"/>
          <w:szCs w:val="24"/>
        </w:rPr>
        <w:t>demonstrate that it would not be appropriate or feasible to provide data for a particular reporting period or by a particular date</w:t>
      </w:r>
      <w:r w:rsidRPr="005A0E7A">
        <w:rPr>
          <w:rFonts w:ascii="Times New Roman" w:hAnsi="Times New Roman" w:cs="Times New Roman"/>
          <w:sz w:val="24"/>
          <w:szCs w:val="24"/>
        </w:rPr>
        <w:t xml:space="preserve">. </w:t>
      </w:r>
    </w:p>
    <w:p w14:paraId="1A677835" w14:textId="3C191569" w:rsidR="003D6C49" w:rsidRPr="007F3064" w:rsidDel="000F527D" w:rsidRDefault="003D6C49" w:rsidP="003D6C49">
      <w:pPr>
        <w:rPr>
          <w:rFonts w:ascii="Times New Roman" w:hAnsi="Times New Roman" w:cs="Times New Roman"/>
          <w:sz w:val="24"/>
          <w:szCs w:val="24"/>
        </w:rPr>
      </w:pPr>
      <w:r w:rsidRPr="00153E56" w:rsidDel="000F527D">
        <w:rPr>
          <w:rFonts w:ascii="Times New Roman" w:hAnsi="Times New Roman" w:cs="Times New Roman"/>
          <w:sz w:val="24"/>
          <w:szCs w:val="24"/>
        </w:rPr>
        <w:t xml:space="preserve">APRA considers a wide range of factors when exercising its discretion under </w:t>
      </w:r>
      <w:r w:rsidDel="000F527D">
        <w:rPr>
          <w:rFonts w:ascii="Times New Roman" w:hAnsi="Times New Roman" w:cs="Times New Roman"/>
          <w:sz w:val="24"/>
          <w:szCs w:val="24"/>
        </w:rPr>
        <w:t>reporting</w:t>
      </w:r>
      <w:r w:rsidRPr="00153E56" w:rsidDel="000F527D">
        <w:rPr>
          <w:rFonts w:ascii="Times New Roman" w:hAnsi="Times New Roman" w:cs="Times New Roman"/>
          <w:sz w:val="24"/>
          <w:szCs w:val="24"/>
        </w:rPr>
        <w:t xml:space="preserve"> standards, including </w:t>
      </w:r>
      <w:r w:rsidDel="000F527D">
        <w:rPr>
          <w:rFonts w:ascii="Times New Roman" w:hAnsi="Times New Roman" w:cs="Times New Roman"/>
          <w:sz w:val="24"/>
          <w:szCs w:val="24"/>
        </w:rPr>
        <w:t>limiting</w:t>
      </w:r>
      <w:r w:rsidRPr="007F3064" w:rsidDel="000F527D">
        <w:rPr>
          <w:rFonts w:ascii="Times New Roman" w:hAnsi="Times New Roman" w:cs="Times New Roman"/>
          <w:sz w:val="24"/>
          <w:szCs w:val="24"/>
        </w:rPr>
        <w:t xml:space="preserve"> regulatory burden</w:t>
      </w:r>
      <w:r w:rsidDel="000F527D">
        <w:rPr>
          <w:rFonts w:ascii="Times New Roman" w:hAnsi="Times New Roman" w:cs="Times New Roman"/>
          <w:sz w:val="24"/>
          <w:szCs w:val="24"/>
        </w:rPr>
        <w:t>, or correcting errors or inconsistencies in the reporting standards</w:t>
      </w:r>
      <w:r w:rsidRPr="007F3064" w:rsidDel="000F527D">
        <w:rPr>
          <w:rFonts w:ascii="Times New Roman" w:hAnsi="Times New Roman" w:cs="Times New Roman"/>
          <w:sz w:val="24"/>
          <w:szCs w:val="24"/>
        </w:rPr>
        <w:t>.</w:t>
      </w:r>
      <w:r w:rsidR="0040170F">
        <w:rPr>
          <w:rFonts w:ascii="Times New Roman" w:hAnsi="Times New Roman" w:cs="Times New Roman"/>
          <w:sz w:val="24"/>
          <w:szCs w:val="24"/>
        </w:rPr>
        <w:t xml:space="preserve"> </w:t>
      </w:r>
    </w:p>
    <w:p w14:paraId="0E7B5562" w14:textId="5544B1F9" w:rsidR="003D6C49" w:rsidRDefault="003D6C49" w:rsidP="003D6C49">
      <w:pPr>
        <w:rPr>
          <w:rFonts w:ascii="Times New Roman" w:hAnsi="Times New Roman" w:cs="Times New Roman"/>
          <w:sz w:val="24"/>
          <w:szCs w:val="24"/>
        </w:rPr>
      </w:pPr>
      <w:r>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decision-making to APRA officers with the appropriate experience and skill to exercise prudential judgement.</w:t>
      </w:r>
      <w:r w:rsidRPr="007F3064">
        <w:rPr>
          <w:rFonts w:ascii="Times New Roman" w:hAnsi="Times New Roman" w:cs="Times New Roman"/>
          <w:sz w:val="24"/>
          <w:szCs w:val="24"/>
        </w:rPr>
        <w:t> </w:t>
      </w:r>
      <w:r w:rsidDel="009E1669">
        <w:rPr>
          <w:rFonts w:ascii="Times New Roman" w:hAnsi="Times New Roman" w:cs="Times New Roman"/>
          <w:sz w:val="24"/>
          <w:szCs w:val="24"/>
        </w:rPr>
        <w:t xml:space="preserve"> </w:t>
      </w:r>
    </w:p>
    <w:p w14:paraId="3816597A" w14:textId="3A48F171" w:rsidR="00483B52" w:rsidRPr="00483B52" w:rsidRDefault="00483B52" w:rsidP="00483B52">
      <w:pPr>
        <w:rPr>
          <w:rFonts w:eastAsia="Times New Roman" w:cs="Arial"/>
          <w:sz w:val="24"/>
          <w:szCs w:val="24"/>
          <w:lang w:eastAsia="en-AU"/>
        </w:rPr>
      </w:pPr>
      <w:r w:rsidRPr="00483B52">
        <w:rPr>
          <w:rFonts w:ascii="Times New Roman" w:eastAsia="Times New Roman" w:hAnsi="Times New Roman" w:cs="Times New Roman"/>
          <w:b/>
          <w:bCs/>
          <w:i/>
          <w:iCs/>
          <w:sz w:val="24"/>
          <w:szCs w:val="24"/>
          <w:lang w:eastAsia="en-AU"/>
        </w:rPr>
        <w:t>Review of decisions</w:t>
      </w:r>
    </w:p>
    <w:p w14:paraId="2DD050AC" w14:textId="5A13C16F" w:rsidR="003D6C49" w:rsidRPr="006C1876" w:rsidDel="001148D0" w:rsidRDefault="003D6C49" w:rsidP="003D6C49">
      <w:pPr>
        <w:numPr>
          <w:ilvl w:val="0"/>
          <w:numId w:val="0"/>
        </w:numPr>
        <w:rPr>
          <w:rFonts w:ascii="Times New Roman" w:hAnsi="Times New Roman" w:cs="Times New Roman"/>
          <w:sz w:val="24"/>
          <w:szCs w:val="24"/>
        </w:rPr>
      </w:pPr>
      <w:r w:rsidRPr="006C1876" w:rsidDel="001148D0">
        <w:rPr>
          <w:rFonts w:ascii="Times New Roman" w:hAnsi="Times New Roman" w:cs="Times New Roman"/>
          <w:sz w:val="24"/>
          <w:szCs w:val="24"/>
        </w:rPr>
        <w:t xml:space="preserve">APRA considers </w:t>
      </w:r>
      <w:r w:rsidR="00CD50CB">
        <w:rPr>
          <w:rFonts w:ascii="Times New Roman" w:hAnsi="Times New Roman" w:cs="Times New Roman"/>
          <w:sz w:val="24"/>
          <w:szCs w:val="24"/>
        </w:rPr>
        <w:t xml:space="preserve">that </w:t>
      </w:r>
      <w:r w:rsidRPr="006C1876" w:rsidDel="001148D0">
        <w:rPr>
          <w:rFonts w:ascii="Times New Roman" w:hAnsi="Times New Roman" w:cs="Times New Roman"/>
          <w:sz w:val="24"/>
          <w:szCs w:val="24"/>
        </w:rPr>
        <w:t xml:space="preserve">decisions made </w:t>
      </w:r>
      <w:r w:rsidRPr="006C1876" w:rsidDel="00CD50CB">
        <w:rPr>
          <w:rFonts w:ascii="Times New Roman" w:hAnsi="Times New Roman" w:cs="Times New Roman"/>
          <w:sz w:val="24"/>
          <w:szCs w:val="24"/>
        </w:rPr>
        <w:t>by APRA</w:t>
      </w:r>
      <w:r w:rsidRPr="006C1876" w:rsidDel="001148D0">
        <w:rPr>
          <w:rFonts w:ascii="Times New Roman" w:hAnsi="Times New Roman" w:cs="Times New Roman"/>
          <w:sz w:val="24"/>
          <w:szCs w:val="24"/>
        </w:rPr>
        <w:t xml:space="preserve"> </w:t>
      </w:r>
      <w:r w:rsidR="00A21F19">
        <w:rPr>
          <w:rFonts w:ascii="Times New Roman" w:hAnsi="Times New Roman" w:cs="Times New Roman"/>
          <w:sz w:val="24"/>
          <w:szCs w:val="24"/>
        </w:rPr>
        <w:t>in</w:t>
      </w:r>
      <w:r w:rsidRPr="006C1876" w:rsidDel="001148D0">
        <w:rPr>
          <w:rFonts w:ascii="Times New Roman" w:hAnsi="Times New Roman" w:cs="Times New Roman"/>
          <w:sz w:val="24"/>
          <w:szCs w:val="24"/>
        </w:rPr>
        <w:t xml:space="preserve"> exercising discretions under its reporting standards should not be subject to merits review as they are financial decisions with a significant public interest element.</w:t>
      </w:r>
    </w:p>
    <w:p w14:paraId="13FA1F97" w14:textId="771A48A6" w:rsidR="00ED7216" w:rsidRPr="003D6C49" w:rsidRDefault="003D6C49" w:rsidP="00764F11">
      <w:pPr>
        <w:rPr>
          <w:rFonts w:ascii="Times New Roman" w:hAnsi="Times New Roman" w:cs="Times New Roman"/>
          <w:sz w:val="24"/>
          <w:szCs w:val="24"/>
        </w:rPr>
      </w:pPr>
      <w:r w:rsidRPr="006C1876" w:rsidDel="001148D0">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sidDel="001148D0">
        <w:rPr>
          <w:rFonts w:ascii="Times New Roman" w:hAnsi="Times New Roman" w:cs="Times New Roman"/>
          <w:sz w:val="24"/>
          <w:szCs w:val="24"/>
        </w:rPr>
        <w:t xml:space="preserve">n </w:t>
      </w:r>
      <w:r>
        <w:rPr>
          <w:rFonts w:ascii="Times New Roman" w:hAnsi="Times New Roman" w:cs="Times New Roman"/>
          <w:sz w:val="24"/>
          <w:szCs w:val="24"/>
        </w:rPr>
        <w:t xml:space="preserve">entity </w:t>
      </w:r>
      <w:r w:rsidRPr="006C1876" w:rsidDel="001148D0">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r w:rsidR="009603A6">
        <w:rPr>
          <w:rFonts w:ascii="Times New Roman" w:hAnsi="Times New Roman" w:cs="Times New Roman"/>
          <w:color w:val="auto"/>
          <w:sz w:val="24"/>
          <w:szCs w:val="24"/>
          <w:lang w:eastAsia="en-AU"/>
        </w:rPr>
        <w:tab/>
      </w:r>
    </w:p>
    <w:p w14:paraId="3F2697B4" w14:textId="46620805" w:rsidR="00211AFD" w:rsidRPr="00EB6A4A" w:rsidRDefault="001B764D" w:rsidP="003911A6">
      <w:pPr>
        <w:keepNext/>
        <w:numPr>
          <w:ilvl w:val="0"/>
          <w:numId w:val="0"/>
        </w:numPr>
        <w:rPr>
          <w:rFonts w:ascii="Times New Roman" w:hAnsi="Times New Roman" w:cs="Times New Roman"/>
          <w:b/>
          <w:sz w:val="24"/>
          <w:szCs w:val="24"/>
        </w:rPr>
      </w:pPr>
      <w:r>
        <w:rPr>
          <w:rFonts w:ascii="Times New Roman" w:hAnsi="Times New Roman" w:cs="Times New Roman"/>
          <w:b/>
          <w:sz w:val="24"/>
          <w:szCs w:val="24"/>
        </w:rPr>
        <w:t>3</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Consultation</w:t>
      </w:r>
    </w:p>
    <w:p w14:paraId="7B3082D8" w14:textId="77777777" w:rsidR="00783AA1" w:rsidRDefault="00DF2B9B" w:rsidP="00602FE7">
      <w:pPr>
        <w:pStyle w:val="Heading"/>
        <w:tabs>
          <w:tab w:val="left" w:pos="360"/>
        </w:tabs>
        <w:rPr>
          <w:b w:val="0"/>
          <w:sz w:val="24"/>
          <w:szCs w:val="24"/>
        </w:rPr>
      </w:pPr>
      <w:r>
        <w:rPr>
          <w:b w:val="0"/>
          <w:sz w:val="24"/>
          <w:szCs w:val="24"/>
        </w:rPr>
        <w:t>APRA</w:t>
      </w:r>
      <w:r w:rsidR="00783AA1">
        <w:rPr>
          <w:b w:val="0"/>
          <w:sz w:val="24"/>
          <w:szCs w:val="24"/>
        </w:rPr>
        <w:t xml:space="preserve"> conducted consultation for this instrument. </w:t>
      </w:r>
    </w:p>
    <w:p w14:paraId="55D3BAE7" w14:textId="2617D419" w:rsidR="00602FE7" w:rsidRPr="004C4309" w:rsidRDefault="00602FE7" w:rsidP="00602FE7">
      <w:pPr>
        <w:pStyle w:val="Heading"/>
        <w:tabs>
          <w:tab w:val="left" w:pos="360"/>
        </w:tabs>
        <w:rPr>
          <w:b w:val="0"/>
          <w:sz w:val="24"/>
          <w:szCs w:val="24"/>
        </w:rPr>
      </w:pPr>
      <w:r w:rsidRPr="004C4309">
        <w:rPr>
          <w:b w:val="0"/>
          <w:sz w:val="24"/>
          <w:szCs w:val="24"/>
        </w:rPr>
        <w:t>In November 2023, APRA released publicly, the consultation package on proposed changes to superannuation reporting to include proposals for</w:t>
      </w:r>
      <w:r>
        <w:rPr>
          <w:b w:val="0"/>
          <w:sz w:val="24"/>
          <w:szCs w:val="24"/>
        </w:rPr>
        <w:t xml:space="preserve"> </w:t>
      </w:r>
      <w:r w:rsidRPr="004C4309">
        <w:rPr>
          <w:b w:val="0"/>
          <w:sz w:val="24"/>
          <w:szCs w:val="24"/>
        </w:rPr>
        <w:t>investment and transaction fees and costs</w:t>
      </w:r>
      <w:r>
        <w:rPr>
          <w:b w:val="0"/>
          <w:sz w:val="24"/>
          <w:szCs w:val="24"/>
        </w:rPr>
        <w:t xml:space="preserve"> reporting</w:t>
      </w:r>
      <w:r w:rsidRPr="004C4309">
        <w:rPr>
          <w:b w:val="0"/>
          <w:sz w:val="24"/>
          <w:szCs w:val="24"/>
        </w:rPr>
        <w:t>.</w:t>
      </w:r>
    </w:p>
    <w:p w14:paraId="36B62495" w14:textId="77777777" w:rsidR="00602FE7" w:rsidRPr="00FC4273" w:rsidRDefault="00602FE7" w:rsidP="00602FE7">
      <w:pPr>
        <w:pStyle w:val="Heading"/>
        <w:tabs>
          <w:tab w:val="left" w:pos="360"/>
        </w:tabs>
        <w:rPr>
          <w:b w:val="0"/>
          <w:sz w:val="24"/>
          <w:szCs w:val="24"/>
        </w:rPr>
      </w:pPr>
      <w:r>
        <w:rPr>
          <w:b w:val="0"/>
          <w:sz w:val="24"/>
          <w:szCs w:val="24"/>
        </w:rPr>
        <w:t>Nine</w:t>
      </w:r>
      <w:r w:rsidRPr="00FC4273">
        <w:rPr>
          <w:b w:val="0"/>
          <w:sz w:val="24"/>
          <w:szCs w:val="24"/>
        </w:rPr>
        <w:t xml:space="preserve"> submissions were received from RSE licensees and industry bodies in response to the consultation package.</w:t>
      </w:r>
    </w:p>
    <w:p w14:paraId="04A63ADB" w14:textId="77777777" w:rsidR="00602FE7" w:rsidRPr="00FC4273" w:rsidRDefault="00602FE7" w:rsidP="00602FE7">
      <w:pPr>
        <w:pStyle w:val="Heading"/>
        <w:tabs>
          <w:tab w:val="left" w:pos="360"/>
        </w:tabs>
        <w:rPr>
          <w:b w:val="0"/>
          <w:sz w:val="24"/>
          <w:szCs w:val="24"/>
        </w:rPr>
      </w:pPr>
      <w:r w:rsidRPr="00FC4273">
        <w:rPr>
          <w:b w:val="0"/>
          <w:sz w:val="24"/>
          <w:szCs w:val="24"/>
        </w:rPr>
        <w:t xml:space="preserve">In </w:t>
      </w:r>
      <w:r>
        <w:rPr>
          <w:b w:val="0"/>
          <w:sz w:val="24"/>
          <w:szCs w:val="24"/>
        </w:rPr>
        <w:t>September</w:t>
      </w:r>
      <w:r w:rsidRPr="00FC4273">
        <w:rPr>
          <w:b w:val="0"/>
          <w:sz w:val="24"/>
          <w:szCs w:val="24"/>
        </w:rPr>
        <w:t xml:space="preserve"> 2024, APRA released a response to consultation, incorporating the feedback received from industry into the final version of the reporting standard.</w:t>
      </w:r>
    </w:p>
    <w:p w14:paraId="782C850C" w14:textId="77777777" w:rsidR="00602FE7" w:rsidRDefault="00602FE7" w:rsidP="00602FE7">
      <w:pPr>
        <w:pStyle w:val="Heading"/>
        <w:tabs>
          <w:tab w:val="left" w:pos="360"/>
        </w:tabs>
        <w:spacing w:after="240"/>
        <w:rPr>
          <w:b w:val="0"/>
          <w:sz w:val="24"/>
          <w:szCs w:val="24"/>
        </w:rPr>
      </w:pPr>
      <w:r w:rsidRPr="00FC4273">
        <w:rPr>
          <w:b w:val="0"/>
          <w:sz w:val="24"/>
          <w:szCs w:val="24"/>
        </w:rPr>
        <w:t>APRA is satisfied the consultation was appropriate and reasonably practicable.</w:t>
      </w:r>
    </w:p>
    <w:p w14:paraId="1D2864CC" w14:textId="39DA85DA" w:rsidR="00211AFD" w:rsidRPr="00EB6A4A" w:rsidRDefault="001B764D"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4</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Regulation Impact Statement</w:t>
      </w:r>
    </w:p>
    <w:p w14:paraId="300AFBCE" w14:textId="1CEB9A15" w:rsidR="00FD1B14" w:rsidRDefault="00FD1B14" w:rsidP="00FD1B14">
      <w:pPr>
        <w:numPr>
          <w:ilvl w:val="0"/>
          <w:numId w:val="0"/>
        </w:numPr>
        <w:rPr>
          <w:rFonts w:ascii="Times New Roman" w:hAnsi="Times New Roman" w:cs="Times New Roman"/>
          <w:sz w:val="24"/>
          <w:szCs w:val="24"/>
        </w:rPr>
      </w:pPr>
      <w:r w:rsidRPr="00734843">
        <w:rPr>
          <w:rFonts w:ascii="Times New Roman" w:hAnsi="Times New Roman" w:cs="Times New Roman"/>
          <w:sz w:val="24"/>
          <w:szCs w:val="24"/>
        </w:rPr>
        <w:t xml:space="preserve">The Office of Impact Analysis advised that a Regulatory Impact Statement was not required for the consultation relating to </w:t>
      </w:r>
      <w:r>
        <w:rPr>
          <w:rFonts w:ascii="Times New Roman" w:hAnsi="Times New Roman" w:cs="Times New Roman"/>
          <w:sz w:val="24"/>
          <w:szCs w:val="24"/>
        </w:rPr>
        <w:t>investment and transaction fees and costs.</w:t>
      </w:r>
    </w:p>
    <w:p w14:paraId="476EB71B" w14:textId="0F4DD477" w:rsidR="00B670E9" w:rsidRPr="00EB6A4A" w:rsidRDefault="001B764D" w:rsidP="003163CB">
      <w:pPr>
        <w:pStyle w:val="Heading"/>
        <w:spacing w:before="0" w:after="240"/>
        <w:jc w:val="both"/>
        <w:rPr>
          <w:rFonts w:cs="Times New Roman"/>
          <w:i/>
          <w:sz w:val="24"/>
          <w:szCs w:val="24"/>
        </w:rPr>
      </w:pPr>
      <w:r>
        <w:rPr>
          <w:rFonts w:cs="Times New Roman"/>
          <w:sz w:val="24"/>
          <w:szCs w:val="24"/>
        </w:rPr>
        <w:lastRenderedPageBreak/>
        <w:t>5</w:t>
      </w:r>
      <w:r w:rsidR="00B670E9" w:rsidRPr="00EB6A4A">
        <w:rPr>
          <w:rFonts w:cs="Times New Roman"/>
          <w:sz w:val="24"/>
          <w:szCs w:val="24"/>
        </w:rPr>
        <w:t>.</w:t>
      </w:r>
      <w:r w:rsidR="00B670E9" w:rsidRPr="00EB6A4A">
        <w:rPr>
          <w:rFonts w:cs="Times New Roman"/>
          <w:sz w:val="24"/>
          <w:szCs w:val="24"/>
        </w:rPr>
        <w:tab/>
        <w:t xml:space="preserve">Statement of compatibility prepared in accordance with Part 3 of the </w:t>
      </w:r>
      <w:r w:rsidR="00B670E9" w:rsidRPr="00EB6A4A">
        <w:rPr>
          <w:rFonts w:cs="Times New Roman"/>
          <w:i/>
          <w:sz w:val="24"/>
          <w:szCs w:val="24"/>
        </w:rPr>
        <w:t>Human Rights (Parliamentary Scrutiny) Act 2011</w:t>
      </w:r>
    </w:p>
    <w:p w14:paraId="7D7364B1" w14:textId="0FA14B47" w:rsidR="00B670E9" w:rsidRPr="00EB6A4A" w:rsidRDefault="00B670E9" w:rsidP="00B670E9">
      <w:pPr>
        <w:pStyle w:val="Heading"/>
        <w:spacing w:before="0" w:after="240"/>
        <w:jc w:val="both"/>
        <w:rPr>
          <w:rFonts w:cs="Times New Roman"/>
          <w:b w:val="0"/>
          <w:kern w:val="0"/>
          <w:sz w:val="24"/>
          <w:szCs w:val="24"/>
          <w:lang w:val="en-GB"/>
        </w:rPr>
      </w:pPr>
      <w:r w:rsidRPr="00EB6A4A">
        <w:rPr>
          <w:rFonts w:cs="Times New Roman"/>
          <w:b w:val="0"/>
          <w:kern w:val="0"/>
          <w:sz w:val="24"/>
          <w:szCs w:val="24"/>
          <w:lang w:val="en-GB"/>
        </w:rPr>
        <w:t xml:space="preserve">A Statement of compatibility prepared in accordance with Part 3 of the </w:t>
      </w:r>
      <w:r w:rsidRPr="00EB6A4A">
        <w:rPr>
          <w:rFonts w:cs="Times New Roman"/>
          <w:b w:val="0"/>
          <w:i/>
          <w:sz w:val="24"/>
          <w:szCs w:val="24"/>
          <w:lang w:val="en-GB"/>
        </w:rPr>
        <w:t>Human Rights (Parliamentary Scrutiny) Act 2011</w:t>
      </w:r>
      <w:r w:rsidRPr="00EB6A4A">
        <w:rPr>
          <w:rFonts w:cs="Times New Roman"/>
          <w:b w:val="0"/>
          <w:kern w:val="0"/>
          <w:sz w:val="24"/>
          <w:szCs w:val="24"/>
          <w:lang w:val="en-GB"/>
        </w:rPr>
        <w:t xml:space="preserve"> is provided at Attachment A to this Explanatory Statement.</w:t>
      </w:r>
    </w:p>
    <w:p w14:paraId="7A86DB5B" w14:textId="37DC8BA8" w:rsidR="001445B1" w:rsidRPr="00BB0B88" w:rsidRDefault="001B764D" w:rsidP="001445B1">
      <w:pPr>
        <w:pStyle w:val="Heading"/>
        <w:spacing w:before="0" w:after="240"/>
        <w:jc w:val="both"/>
        <w:rPr>
          <w:rFonts w:cs="Times New Roman"/>
          <w:sz w:val="24"/>
          <w:szCs w:val="24"/>
        </w:rPr>
      </w:pPr>
      <w:r>
        <w:rPr>
          <w:rFonts w:cs="Times New Roman"/>
          <w:sz w:val="24"/>
          <w:szCs w:val="24"/>
        </w:rPr>
        <w:t>6</w:t>
      </w:r>
      <w:r w:rsidR="001445B1" w:rsidRPr="00BB0B88">
        <w:rPr>
          <w:rFonts w:cs="Times New Roman"/>
          <w:sz w:val="24"/>
          <w:szCs w:val="24"/>
        </w:rPr>
        <w:t>.    Legislative instrument – disallowance and sunsetting</w:t>
      </w:r>
    </w:p>
    <w:p w14:paraId="229A387B" w14:textId="4F60E4D8" w:rsidR="001445B1" w:rsidRDefault="001445B1" w:rsidP="001445B1">
      <w:pPr>
        <w:pStyle w:val="heading0"/>
        <w:shd w:val="clear" w:color="auto" w:fill="FFFFFF"/>
        <w:spacing w:before="0" w:beforeAutospacing="0" w:after="240" w:afterAutospacing="0"/>
        <w:jc w:val="both"/>
        <w:rPr>
          <w:b/>
          <w:bCs/>
          <w:color w:val="000000"/>
          <w:sz w:val="26"/>
          <w:szCs w:val="26"/>
        </w:rPr>
      </w:pPr>
      <w:r>
        <w:rPr>
          <w:color w:val="000000"/>
        </w:rPr>
        <w:t>The instrument is a legislative instrument for the purposes of the </w:t>
      </w:r>
      <w:r>
        <w:rPr>
          <w:i/>
          <w:iCs/>
          <w:color w:val="000000"/>
        </w:rPr>
        <w:t>Legislation Act 2003</w:t>
      </w:r>
      <w:r>
        <w:rPr>
          <w:color w:val="000000"/>
        </w:rPr>
        <w:t> (Legislation Act). In accordance with section 44 of the Legislation Act and item 3 in paragraphs 9 and item 6 in paragraph 11 of the </w:t>
      </w:r>
      <w:bookmarkStart w:id="4" w:name="_Hlk103856226"/>
      <w:r>
        <w:rPr>
          <w:i/>
          <w:iCs/>
          <w:color w:val="000000"/>
        </w:rPr>
        <w:t>Legislation (Exemptions and Other Matters) Regulation 2015 </w:t>
      </w:r>
      <w:bookmarkEnd w:id="4"/>
      <w:r>
        <w:rPr>
          <w:color w:val="000000"/>
        </w:rPr>
        <w:t>(Legislation Regulation), the instrument is not subject to disallowance or sunsetting under the Legislation Act on the grounds that the instrument relates to superannuation. The Explanatory Statement to the Legislation Regulation states:</w:t>
      </w:r>
    </w:p>
    <w:p w14:paraId="11759B6E" w14:textId="77777777" w:rsidR="001445B1" w:rsidRDefault="001445B1" w:rsidP="001445B1">
      <w:pPr>
        <w:pStyle w:val="heading0"/>
        <w:shd w:val="clear" w:color="auto" w:fill="FFFFFF"/>
        <w:spacing w:before="0" w:beforeAutospacing="0" w:after="240" w:afterAutospacing="0"/>
        <w:ind w:left="425"/>
        <w:jc w:val="both"/>
        <w:rPr>
          <w:b/>
          <w:bCs/>
          <w:color w:val="000000"/>
          <w:sz w:val="26"/>
          <w:szCs w:val="26"/>
        </w:rPr>
      </w:pPr>
      <w:r>
        <w:rPr>
          <w:i/>
          <w:iCs/>
          <w:color w:val="000000"/>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67D88F25" w14:textId="77777777" w:rsidR="001445B1" w:rsidRDefault="001445B1" w:rsidP="001445B1">
      <w:pPr>
        <w:pStyle w:val="heading0"/>
        <w:shd w:val="clear" w:color="auto" w:fill="FFFFFF"/>
        <w:spacing w:before="0" w:beforeAutospacing="0" w:after="240" w:afterAutospacing="0"/>
        <w:ind w:left="425"/>
        <w:jc w:val="both"/>
        <w:rPr>
          <w:b/>
          <w:bCs/>
          <w:color w:val="000000"/>
          <w:sz w:val="26"/>
          <w:szCs w:val="26"/>
        </w:rPr>
      </w:pPr>
      <w:r>
        <w:rPr>
          <w:i/>
          <w:iCs/>
          <w:color w:val="000000"/>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06190B02" w14:textId="2FD20EB1" w:rsidR="00B670E9" w:rsidRPr="00EB6A4A" w:rsidRDefault="001445B1" w:rsidP="006A38AB">
      <w:pPr>
        <w:pStyle w:val="Heading"/>
        <w:tabs>
          <w:tab w:val="left" w:pos="360"/>
        </w:tabs>
        <w:spacing w:after="240"/>
        <w:rPr>
          <w:rFonts w:cs="Times New Roman"/>
          <w:sz w:val="24"/>
          <w:szCs w:val="24"/>
        </w:rPr>
      </w:pPr>
      <w:r w:rsidRPr="006A38AB">
        <w:rPr>
          <w:b w:val="0"/>
          <w:sz w:val="24"/>
          <w:szCs w:val="24"/>
        </w:rPr>
        <w:t xml:space="preserve">As detailed above, </w:t>
      </w:r>
      <w:r w:rsidR="003F3068">
        <w:rPr>
          <w:b w:val="0"/>
          <w:sz w:val="24"/>
          <w:szCs w:val="24"/>
        </w:rPr>
        <w:t>appropriate</w:t>
      </w:r>
      <w:r w:rsidRPr="006A38AB">
        <w:rPr>
          <w:b w:val="0"/>
          <w:sz w:val="24"/>
          <w:szCs w:val="24"/>
        </w:rPr>
        <w:t xml:space="preserve"> consultation with industry stakeholders occurred prior to the finalisation of the instrument. APRA conducts regular reviews on its reporting standards, which range from post-implementation reviews to targeted reviews of specific standards or aspects of standards.</w:t>
      </w:r>
      <w:r>
        <w:t> </w:t>
      </w:r>
      <w:r w:rsidR="00B670E9" w:rsidRPr="00EB6A4A">
        <w:rPr>
          <w:rFonts w:cs="Times New Roman"/>
          <w:sz w:val="24"/>
          <w:szCs w:val="24"/>
        </w:rPr>
        <w:br w:type="page"/>
      </w:r>
    </w:p>
    <w:p w14:paraId="00B6ED2A"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lang w:val="en-GB"/>
        </w:rPr>
        <w:lastRenderedPageBreak/>
        <w:t>ATTACHMENT A</w:t>
      </w:r>
    </w:p>
    <w:p w14:paraId="04B51A0F"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rPr>
        <w:t>Statement of Compatibility with Human Rights</w:t>
      </w:r>
    </w:p>
    <w:p w14:paraId="32B574F6" w14:textId="77777777" w:rsidR="00B670E9" w:rsidRPr="00EB6A4A" w:rsidRDefault="00B670E9" w:rsidP="00B670E9">
      <w:pPr>
        <w:pStyle w:val="Heading1"/>
        <w:jc w:val="center"/>
        <w:rPr>
          <w:rFonts w:ascii="Times New Roman" w:hAnsi="Times New Roman" w:cs="Times New Roman"/>
          <w:b w:val="0"/>
          <w:i/>
          <w:sz w:val="24"/>
          <w:szCs w:val="24"/>
        </w:rPr>
      </w:pPr>
      <w:r w:rsidRPr="00EB6A4A">
        <w:rPr>
          <w:rFonts w:ascii="Times New Roman" w:hAnsi="Times New Roman" w:cs="Times New Roman"/>
          <w:b w:val="0"/>
          <w:sz w:val="24"/>
          <w:szCs w:val="24"/>
        </w:rPr>
        <w:t xml:space="preserve">Prepared in accordance with Part 3 of the </w:t>
      </w:r>
      <w:r w:rsidRPr="00EB6A4A">
        <w:rPr>
          <w:rFonts w:ascii="Times New Roman" w:hAnsi="Times New Roman" w:cs="Times New Roman"/>
          <w:b w:val="0"/>
          <w:i/>
          <w:sz w:val="24"/>
          <w:szCs w:val="24"/>
        </w:rPr>
        <w:t>Human Rights (Parliamentary Scrutiny) Act 2011</w:t>
      </w:r>
    </w:p>
    <w:p w14:paraId="083CA20E" w14:textId="40A3555E" w:rsidR="00D0248E" w:rsidRPr="00EB6A4A" w:rsidRDefault="00D0248E" w:rsidP="00D0248E">
      <w:pPr>
        <w:jc w:val="center"/>
        <w:rPr>
          <w:rFonts w:ascii="Times New Roman" w:hAnsi="Times New Roman" w:cs="Times New Roman"/>
          <w:sz w:val="24"/>
          <w:szCs w:val="24"/>
        </w:rPr>
      </w:pPr>
      <w:r w:rsidRPr="00EB6A4A">
        <w:rPr>
          <w:rFonts w:ascii="Times New Roman" w:eastAsia="Times New Roman" w:hAnsi="Times New Roman" w:cs="Times New Roman"/>
          <w:b/>
          <w:sz w:val="24"/>
          <w:szCs w:val="24"/>
          <w:lang w:eastAsia="en-AU"/>
        </w:rPr>
        <w:t xml:space="preserve">Financial Sector (Collection of Data) (reporting standard) determination No. </w:t>
      </w:r>
      <w:r w:rsidR="006E1373">
        <w:rPr>
          <w:rFonts w:ascii="Times New Roman" w:eastAsia="Times New Roman" w:hAnsi="Times New Roman" w:cs="Times New Roman"/>
          <w:b/>
          <w:sz w:val="24"/>
          <w:szCs w:val="24"/>
          <w:lang w:eastAsia="en-AU"/>
        </w:rPr>
        <w:t>1</w:t>
      </w:r>
      <w:r w:rsidR="0082050E" w:rsidRPr="00EB6A4A">
        <w:rPr>
          <w:rFonts w:ascii="Times New Roman" w:eastAsia="Times New Roman" w:hAnsi="Times New Roman" w:cs="Times New Roman"/>
          <w:b/>
          <w:sz w:val="24"/>
          <w:szCs w:val="24"/>
          <w:lang w:eastAsia="en-AU"/>
        </w:rPr>
        <w:t xml:space="preserve"> </w:t>
      </w:r>
      <w:r w:rsidRPr="00EB6A4A">
        <w:rPr>
          <w:rFonts w:ascii="Times New Roman" w:eastAsia="Times New Roman" w:hAnsi="Times New Roman" w:cs="Times New Roman"/>
          <w:b/>
          <w:sz w:val="24"/>
          <w:szCs w:val="24"/>
          <w:lang w:eastAsia="en-AU"/>
        </w:rPr>
        <w:t xml:space="preserve">of </w:t>
      </w:r>
      <w:r w:rsidR="0082050E" w:rsidRPr="00EB6A4A">
        <w:rPr>
          <w:rFonts w:ascii="Times New Roman" w:eastAsia="Times New Roman" w:hAnsi="Times New Roman" w:cs="Times New Roman"/>
          <w:b/>
          <w:sz w:val="24"/>
          <w:szCs w:val="24"/>
          <w:lang w:eastAsia="en-AU"/>
        </w:rPr>
        <w:t>202</w:t>
      </w:r>
      <w:r w:rsidR="00354DBD">
        <w:rPr>
          <w:rFonts w:ascii="Times New Roman" w:eastAsia="Times New Roman" w:hAnsi="Times New Roman" w:cs="Times New Roman"/>
          <w:b/>
          <w:sz w:val="24"/>
          <w:szCs w:val="24"/>
          <w:lang w:eastAsia="en-AU"/>
        </w:rPr>
        <w:t>5</w:t>
      </w:r>
    </w:p>
    <w:p w14:paraId="06CCC3E0" w14:textId="1F90DA81" w:rsidR="00B670E9" w:rsidRPr="00EB6A4A" w:rsidRDefault="00A115CB" w:rsidP="00B670E9">
      <w:pPr>
        <w:rPr>
          <w:rFonts w:ascii="Times New Roman" w:hAnsi="Times New Roman" w:cs="Times New Roman"/>
          <w:sz w:val="24"/>
          <w:szCs w:val="24"/>
        </w:rPr>
      </w:pPr>
      <w:r w:rsidRPr="00EB6A4A">
        <w:rPr>
          <w:rFonts w:ascii="Times New Roman" w:hAnsi="Times New Roman" w:cs="Times New Roman"/>
          <w:sz w:val="24"/>
          <w:szCs w:val="24"/>
        </w:rPr>
        <w:t>Th</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Legislative Instrument</w:t>
      </w:r>
      <w:r w:rsidR="00B670E9" w:rsidRPr="00EB6A4A" w:rsidDel="00A115CB">
        <w:rPr>
          <w:rFonts w:ascii="Times New Roman" w:hAnsi="Times New Roman" w:cs="Times New Roman"/>
          <w:sz w:val="24"/>
          <w:szCs w:val="24"/>
        </w:rPr>
        <w:t xml:space="preserve"> </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compatible with the human rights and freedoms recognised or declared in the international instrument</w:t>
      </w:r>
      <w:r w:rsidR="002A65DA">
        <w:rPr>
          <w:rFonts w:ascii="Times New Roman" w:hAnsi="Times New Roman" w:cs="Times New Roman"/>
          <w:sz w:val="24"/>
          <w:szCs w:val="24"/>
        </w:rPr>
        <w:t>s</w:t>
      </w:r>
      <w:r w:rsidR="00B670E9" w:rsidRPr="00EB6A4A">
        <w:rPr>
          <w:rFonts w:ascii="Times New Roman" w:hAnsi="Times New Roman" w:cs="Times New Roman"/>
          <w:sz w:val="24"/>
          <w:szCs w:val="24"/>
        </w:rPr>
        <w:t xml:space="preserve"> listed in section 3 of the </w:t>
      </w:r>
      <w:r w:rsidR="00B670E9" w:rsidRPr="00EB6A4A">
        <w:rPr>
          <w:rFonts w:ascii="Times New Roman" w:hAnsi="Times New Roman" w:cs="Times New Roman"/>
          <w:i/>
          <w:sz w:val="24"/>
          <w:szCs w:val="24"/>
        </w:rPr>
        <w:t>Human Rights (Parliamentary Scrutiny) Act 2011</w:t>
      </w:r>
      <w:r w:rsidR="00B670E9" w:rsidRPr="00EB6A4A">
        <w:rPr>
          <w:rFonts w:ascii="Times New Roman" w:hAnsi="Times New Roman" w:cs="Times New Roman"/>
          <w:sz w:val="24"/>
          <w:szCs w:val="24"/>
        </w:rPr>
        <w:t xml:space="preserve"> (HRPS Act).</w:t>
      </w:r>
    </w:p>
    <w:p w14:paraId="78831E52" w14:textId="3E8A6D5D"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Overview of the Legislative Instrument</w:t>
      </w:r>
    </w:p>
    <w:p w14:paraId="4C623AB9" w14:textId="0D6FAF68" w:rsidR="002D3692" w:rsidRDefault="0064307F" w:rsidP="002D3692">
      <w:pPr>
        <w:rPr>
          <w:rFonts w:ascii="Times New Roman" w:hAnsi="Times New Roman" w:cs="Times New Roman"/>
          <w:sz w:val="24"/>
          <w:szCs w:val="24"/>
        </w:rPr>
      </w:pPr>
      <w:r w:rsidRPr="004E63F5">
        <w:rPr>
          <w:rFonts w:ascii="Times New Roman" w:hAnsi="Times New Roman"/>
          <w:sz w:val="24"/>
          <w:szCs w:val="24"/>
        </w:rPr>
        <w:t xml:space="preserve">The purpose of the </w:t>
      </w:r>
      <w:r>
        <w:rPr>
          <w:rFonts w:ascii="Times New Roman" w:hAnsi="Times New Roman"/>
          <w:sz w:val="24"/>
          <w:szCs w:val="24"/>
        </w:rPr>
        <w:t>Legislative I</w:t>
      </w:r>
      <w:r w:rsidRPr="004E63F5">
        <w:rPr>
          <w:rFonts w:ascii="Times New Roman" w:hAnsi="Times New Roman"/>
          <w:sz w:val="24"/>
          <w:szCs w:val="24"/>
        </w:rPr>
        <w:t xml:space="preserve">nstrument is to revoke </w:t>
      </w:r>
      <w:r w:rsidR="0029124A">
        <w:rPr>
          <w:rFonts w:ascii="Times New Roman" w:hAnsi="Times New Roman"/>
          <w:i/>
          <w:sz w:val="24"/>
          <w:szCs w:val="24"/>
        </w:rPr>
        <w:t xml:space="preserve">Reporting Standard </w:t>
      </w:r>
      <w:r w:rsidR="0029124A" w:rsidRPr="00AE3F79">
        <w:rPr>
          <w:rFonts w:ascii="Times New Roman" w:hAnsi="Times New Roman"/>
          <w:i/>
          <w:sz w:val="24"/>
          <w:szCs w:val="24"/>
        </w:rPr>
        <w:t>S</w:t>
      </w:r>
      <w:r w:rsidR="0029124A" w:rsidRPr="000576D1">
        <w:rPr>
          <w:rFonts w:ascii="Times New Roman" w:hAnsi="Times New Roman"/>
          <w:i/>
          <w:sz w:val="24"/>
          <w:szCs w:val="24"/>
        </w:rPr>
        <w:t>RS 332.0 Expenses</w:t>
      </w:r>
      <w:r w:rsidR="0029124A" w:rsidRPr="000576D1">
        <w:rPr>
          <w:rFonts w:ascii="Times New Roman" w:hAnsi="Times New Roman"/>
          <w:sz w:val="24"/>
          <w:szCs w:val="24"/>
        </w:rPr>
        <w:t xml:space="preserve"> </w:t>
      </w:r>
      <w:r w:rsidR="0029124A">
        <w:rPr>
          <w:rFonts w:ascii="Times New Roman" w:hAnsi="Times New Roman"/>
          <w:sz w:val="24"/>
          <w:szCs w:val="24"/>
        </w:rPr>
        <w:t xml:space="preserve">(SRS 332.0) </w:t>
      </w:r>
      <w:r w:rsidR="0029124A" w:rsidRPr="000576D1">
        <w:rPr>
          <w:rFonts w:ascii="Times New Roman" w:hAnsi="Times New Roman"/>
          <w:sz w:val="24"/>
          <w:szCs w:val="24"/>
        </w:rPr>
        <w:t xml:space="preserve">made under </w:t>
      </w:r>
      <w:r w:rsidR="0029124A" w:rsidRPr="00A93082">
        <w:rPr>
          <w:rFonts w:ascii="Times New Roman" w:hAnsi="Times New Roman"/>
          <w:i/>
          <w:iCs/>
          <w:sz w:val="24"/>
          <w:szCs w:val="24"/>
        </w:rPr>
        <w:t>Financial Sector (Collection of Data) (reporting standard) determination No. 41 of 2023</w:t>
      </w:r>
      <w:r w:rsidR="0029124A">
        <w:rPr>
          <w:rFonts w:ascii="Times New Roman" w:hAnsi="Times New Roman"/>
          <w:sz w:val="24"/>
          <w:szCs w:val="24"/>
        </w:rPr>
        <w:t xml:space="preserve"> </w:t>
      </w:r>
      <w:r w:rsidRPr="004E63F5">
        <w:rPr>
          <w:rFonts w:ascii="Times New Roman" w:hAnsi="Times New Roman"/>
          <w:sz w:val="24"/>
          <w:szCs w:val="24"/>
        </w:rPr>
        <w:t xml:space="preserve">and to replace it with a new version of SRS </w:t>
      </w:r>
      <w:r w:rsidR="0029124A">
        <w:rPr>
          <w:rFonts w:ascii="Times New Roman" w:hAnsi="Times New Roman"/>
          <w:sz w:val="24"/>
          <w:szCs w:val="24"/>
        </w:rPr>
        <w:t>332</w:t>
      </w:r>
      <w:r w:rsidRPr="004E63F5">
        <w:rPr>
          <w:rFonts w:ascii="Times New Roman" w:hAnsi="Times New Roman"/>
          <w:sz w:val="24"/>
          <w:szCs w:val="24"/>
        </w:rPr>
        <w:t xml:space="preserve">.0. </w:t>
      </w:r>
      <w:r w:rsidR="002D3692" w:rsidRPr="00D31F17">
        <w:rPr>
          <w:rFonts w:ascii="Times New Roman" w:hAnsi="Times New Roman" w:cs="Times New Roman"/>
          <w:sz w:val="24"/>
          <w:szCs w:val="24"/>
        </w:rPr>
        <w:t xml:space="preserve">This Legislative Instrument will enable APRA to collect certain information </w:t>
      </w:r>
      <w:r w:rsidR="00B472A7">
        <w:rPr>
          <w:rFonts w:ascii="Times New Roman" w:hAnsi="Times New Roman" w:cs="Times New Roman"/>
          <w:sz w:val="24"/>
          <w:szCs w:val="24"/>
        </w:rPr>
        <w:t xml:space="preserve">relating to </w:t>
      </w:r>
      <w:r w:rsidR="00212EBD">
        <w:rPr>
          <w:rFonts w:ascii="Times New Roman" w:hAnsi="Times New Roman" w:cs="Times New Roman"/>
          <w:sz w:val="24"/>
          <w:szCs w:val="24"/>
        </w:rPr>
        <w:t>expense reporting and investment and transaction fees and costs disclosure of registrable superannuation entities, defined benefit registrable superannuation entities and pooled superannuation trusts</w:t>
      </w:r>
      <w:r w:rsidR="002D3692" w:rsidRPr="00D31F17">
        <w:rPr>
          <w:rFonts w:ascii="Times New Roman" w:hAnsi="Times New Roman" w:cs="Times New Roman"/>
          <w:sz w:val="24"/>
          <w:szCs w:val="24"/>
        </w:rPr>
        <w:t>.</w:t>
      </w:r>
    </w:p>
    <w:p w14:paraId="010F0382" w14:textId="77777777"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Human rights implications</w:t>
      </w:r>
    </w:p>
    <w:p w14:paraId="23D2FE0E" w14:textId="0A128951" w:rsidR="009136D0" w:rsidRPr="00EB6A4A" w:rsidRDefault="009136D0" w:rsidP="00B670E9">
      <w:pPr>
        <w:rPr>
          <w:rFonts w:ascii="Times New Roman" w:eastAsia="Times New Roman" w:hAnsi="Times New Roman" w:cs="Times New Roman"/>
          <w:iCs/>
          <w:sz w:val="24"/>
          <w:szCs w:val="24"/>
          <w:lang w:eastAsia="en-AU"/>
        </w:rPr>
      </w:pPr>
      <w:r w:rsidRPr="00EB6A4A">
        <w:rPr>
          <w:rFonts w:ascii="Times New Roman" w:eastAsia="Times New Roman" w:hAnsi="Times New Roman" w:cs="Times New Roman"/>
          <w:iCs/>
          <w:sz w:val="24"/>
          <w:szCs w:val="24"/>
          <w:lang w:eastAsia="en-AU"/>
        </w:rPr>
        <w:t xml:space="preserve">APRA has assessed the Legislative Instrument and is of the view that </w:t>
      </w:r>
      <w:r w:rsidR="0048699E">
        <w:rPr>
          <w:rFonts w:ascii="Times New Roman" w:eastAsia="Times New Roman" w:hAnsi="Times New Roman" w:cs="Times New Roman"/>
          <w:iCs/>
          <w:sz w:val="24"/>
          <w:szCs w:val="24"/>
          <w:lang w:eastAsia="en-AU"/>
        </w:rPr>
        <w:t xml:space="preserve">it </w:t>
      </w:r>
      <w:r w:rsidRPr="00EB6A4A">
        <w:rPr>
          <w:rFonts w:ascii="Times New Roman" w:eastAsia="Times New Roman" w:hAnsi="Times New Roman" w:cs="Times New Roman"/>
          <w:iCs/>
          <w:sz w:val="24"/>
          <w:szCs w:val="24"/>
          <w:lang w:eastAsia="en-AU"/>
        </w:rPr>
        <w:t>do</w:t>
      </w:r>
      <w:r w:rsidR="0048699E">
        <w:rPr>
          <w:rFonts w:ascii="Times New Roman" w:eastAsia="Times New Roman" w:hAnsi="Times New Roman" w:cs="Times New Roman"/>
          <w:iCs/>
          <w:sz w:val="24"/>
          <w:szCs w:val="24"/>
          <w:lang w:eastAsia="en-AU"/>
        </w:rPr>
        <w:t>es</w:t>
      </w:r>
      <w:r w:rsidRPr="00EB6A4A">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B12983" w:rsidRPr="00EB6A4A">
        <w:rPr>
          <w:rFonts w:ascii="Times New Roman" w:eastAsia="Times New Roman" w:hAnsi="Times New Roman" w:cs="Times New Roman"/>
          <w:iCs/>
          <w:sz w:val="24"/>
          <w:szCs w:val="24"/>
          <w:lang w:eastAsia="en-AU"/>
        </w:rPr>
        <w:t xml:space="preserve">Legislative </w:t>
      </w:r>
      <w:r w:rsidRPr="00EB6A4A">
        <w:rPr>
          <w:rFonts w:ascii="Times New Roman" w:eastAsia="Times New Roman" w:hAnsi="Times New Roman" w:cs="Times New Roman"/>
          <w:iCs/>
          <w:sz w:val="24"/>
          <w:szCs w:val="24"/>
          <w:lang w:eastAsia="en-AU"/>
        </w:rPr>
        <w:t>Instrument</w:t>
      </w:r>
      <w:r w:rsidRPr="00EB6A4A" w:rsidDel="0048699E">
        <w:rPr>
          <w:rFonts w:ascii="Times New Roman" w:eastAsia="Times New Roman" w:hAnsi="Times New Roman" w:cs="Times New Roman"/>
          <w:iCs/>
          <w:sz w:val="24"/>
          <w:szCs w:val="24"/>
          <w:lang w:eastAsia="en-AU"/>
        </w:rPr>
        <w:t xml:space="preserve"> </w:t>
      </w:r>
      <w:r w:rsidR="0048699E">
        <w:rPr>
          <w:rFonts w:ascii="Times New Roman" w:eastAsia="Times New Roman" w:hAnsi="Times New Roman" w:cs="Times New Roman"/>
          <w:iCs/>
          <w:sz w:val="24"/>
          <w:szCs w:val="24"/>
          <w:lang w:eastAsia="en-AU"/>
        </w:rPr>
        <w:t>is</w:t>
      </w:r>
      <w:r w:rsidR="0048699E" w:rsidRPr="00EB6A4A">
        <w:rPr>
          <w:rFonts w:ascii="Times New Roman" w:eastAsia="Times New Roman" w:hAnsi="Times New Roman" w:cs="Times New Roman"/>
          <w:iCs/>
          <w:sz w:val="24"/>
          <w:szCs w:val="24"/>
          <w:lang w:eastAsia="en-AU"/>
        </w:rPr>
        <w:t xml:space="preserve"> </w:t>
      </w:r>
      <w:r w:rsidRPr="00EB6A4A">
        <w:rPr>
          <w:rFonts w:ascii="Times New Roman" w:eastAsia="Times New Roman" w:hAnsi="Times New Roman" w:cs="Times New Roman"/>
          <w:iCs/>
          <w:sz w:val="24"/>
          <w:szCs w:val="24"/>
          <w:lang w:eastAsia="en-AU"/>
        </w:rPr>
        <w:t xml:space="preserve">compatible with human rights. </w:t>
      </w:r>
    </w:p>
    <w:p w14:paraId="64D4EEBE" w14:textId="77777777" w:rsidR="00B670E9" w:rsidRPr="00EB6A4A" w:rsidRDefault="00B670E9" w:rsidP="00B670E9">
      <w:pPr>
        <w:rPr>
          <w:rFonts w:ascii="Times New Roman" w:hAnsi="Times New Roman" w:cs="Times New Roman"/>
          <w:b/>
          <w:sz w:val="24"/>
          <w:szCs w:val="24"/>
        </w:rPr>
      </w:pPr>
      <w:r w:rsidRPr="00EB6A4A">
        <w:rPr>
          <w:rFonts w:ascii="Times New Roman" w:hAnsi="Times New Roman" w:cs="Times New Roman"/>
          <w:b/>
          <w:sz w:val="24"/>
          <w:szCs w:val="24"/>
        </w:rPr>
        <w:t>Conclusion</w:t>
      </w:r>
    </w:p>
    <w:p w14:paraId="57D7D167" w14:textId="32E89916" w:rsidR="00B670E9" w:rsidRPr="00EB6A4A" w:rsidRDefault="008F3742" w:rsidP="00B670E9">
      <w:pPr>
        <w:rPr>
          <w:rFonts w:ascii="Times New Roman" w:hAnsi="Times New Roman" w:cs="Times New Roman"/>
          <w:sz w:val="24"/>
          <w:szCs w:val="24"/>
        </w:rPr>
      </w:pPr>
      <w:r w:rsidRPr="00EB6A4A">
        <w:rPr>
          <w:rFonts w:ascii="Times New Roman" w:hAnsi="Times New Roman" w:cs="Times New Roman"/>
          <w:sz w:val="24"/>
          <w:szCs w:val="24"/>
        </w:rPr>
        <w:t>Th</w:t>
      </w:r>
      <w:r>
        <w:rPr>
          <w:rFonts w:ascii="Times New Roman" w:hAnsi="Times New Roman" w:cs="Times New Roman"/>
          <w:sz w:val="24"/>
          <w:szCs w:val="24"/>
        </w:rPr>
        <w:t>is</w:t>
      </w:r>
      <w:r w:rsidR="00B670E9" w:rsidRPr="00EB6A4A">
        <w:rPr>
          <w:rFonts w:ascii="Times New Roman" w:hAnsi="Times New Roman" w:cs="Times New Roman"/>
          <w:sz w:val="24"/>
          <w:szCs w:val="24"/>
        </w:rPr>
        <w:t xml:space="preserve"> Legislative Instrument </w:t>
      </w:r>
      <w:r>
        <w:rPr>
          <w:rFonts w:ascii="Times New Roman" w:hAnsi="Times New Roman" w:cs="Times New Roman"/>
          <w:sz w:val="24"/>
          <w:szCs w:val="24"/>
        </w:rPr>
        <w:t>is</w:t>
      </w:r>
      <w:r w:rsidR="00B670E9" w:rsidRPr="00EB6A4A">
        <w:rPr>
          <w:rFonts w:ascii="Times New Roman" w:hAnsi="Times New Roman" w:cs="Times New Roman"/>
          <w:sz w:val="24"/>
          <w:szCs w:val="24"/>
        </w:rPr>
        <w:t xml:space="preserve"> compatible with human rights as </w:t>
      </w:r>
      <w:r w:rsidR="0048699E">
        <w:rPr>
          <w:rFonts w:ascii="Times New Roman" w:hAnsi="Times New Roman" w:cs="Times New Roman"/>
          <w:sz w:val="24"/>
          <w:szCs w:val="24"/>
        </w:rPr>
        <w:t>it</w:t>
      </w:r>
      <w:r w:rsidR="0048699E"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do</w:t>
      </w:r>
      <w:r w:rsidR="0048699E">
        <w:rPr>
          <w:rFonts w:ascii="Times New Roman" w:hAnsi="Times New Roman" w:cs="Times New Roman"/>
          <w:sz w:val="24"/>
          <w:szCs w:val="24"/>
        </w:rPr>
        <w:t>es</w:t>
      </w:r>
      <w:r w:rsidR="00B670E9" w:rsidRPr="00EB6A4A">
        <w:rPr>
          <w:rFonts w:ascii="Times New Roman" w:hAnsi="Times New Roman" w:cs="Times New Roman"/>
          <w:sz w:val="24"/>
          <w:szCs w:val="24"/>
        </w:rPr>
        <w:t xml:space="preserve"> not raise any human rights issues.</w:t>
      </w:r>
    </w:p>
    <w:p w14:paraId="6A740A2A" w14:textId="77777777" w:rsidR="00211AFD" w:rsidRPr="00EB6A4A" w:rsidRDefault="00211AFD" w:rsidP="00A34ADD">
      <w:pPr>
        <w:rPr>
          <w:rFonts w:ascii="Times New Roman" w:hAnsi="Times New Roman" w:cs="Times New Roman"/>
        </w:rPr>
      </w:pPr>
    </w:p>
    <w:sectPr w:rsidR="00211AFD" w:rsidRPr="00EB6A4A"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50A5A" w14:textId="77777777" w:rsidR="00E14B1D" w:rsidRPr="000D4EDE" w:rsidRDefault="00E14B1D" w:rsidP="000D4EDE">
      <w:r>
        <w:separator/>
      </w:r>
    </w:p>
  </w:endnote>
  <w:endnote w:type="continuationSeparator" w:id="0">
    <w:p w14:paraId="1F0B038D" w14:textId="77777777" w:rsidR="00E14B1D" w:rsidRPr="000D4EDE" w:rsidRDefault="00E14B1D" w:rsidP="000D4EDE">
      <w:r>
        <w:continuationSeparator/>
      </w:r>
    </w:p>
  </w:endnote>
  <w:endnote w:type="continuationNotice" w:id="1">
    <w:p w14:paraId="39F401A1" w14:textId="77777777" w:rsidR="00E14B1D" w:rsidRDefault="00E14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0D70" w14:textId="77777777" w:rsidR="00E14B1D" w:rsidRPr="000D4EDE" w:rsidRDefault="00E14B1D" w:rsidP="000D4EDE">
      <w:r>
        <w:separator/>
      </w:r>
    </w:p>
  </w:footnote>
  <w:footnote w:type="continuationSeparator" w:id="0">
    <w:p w14:paraId="430F8C9A" w14:textId="77777777" w:rsidR="00E14B1D" w:rsidRPr="000D4EDE" w:rsidRDefault="00E14B1D" w:rsidP="000D4EDE">
      <w:r>
        <w:continuationSeparator/>
      </w:r>
    </w:p>
  </w:footnote>
  <w:footnote w:type="continuationNotice" w:id="1">
    <w:p w14:paraId="5FA11097" w14:textId="77777777" w:rsidR="00E14B1D" w:rsidRDefault="00E14B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C95263"/>
    <w:multiLevelType w:val="multilevel"/>
    <w:tmpl w:val="D270A546"/>
    <w:lvl w:ilvl="0">
      <w:start w:val="1"/>
      <w:numFmt w:val="bullet"/>
      <w:lvlText w:val=""/>
      <w:lvlJc w:val="left"/>
      <w:pPr>
        <w:tabs>
          <w:tab w:val="num" w:pos="440"/>
        </w:tabs>
        <w:ind w:left="440" w:hanging="360"/>
      </w:pPr>
      <w:rPr>
        <w:rFonts w:ascii="Symbol" w:hAnsi="Symbol" w:hint="default"/>
        <w:sz w:val="20"/>
      </w:rPr>
    </w:lvl>
    <w:lvl w:ilvl="1" w:tentative="1">
      <w:start w:val="1"/>
      <w:numFmt w:val="bullet"/>
      <w:lvlText w:val="o"/>
      <w:lvlJc w:val="left"/>
      <w:pPr>
        <w:tabs>
          <w:tab w:val="num" w:pos="1160"/>
        </w:tabs>
        <w:ind w:left="1160" w:hanging="360"/>
      </w:pPr>
      <w:rPr>
        <w:rFonts w:ascii="Courier New" w:hAnsi="Courier New" w:hint="default"/>
        <w:sz w:val="20"/>
      </w:rPr>
    </w:lvl>
    <w:lvl w:ilvl="2" w:tentative="1">
      <w:start w:val="1"/>
      <w:numFmt w:val="bullet"/>
      <w:lvlText w:val=""/>
      <w:lvlJc w:val="left"/>
      <w:pPr>
        <w:tabs>
          <w:tab w:val="num" w:pos="1880"/>
        </w:tabs>
        <w:ind w:left="1880" w:hanging="360"/>
      </w:pPr>
      <w:rPr>
        <w:rFonts w:ascii="Wingdings" w:hAnsi="Wingdings" w:hint="default"/>
        <w:sz w:val="20"/>
      </w:rPr>
    </w:lvl>
    <w:lvl w:ilvl="3" w:tentative="1">
      <w:start w:val="1"/>
      <w:numFmt w:val="bullet"/>
      <w:lvlText w:val=""/>
      <w:lvlJc w:val="left"/>
      <w:pPr>
        <w:tabs>
          <w:tab w:val="num" w:pos="2600"/>
        </w:tabs>
        <w:ind w:left="2600" w:hanging="360"/>
      </w:pPr>
      <w:rPr>
        <w:rFonts w:ascii="Wingdings" w:hAnsi="Wingdings" w:hint="default"/>
        <w:sz w:val="20"/>
      </w:rPr>
    </w:lvl>
    <w:lvl w:ilvl="4" w:tentative="1">
      <w:start w:val="1"/>
      <w:numFmt w:val="bullet"/>
      <w:lvlText w:val=""/>
      <w:lvlJc w:val="left"/>
      <w:pPr>
        <w:tabs>
          <w:tab w:val="num" w:pos="3320"/>
        </w:tabs>
        <w:ind w:left="3320" w:hanging="360"/>
      </w:pPr>
      <w:rPr>
        <w:rFonts w:ascii="Wingdings" w:hAnsi="Wingdings" w:hint="default"/>
        <w:sz w:val="20"/>
      </w:rPr>
    </w:lvl>
    <w:lvl w:ilvl="5" w:tentative="1">
      <w:start w:val="1"/>
      <w:numFmt w:val="bullet"/>
      <w:lvlText w:val=""/>
      <w:lvlJc w:val="left"/>
      <w:pPr>
        <w:tabs>
          <w:tab w:val="num" w:pos="4040"/>
        </w:tabs>
        <w:ind w:left="4040" w:hanging="360"/>
      </w:pPr>
      <w:rPr>
        <w:rFonts w:ascii="Wingdings" w:hAnsi="Wingdings" w:hint="default"/>
        <w:sz w:val="20"/>
      </w:rPr>
    </w:lvl>
    <w:lvl w:ilvl="6" w:tentative="1">
      <w:start w:val="1"/>
      <w:numFmt w:val="bullet"/>
      <w:lvlText w:val=""/>
      <w:lvlJc w:val="left"/>
      <w:pPr>
        <w:tabs>
          <w:tab w:val="num" w:pos="4760"/>
        </w:tabs>
        <w:ind w:left="4760" w:hanging="360"/>
      </w:pPr>
      <w:rPr>
        <w:rFonts w:ascii="Wingdings" w:hAnsi="Wingdings" w:hint="default"/>
        <w:sz w:val="20"/>
      </w:rPr>
    </w:lvl>
    <w:lvl w:ilvl="7" w:tentative="1">
      <w:start w:val="1"/>
      <w:numFmt w:val="bullet"/>
      <w:lvlText w:val=""/>
      <w:lvlJc w:val="left"/>
      <w:pPr>
        <w:tabs>
          <w:tab w:val="num" w:pos="5480"/>
        </w:tabs>
        <w:ind w:left="5480" w:hanging="360"/>
      </w:pPr>
      <w:rPr>
        <w:rFonts w:ascii="Wingdings" w:hAnsi="Wingdings" w:hint="default"/>
        <w:sz w:val="20"/>
      </w:rPr>
    </w:lvl>
    <w:lvl w:ilvl="8" w:tentative="1">
      <w:start w:val="1"/>
      <w:numFmt w:val="bullet"/>
      <w:lvlText w:val=""/>
      <w:lvlJc w:val="left"/>
      <w:pPr>
        <w:tabs>
          <w:tab w:val="num" w:pos="6200"/>
        </w:tabs>
        <w:ind w:left="6200" w:hanging="360"/>
      </w:pPr>
      <w:rPr>
        <w:rFonts w:ascii="Wingdings" w:hAnsi="Wingdings" w:hint="default"/>
        <w:sz w:val="20"/>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9063A61"/>
    <w:multiLevelType w:val="hybridMultilevel"/>
    <w:tmpl w:val="695C4B78"/>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27E279B"/>
    <w:multiLevelType w:val="hybridMultilevel"/>
    <w:tmpl w:val="64FEF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ED3520"/>
    <w:multiLevelType w:val="hybridMultilevel"/>
    <w:tmpl w:val="920AEF76"/>
    <w:lvl w:ilvl="0" w:tplc="313C331C">
      <w:start w:val="1"/>
      <w:numFmt w:val="decimal"/>
      <w:lvlText w:val="(%1)"/>
      <w:lvlJc w:val="left"/>
      <w:pPr>
        <w:ind w:left="720" w:hanging="360"/>
      </w:pPr>
      <w:rPr>
        <w:rFonts w:hint="default"/>
        <w:i w:val="0"/>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0E4F37"/>
    <w:multiLevelType w:val="hybridMultilevel"/>
    <w:tmpl w:val="281C0C7A"/>
    <w:lvl w:ilvl="0" w:tplc="4AB68A4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967B17"/>
    <w:multiLevelType w:val="hybridMultilevel"/>
    <w:tmpl w:val="EE6A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9608E3"/>
    <w:multiLevelType w:val="multilevel"/>
    <w:tmpl w:val="177C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B49B7"/>
    <w:multiLevelType w:val="multilevel"/>
    <w:tmpl w:val="7D74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742894">
    <w:abstractNumId w:val="1"/>
  </w:num>
  <w:num w:numId="2" w16cid:durableId="1748070948">
    <w:abstractNumId w:val="0"/>
  </w:num>
  <w:num w:numId="3" w16cid:durableId="1743720770">
    <w:abstractNumId w:val="6"/>
  </w:num>
  <w:num w:numId="4" w16cid:durableId="2059889214">
    <w:abstractNumId w:val="18"/>
  </w:num>
  <w:num w:numId="5" w16cid:durableId="342125038">
    <w:abstractNumId w:val="22"/>
  </w:num>
  <w:num w:numId="6" w16cid:durableId="1591232179">
    <w:abstractNumId w:val="13"/>
  </w:num>
  <w:num w:numId="7" w16cid:durableId="5380506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6627128">
    <w:abstractNumId w:val="10"/>
  </w:num>
  <w:num w:numId="9" w16cid:durableId="741414294">
    <w:abstractNumId w:val="2"/>
  </w:num>
  <w:num w:numId="10" w16cid:durableId="443304929">
    <w:abstractNumId w:val="7"/>
  </w:num>
  <w:num w:numId="11" w16cid:durableId="65541204">
    <w:abstractNumId w:val="4"/>
  </w:num>
  <w:num w:numId="12" w16cid:durableId="1246569396">
    <w:abstractNumId w:val="3"/>
  </w:num>
  <w:num w:numId="13" w16cid:durableId="1031537219">
    <w:abstractNumId w:val="23"/>
  </w:num>
  <w:num w:numId="14" w16cid:durableId="1472677934">
    <w:abstractNumId w:val="12"/>
  </w:num>
  <w:num w:numId="15" w16cid:durableId="197933437">
    <w:abstractNumId w:val="9"/>
  </w:num>
  <w:num w:numId="16" w16cid:durableId="4015116">
    <w:abstractNumId w:val="11"/>
  </w:num>
  <w:num w:numId="17" w16cid:durableId="1425422388">
    <w:abstractNumId w:val="19"/>
  </w:num>
  <w:num w:numId="18" w16cid:durableId="1400329552">
    <w:abstractNumId w:val="21"/>
  </w:num>
  <w:num w:numId="19" w16cid:durableId="1664240642">
    <w:abstractNumId w:val="16"/>
  </w:num>
  <w:num w:numId="20" w16cid:durableId="1328052458">
    <w:abstractNumId w:val="20"/>
  </w:num>
  <w:num w:numId="21" w16cid:durableId="1640647289">
    <w:abstractNumId w:val="8"/>
  </w:num>
  <w:num w:numId="22" w16cid:durableId="2113237403">
    <w:abstractNumId w:val="17"/>
  </w:num>
  <w:num w:numId="23" w16cid:durableId="1012222341">
    <w:abstractNumId w:val="15"/>
  </w:num>
  <w:num w:numId="24" w16cid:durableId="1516383683">
    <w:abstractNumId w:val="14"/>
  </w:num>
  <w:num w:numId="25" w16cid:durableId="217712916">
    <w:abstractNumId w:val="14"/>
  </w:num>
  <w:num w:numId="26" w16cid:durableId="91635812">
    <w:abstractNumId w:val="5"/>
  </w:num>
  <w:num w:numId="27" w16cid:durableId="1051224043">
    <w:abstractNumId w:val="24"/>
  </w:num>
  <w:num w:numId="28" w16cid:durableId="165806936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172A"/>
    <w:rsid w:val="000044EB"/>
    <w:rsid w:val="00004ED1"/>
    <w:rsid w:val="00005D98"/>
    <w:rsid w:val="00005F96"/>
    <w:rsid w:val="00006389"/>
    <w:rsid w:val="00007262"/>
    <w:rsid w:val="00010789"/>
    <w:rsid w:val="00011C96"/>
    <w:rsid w:val="000141B9"/>
    <w:rsid w:val="00014E49"/>
    <w:rsid w:val="000202E8"/>
    <w:rsid w:val="00020E4C"/>
    <w:rsid w:val="00021CAA"/>
    <w:rsid w:val="00023CE3"/>
    <w:rsid w:val="00026538"/>
    <w:rsid w:val="00027E20"/>
    <w:rsid w:val="00031EF0"/>
    <w:rsid w:val="00031F27"/>
    <w:rsid w:val="00034A19"/>
    <w:rsid w:val="00036F9E"/>
    <w:rsid w:val="000413B3"/>
    <w:rsid w:val="00041C01"/>
    <w:rsid w:val="000453D9"/>
    <w:rsid w:val="00045D7D"/>
    <w:rsid w:val="00051195"/>
    <w:rsid w:val="00052CEC"/>
    <w:rsid w:val="00053CDE"/>
    <w:rsid w:val="00054CA2"/>
    <w:rsid w:val="00054E33"/>
    <w:rsid w:val="000573E5"/>
    <w:rsid w:val="000576D1"/>
    <w:rsid w:val="00057A99"/>
    <w:rsid w:val="00057B71"/>
    <w:rsid w:val="0006244F"/>
    <w:rsid w:val="00063A1F"/>
    <w:rsid w:val="0006638F"/>
    <w:rsid w:val="0007202C"/>
    <w:rsid w:val="00072B30"/>
    <w:rsid w:val="0007319C"/>
    <w:rsid w:val="000732AA"/>
    <w:rsid w:val="00073F77"/>
    <w:rsid w:val="0007482B"/>
    <w:rsid w:val="000748B2"/>
    <w:rsid w:val="000767DD"/>
    <w:rsid w:val="0008011A"/>
    <w:rsid w:val="00084F8B"/>
    <w:rsid w:val="000851D0"/>
    <w:rsid w:val="00086D07"/>
    <w:rsid w:val="00086F71"/>
    <w:rsid w:val="00093915"/>
    <w:rsid w:val="000949AD"/>
    <w:rsid w:val="00095109"/>
    <w:rsid w:val="00096B0F"/>
    <w:rsid w:val="000A1A15"/>
    <w:rsid w:val="000A379D"/>
    <w:rsid w:val="000A473C"/>
    <w:rsid w:val="000A490E"/>
    <w:rsid w:val="000A5938"/>
    <w:rsid w:val="000B0194"/>
    <w:rsid w:val="000B04C5"/>
    <w:rsid w:val="000B215C"/>
    <w:rsid w:val="000B63CA"/>
    <w:rsid w:val="000B752A"/>
    <w:rsid w:val="000C14D9"/>
    <w:rsid w:val="000C15C7"/>
    <w:rsid w:val="000C452A"/>
    <w:rsid w:val="000C5337"/>
    <w:rsid w:val="000D33C5"/>
    <w:rsid w:val="000D4EDE"/>
    <w:rsid w:val="000D5E1F"/>
    <w:rsid w:val="000D790D"/>
    <w:rsid w:val="000E1B7F"/>
    <w:rsid w:val="000E22B4"/>
    <w:rsid w:val="000E2460"/>
    <w:rsid w:val="000E364C"/>
    <w:rsid w:val="000E43AC"/>
    <w:rsid w:val="000E6B6D"/>
    <w:rsid w:val="000E6E37"/>
    <w:rsid w:val="000E716F"/>
    <w:rsid w:val="000E71FC"/>
    <w:rsid w:val="000E7359"/>
    <w:rsid w:val="000E7E1E"/>
    <w:rsid w:val="000F0E6F"/>
    <w:rsid w:val="000F262B"/>
    <w:rsid w:val="000F2E8B"/>
    <w:rsid w:val="000F3630"/>
    <w:rsid w:val="000F406B"/>
    <w:rsid w:val="000F527D"/>
    <w:rsid w:val="001018A5"/>
    <w:rsid w:val="00102A52"/>
    <w:rsid w:val="00106F56"/>
    <w:rsid w:val="001101FF"/>
    <w:rsid w:val="00115A39"/>
    <w:rsid w:val="00115A97"/>
    <w:rsid w:val="00116976"/>
    <w:rsid w:val="00116AEF"/>
    <w:rsid w:val="00117479"/>
    <w:rsid w:val="00122FBF"/>
    <w:rsid w:val="00123576"/>
    <w:rsid w:val="001241CB"/>
    <w:rsid w:val="00124B21"/>
    <w:rsid w:val="001275D7"/>
    <w:rsid w:val="001327B8"/>
    <w:rsid w:val="0013471B"/>
    <w:rsid w:val="00134B76"/>
    <w:rsid w:val="001352D4"/>
    <w:rsid w:val="00137DB4"/>
    <w:rsid w:val="00140584"/>
    <w:rsid w:val="00142132"/>
    <w:rsid w:val="001445B1"/>
    <w:rsid w:val="0014494B"/>
    <w:rsid w:val="00145F8C"/>
    <w:rsid w:val="0015537F"/>
    <w:rsid w:val="00155789"/>
    <w:rsid w:val="0015621E"/>
    <w:rsid w:val="001562FD"/>
    <w:rsid w:val="00157C98"/>
    <w:rsid w:val="00161FE3"/>
    <w:rsid w:val="00162E96"/>
    <w:rsid w:val="001653B6"/>
    <w:rsid w:val="00165BF6"/>
    <w:rsid w:val="001714C2"/>
    <w:rsid w:val="001719BA"/>
    <w:rsid w:val="00171CB5"/>
    <w:rsid w:val="0017332B"/>
    <w:rsid w:val="00174039"/>
    <w:rsid w:val="00174B0F"/>
    <w:rsid w:val="00174D06"/>
    <w:rsid w:val="00175B18"/>
    <w:rsid w:val="001763F2"/>
    <w:rsid w:val="0018235E"/>
    <w:rsid w:val="00184187"/>
    <w:rsid w:val="0019361B"/>
    <w:rsid w:val="001953BD"/>
    <w:rsid w:val="00195C4A"/>
    <w:rsid w:val="001A4EA4"/>
    <w:rsid w:val="001A601E"/>
    <w:rsid w:val="001A664F"/>
    <w:rsid w:val="001A6FF9"/>
    <w:rsid w:val="001A7C19"/>
    <w:rsid w:val="001B2DB7"/>
    <w:rsid w:val="001B3A9F"/>
    <w:rsid w:val="001B4D68"/>
    <w:rsid w:val="001B764D"/>
    <w:rsid w:val="001C39B8"/>
    <w:rsid w:val="001D0C02"/>
    <w:rsid w:val="001D3203"/>
    <w:rsid w:val="001D32BA"/>
    <w:rsid w:val="001D3D43"/>
    <w:rsid w:val="001D43BA"/>
    <w:rsid w:val="001D4A12"/>
    <w:rsid w:val="001D4D36"/>
    <w:rsid w:val="001D5F31"/>
    <w:rsid w:val="001E0F51"/>
    <w:rsid w:val="001E3DBA"/>
    <w:rsid w:val="001E55BF"/>
    <w:rsid w:val="001E5E25"/>
    <w:rsid w:val="001E6BCB"/>
    <w:rsid w:val="001E7D07"/>
    <w:rsid w:val="001F44B5"/>
    <w:rsid w:val="001F5C8B"/>
    <w:rsid w:val="001F6E1A"/>
    <w:rsid w:val="001F6F7B"/>
    <w:rsid w:val="001F7602"/>
    <w:rsid w:val="001F780A"/>
    <w:rsid w:val="001F7917"/>
    <w:rsid w:val="00200613"/>
    <w:rsid w:val="00201E5C"/>
    <w:rsid w:val="00211AFD"/>
    <w:rsid w:val="00212EBD"/>
    <w:rsid w:val="00213909"/>
    <w:rsid w:val="00214883"/>
    <w:rsid w:val="00214B64"/>
    <w:rsid w:val="00214CCC"/>
    <w:rsid w:val="002156F6"/>
    <w:rsid w:val="00216A9A"/>
    <w:rsid w:val="00217020"/>
    <w:rsid w:val="00220550"/>
    <w:rsid w:val="00222497"/>
    <w:rsid w:val="00222729"/>
    <w:rsid w:val="00226AE0"/>
    <w:rsid w:val="002301A2"/>
    <w:rsid w:val="002311E7"/>
    <w:rsid w:val="00232998"/>
    <w:rsid w:val="00236C2D"/>
    <w:rsid w:val="00237201"/>
    <w:rsid w:val="002374B7"/>
    <w:rsid w:val="00240126"/>
    <w:rsid w:val="00240DB9"/>
    <w:rsid w:val="00241D16"/>
    <w:rsid w:val="00242384"/>
    <w:rsid w:val="0024304D"/>
    <w:rsid w:val="00243F15"/>
    <w:rsid w:val="00244826"/>
    <w:rsid w:val="00245E1B"/>
    <w:rsid w:val="00246839"/>
    <w:rsid w:val="00247ACA"/>
    <w:rsid w:val="002504F3"/>
    <w:rsid w:val="0025287F"/>
    <w:rsid w:val="00252E6A"/>
    <w:rsid w:val="00254646"/>
    <w:rsid w:val="00254C91"/>
    <w:rsid w:val="00255126"/>
    <w:rsid w:val="00255A20"/>
    <w:rsid w:val="00256D3E"/>
    <w:rsid w:val="0025782A"/>
    <w:rsid w:val="00261A9C"/>
    <w:rsid w:val="00263414"/>
    <w:rsid w:val="002658A2"/>
    <w:rsid w:val="002661A6"/>
    <w:rsid w:val="00266C23"/>
    <w:rsid w:val="00272937"/>
    <w:rsid w:val="00274F1F"/>
    <w:rsid w:val="00277D6C"/>
    <w:rsid w:val="00280BD8"/>
    <w:rsid w:val="00280E14"/>
    <w:rsid w:val="00281EF6"/>
    <w:rsid w:val="002826B3"/>
    <w:rsid w:val="002833F9"/>
    <w:rsid w:val="0028511D"/>
    <w:rsid w:val="00286EAD"/>
    <w:rsid w:val="00287F47"/>
    <w:rsid w:val="0029124A"/>
    <w:rsid w:val="00292A60"/>
    <w:rsid w:val="0029389B"/>
    <w:rsid w:val="00293D62"/>
    <w:rsid w:val="00297C80"/>
    <w:rsid w:val="002A0684"/>
    <w:rsid w:val="002A144F"/>
    <w:rsid w:val="002A1894"/>
    <w:rsid w:val="002A2188"/>
    <w:rsid w:val="002A36F2"/>
    <w:rsid w:val="002A3F88"/>
    <w:rsid w:val="002A65DA"/>
    <w:rsid w:val="002A7D14"/>
    <w:rsid w:val="002B0913"/>
    <w:rsid w:val="002B0B74"/>
    <w:rsid w:val="002B28E4"/>
    <w:rsid w:val="002B49A3"/>
    <w:rsid w:val="002B7504"/>
    <w:rsid w:val="002C0D97"/>
    <w:rsid w:val="002C450E"/>
    <w:rsid w:val="002C5B3B"/>
    <w:rsid w:val="002C66D1"/>
    <w:rsid w:val="002C7065"/>
    <w:rsid w:val="002C75BE"/>
    <w:rsid w:val="002C7D73"/>
    <w:rsid w:val="002C7F4A"/>
    <w:rsid w:val="002D2804"/>
    <w:rsid w:val="002D3692"/>
    <w:rsid w:val="002D4268"/>
    <w:rsid w:val="002D4765"/>
    <w:rsid w:val="002D4B6C"/>
    <w:rsid w:val="002D5274"/>
    <w:rsid w:val="002E1EE3"/>
    <w:rsid w:val="002E2148"/>
    <w:rsid w:val="002E5AE9"/>
    <w:rsid w:val="002E654C"/>
    <w:rsid w:val="002F0135"/>
    <w:rsid w:val="002F02E9"/>
    <w:rsid w:val="002F0C2C"/>
    <w:rsid w:val="002F3492"/>
    <w:rsid w:val="002F6FEA"/>
    <w:rsid w:val="00300655"/>
    <w:rsid w:val="00301BB1"/>
    <w:rsid w:val="00301CFB"/>
    <w:rsid w:val="00303D18"/>
    <w:rsid w:val="0030523C"/>
    <w:rsid w:val="003055DF"/>
    <w:rsid w:val="00306BCD"/>
    <w:rsid w:val="00307ADD"/>
    <w:rsid w:val="00307E55"/>
    <w:rsid w:val="00312A66"/>
    <w:rsid w:val="003130CA"/>
    <w:rsid w:val="0031389B"/>
    <w:rsid w:val="00314619"/>
    <w:rsid w:val="003163CB"/>
    <w:rsid w:val="00316B8A"/>
    <w:rsid w:val="00320B37"/>
    <w:rsid w:val="00321180"/>
    <w:rsid w:val="0032180D"/>
    <w:rsid w:val="00324EB6"/>
    <w:rsid w:val="00325C49"/>
    <w:rsid w:val="003306A5"/>
    <w:rsid w:val="0033353A"/>
    <w:rsid w:val="00337A18"/>
    <w:rsid w:val="00340D92"/>
    <w:rsid w:val="00350F36"/>
    <w:rsid w:val="00354DBD"/>
    <w:rsid w:val="00355D40"/>
    <w:rsid w:val="00365BD5"/>
    <w:rsid w:val="00365CAA"/>
    <w:rsid w:val="00366308"/>
    <w:rsid w:val="00367B57"/>
    <w:rsid w:val="0037024C"/>
    <w:rsid w:val="00371106"/>
    <w:rsid w:val="00371393"/>
    <w:rsid w:val="00371AAC"/>
    <w:rsid w:val="00371F54"/>
    <w:rsid w:val="003723C0"/>
    <w:rsid w:val="0037770C"/>
    <w:rsid w:val="00377C8B"/>
    <w:rsid w:val="003803EE"/>
    <w:rsid w:val="00382341"/>
    <w:rsid w:val="00383A95"/>
    <w:rsid w:val="00383BC0"/>
    <w:rsid w:val="00385CA0"/>
    <w:rsid w:val="00390CEE"/>
    <w:rsid w:val="003911A6"/>
    <w:rsid w:val="00393413"/>
    <w:rsid w:val="003956AB"/>
    <w:rsid w:val="0039585F"/>
    <w:rsid w:val="003961CB"/>
    <w:rsid w:val="003A2733"/>
    <w:rsid w:val="003A3021"/>
    <w:rsid w:val="003A38C9"/>
    <w:rsid w:val="003A438F"/>
    <w:rsid w:val="003A4483"/>
    <w:rsid w:val="003A4D41"/>
    <w:rsid w:val="003A627E"/>
    <w:rsid w:val="003A79EE"/>
    <w:rsid w:val="003B0901"/>
    <w:rsid w:val="003B2CED"/>
    <w:rsid w:val="003B6A65"/>
    <w:rsid w:val="003B6E16"/>
    <w:rsid w:val="003C04AF"/>
    <w:rsid w:val="003C162B"/>
    <w:rsid w:val="003C180A"/>
    <w:rsid w:val="003C1E25"/>
    <w:rsid w:val="003C5307"/>
    <w:rsid w:val="003C6A55"/>
    <w:rsid w:val="003C6EEF"/>
    <w:rsid w:val="003C76D4"/>
    <w:rsid w:val="003D27CB"/>
    <w:rsid w:val="003D292C"/>
    <w:rsid w:val="003D329D"/>
    <w:rsid w:val="003D6C49"/>
    <w:rsid w:val="003E6BF6"/>
    <w:rsid w:val="003E7B0A"/>
    <w:rsid w:val="003F0F0D"/>
    <w:rsid w:val="003F17BB"/>
    <w:rsid w:val="003F3068"/>
    <w:rsid w:val="003F5592"/>
    <w:rsid w:val="003F750E"/>
    <w:rsid w:val="003F76D0"/>
    <w:rsid w:val="0040114D"/>
    <w:rsid w:val="0040170F"/>
    <w:rsid w:val="0040173E"/>
    <w:rsid w:val="00403981"/>
    <w:rsid w:val="0040453D"/>
    <w:rsid w:val="004078CC"/>
    <w:rsid w:val="004107E9"/>
    <w:rsid w:val="00410DE4"/>
    <w:rsid w:val="00411683"/>
    <w:rsid w:val="00412B18"/>
    <w:rsid w:val="00414F46"/>
    <w:rsid w:val="00435339"/>
    <w:rsid w:val="00435582"/>
    <w:rsid w:val="00436166"/>
    <w:rsid w:val="004410DC"/>
    <w:rsid w:val="0044447D"/>
    <w:rsid w:val="0044482D"/>
    <w:rsid w:val="00445258"/>
    <w:rsid w:val="004452C6"/>
    <w:rsid w:val="00450C67"/>
    <w:rsid w:val="00454FC9"/>
    <w:rsid w:val="00457EE7"/>
    <w:rsid w:val="0046020A"/>
    <w:rsid w:val="004607C3"/>
    <w:rsid w:val="00460CF7"/>
    <w:rsid w:val="00462669"/>
    <w:rsid w:val="00463FA8"/>
    <w:rsid w:val="00464196"/>
    <w:rsid w:val="00465ADB"/>
    <w:rsid w:val="00466648"/>
    <w:rsid w:val="004710AB"/>
    <w:rsid w:val="0047128C"/>
    <w:rsid w:val="004722F2"/>
    <w:rsid w:val="00472CBC"/>
    <w:rsid w:val="00475410"/>
    <w:rsid w:val="004765B3"/>
    <w:rsid w:val="00483B52"/>
    <w:rsid w:val="004843CA"/>
    <w:rsid w:val="00484523"/>
    <w:rsid w:val="0048593D"/>
    <w:rsid w:val="0048699E"/>
    <w:rsid w:val="0048791A"/>
    <w:rsid w:val="00492D42"/>
    <w:rsid w:val="004931A3"/>
    <w:rsid w:val="00493DAA"/>
    <w:rsid w:val="00494335"/>
    <w:rsid w:val="00495A4C"/>
    <w:rsid w:val="00496520"/>
    <w:rsid w:val="004967A1"/>
    <w:rsid w:val="004A0FE7"/>
    <w:rsid w:val="004A1AB5"/>
    <w:rsid w:val="004A5145"/>
    <w:rsid w:val="004A5850"/>
    <w:rsid w:val="004A61A4"/>
    <w:rsid w:val="004B0831"/>
    <w:rsid w:val="004B584E"/>
    <w:rsid w:val="004B5BEE"/>
    <w:rsid w:val="004C1106"/>
    <w:rsid w:val="004C6D4B"/>
    <w:rsid w:val="004C6EB8"/>
    <w:rsid w:val="004C766B"/>
    <w:rsid w:val="004D33E3"/>
    <w:rsid w:val="004D76C1"/>
    <w:rsid w:val="004D7C22"/>
    <w:rsid w:val="004E14C0"/>
    <w:rsid w:val="004E1E33"/>
    <w:rsid w:val="004E2269"/>
    <w:rsid w:val="004E3D88"/>
    <w:rsid w:val="004E445C"/>
    <w:rsid w:val="004E451A"/>
    <w:rsid w:val="004E740B"/>
    <w:rsid w:val="004F0E3E"/>
    <w:rsid w:val="004F1BC0"/>
    <w:rsid w:val="004F3339"/>
    <w:rsid w:val="004F3A5A"/>
    <w:rsid w:val="004F44FE"/>
    <w:rsid w:val="004F72A2"/>
    <w:rsid w:val="004F78E5"/>
    <w:rsid w:val="004F7B34"/>
    <w:rsid w:val="005020B3"/>
    <w:rsid w:val="005026D4"/>
    <w:rsid w:val="00503A51"/>
    <w:rsid w:val="00506774"/>
    <w:rsid w:val="00512309"/>
    <w:rsid w:val="005126A4"/>
    <w:rsid w:val="00513D41"/>
    <w:rsid w:val="00515161"/>
    <w:rsid w:val="005155B7"/>
    <w:rsid w:val="00520BBD"/>
    <w:rsid w:val="00523AC8"/>
    <w:rsid w:val="00541D54"/>
    <w:rsid w:val="00541EE3"/>
    <w:rsid w:val="00542522"/>
    <w:rsid w:val="00543472"/>
    <w:rsid w:val="0054526E"/>
    <w:rsid w:val="00545CE1"/>
    <w:rsid w:val="00546297"/>
    <w:rsid w:val="005476B5"/>
    <w:rsid w:val="005510A8"/>
    <w:rsid w:val="00551557"/>
    <w:rsid w:val="00553E89"/>
    <w:rsid w:val="005549D7"/>
    <w:rsid w:val="00556B38"/>
    <w:rsid w:val="00556E63"/>
    <w:rsid w:val="005602DA"/>
    <w:rsid w:val="00562087"/>
    <w:rsid w:val="00563F3A"/>
    <w:rsid w:val="005651E9"/>
    <w:rsid w:val="00565805"/>
    <w:rsid w:val="005678FC"/>
    <w:rsid w:val="0057138A"/>
    <w:rsid w:val="00572665"/>
    <w:rsid w:val="0057318B"/>
    <w:rsid w:val="00573327"/>
    <w:rsid w:val="00575378"/>
    <w:rsid w:val="00577602"/>
    <w:rsid w:val="00577D9B"/>
    <w:rsid w:val="005813A9"/>
    <w:rsid w:val="005918A1"/>
    <w:rsid w:val="005921A3"/>
    <w:rsid w:val="00592F64"/>
    <w:rsid w:val="005A0FBE"/>
    <w:rsid w:val="005A24FB"/>
    <w:rsid w:val="005A3F63"/>
    <w:rsid w:val="005A59D0"/>
    <w:rsid w:val="005B03DE"/>
    <w:rsid w:val="005B073E"/>
    <w:rsid w:val="005B227F"/>
    <w:rsid w:val="005B28D2"/>
    <w:rsid w:val="005B51A0"/>
    <w:rsid w:val="005B558E"/>
    <w:rsid w:val="005B58BF"/>
    <w:rsid w:val="005B7801"/>
    <w:rsid w:val="005C4881"/>
    <w:rsid w:val="005C4884"/>
    <w:rsid w:val="005C5891"/>
    <w:rsid w:val="005C641B"/>
    <w:rsid w:val="005D04CC"/>
    <w:rsid w:val="005D0F57"/>
    <w:rsid w:val="005D2160"/>
    <w:rsid w:val="005D5FAE"/>
    <w:rsid w:val="005E0BCB"/>
    <w:rsid w:val="005E4BC9"/>
    <w:rsid w:val="005F08F5"/>
    <w:rsid w:val="005F1967"/>
    <w:rsid w:val="005F29B7"/>
    <w:rsid w:val="005F4B08"/>
    <w:rsid w:val="00602FE7"/>
    <w:rsid w:val="00604437"/>
    <w:rsid w:val="006057C0"/>
    <w:rsid w:val="00606EB5"/>
    <w:rsid w:val="00606FC8"/>
    <w:rsid w:val="00612A2E"/>
    <w:rsid w:val="006164E5"/>
    <w:rsid w:val="00616C90"/>
    <w:rsid w:val="00617FDA"/>
    <w:rsid w:val="0062116F"/>
    <w:rsid w:val="00623FD7"/>
    <w:rsid w:val="00626087"/>
    <w:rsid w:val="00626C9C"/>
    <w:rsid w:val="00627D4C"/>
    <w:rsid w:val="00630163"/>
    <w:rsid w:val="00630E9E"/>
    <w:rsid w:val="006323D4"/>
    <w:rsid w:val="00634158"/>
    <w:rsid w:val="00634E4C"/>
    <w:rsid w:val="00636B8B"/>
    <w:rsid w:val="00641EAA"/>
    <w:rsid w:val="006427FE"/>
    <w:rsid w:val="00642E4C"/>
    <w:rsid w:val="0064307F"/>
    <w:rsid w:val="00644BB2"/>
    <w:rsid w:val="006462CC"/>
    <w:rsid w:val="006506C1"/>
    <w:rsid w:val="00655687"/>
    <w:rsid w:val="00657459"/>
    <w:rsid w:val="0065747A"/>
    <w:rsid w:val="00662E28"/>
    <w:rsid w:val="00663820"/>
    <w:rsid w:val="00665B83"/>
    <w:rsid w:val="0066674D"/>
    <w:rsid w:val="00666A78"/>
    <w:rsid w:val="00670A53"/>
    <w:rsid w:val="00670B59"/>
    <w:rsid w:val="00670E47"/>
    <w:rsid w:val="006717D3"/>
    <w:rsid w:val="0067339D"/>
    <w:rsid w:val="00673557"/>
    <w:rsid w:val="006737D2"/>
    <w:rsid w:val="0067496A"/>
    <w:rsid w:val="00675B2A"/>
    <w:rsid w:val="00676C12"/>
    <w:rsid w:val="0068174C"/>
    <w:rsid w:val="00685D4B"/>
    <w:rsid w:val="00687EAC"/>
    <w:rsid w:val="00690D28"/>
    <w:rsid w:val="00691A84"/>
    <w:rsid w:val="0069375D"/>
    <w:rsid w:val="0069407C"/>
    <w:rsid w:val="0069574E"/>
    <w:rsid w:val="006959E2"/>
    <w:rsid w:val="006969C0"/>
    <w:rsid w:val="00697983"/>
    <w:rsid w:val="00697AD7"/>
    <w:rsid w:val="006A1921"/>
    <w:rsid w:val="006A1AA8"/>
    <w:rsid w:val="006A1B8B"/>
    <w:rsid w:val="006A1EBC"/>
    <w:rsid w:val="006A2303"/>
    <w:rsid w:val="006A2C82"/>
    <w:rsid w:val="006A38AB"/>
    <w:rsid w:val="006A4984"/>
    <w:rsid w:val="006A6084"/>
    <w:rsid w:val="006B0140"/>
    <w:rsid w:val="006B125D"/>
    <w:rsid w:val="006B6414"/>
    <w:rsid w:val="006C0069"/>
    <w:rsid w:val="006C1876"/>
    <w:rsid w:val="006C59C9"/>
    <w:rsid w:val="006C6447"/>
    <w:rsid w:val="006D183A"/>
    <w:rsid w:val="006D2698"/>
    <w:rsid w:val="006D2A45"/>
    <w:rsid w:val="006D315C"/>
    <w:rsid w:val="006D71B8"/>
    <w:rsid w:val="006E1373"/>
    <w:rsid w:val="006E4272"/>
    <w:rsid w:val="006E6157"/>
    <w:rsid w:val="006E7965"/>
    <w:rsid w:val="006F069F"/>
    <w:rsid w:val="006F145A"/>
    <w:rsid w:val="006F27CB"/>
    <w:rsid w:val="006F359B"/>
    <w:rsid w:val="006F4962"/>
    <w:rsid w:val="006F5865"/>
    <w:rsid w:val="00701C05"/>
    <w:rsid w:val="00701EC6"/>
    <w:rsid w:val="00703F56"/>
    <w:rsid w:val="00706179"/>
    <w:rsid w:val="007114BE"/>
    <w:rsid w:val="00713B7E"/>
    <w:rsid w:val="00714EA5"/>
    <w:rsid w:val="00714F78"/>
    <w:rsid w:val="007151B2"/>
    <w:rsid w:val="007152B0"/>
    <w:rsid w:val="007170F7"/>
    <w:rsid w:val="00717589"/>
    <w:rsid w:val="00721C17"/>
    <w:rsid w:val="00722F9F"/>
    <w:rsid w:val="007253B8"/>
    <w:rsid w:val="00727A7F"/>
    <w:rsid w:val="0073192F"/>
    <w:rsid w:val="00732BA5"/>
    <w:rsid w:val="007347F1"/>
    <w:rsid w:val="007358D1"/>
    <w:rsid w:val="00736E7D"/>
    <w:rsid w:val="00737697"/>
    <w:rsid w:val="00741EDB"/>
    <w:rsid w:val="0074427F"/>
    <w:rsid w:val="00744692"/>
    <w:rsid w:val="00750078"/>
    <w:rsid w:val="007509A6"/>
    <w:rsid w:val="00752CB6"/>
    <w:rsid w:val="00753F83"/>
    <w:rsid w:val="007541B0"/>
    <w:rsid w:val="0075469B"/>
    <w:rsid w:val="00755163"/>
    <w:rsid w:val="007569E3"/>
    <w:rsid w:val="00756AAB"/>
    <w:rsid w:val="00756BB0"/>
    <w:rsid w:val="00757D83"/>
    <w:rsid w:val="00757F63"/>
    <w:rsid w:val="007605EB"/>
    <w:rsid w:val="00762E1A"/>
    <w:rsid w:val="007645AE"/>
    <w:rsid w:val="00764992"/>
    <w:rsid w:val="00764F11"/>
    <w:rsid w:val="00765749"/>
    <w:rsid w:val="00771075"/>
    <w:rsid w:val="0077507F"/>
    <w:rsid w:val="0077515B"/>
    <w:rsid w:val="00775AA0"/>
    <w:rsid w:val="007770FA"/>
    <w:rsid w:val="00777311"/>
    <w:rsid w:val="00783AA1"/>
    <w:rsid w:val="007915C5"/>
    <w:rsid w:val="00791738"/>
    <w:rsid w:val="00791780"/>
    <w:rsid w:val="007917C8"/>
    <w:rsid w:val="00792D37"/>
    <w:rsid w:val="00794AFA"/>
    <w:rsid w:val="007971E6"/>
    <w:rsid w:val="007A0933"/>
    <w:rsid w:val="007A0EB7"/>
    <w:rsid w:val="007A112B"/>
    <w:rsid w:val="007A319A"/>
    <w:rsid w:val="007A5FCF"/>
    <w:rsid w:val="007B2C90"/>
    <w:rsid w:val="007B6871"/>
    <w:rsid w:val="007B68E5"/>
    <w:rsid w:val="007B7255"/>
    <w:rsid w:val="007B7899"/>
    <w:rsid w:val="007C08B1"/>
    <w:rsid w:val="007C23F3"/>
    <w:rsid w:val="007C2CC2"/>
    <w:rsid w:val="007C38BD"/>
    <w:rsid w:val="007C4F5A"/>
    <w:rsid w:val="007C79AA"/>
    <w:rsid w:val="007D2011"/>
    <w:rsid w:val="007D31DA"/>
    <w:rsid w:val="007D6911"/>
    <w:rsid w:val="007D72C5"/>
    <w:rsid w:val="007E1D1C"/>
    <w:rsid w:val="007E525D"/>
    <w:rsid w:val="007E5A0D"/>
    <w:rsid w:val="007E6474"/>
    <w:rsid w:val="007F0323"/>
    <w:rsid w:val="007F379E"/>
    <w:rsid w:val="007F471C"/>
    <w:rsid w:val="007F5B24"/>
    <w:rsid w:val="007F6270"/>
    <w:rsid w:val="00800C90"/>
    <w:rsid w:val="008039F9"/>
    <w:rsid w:val="00804F27"/>
    <w:rsid w:val="008125F8"/>
    <w:rsid w:val="0081262D"/>
    <w:rsid w:val="008131F1"/>
    <w:rsid w:val="008165A1"/>
    <w:rsid w:val="00820237"/>
    <w:rsid w:val="0082050E"/>
    <w:rsid w:val="008208A8"/>
    <w:rsid w:val="008223A9"/>
    <w:rsid w:val="008226D1"/>
    <w:rsid w:val="008234D8"/>
    <w:rsid w:val="00826012"/>
    <w:rsid w:val="0082637E"/>
    <w:rsid w:val="00832118"/>
    <w:rsid w:val="00833F6F"/>
    <w:rsid w:val="00834CE0"/>
    <w:rsid w:val="00840557"/>
    <w:rsid w:val="00841053"/>
    <w:rsid w:val="0084110F"/>
    <w:rsid w:val="008420C7"/>
    <w:rsid w:val="00844366"/>
    <w:rsid w:val="00844B1D"/>
    <w:rsid w:val="00844F5C"/>
    <w:rsid w:val="00845843"/>
    <w:rsid w:val="00846D34"/>
    <w:rsid w:val="00851EA7"/>
    <w:rsid w:val="008547E7"/>
    <w:rsid w:val="00854AF3"/>
    <w:rsid w:val="00854C33"/>
    <w:rsid w:val="008550C2"/>
    <w:rsid w:val="008567D0"/>
    <w:rsid w:val="008628EF"/>
    <w:rsid w:val="00863020"/>
    <w:rsid w:val="008637EC"/>
    <w:rsid w:val="00866DE7"/>
    <w:rsid w:val="00870BC6"/>
    <w:rsid w:val="00873060"/>
    <w:rsid w:val="00873384"/>
    <w:rsid w:val="00873D15"/>
    <w:rsid w:val="00875B66"/>
    <w:rsid w:val="00875DAD"/>
    <w:rsid w:val="00876A7B"/>
    <w:rsid w:val="00877B84"/>
    <w:rsid w:val="00877E5F"/>
    <w:rsid w:val="0088036D"/>
    <w:rsid w:val="00881155"/>
    <w:rsid w:val="00882892"/>
    <w:rsid w:val="008849E6"/>
    <w:rsid w:val="00885A14"/>
    <w:rsid w:val="00885E1C"/>
    <w:rsid w:val="0088689B"/>
    <w:rsid w:val="00890E25"/>
    <w:rsid w:val="00890FA0"/>
    <w:rsid w:val="008947BF"/>
    <w:rsid w:val="00894FC8"/>
    <w:rsid w:val="00895CAB"/>
    <w:rsid w:val="008A0CBE"/>
    <w:rsid w:val="008A1158"/>
    <w:rsid w:val="008A1CA8"/>
    <w:rsid w:val="008A214D"/>
    <w:rsid w:val="008A5A44"/>
    <w:rsid w:val="008A6F4A"/>
    <w:rsid w:val="008A72D2"/>
    <w:rsid w:val="008A74A3"/>
    <w:rsid w:val="008B4A23"/>
    <w:rsid w:val="008B6868"/>
    <w:rsid w:val="008B6D24"/>
    <w:rsid w:val="008B73C8"/>
    <w:rsid w:val="008C10B8"/>
    <w:rsid w:val="008C219F"/>
    <w:rsid w:val="008C34F7"/>
    <w:rsid w:val="008C6A43"/>
    <w:rsid w:val="008D080C"/>
    <w:rsid w:val="008D1867"/>
    <w:rsid w:val="008D6437"/>
    <w:rsid w:val="008D66EC"/>
    <w:rsid w:val="008D6EDF"/>
    <w:rsid w:val="008E198B"/>
    <w:rsid w:val="008E29DD"/>
    <w:rsid w:val="008E3EF5"/>
    <w:rsid w:val="008E4A4D"/>
    <w:rsid w:val="008E712A"/>
    <w:rsid w:val="008F0A53"/>
    <w:rsid w:val="008F33B5"/>
    <w:rsid w:val="008F3742"/>
    <w:rsid w:val="009009AD"/>
    <w:rsid w:val="00901414"/>
    <w:rsid w:val="00906799"/>
    <w:rsid w:val="00911DBD"/>
    <w:rsid w:val="00912454"/>
    <w:rsid w:val="00912D92"/>
    <w:rsid w:val="009136D0"/>
    <w:rsid w:val="00914D28"/>
    <w:rsid w:val="0091533A"/>
    <w:rsid w:val="0091613D"/>
    <w:rsid w:val="00921181"/>
    <w:rsid w:val="00922193"/>
    <w:rsid w:val="009223EB"/>
    <w:rsid w:val="00922C7C"/>
    <w:rsid w:val="00923B0F"/>
    <w:rsid w:val="00924152"/>
    <w:rsid w:val="0093194D"/>
    <w:rsid w:val="00934877"/>
    <w:rsid w:val="00934C3F"/>
    <w:rsid w:val="009370AE"/>
    <w:rsid w:val="00937946"/>
    <w:rsid w:val="00940421"/>
    <w:rsid w:val="009417AE"/>
    <w:rsid w:val="009445C7"/>
    <w:rsid w:val="00945B3F"/>
    <w:rsid w:val="00950DCB"/>
    <w:rsid w:val="0095211A"/>
    <w:rsid w:val="00952D47"/>
    <w:rsid w:val="00952D4C"/>
    <w:rsid w:val="009531A3"/>
    <w:rsid w:val="00953ED1"/>
    <w:rsid w:val="0095410B"/>
    <w:rsid w:val="00955F0A"/>
    <w:rsid w:val="00960246"/>
    <w:rsid w:val="009603A6"/>
    <w:rsid w:val="00961A27"/>
    <w:rsid w:val="00961C72"/>
    <w:rsid w:val="009720E1"/>
    <w:rsid w:val="00972E17"/>
    <w:rsid w:val="00974F0E"/>
    <w:rsid w:val="00975CD7"/>
    <w:rsid w:val="00975F07"/>
    <w:rsid w:val="00980CA1"/>
    <w:rsid w:val="009820D0"/>
    <w:rsid w:val="00985E63"/>
    <w:rsid w:val="00985E70"/>
    <w:rsid w:val="0098783B"/>
    <w:rsid w:val="00993A46"/>
    <w:rsid w:val="00993C2B"/>
    <w:rsid w:val="009950E0"/>
    <w:rsid w:val="00996086"/>
    <w:rsid w:val="0099798A"/>
    <w:rsid w:val="009979F4"/>
    <w:rsid w:val="009A2245"/>
    <w:rsid w:val="009A246D"/>
    <w:rsid w:val="009A2682"/>
    <w:rsid w:val="009A45B2"/>
    <w:rsid w:val="009A5585"/>
    <w:rsid w:val="009A59D5"/>
    <w:rsid w:val="009B0611"/>
    <w:rsid w:val="009B161B"/>
    <w:rsid w:val="009B2CB7"/>
    <w:rsid w:val="009B5245"/>
    <w:rsid w:val="009B5357"/>
    <w:rsid w:val="009B68D1"/>
    <w:rsid w:val="009B69F4"/>
    <w:rsid w:val="009C2198"/>
    <w:rsid w:val="009C3578"/>
    <w:rsid w:val="009D2DDD"/>
    <w:rsid w:val="009D2E47"/>
    <w:rsid w:val="009D2F27"/>
    <w:rsid w:val="009D51A0"/>
    <w:rsid w:val="009D527B"/>
    <w:rsid w:val="009E0C10"/>
    <w:rsid w:val="009E3AF0"/>
    <w:rsid w:val="009E4116"/>
    <w:rsid w:val="009E464D"/>
    <w:rsid w:val="009E529F"/>
    <w:rsid w:val="009E5D9D"/>
    <w:rsid w:val="009F1402"/>
    <w:rsid w:val="009F19F7"/>
    <w:rsid w:val="009F2F66"/>
    <w:rsid w:val="00A00103"/>
    <w:rsid w:val="00A01510"/>
    <w:rsid w:val="00A0652B"/>
    <w:rsid w:val="00A10DA6"/>
    <w:rsid w:val="00A115CB"/>
    <w:rsid w:val="00A151E9"/>
    <w:rsid w:val="00A15DBB"/>
    <w:rsid w:val="00A20189"/>
    <w:rsid w:val="00A20800"/>
    <w:rsid w:val="00A21F19"/>
    <w:rsid w:val="00A259F2"/>
    <w:rsid w:val="00A2758A"/>
    <w:rsid w:val="00A31C2B"/>
    <w:rsid w:val="00A31E7B"/>
    <w:rsid w:val="00A33802"/>
    <w:rsid w:val="00A34ADD"/>
    <w:rsid w:val="00A37162"/>
    <w:rsid w:val="00A37E51"/>
    <w:rsid w:val="00A50B51"/>
    <w:rsid w:val="00A51E2D"/>
    <w:rsid w:val="00A5319F"/>
    <w:rsid w:val="00A533A9"/>
    <w:rsid w:val="00A53690"/>
    <w:rsid w:val="00A539EE"/>
    <w:rsid w:val="00A57E81"/>
    <w:rsid w:val="00A62D31"/>
    <w:rsid w:val="00A63380"/>
    <w:rsid w:val="00A6772B"/>
    <w:rsid w:val="00A67FF8"/>
    <w:rsid w:val="00A7417B"/>
    <w:rsid w:val="00A7558E"/>
    <w:rsid w:val="00A809D9"/>
    <w:rsid w:val="00A8129D"/>
    <w:rsid w:val="00A816E5"/>
    <w:rsid w:val="00A82188"/>
    <w:rsid w:val="00A82A18"/>
    <w:rsid w:val="00A84CE8"/>
    <w:rsid w:val="00A8515E"/>
    <w:rsid w:val="00A85802"/>
    <w:rsid w:val="00A865C7"/>
    <w:rsid w:val="00A909CC"/>
    <w:rsid w:val="00A93082"/>
    <w:rsid w:val="00A942CA"/>
    <w:rsid w:val="00A964A5"/>
    <w:rsid w:val="00A967D9"/>
    <w:rsid w:val="00A9788A"/>
    <w:rsid w:val="00A97E3B"/>
    <w:rsid w:val="00AA00CB"/>
    <w:rsid w:val="00AA0AE7"/>
    <w:rsid w:val="00AA1F12"/>
    <w:rsid w:val="00AA20A1"/>
    <w:rsid w:val="00AA21CB"/>
    <w:rsid w:val="00AA2EBB"/>
    <w:rsid w:val="00AA41F2"/>
    <w:rsid w:val="00AA555F"/>
    <w:rsid w:val="00AA762A"/>
    <w:rsid w:val="00AA7BE9"/>
    <w:rsid w:val="00AA7C13"/>
    <w:rsid w:val="00AB039E"/>
    <w:rsid w:val="00AB1362"/>
    <w:rsid w:val="00AB3161"/>
    <w:rsid w:val="00AB4206"/>
    <w:rsid w:val="00AB556C"/>
    <w:rsid w:val="00AB7735"/>
    <w:rsid w:val="00AC2180"/>
    <w:rsid w:val="00AC2335"/>
    <w:rsid w:val="00AC347B"/>
    <w:rsid w:val="00AC636A"/>
    <w:rsid w:val="00AC6B54"/>
    <w:rsid w:val="00AC6F7D"/>
    <w:rsid w:val="00AC78FC"/>
    <w:rsid w:val="00AC7E54"/>
    <w:rsid w:val="00AD1C2B"/>
    <w:rsid w:val="00AD1D8E"/>
    <w:rsid w:val="00AD1EF2"/>
    <w:rsid w:val="00AD4C9E"/>
    <w:rsid w:val="00AD508E"/>
    <w:rsid w:val="00AD72D9"/>
    <w:rsid w:val="00AE2299"/>
    <w:rsid w:val="00AE3F79"/>
    <w:rsid w:val="00AE43A2"/>
    <w:rsid w:val="00AE6A4E"/>
    <w:rsid w:val="00AE7B98"/>
    <w:rsid w:val="00AF1291"/>
    <w:rsid w:val="00AF129F"/>
    <w:rsid w:val="00AF67D4"/>
    <w:rsid w:val="00B007E3"/>
    <w:rsid w:val="00B04CD1"/>
    <w:rsid w:val="00B05398"/>
    <w:rsid w:val="00B058AF"/>
    <w:rsid w:val="00B06E21"/>
    <w:rsid w:val="00B10B20"/>
    <w:rsid w:val="00B12983"/>
    <w:rsid w:val="00B12DC9"/>
    <w:rsid w:val="00B137B8"/>
    <w:rsid w:val="00B13B6D"/>
    <w:rsid w:val="00B13F84"/>
    <w:rsid w:val="00B14604"/>
    <w:rsid w:val="00B15ABA"/>
    <w:rsid w:val="00B15E3B"/>
    <w:rsid w:val="00B20FA0"/>
    <w:rsid w:val="00B22009"/>
    <w:rsid w:val="00B24DD4"/>
    <w:rsid w:val="00B25538"/>
    <w:rsid w:val="00B2564F"/>
    <w:rsid w:val="00B33758"/>
    <w:rsid w:val="00B33A8A"/>
    <w:rsid w:val="00B34339"/>
    <w:rsid w:val="00B34858"/>
    <w:rsid w:val="00B37988"/>
    <w:rsid w:val="00B40B7D"/>
    <w:rsid w:val="00B416D7"/>
    <w:rsid w:val="00B428EA"/>
    <w:rsid w:val="00B42B2F"/>
    <w:rsid w:val="00B44900"/>
    <w:rsid w:val="00B467F6"/>
    <w:rsid w:val="00B4722B"/>
    <w:rsid w:val="00B472A7"/>
    <w:rsid w:val="00B472E1"/>
    <w:rsid w:val="00B516AF"/>
    <w:rsid w:val="00B52821"/>
    <w:rsid w:val="00B54E0B"/>
    <w:rsid w:val="00B5685D"/>
    <w:rsid w:val="00B56C63"/>
    <w:rsid w:val="00B6139C"/>
    <w:rsid w:val="00B65CCF"/>
    <w:rsid w:val="00B664C7"/>
    <w:rsid w:val="00B6680B"/>
    <w:rsid w:val="00B66EB1"/>
    <w:rsid w:val="00B670E9"/>
    <w:rsid w:val="00B701CF"/>
    <w:rsid w:val="00B71170"/>
    <w:rsid w:val="00B767F7"/>
    <w:rsid w:val="00B807C5"/>
    <w:rsid w:val="00B80BCE"/>
    <w:rsid w:val="00B81524"/>
    <w:rsid w:val="00B81740"/>
    <w:rsid w:val="00B83542"/>
    <w:rsid w:val="00B859B0"/>
    <w:rsid w:val="00B85D7B"/>
    <w:rsid w:val="00B867FE"/>
    <w:rsid w:val="00B900EA"/>
    <w:rsid w:val="00B91069"/>
    <w:rsid w:val="00B92842"/>
    <w:rsid w:val="00B938C1"/>
    <w:rsid w:val="00B93EFC"/>
    <w:rsid w:val="00BA2282"/>
    <w:rsid w:val="00BA2713"/>
    <w:rsid w:val="00BA2941"/>
    <w:rsid w:val="00BA4C61"/>
    <w:rsid w:val="00BA627A"/>
    <w:rsid w:val="00BA6F65"/>
    <w:rsid w:val="00BB22FA"/>
    <w:rsid w:val="00BB7291"/>
    <w:rsid w:val="00BC0D0D"/>
    <w:rsid w:val="00BC1147"/>
    <w:rsid w:val="00BC1E70"/>
    <w:rsid w:val="00BC26D1"/>
    <w:rsid w:val="00BD12A1"/>
    <w:rsid w:val="00BD1D09"/>
    <w:rsid w:val="00BD6373"/>
    <w:rsid w:val="00BD7B83"/>
    <w:rsid w:val="00BE33B9"/>
    <w:rsid w:val="00BE3785"/>
    <w:rsid w:val="00BE422C"/>
    <w:rsid w:val="00BE625B"/>
    <w:rsid w:val="00BE7BAE"/>
    <w:rsid w:val="00BF17C6"/>
    <w:rsid w:val="00BF3D66"/>
    <w:rsid w:val="00BF5DAC"/>
    <w:rsid w:val="00BF6F09"/>
    <w:rsid w:val="00C00207"/>
    <w:rsid w:val="00C00FDA"/>
    <w:rsid w:val="00C02EB9"/>
    <w:rsid w:val="00C0373C"/>
    <w:rsid w:val="00C041D3"/>
    <w:rsid w:val="00C04E4B"/>
    <w:rsid w:val="00C11531"/>
    <w:rsid w:val="00C11B56"/>
    <w:rsid w:val="00C12578"/>
    <w:rsid w:val="00C13AB8"/>
    <w:rsid w:val="00C14249"/>
    <w:rsid w:val="00C14C04"/>
    <w:rsid w:val="00C14D8E"/>
    <w:rsid w:val="00C1529E"/>
    <w:rsid w:val="00C16045"/>
    <w:rsid w:val="00C16A22"/>
    <w:rsid w:val="00C175CC"/>
    <w:rsid w:val="00C21E27"/>
    <w:rsid w:val="00C231A6"/>
    <w:rsid w:val="00C2332A"/>
    <w:rsid w:val="00C251B5"/>
    <w:rsid w:val="00C27D70"/>
    <w:rsid w:val="00C31C58"/>
    <w:rsid w:val="00C35581"/>
    <w:rsid w:val="00C42EA5"/>
    <w:rsid w:val="00C45BB8"/>
    <w:rsid w:val="00C46869"/>
    <w:rsid w:val="00C560FF"/>
    <w:rsid w:val="00C62BF5"/>
    <w:rsid w:val="00C636DA"/>
    <w:rsid w:val="00C672BA"/>
    <w:rsid w:val="00C67E22"/>
    <w:rsid w:val="00C7105B"/>
    <w:rsid w:val="00C72271"/>
    <w:rsid w:val="00C72A17"/>
    <w:rsid w:val="00C744C0"/>
    <w:rsid w:val="00C75B10"/>
    <w:rsid w:val="00C7670B"/>
    <w:rsid w:val="00C77BD0"/>
    <w:rsid w:val="00C81356"/>
    <w:rsid w:val="00C813CD"/>
    <w:rsid w:val="00C83387"/>
    <w:rsid w:val="00C858D9"/>
    <w:rsid w:val="00C86A64"/>
    <w:rsid w:val="00C87AD0"/>
    <w:rsid w:val="00C87DA0"/>
    <w:rsid w:val="00C908AD"/>
    <w:rsid w:val="00C91EF5"/>
    <w:rsid w:val="00C94CFE"/>
    <w:rsid w:val="00C95E74"/>
    <w:rsid w:val="00CA4E4D"/>
    <w:rsid w:val="00CA67D8"/>
    <w:rsid w:val="00CA6FF9"/>
    <w:rsid w:val="00CA73DA"/>
    <w:rsid w:val="00CB1797"/>
    <w:rsid w:val="00CB2E3D"/>
    <w:rsid w:val="00CB4238"/>
    <w:rsid w:val="00CB5938"/>
    <w:rsid w:val="00CB5B27"/>
    <w:rsid w:val="00CB6D7F"/>
    <w:rsid w:val="00CC1339"/>
    <w:rsid w:val="00CC13F5"/>
    <w:rsid w:val="00CC1454"/>
    <w:rsid w:val="00CC1A64"/>
    <w:rsid w:val="00CC30A1"/>
    <w:rsid w:val="00CC34EB"/>
    <w:rsid w:val="00CC4C32"/>
    <w:rsid w:val="00CC4C58"/>
    <w:rsid w:val="00CC66EA"/>
    <w:rsid w:val="00CC7869"/>
    <w:rsid w:val="00CD1253"/>
    <w:rsid w:val="00CD2D92"/>
    <w:rsid w:val="00CD3C17"/>
    <w:rsid w:val="00CD50CB"/>
    <w:rsid w:val="00CD59CB"/>
    <w:rsid w:val="00CD6971"/>
    <w:rsid w:val="00CE1B72"/>
    <w:rsid w:val="00CE1F9C"/>
    <w:rsid w:val="00CE2E48"/>
    <w:rsid w:val="00CE500B"/>
    <w:rsid w:val="00CF0184"/>
    <w:rsid w:val="00CF34C7"/>
    <w:rsid w:val="00CF55F6"/>
    <w:rsid w:val="00CF59E0"/>
    <w:rsid w:val="00CF5AC0"/>
    <w:rsid w:val="00CF6672"/>
    <w:rsid w:val="00D0022E"/>
    <w:rsid w:val="00D021F7"/>
    <w:rsid w:val="00D0248E"/>
    <w:rsid w:val="00D05582"/>
    <w:rsid w:val="00D05C8D"/>
    <w:rsid w:val="00D069C7"/>
    <w:rsid w:val="00D078A2"/>
    <w:rsid w:val="00D10DB1"/>
    <w:rsid w:val="00D17628"/>
    <w:rsid w:val="00D17C76"/>
    <w:rsid w:val="00D20748"/>
    <w:rsid w:val="00D21123"/>
    <w:rsid w:val="00D21142"/>
    <w:rsid w:val="00D26BB7"/>
    <w:rsid w:val="00D32F4E"/>
    <w:rsid w:val="00D35D6C"/>
    <w:rsid w:val="00D367EB"/>
    <w:rsid w:val="00D3684F"/>
    <w:rsid w:val="00D36C91"/>
    <w:rsid w:val="00D41871"/>
    <w:rsid w:val="00D45315"/>
    <w:rsid w:val="00D45954"/>
    <w:rsid w:val="00D461C2"/>
    <w:rsid w:val="00D514A4"/>
    <w:rsid w:val="00D5162F"/>
    <w:rsid w:val="00D520A3"/>
    <w:rsid w:val="00D575EC"/>
    <w:rsid w:val="00D615C7"/>
    <w:rsid w:val="00D61AAE"/>
    <w:rsid w:val="00D6250D"/>
    <w:rsid w:val="00D64CB8"/>
    <w:rsid w:val="00D66016"/>
    <w:rsid w:val="00D676BB"/>
    <w:rsid w:val="00D711D4"/>
    <w:rsid w:val="00D720AE"/>
    <w:rsid w:val="00D72FD8"/>
    <w:rsid w:val="00D739EE"/>
    <w:rsid w:val="00D75510"/>
    <w:rsid w:val="00D75A88"/>
    <w:rsid w:val="00D768A6"/>
    <w:rsid w:val="00D824F3"/>
    <w:rsid w:val="00D84010"/>
    <w:rsid w:val="00D85669"/>
    <w:rsid w:val="00D858EF"/>
    <w:rsid w:val="00D86DED"/>
    <w:rsid w:val="00D92A45"/>
    <w:rsid w:val="00D9697A"/>
    <w:rsid w:val="00DA2B14"/>
    <w:rsid w:val="00DA3023"/>
    <w:rsid w:val="00DA4C48"/>
    <w:rsid w:val="00DA5679"/>
    <w:rsid w:val="00DA727D"/>
    <w:rsid w:val="00DB4D05"/>
    <w:rsid w:val="00DB53A7"/>
    <w:rsid w:val="00DB610C"/>
    <w:rsid w:val="00DB6A96"/>
    <w:rsid w:val="00DC161D"/>
    <w:rsid w:val="00DC6108"/>
    <w:rsid w:val="00DC71CF"/>
    <w:rsid w:val="00DD170F"/>
    <w:rsid w:val="00DD43F9"/>
    <w:rsid w:val="00DD7F67"/>
    <w:rsid w:val="00DE0A8A"/>
    <w:rsid w:val="00DE1106"/>
    <w:rsid w:val="00DE1750"/>
    <w:rsid w:val="00DE73CD"/>
    <w:rsid w:val="00DF2B9B"/>
    <w:rsid w:val="00DF2F8B"/>
    <w:rsid w:val="00DF5936"/>
    <w:rsid w:val="00DF6837"/>
    <w:rsid w:val="00DF68E4"/>
    <w:rsid w:val="00DF6E54"/>
    <w:rsid w:val="00E00977"/>
    <w:rsid w:val="00E02D78"/>
    <w:rsid w:val="00E0417A"/>
    <w:rsid w:val="00E04228"/>
    <w:rsid w:val="00E04457"/>
    <w:rsid w:val="00E04BBC"/>
    <w:rsid w:val="00E06161"/>
    <w:rsid w:val="00E10204"/>
    <w:rsid w:val="00E10450"/>
    <w:rsid w:val="00E108EA"/>
    <w:rsid w:val="00E1478E"/>
    <w:rsid w:val="00E14B1D"/>
    <w:rsid w:val="00E159D7"/>
    <w:rsid w:val="00E213AB"/>
    <w:rsid w:val="00E21653"/>
    <w:rsid w:val="00E21C9B"/>
    <w:rsid w:val="00E22FD8"/>
    <w:rsid w:val="00E2414E"/>
    <w:rsid w:val="00E25E14"/>
    <w:rsid w:val="00E26488"/>
    <w:rsid w:val="00E26830"/>
    <w:rsid w:val="00E26FAF"/>
    <w:rsid w:val="00E333F2"/>
    <w:rsid w:val="00E33444"/>
    <w:rsid w:val="00E33848"/>
    <w:rsid w:val="00E34C1A"/>
    <w:rsid w:val="00E40B36"/>
    <w:rsid w:val="00E450F0"/>
    <w:rsid w:val="00E51672"/>
    <w:rsid w:val="00E51C2C"/>
    <w:rsid w:val="00E522FC"/>
    <w:rsid w:val="00E55EE5"/>
    <w:rsid w:val="00E61784"/>
    <w:rsid w:val="00E625B3"/>
    <w:rsid w:val="00E62B8C"/>
    <w:rsid w:val="00E6377F"/>
    <w:rsid w:val="00E64743"/>
    <w:rsid w:val="00E7257D"/>
    <w:rsid w:val="00E728CB"/>
    <w:rsid w:val="00E7336F"/>
    <w:rsid w:val="00E74F3B"/>
    <w:rsid w:val="00E76262"/>
    <w:rsid w:val="00E77613"/>
    <w:rsid w:val="00E82F93"/>
    <w:rsid w:val="00E83023"/>
    <w:rsid w:val="00E84A6B"/>
    <w:rsid w:val="00E84B50"/>
    <w:rsid w:val="00E84FCA"/>
    <w:rsid w:val="00E85642"/>
    <w:rsid w:val="00E87569"/>
    <w:rsid w:val="00E91384"/>
    <w:rsid w:val="00E92385"/>
    <w:rsid w:val="00E93F74"/>
    <w:rsid w:val="00E96DEA"/>
    <w:rsid w:val="00EA1197"/>
    <w:rsid w:val="00EA1585"/>
    <w:rsid w:val="00EA1C16"/>
    <w:rsid w:val="00EA2A5B"/>
    <w:rsid w:val="00EA332C"/>
    <w:rsid w:val="00EA48AE"/>
    <w:rsid w:val="00EA73E2"/>
    <w:rsid w:val="00EA7D46"/>
    <w:rsid w:val="00EB09E2"/>
    <w:rsid w:val="00EB15A6"/>
    <w:rsid w:val="00EB21EE"/>
    <w:rsid w:val="00EB4569"/>
    <w:rsid w:val="00EB674C"/>
    <w:rsid w:val="00EB6A4A"/>
    <w:rsid w:val="00EB74A5"/>
    <w:rsid w:val="00EC3FDC"/>
    <w:rsid w:val="00EC67E3"/>
    <w:rsid w:val="00ED4C82"/>
    <w:rsid w:val="00ED7216"/>
    <w:rsid w:val="00EE0126"/>
    <w:rsid w:val="00EE0C89"/>
    <w:rsid w:val="00EE0D2D"/>
    <w:rsid w:val="00EE47FE"/>
    <w:rsid w:val="00EE4C83"/>
    <w:rsid w:val="00EE50C6"/>
    <w:rsid w:val="00EE5D41"/>
    <w:rsid w:val="00EE766D"/>
    <w:rsid w:val="00EE7F29"/>
    <w:rsid w:val="00EE7F9C"/>
    <w:rsid w:val="00EF2A15"/>
    <w:rsid w:val="00EF3DA4"/>
    <w:rsid w:val="00EF4B7E"/>
    <w:rsid w:val="00EF5BFD"/>
    <w:rsid w:val="00EF687C"/>
    <w:rsid w:val="00EF7B33"/>
    <w:rsid w:val="00F00470"/>
    <w:rsid w:val="00F01C6F"/>
    <w:rsid w:val="00F0281A"/>
    <w:rsid w:val="00F0509B"/>
    <w:rsid w:val="00F0540F"/>
    <w:rsid w:val="00F06ADB"/>
    <w:rsid w:val="00F06EE2"/>
    <w:rsid w:val="00F074DC"/>
    <w:rsid w:val="00F12688"/>
    <w:rsid w:val="00F12CB0"/>
    <w:rsid w:val="00F12CDD"/>
    <w:rsid w:val="00F13748"/>
    <w:rsid w:val="00F15632"/>
    <w:rsid w:val="00F17535"/>
    <w:rsid w:val="00F20217"/>
    <w:rsid w:val="00F20949"/>
    <w:rsid w:val="00F24F8F"/>
    <w:rsid w:val="00F25719"/>
    <w:rsid w:val="00F303B2"/>
    <w:rsid w:val="00F307E0"/>
    <w:rsid w:val="00F321CE"/>
    <w:rsid w:val="00F32AC7"/>
    <w:rsid w:val="00F34D63"/>
    <w:rsid w:val="00F3527E"/>
    <w:rsid w:val="00F41BD7"/>
    <w:rsid w:val="00F46D50"/>
    <w:rsid w:val="00F47197"/>
    <w:rsid w:val="00F5138A"/>
    <w:rsid w:val="00F57F7A"/>
    <w:rsid w:val="00F62D33"/>
    <w:rsid w:val="00F64352"/>
    <w:rsid w:val="00F64934"/>
    <w:rsid w:val="00F64A70"/>
    <w:rsid w:val="00F64AB3"/>
    <w:rsid w:val="00F655AA"/>
    <w:rsid w:val="00F6570B"/>
    <w:rsid w:val="00F6582F"/>
    <w:rsid w:val="00F65A4C"/>
    <w:rsid w:val="00F66681"/>
    <w:rsid w:val="00F67615"/>
    <w:rsid w:val="00F745AB"/>
    <w:rsid w:val="00F76C98"/>
    <w:rsid w:val="00F802BB"/>
    <w:rsid w:val="00F804CD"/>
    <w:rsid w:val="00F80750"/>
    <w:rsid w:val="00F80B18"/>
    <w:rsid w:val="00F81B3B"/>
    <w:rsid w:val="00F826F6"/>
    <w:rsid w:val="00F83FB6"/>
    <w:rsid w:val="00F85F59"/>
    <w:rsid w:val="00F86538"/>
    <w:rsid w:val="00F86717"/>
    <w:rsid w:val="00F86DD4"/>
    <w:rsid w:val="00F90EB7"/>
    <w:rsid w:val="00F92B23"/>
    <w:rsid w:val="00F94E68"/>
    <w:rsid w:val="00F97C7A"/>
    <w:rsid w:val="00FA139E"/>
    <w:rsid w:val="00FA2909"/>
    <w:rsid w:val="00FA2931"/>
    <w:rsid w:val="00FA3CEC"/>
    <w:rsid w:val="00FA3DFB"/>
    <w:rsid w:val="00FB4CF2"/>
    <w:rsid w:val="00FB7A05"/>
    <w:rsid w:val="00FC01DD"/>
    <w:rsid w:val="00FC071B"/>
    <w:rsid w:val="00FC257A"/>
    <w:rsid w:val="00FC2686"/>
    <w:rsid w:val="00FC4845"/>
    <w:rsid w:val="00FC5274"/>
    <w:rsid w:val="00FC6B03"/>
    <w:rsid w:val="00FD06D5"/>
    <w:rsid w:val="00FD1B14"/>
    <w:rsid w:val="00FD28FF"/>
    <w:rsid w:val="00FD68A1"/>
    <w:rsid w:val="00FD68A7"/>
    <w:rsid w:val="00FE0046"/>
    <w:rsid w:val="00FE0692"/>
    <w:rsid w:val="00FE0985"/>
    <w:rsid w:val="00FE0C2F"/>
    <w:rsid w:val="00FE140B"/>
    <w:rsid w:val="00FE1FF4"/>
    <w:rsid w:val="00FE419E"/>
    <w:rsid w:val="00FF2484"/>
    <w:rsid w:val="00FF3476"/>
    <w:rsid w:val="00FF4201"/>
    <w:rsid w:val="00FF7822"/>
    <w:rsid w:val="05727143"/>
    <w:rsid w:val="1E6429F4"/>
    <w:rsid w:val="32117A42"/>
    <w:rsid w:val="33A640DB"/>
    <w:rsid w:val="33DB3E1F"/>
    <w:rsid w:val="4A63D25D"/>
    <w:rsid w:val="53EF65BE"/>
    <w:rsid w:val="558B97CC"/>
    <w:rsid w:val="60C3B192"/>
    <w:rsid w:val="693F8AAC"/>
    <w:rsid w:val="733CF85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EDC11C7-DE1F-41AA-82EA-49A92EFB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locked/>
    <w:rsid w:val="00670A53"/>
    <w:rPr>
      <w:color w:val="605E5C"/>
      <w:shd w:val="clear" w:color="auto" w:fill="E1DFDD"/>
    </w:rPr>
  </w:style>
  <w:style w:type="paragraph" w:styleId="Revision">
    <w:name w:val="Revision"/>
    <w:hidden/>
    <w:uiPriority w:val="99"/>
    <w:semiHidden/>
    <w:rsid w:val="00E77613"/>
    <w:pPr>
      <w:spacing w:after="0"/>
      <w:jc w:val="left"/>
    </w:pPr>
  </w:style>
  <w:style w:type="paragraph" w:customStyle="1" w:styleId="bodytext0">
    <w:name w:val="bodytext"/>
    <w:basedOn w:val="Normal"/>
    <w:rsid w:val="00F64934"/>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62039577">
      <w:bodyDiv w:val="1"/>
      <w:marLeft w:val="0"/>
      <w:marRight w:val="0"/>
      <w:marTop w:val="0"/>
      <w:marBottom w:val="0"/>
      <w:divBdr>
        <w:top w:val="none" w:sz="0" w:space="0" w:color="auto"/>
        <w:left w:val="none" w:sz="0" w:space="0" w:color="auto"/>
        <w:bottom w:val="none" w:sz="0" w:space="0" w:color="auto"/>
        <w:right w:val="none" w:sz="0" w:space="0" w:color="auto"/>
      </w:divBdr>
    </w:div>
    <w:div w:id="633828453">
      <w:bodyDiv w:val="1"/>
      <w:marLeft w:val="0"/>
      <w:marRight w:val="0"/>
      <w:marTop w:val="0"/>
      <w:marBottom w:val="0"/>
      <w:divBdr>
        <w:top w:val="none" w:sz="0" w:space="0" w:color="auto"/>
        <w:left w:val="none" w:sz="0" w:space="0" w:color="auto"/>
        <w:bottom w:val="none" w:sz="0" w:space="0" w:color="auto"/>
        <w:right w:val="none" w:sz="0" w:space="0" w:color="auto"/>
      </w:divBdr>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727805905">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02650960">
      <w:bodyDiv w:val="1"/>
      <w:marLeft w:val="0"/>
      <w:marRight w:val="0"/>
      <w:marTop w:val="0"/>
      <w:marBottom w:val="0"/>
      <w:divBdr>
        <w:top w:val="none" w:sz="0" w:space="0" w:color="auto"/>
        <w:left w:val="none" w:sz="0" w:space="0" w:color="auto"/>
        <w:bottom w:val="none" w:sz="0" w:space="0" w:color="auto"/>
        <w:right w:val="none" w:sz="0" w:space="0" w:color="auto"/>
      </w:divBdr>
    </w:div>
    <w:div w:id="115534221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11</Value>
    </TaxCatchAll>
    <SharedWithUsers xmlns="92a8a7e8-49a1-4017-acf0-0edc7cce208b">
      <UserInfo>
        <DisplayName>Sharon Kim</DisplayName>
        <AccountId>586</AccountId>
        <AccountType/>
      </UserInfo>
      <UserInfo>
        <DisplayName>Emily Doube</DisplayName>
        <AccountId>242</AccountId>
        <AccountType/>
      </UserInfo>
      <UserInfo>
        <DisplayName>Julia Horrocks</DisplayName>
        <AccountId>272</AccountId>
        <AccountType/>
      </UserInfo>
      <UserInfo>
        <DisplayName>Christopher Donovan</DisplayName>
        <AccountId>287</AccountId>
        <AccountType/>
      </UserInfo>
      <UserInfo>
        <DisplayName>Michele Owen</DisplayName>
        <AccountId>874</AccountId>
        <AccountType/>
      </UserInfo>
      <UserInfo>
        <DisplayName>WeeMing Ng</DisplayName>
        <AccountId>222</AccountId>
        <AccountType/>
      </UserInfo>
    </SharedWithUsers>
    <APRASecurityClassification xmlns="92a8a7e8-49a1-4017-acf0-0edc7cce208b">OFFICIAL: Sensitive</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SUPER</TermName>
          <TermId xmlns="http://schemas.microsoft.com/office/infopath/2007/PartnerControls">622d8f75-8851-e311-9e2e-005056b54f10</TermId>
        </TermInfo>
      </Terms>
    </l003ee8eff60461aa1bd0027aba92ea4>
    <_ExtendedDescription xmlns="http://schemas.microsoft.com/sharepoint/v3">Explanatory Statement (ES) for Insurance (prudential standard) determinations No. 1-4 of 2022</_ExtendedDescription>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EF8A39F2-5068-45BF-85CC-A816CCABDD3E}">
  <ds:schemaRefs>
    <ds:schemaRef ds:uri="http://schemas.microsoft.com/office/2006/documentManagement/types"/>
    <ds:schemaRef ds:uri="http://purl.org/dc/terms/"/>
    <ds:schemaRef ds:uri="http://schemas.microsoft.com/office/2006/metadata/properties"/>
    <ds:schemaRef ds:uri="07aa3df2-460d-49e8-907f-3d8dc3a26e76"/>
    <ds:schemaRef ds:uri="http://www.w3.org/XML/1998/namespace"/>
    <ds:schemaRef ds:uri="http://purl.org/dc/dcmitype/"/>
    <ds:schemaRef ds:uri="http://schemas.openxmlformats.org/package/2006/metadata/core-properties"/>
    <ds:schemaRef ds:uri="http://schemas.microsoft.com/office/infopath/2007/PartnerControls"/>
    <ds:schemaRef ds:uri="1d7c3fb7-129d-404f-b43b-5fca561c442d"/>
    <ds:schemaRef ds:uri="http://purl.org/dc/elements/1.1/"/>
  </ds:schemaRefs>
</ds:datastoreItem>
</file>

<file path=customXml/itemProps3.xml><?xml version="1.0" encoding="utf-8"?>
<ds:datastoreItem xmlns:ds="http://schemas.openxmlformats.org/officeDocument/2006/customXml" ds:itemID="{2AB82D3C-9089-4308-9F82-60BB8AFE67DA}"/>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2551</Words>
  <Characters>14460</Characters>
  <Application>Microsoft Office Word</Application>
  <DocSecurity>0</DocSecurity>
  <Lines>237</Lines>
  <Paragraphs>95</Paragraphs>
  <ScaleCrop>false</ScaleCrop>
  <HeadingPairs>
    <vt:vector size="2" baseType="variant">
      <vt:variant>
        <vt:lpstr>Title</vt:lpstr>
      </vt:variant>
      <vt:variant>
        <vt:i4>1</vt:i4>
      </vt:variant>
    </vt:vector>
  </HeadingPairs>
  <TitlesOfParts>
    <vt:vector size="1" baseType="lpstr">
      <vt:lpstr>ES - Insurance (prudential standard) determinations No. 1-4 of 2022</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Insurance (prudential standard) determinations No. 1-4 of 2022</dc:title>
  <dc:subject/>
  <dc:creator>Eleanor Earl</dc:creator>
  <cp:keywords>[SEC=OFFICIAL]</cp:keywords>
  <dc:description/>
  <cp:lastModifiedBy>Toni Michalis</cp:lastModifiedBy>
  <cp:revision>3</cp:revision>
  <cp:lastPrinted>2014-02-03T07:10:00Z</cp:lastPrinted>
  <dcterms:created xsi:type="dcterms:W3CDTF">2025-01-06T05:12:00Z</dcterms:created>
  <dcterms:modified xsi:type="dcterms:W3CDTF">2025-01-06T05:12:00Z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11;#SUPER|622d8f75-8851-e311-9e2e-005056b54f10</vt:lpwstr>
  </property>
  <property fmtid="{D5CDD505-2E9C-101B-9397-08002B2CF9AE}" pid="25" name="_dlc_DocIdItemGuid">
    <vt:lpwstr>33a7d03e-e905-47ce-84e3-db67c725ac11</vt:lpwstr>
  </property>
  <property fmtid="{D5CDD505-2E9C-101B-9397-08002B2CF9AE}" pid="26" name="APRACostCentre">
    <vt:lpwstr/>
  </property>
  <property fmtid="{D5CDD505-2E9C-101B-9397-08002B2CF9AE}" pid="27" name="IT system type">
    <vt:lpwstr/>
  </property>
  <property fmtid="{D5CDD505-2E9C-101B-9397-08002B2CF9AE}" pid="28" name="APRACategory">
    <vt:lpwstr/>
  </property>
  <property fmtid="{D5CDD505-2E9C-101B-9397-08002B2CF9AE}" pid="29" name="APRADocumentType">
    <vt:lpwstr>Explanatory statement</vt:lpwstr>
  </property>
  <property fmtid="{D5CDD505-2E9C-101B-9397-08002B2CF9AE}" pid="30" name="APRAStatus">
    <vt:lpwstr>Final</vt:lpwstr>
  </property>
  <property fmtid="{D5CDD505-2E9C-101B-9397-08002B2CF9AE}" pid="31" name="APRAActivity">
    <vt:lpwstr>Data collection; Development</vt:lpwstr>
  </property>
  <property fmtid="{D5CDD505-2E9C-101B-9397-08002B2CF9AE}" pid="32" name="APRAEntityAdviceSupport">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RecordPoint_WorkflowType">
    <vt:lpwstr>ActiveSubmitStub</vt:lpwstr>
  </property>
  <property fmtid="{D5CDD505-2E9C-101B-9397-08002B2CF9AE}" pid="37" name="RecordPoint_ActiveItemSiteId">
    <vt:lpwstr>{99f7d170-f886-4b78-8389-87e4657e4bc8}</vt:lpwstr>
  </property>
  <property fmtid="{D5CDD505-2E9C-101B-9397-08002B2CF9AE}" pid="38" name="RecordPoint_ActiveItemListId">
    <vt:lpwstr>{61fbfb6e-bac9-459c-9569-360598f35847}</vt:lpwstr>
  </property>
  <property fmtid="{D5CDD505-2E9C-101B-9397-08002B2CF9AE}" pid="39" name="RecordPoint_ActiveItemUniqueId">
    <vt:lpwstr>{33a7d03e-e905-47ce-84e3-db67c725ac11}</vt:lpwstr>
  </property>
  <property fmtid="{D5CDD505-2E9C-101B-9397-08002B2CF9AE}" pid="40" name="RecordPoint_ActiveItemWebId">
    <vt:lpwstr>{ad6dddf9-383b-42a4-9cb2-33e024a97839}</vt:lpwstr>
  </property>
  <property fmtid="{D5CDD505-2E9C-101B-9397-08002B2CF9AE}" pid="41" name="RecordPoint_RecordNumberSubmitted">
    <vt:lpwstr>R0001714446</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MSIP_Label_c0129afb-6481-4f92-bc9f-5a4a6346364d_Name">
    <vt:lpwstr>OFFICIAL</vt:lpwstr>
  </property>
  <property fmtid="{D5CDD505-2E9C-101B-9397-08002B2CF9AE}" pid="48" name="MSIP_Label_c0129afb-6481-4f92-bc9f-5a4a6346364d_SiteId">
    <vt:lpwstr>c05e3ffd-b491-4431-9809-e61d4dc78816</vt:lpwstr>
  </property>
  <property fmtid="{D5CDD505-2E9C-101B-9397-08002B2CF9AE}" pid="49" name="MSIP_Label_c0129afb-6481-4f92-bc9f-5a4a6346364d_Enabled">
    <vt:lpwstr>true</vt:lpwstr>
  </property>
  <property fmtid="{D5CDD505-2E9C-101B-9397-08002B2CF9AE}" pid="50" name="PM_OriginationTimeStamp">
    <vt:lpwstr>2022-11-11T03:49:16Z</vt:lpwstr>
  </property>
  <property fmtid="{D5CDD505-2E9C-101B-9397-08002B2CF9AE}" pid="51" name="MSIP_Label_c0129afb-6481-4f92-bc9f-5a4a6346364d_SetDate">
    <vt:lpwstr>2022-11-11T03:49:16Z</vt:lpwstr>
  </property>
  <property fmtid="{D5CDD505-2E9C-101B-9397-08002B2CF9AE}" pid="52" name="IsLocked">
    <vt:lpwstr>Yes</vt:lpwstr>
  </property>
  <property fmtid="{D5CDD505-2E9C-101B-9397-08002B2CF9AE}" pid="53" name="RecordPoint_SubmissionCompleted">
    <vt:lpwstr>2022-12-07T17:16:32.7553891+11:00</vt:lpwstr>
  </property>
  <property fmtid="{D5CDD505-2E9C-101B-9397-08002B2CF9AE}" pid="54" name="Order">
    <vt:r8>11031400</vt:r8>
  </property>
  <property fmtid="{D5CDD505-2E9C-101B-9397-08002B2CF9AE}" pid="55" name="APRASecurityClassification">
    <vt:lpwstr>OFFICIAL</vt:lpwstr>
  </property>
  <property fmtid="{D5CDD505-2E9C-101B-9397-08002B2CF9AE}" pid="56" name="DocumentSetDescription">
    <vt:lpwstr>Explanatory Statement (ES) for Insurance (prudential standard) determinations No. 1-4 of 2022</vt:lpwstr>
  </property>
  <property fmtid="{D5CDD505-2E9C-101B-9397-08002B2CF9AE}" pid="57" name="_ExtendedDescription">
    <vt:lpwstr>Explanatory Statement (ES) for Insurance (prudential standard) determinations No. 1-4 of 2022</vt:lpwstr>
  </property>
  <property fmtid="{D5CDD505-2E9C-101B-9397-08002B2CF9AE}" pid="58" name="URL">
    <vt:lpwstr/>
  </property>
  <property fmtid="{D5CDD505-2E9C-101B-9397-08002B2CF9AE}" pid="59" name="MediaServiceImageTags">
    <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PM_Originator_Hash_SHA1">
    <vt:lpwstr>C3AD57350F36D8E1BD75F8F67CB06D435C9C43CA</vt:lpwstr>
  </property>
  <property fmtid="{D5CDD505-2E9C-101B-9397-08002B2CF9AE}" pid="63" name="PM_OriginatorUserAccountName_SHA256">
    <vt:lpwstr>6E3018F28A186D2E5FF5207C041E7A82E907C3008E071057026A53705873B72E</vt:lpwstr>
  </property>
  <property fmtid="{D5CDD505-2E9C-101B-9397-08002B2CF9AE}" pid="64" name="PM_Hash_Salt_Prev">
    <vt:lpwstr>D0F06D0011EAA323944548900AA2EBBD</vt:lpwstr>
  </property>
  <property fmtid="{D5CDD505-2E9C-101B-9397-08002B2CF9AE}" pid="65" name="PM_Hash_Salt">
    <vt:lpwstr>FD59F95BC0B87F6BBC3A739DF26B5ADC</vt:lpwstr>
  </property>
  <property fmtid="{D5CDD505-2E9C-101B-9397-08002B2CF9AE}" pid="66" name="PM_Hash_SHA1">
    <vt:lpwstr>1B2E8DA45AE91E8B2C42F72461E2BB66371C002B</vt:lpwstr>
  </property>
  <property fmtid="{D5CDD505-2E9C-101B-9397-08002B2CF9AE}" pid="67" name="PMHMAC">
    <vt:lpwstr>v=2022.1;a=SHA256;h=579ED9290BC1C0CD654B50C17C5CA39A82659C4E79FA7BBB39152B653604F300</vt:lpwstr>
  </property>
  <property fmtid="{D5CDD505-2E9C-101B-9397-08002B2CF9AE}" pid="68" name="MSIP_Label_c0129afb-6481-4f92-bc9f-5a4a6346364d_ActionId">
    <vt:lpwstr>11afe6161ab94c1ab011362ee55568fe</vt:lpwstr>
  </property>
</Properties>
</file>