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1816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B01A3E">
        <w:rPr>
          <w:rFonts w:eastAsia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57EB245E" wp14:editId="5DFB94C6">
            <wp:extent cx="2657475" cy="438150"/>
            <wp:effectExtent l="0" t="0" r="9525" b="0"/>
            <wp:docPr id="9" name="Picture 9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BC7D" w14:textId="77777777" w:rsidR="00B01A3E" w:rsidRPr="00B01A3E" w:rsidRDefault="00B01A3E" w:rsidP="00B01A3E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3EC6DF9A" w14:textId="77777777" w:rsidR="00B01A3E" w:rsidRPr="00B01A3E" w:rsidRDefault="00B01A3E" w:rsidP="00B01A3E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Times New Roman"/>
          <w:b/>
          <w:sz w:val="20"/>
          <w:szCs w:val="20"/>
        </w:rPr>
        <w:t xml:space="preserve">Food Standards (Application A1260 – </w:t>
      </w:r>
      <w:r w:rsidRPr="00B01A3E">
        <w:rPr>
          <w:rFonts w:eastAsia="Times New Roman" w:cs="Times New Roman"/>
          <w:b/>
          <w:bCs/>
          <w:sz w:val="20"/>
          <w:szCs w:val="20"/>
          <w:lang w:bidi="en-US"/>
        </w:rPr>
        <w:t>2-Methyloxolane as a processing aid)</w:t>
      </w:r>
      <w:r w:rsidRPr="00B01A3E" w:rsidDel="009C4027">
        <w:rPr>
          <w:rFonts w:eastAsia="Times New Roman" w:cs="Times New Roman"/>
          <w:b/>
          <w:bCs/>
          <w:sz w:val="20"/>
          <w:szCs w:val="24"/>
          <w:lang w:bidi="en-US"/>
        </w:rPr>
        <w:t xml:space="preserve"> </w:t>
      </w:r>
      <w:r w:rsidRPr="00B01A3E">
        <w:rPr>
          <w:rFonts w:eastAsia="Times New Roman" w:cs="Times New Roman"/>
          <w:b/>
          <w:sz w:val="20"/>
          <w:szCs w:val="20"/>
        </w:rPr>
        <w:t>Variation</w:t>
      </w:r>
    </w:p>
    <w:p w14:paraId="6E7CE8C4" w14:textId="77777777" w:rsidR="00B01A3E" w:rsidRPr="00B01A3E" w:rsidRDefault="00B01A3E" w:rsidP="00B01A3E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48FA8E87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F3ABD77" w14:textId="77777777" w:rsidR="00B01A3E" w:rsidRPr="00C1550F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B01A3E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B01A3E">
        <w:rPr>
          <w:rFonts w:eastAsia="Times New Roman" w:cs="Times New Roman"/>
          <w:sz w:val="20"/>
          <w:szCs w:val="20"/>
        </w:rPr>
        <w:t xml:space="preserve">.  The variation commences on the </w:t>
      </w:r>
      <w:r w:rsidRPr="00C1550F">
        <w:rPr>
          <w:rFonts w:eastAsia="Times New Roman" w:cs="Times New Roman"/>
          <w:sz w:val="20"/>
          <w:szCs w:val="20"/>
        </w:rPr>
        <w:t>date specified in clause 3 of this variation.</w:t>
      </w:r>
    </w:p>
    <w:p w14:paraId="1B8351B4" w14:textId="77777777" w:rsidR="00B01A3E" w:rsidRPr="00C1550F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7E22735" w14:textId="3C0D3277" w:rsidR="00B01A3E" w:rsidRPr="00C1550F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1550F">
        <w:rPr>
          <w:rFonts w:eastAsia="Times New Roman" w:cs="Times New Roman"/>
          <w:sz w:val="20"/>
          <w:szCs w:val="20"/>
        </w:rPr>
        <w:t xml:space="preserve">Dated </w:t>
      </w:r>
      <w:r w:rsidR="00C1550F" w:rsidRPr="00C1550F">
        <w:rPr>
          <w:rFonts w:eastAsia="Times New Roman" w:cs="Times New Roman"/>
          <w:sz w:val="20"/>
          <w:szCs w:val="20"/>
        </w:rPr>
        <w:t>6 January 2025</w:t>
      </w:r>
    </w:p>
    <w:p w14:paraId="5A06D44D" w14:textId="77777777" w:rsidR="00B01A3E" w:rsidRPr="00C1550F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30B62B7" w14:textId="5C2F3DE4" w:rsidR="00B01A3E" w:rsidRPr="00B01A3E" w:rsidRDefault="065F3581" w:rsidP="0FCDBE19">
      <w:pPr>
        <w:widowControl w:val="0"/>
        <w:tabs>
          <w:tab w:val="left" w:pos="851"/>
        </w:tabs>
      </w:pPr>
      <w:r>
        <w:rPr>
          <w:noProof/>
        </w:rPr>
        <w:drawing>
          <wp:inline distT="0" distB="0" distL="0" distR="0" wp14:anchorId="5FC65B08" wp14:editId="7A6634A6">
            <wp:extent cx="1231499" cy="371888"/>
            <wp:effectExtent l="0" t="0" r="0" b="0"/>
            <wp:docPr id="2761112" name="Picture 2761112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112" name="Picture 2761112" descr="The Signature of the delegate of the Board of Food Standards Australia New Zealan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4F3" w14:textId="3B3DD1D7" w:rsidR="00B01A3E" w:rsidRPr="00B01A3E" w:rsidRDefault="00B01A3E" w:rsidP="0FCDBE19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E97AF77" w14:textId="77777777" w:rsidR="00B95803" w:rsidRPr="00C516AC" w:rsidRDefault="00B95803" w:rsidP="00B95803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46DBE344">
        <w:rPr>
          <w:rFonts w:eastAsia="Times New Roman" w:cs="Times New Roman"/>
          <w:sz w:val="20"/>
          <w:szCs w:val="20"/>
        </w:rPr>
        <w:t>Matthew O’Mullane, General Manager Risk Management and Intelligence</w:t>
      </w:r>
    </w:p>
    <w:p w14:paraId="31A474D2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0D227143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D5FCA10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ED7C6E4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6F5F511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4C757A7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E7A90A4" w14:textId="77777777" w:rsidR="00B01A3E" w:rsidRPr="00B01A3E" w:rsidRDefault="00B01A3E" w:rsidP="00B01A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B01A3E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5F0B9780" w14:textId="77777777" w:rsidR="00B01A3E" w:rsidRPr="00B01A3E" w:rsidRDefault="00B01A3E" w:rsidP="00B01A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5AC004FB" w14:textId="1559E544" w:rsidR="00B01A3E" w:rsidRPr="00B01A3E" w:rsidRDefault="00B01A3E" w:rsidP="00B01A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B01A3E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Gazette No. FSC </w:t>
      </w:r>
      <w:r w:rsidR="00512367">
        <w:rPr>
          <w:rFonts w:eastAsia="Times New Roman" w:cs="Times New Roman"/>
          <w:sz w:val="20"/>
          <w:szCs w:val="20"/>
          <w:lang w:val="en-AU"/>
        </w:rPr>
        <w:t>174 13 January 2025</w:t>
      </w:r>
      <w:r w:rsidRPr="00B01A3E">
        <w:rPr>
          <w:rFonts w:eastAsia="Times New Roman" w:cs="Times New Roman"/>
          <w:sz w:val="20"/>
          <w:szCs w:val="20"/>
          <w:lang w:val="en-AU"/>
        </w:rPr>
        <w:t xml:space="preserve">. This means that this date is the gazettal date for the purposes of clause 3 of the variation. </w:t>
      </w:r>
    </w:p>
    <w:p w14:paraId="138BF837" w14:textId="77777777" w:rsidR="00B01A3E" w:rsidRPr="00B01A3E" w:rsidRDefault="00B01A3E" w:rsidP="00B01A3E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BBE0016" w14:textId="77777777" w:rsidR="00B01A3E" w:rsidRPr="00B01A3E" w:rsidRDefault="00B01A3E" w:rsidP="00B01A3E">
      <w:pPr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br w:type="page"/>
      </w:r>
    </w:p>
    <w:p w14:paraId="43164F57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B01A3E">
        <w:rPr>
          <w:rFonts w:eastAsia="Times New Roman" w:cs="Times New Roman"/>
          <w:b/>
          <w:sz w:val="20"/>
          <w:szCs w:val="20"/>
        </w:rPr>
        <w:tab/>
        <w:t>Name</w:t>
      </w:r>
    </w:p>
    <w:p w14:paraId="49EEA67B" w14:textId="77777777" w:rsidR="00B01A3E" w:rsidRPr="00B01A3E" w:rsidRDefault="00B01A3E" w:rsidP="00B01A3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>This instrument is the</w:t>
      </w:r>
      <w:r w:rsidRPr="00B01A3E">
        <w:rPr>
          <w:rFonts w:eastAsia="Times New Roman" w:cs="Times New Roman"/>
          <w:i/>
          <w:iCs/>
          <w:sz w:val="20"/>
          <w:szCs w:val="20"/>
        </w:rPr>
        <w:t xml:space="preserve"> Food Standards (Application A1260 – 2-Methyloxolane as a processing aid) Variation</w:t>
      </w:r>
      <w:r w:rsidRPr="00B01A3E">
        <w:rPr>
          <w:rFonts w:eastAsia="Times New Roman" w:cs="Times New Roman"/>
          <w:sz w:val="20"/>
          <w:szCs w:val="20"/>
        </w:rPr>
        <w:t>.</w:t>
      </w:r>
    </w:p>
    <w:p w14:paraId="63758969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Times New Roman"/>
          <w:b/>
          <w:sz w:val="20"/>
          <w:szCs w:val="20"/>
        </w:rPr>
        <w:t>2</w:t>
      </w:r>
      <w:r w:rsidRPr="00B01A3E">
        <w:rPr>
          <w:rFonts w:eastAsia="Times New Roman" w:cs="Times New Roman"/>
          <w:b/>
          <w:sz w:val="20"/>
          <w:szCs w:val="20"/>
        </w:rPr>
        <w:tab/>
        <w:t xml:space="preserve">Variation to Standards in the </w:t>
      </w:r>
      <w:r w:rsidRPr="00B01A3E">
        <w:rPr>
          <w:rFonts w:eastAsia="Times New Roman" w:cs="Times New Roman"/>
          <w:b/>
          <w:i/>
          <w:iCs/>
          <w:sz w:val="20"/>
          <w:szCs w:val="20"/>
        </w:rPr>
        <w:t>Australia New Zealand Food Standards Code</w:t>
      </w:r>
    </w:p>
    <w:p w14:paraId="2F255AFC" w14:textId="77777777" w:rsidR="00B01A3E" w:rsidRPr="00B01A3E" w:rsidRDefault="00B01A3E" w:rsidP="00B01A3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 xml:space="preserve">The Schedule varies Standards in the </w:t>
      </w:r>
      <w:r w:rsidRPr="00B01A3E">
        <w:rPr>
          <w:rFonts w:eastAsia="Times New Roman" w:cs="Times New Roman"/>
          <w:i/>
          <w:iCs/>
          <w:sz w:val="20"/>
          <w:szCs w:val="20"/>
        </w:rPr>
        <w:t>Australia New Zealand Food Standards Code</w:t>
      </w:r>
      <w:r w:rsidRPr="00B01A3E">
        <w:rPr>
          <w:rFonts w:eastAsia="Times New Roman" w:cs="Times New Roman"/>
          <w:sz w:val="20"/>
          <w:szCs w:val="20"/>
        </w:rPr>
        <w:t>.</w:t>
      </w:r>
    </w:p>
    <w:p w14:paraId="47204738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Times New Roman"/>
          <w:b/>
          <w:sz w:val="20"/>
          <w:szCs w:val="20"/>
        </w:rPr>
        <w:t>3</w:t>
      </w:r>
      <w:r w:rsidRPr="00B01A3E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3C5908BC" w14:textId="77777777" w:rsidR="00B01A3E" w:rsidRPr="00B01A3E" w:rsidRDefault="00B01A3E" w:rsidP="00B01A3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3EB0E286" w14:textId="77777777" w:rsidR="00B01A3E" w:rsidRPr="00B01A3E" w:rsidRDefault="00B01A3E" w:rsidP="00B01A3E">
      <w:pPr>
        <w:widowControl w:val="0"/>
        <w:spacing w:before="120" w:after="120"/>
        <w:ind w:left="851" w:hanging="851"/>
        <w:jc w:val="center"/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Times New Roman"/>
          <w:b/>
          <w:sz w:val="20"/>
          <w:szCs w:val="20"/>
        </w:rPr>
        <w:t>Schedule</w:t>
      </w:r>
    </w:p>
    <w:p w14:paraId="22EEFA6F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bidi="en-US"/>
        </w:rPr>
      </w:pPr>
      <w:r w:rsidRPr="00B01A3E">
        <w:rPr>
          <w:rFonts w:eastAsia="Times New Roman" w:cs="Times New Roman"/>
          <w:b/>
          <w:sz w:val="20"/>
          <w:szCs w:val="20"/>
          <w:lang w:bidi="en-US"/>
        </w:rPr>
        <w:t>Schedule 3—Identity and purity</w:t>
      </w:r>
    </w:p>
    <w:p w14:paraId="450A404D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Arial"/>
          <w:b/>
          <w:i/>
          <w:iCs/>
          <w:color w:val="000000"/>
          <w:sz w:val="20"/>
          <w:szCs w:val="20"/>
          <w:shd w:val="clear" w:color="auto" w:fill="FFFFFF"/>
        </w:rPr>
      </w:pPr>
      <w:r w:rsidRPr="00B01A3E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B01A3E">
        <w:rPr>
          <w:rFonts w:eastAsia="Times New Roman" w:cs="Times New Roman"/>
          <w:b/>
          <w:sz w:val="20"/>
          <w:szCs w:val="20"/>
        </w:rPr>
        <w:tab/>
      </w:r>
      <w:bookmarkStart w:id="0" w:name="_Hlk131699364"/>
      <w:r w:rsidRPr="00B01A3E">
        <w:rPr>
          <w:rFonts w:eastAsia="Times New Roman" w:cs="Times New Roman"/>
          <w:b/>
          <w:sz w:val="20"/>
          <w:szCs w:val="20"/>
        </w:rPr>
        <w:t xml:space="preserve">Subsection S3—2(2) (table, before the table item dealing with ‘Nicotinamide riboside chloride’) </w:t>
      </w:r>
    </w:p>
    <w:p w14:paraId="3551AADB" w14:textId="77777777" w:rsidR="00B01A3E" w:rsidRPr="00B01A3E" w:rsidRDefault="00B01A3E" w:rsidP="00B01A3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B01A3E" w:rsidRPr="00B01A3E" w14:paraId="233561BA" w14:textId="77777777" w:rsidTr="00F37042">
        <w:trPr>
          <w:cantSplit/>
          <w:jc w:val="center"/>
        </w:trPr>
        <w:tc>
          <w:tcPr>
            <w:tcW w:w="4254" w:type="dxa"/>
            <w:hideMark/>
          </w:tcPr>
          <w:p w14:paraId="19146815" w14:textId="77777777" w:rsidR="00B01A3E" w:rsidRPr="00F83A33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F83A33">
              <w:rPr>
                <w:rFonts w:ascii="Arial" w:hAnsi="Arial" w:cs="Arial"/>
                <w:sz w:val="18"/>
                <w:szCs w:val="18"/>
                <w:lang w:eastAsia="en-AU"/>
              </w:rPr>
              <w:t>2-Methyloxolane</w:t>
            </w:r>
          </w:p>
        </w:tc>
        <w:tc>
          <w:tcPr>
            <w:tcW w:w="2550" w:type="dxa"/>
            <w:hideMark/>
          </w:tcPr>
          <w:p w14:paraId="3EE99CE9" w14:textId="77777777" w:rsidR="00B01A3E" w:rsidRPr="00F83A33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bookmarkStart w:id="1" w:name="_Hlk167534334"/>
            <w:r w:rsidRPr="00F83A33">
              <w:rPr>
                <w:rFonts w:ascii="Arial" w:hAnsi="Arial" w:cs="Arial"/>
                <w:sz w:val="18"/>
                <w:szCs w:val="18"/>
                <w:lang w:eastAsia="en-AU"/>
              </w:rPr>
              <w:t>section S3—52</w:t>
            </w:r>
            <w:bookmarkEnd w:id="1"/>
          </w:p>
        </w:tc>
      </w:tr>
    </w:tbl>
    <w:p w14:paraId="51F2D032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  <w:lang w:bidi="en-US"/>
        </w:rPr>
      </w:pPr>
      <w:r w:rsidRPr="00B01A3E">
        <w:rPr>
          <w:rFonts w:eastAsia="Times New Roman" w:cs="Times New Roman"/>
          <w:b/>
          <w:sz w:val="20"/>
          <w:szCs w:val="20"/>
        </w:rPr>
        <w:t>[2]</w:t>
      </w:r>
      <w:r w:rsidRPr="00B01A3E">
        <w:rPr>
          <w:rFonts w:eastAsia="Times New Roman" w:cs="Times New Roman"/>
          <w:b/>
          <w:sz w:val="20"/>
          <w:szCs w:val="20"/>
        </w:rPr>
        <w:tab/>
        <w:t xml:space="preserve">After </w:t>
      </w:r>
      <w:r w:rsidRPr="00B01A3E">
        <w:rPr>
          <w:rFonts w:eastAsia="Times New Roman" w:cs="Times New Roman"/>
          <w:b/>
          <w:color w:val="000000"/>
          <w:sz w:val="20"/>
          <w:szCs w:val="20"/>
          <w:lang w:bidi="en-US"/>
        </w:rPr>
        <w:t>section S3—</w:t>
      </w:r>
      <w:bookmarkEnd w:id="0"/>
      <w:r w:rsidRPr="00B01A3E">
        <w:rPr>
          <w:rFonts w:eastAsia="Times New Roman" w:cs="Times New Roman"/>
          <w:b/>
          <w:color w:val="000000"/>
          <w:sz w:val="20"/>
          <w:szCs w:val="20"/>
          <w:lang w:bidi="en-US"/>
        </w:rPr>
        <w:t>51</w:t>
      </w:r>
    </w:p>
    <w:p w14:paraId="6B29EDC5" w14:textId="77777777" w:rsidR="00B01A3E" w:rsidRPr="00B01A3E" w:rsidRDefault="00B01A3E" w:rsidP="00B01A3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  <w:lang w:bidi="en-US"/>
        </w:rPr>
      </w:pPr>
      <w:r w:rsidRPr="00B01A3E">
        <w:rPr>
          <w:rFonts w:eastAsia="Times New Roman" w:cs="Times New Roman"/>
          <w:sz w:val="20"/>
          <w:szCs w:val="20"/>
          <w:lang w:bidi="en-US"/>
        </w:rPr>
        <w:tab/>
        <w:t>Insert:</w:t>
      </w:r>
    </w:p>
    <w:p w14:paraId="42939614" w14:textId="77777777" w:rsidR="00B01A3E" w:rsidRPr="00B01A3E" w:rsidRDefault="00B01A3E" w:rsidP="00B01A3E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i/>
          <w:iCs/>
          <w:kern w:val="32"/>
          <w:szCs w:val="24"/>
          <w:lang w:eastAsia="en-AU" w:bidi="en-US"/>
        </w:rPr>
      </w:pPr>
      <w:bookmarkStart w:id="2" w:name="_Hlk132904640"/>
      <w:r w:rsidRPr="00B01A3E">
        <w:rPr>
          <w:rFonts w:eastAsia="Times New Roman" w:cs="Times New Roman"/>
          <w:b/>
          <w:bCs/>
          <w:kern w:val="32"/>
          <w:szCs w:val="24"/>
          <w:lang w:eastAsia="en-AU" w:bidi="en-US"/>
        </w:rPr>
        <w:t>S3—</w:t>
      </w:r>
      <w:bookmarkEnd w:id="2"/>
      <w:r w:rsidRPr="00B01A3E">
        <w:rPr>
          <w:rFonts w:eastAsia="Times New Roman" w:cs="Times New Roman"/>
          <w:b/>
          <w:bCs/>
          <w:kern w:val="32"/>
          <w:szCs w:val="24"/>
          <w:lang w:eastAsia="en-AU" w:bidi="en-US"/>
        </w:rPr>
        <w:t>52</w:t>
      </w:r>
      <w:r w:rsidRPr="00B01A3E">
        <w:rPr>
          <w:rFonts w:eastAsia="Times New Roman" w:cs="Times New Roman"/>
          <w:b/>
          <w:bCs/>
          <w:kern w:val="32"/>
          <w:szCs w:val="24"/>
          <w:lang w:eastAsia="en-AU"/>
        </w:rPr>
        <w:tab/>
      </w:r>
      <w:r w:rsidRPr="00B01A3E">
        <w:rPr>
          <w:rFonts w:eastAsia="Times New Roman" w:cs="Times New Roman"/>
          <w:b/>
          <w:bCs/>
          <w:kern w:val="32"/>
          <w:szCs w:val="24"/>
          <w:lang w:eastAsia="en-AU"/>
        </w:rPr>
        <w:tab/>
      </w:r>
      <w:bookmarkStart w:id="3" w:name="_Hlk156487226"/>
      <w:r w:rsidRPr="00B01A3E">
        <w:rPr>
          <w:rFonts w:eastAsia="Times New Roman" w:cs="Times New Roman"/>
          <w:b/>
          <w:bCs/>
          <w:kern w:val="32"/>
          <w:szCs w:val="24"/>
          <w:lang w:eastAsia="en-AU"/>
        </w:rPr>
        <w:t>Specification for 2-</w:t>
      </w:r>
      <w:bookmarkEnd w:id="3"/>
      <w:r w:rsidRPr="00B01A3E">
        <w:rPr>
          <w:rFonts w:eastAsia="Times New Roman" w:cs="Times New Roman"/>
          <w:b/>
          <w:bCs/>
          <w:kern w:val="32"/>
          <w:szCs w:val="24"/>
          <w:lang w:eastAsia="en-AU"/>
        </w:rPr>
        <w:t>Methyloxolane</w:t>
      </w:r>
    </w:p>
    <w:p w14:paraId="32F14C51" w14:textId="77777777" w:rsidR="00B01A3E" w:rsidRPr="00B01A3E" w:rsidRDefault="00B01A3E" w:rsidP="00B01A3E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b/>
          <w:bCs/>
          <w:iCs/>
          <w:kern w:val="32"/>
          <w:szCs w:val="24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</w:r>
      <w:r w:rsidRPr="00B01A3E">
        <w:rPr>
          <w:rFonts w:eastAsia="Times New Roman" w:cs="Arial"/>
          <w:iCs/>
          <w:sz w:val="20"/>
          <w:lang w:eastAsia="en-AU"/>
        </w:rPr>
        <w:tab/>
        <w:t xml:space="preserve">For </w:t>
      </w:r>
      <w:r w:rsidRPr="00B01A3E">
        <w:rPr>
          <w:rFonts w:eastAsia="Times New Roman" w:cs="Arial"/>
          <w:iCs/>
          <w:color w:val="000000"/>
          <w:sz w:val="20"/>
          <w:shd w:val="clear" w:color="auto" w:fill="FFFFFF"/>
          <w:lang w:eastAsia="en-AU"/>
        </w:rPr>
        <w:t>2-</w:t>
      </w:r>
      <w:r w:rsidRPr="00B01A3E">
        <w:rPr>
          <w:rFonts w:eastAsia="Times New Roman" w:cs="Arial"/>
          <w:iCs/>
          <w:sz w:val="20"/>
          <w:lang w:eastAsia="en-AU"/>
        </w:rPr>
        <w:t>Methyloxolane</w:t>
      </w:r>
      <w:r w:rsidRPr="00B01A3E">
        <w:rPr>
          <w:rFonts w:eastAsia="Times New Roman" w:cs="Arial"/>
          <w:iCs/>
          <w:color w:val="000000"/>
          <w:sz w:val="20"/>
          <w:shd w:val="clear" w:color="auto" w:fill="FFFFFF"/>
          <w:lang w:eastAsia="en-AU"/>
        </w:rPr>
        <w:t xml:space="preserve">, the </w:t>
      </w:r>
      <w:r w:rsidRPr="00B01A3E">
        <w:rPr>
          <w:rFonts w:eastAsia="Times New Roman" w:cs="Arial"/>
          <w:iCs/>
          <w:sz w:val="20"/>
          <w:lang w:eastAsia="en-AU"/>
        </w:rPr>
        <w:t>specifications</w:t>
      </w:r>
      <w:r w:rsidRPr="00B01A3E">
        <w:rPr>
          <w:rFonts w:eastAsia="Times New Roman" w:cs="Arial"/>
          <w:iCs/>
          <w:color w:val="000000"/>
          <w:sz w:val="20"/>
          <w:shd w:val="clear" w:color="auto" w:fill="FFFFFF"/>
          <w:lang w:eastAsia="en-AU"/>
        </w:rPr>
        <w:t xml:space="preserve"> are the following</w:t>
      </w:r>
      <w:r w:rsidRPr="00B01A3E">
        <w:rPr>
          <w:rFonts w:eastAsia="Times New Roman" w:cs="Arial"/>
          <w:iCs/>
          <w:sz w:val="20"/>
          <w:lang w:eastAsia="en-AU"/>
        </w:rPr>
        <w:t>: </w:t>
      </w:r>
    </w:p>
    <w:p w14:paraId="6E098B1A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(a)</w:t>
      </w:r>
      <w:r w:rsidRPr="00B01A3E">
        <w:rPr>
          <w:rFonts w:eastAsia="Times New Roman" w:cs="Arial"/>
          <w:iCs/>
          <w:sz w:val="20"/>
          <w:lang w:eastAsia="en-AU"/>
        </w:rPr>
        <w:tab/>
        <w:t>chemical name—2-Methyloxolane;</w:t>
      </w:r>
    </w:p>
    <w:p w14:paraId="7F2A4FD0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(b)</w:t>
      </w:r>
      <w:r w:rsidRPr="00B01A3E">
        <w:rPr>
          <w:rFonts w:eastAsia="Times New Roman" w:cs="Arial"/>
          <w:iCs/>
          <w:sz w:val="20"/>
          <w:lang w:eastAsia="en-AU"/>
        </w:rPr>
        <w:tab/>
        <w:t>chemical formula—C</w:t>
      </w:r>
      <w:r w:rsidRPr="00B01A3E">
        <w:rPr>
          <w:rFonts w:eastAsia="Times New Roman" w:cs="Arial"/>
          <w:iCs/>
          <w:sz w:val="20"/>
          <w:vertAlign w:val="subscript"/>
          <w:lang w:eastAsia="en-AU"/>
        </w:rPr>
        <w:t>5</w:t>
      </w:r>
      <w:r w:rsidRPr="00B01A3E">
        <w:rPr>
          <w:rFonts w:eastAsia="Times New Roman" w:cs="Arial"/>
          <w:iCs/>
          <w:sz w:val="20"/>
          <w:lang w:eastAsia="en-AU"/>
        </w:rPr>
        <w:t>H</w:t>
      </w:r>
      <w:r w:rsidRPr="00B01A3E">
        <w:rPr>
          <w:rFonts w:eastAsia="Times New Roman" w:cs="Arial"/>
          <w:iCs/>
          <w:sz w:val="20"/>
          <w:vertAlign w:val="subscript"/>
          <w:lang w:eastAsia="en-AU"/>
        </w:rPr>
        <w:t>10</w:t>
      </w:r>
      <w:r w:rsidRPr="00B01A3E">
        <w:rPr>
          <w:rFonts w:eastAsia="Times New Roman" w:cs="Arial"/>
          <w:iCs/>
          <w:sz w:val="20"/>
          <w:lang w:eastAsia="en-AU"/>
        </w:rPr>
        <w:t>O;</w:t>
      </w:r>
    </w:p>
    <w:p w14:paraId="1544EA02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(c)</w:t>
      </w:r>
      <w:r w:rsidRPr="00B01A3E">
        <w:rPr>
          <w:rFonts w:eastAsia="Times New Roman" w:cs="Arial"/>
          <w:iCs/>
          <w:sz w:val="20"/>
          <w:lang w:eastAsia="en-AU"/>
        </w:rPr>
        <w:tab/>
        <w:t>CAS Number—96-47-9;</w:t>
      </w:r>
    </w:p>
    <w:p w14:paraId="0FD2038E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(d)</w:t>
      </w:r>
      <w:r w:rsidRPr="00B01A3E">
        <w:rPr>
          <w:rFonts w:eastAsia="Times New Roman" w:cs="Arial"/>
          <w:iCs/>
          <w:sz w:val="20"/>
          <w:lang w:eastAsia="en-AU"/>
        </w:rPr>
        <w:tab/>
        <w:t>purity (on a dry weight basis)—not less than 99.9%;</w:t>
      </w:r>
    </w:p>
    <w:p w14:paraId="06DF143D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(e)</w:t>
      </w:r>
      <w:r w:rsidRPr="00B01A3E">
        <w:rPr>
          <w:rFonts w:eastAsia="Times New Roman" w:cs="Arial"/>
          <w:iCs/>
          <w:sz w:val="20"/>
          <w:lang w:eastAsia="en-AU"/>
        </w:rPr>
        <w:tab/>
        <w:t>ethanol (on a dry weight basis)—not more than 450 mg/kg;</w:t>
      </w:r>
    </w:p>
    <w:p w14:paraId="37181DBC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(f)</w:t>
      </w:r>
      <w:r w:rsidRPr="00B01A3E">
        <w:rPr>
          <w:rFonts w:eastAsia="Times New Roman" w:cs="Arial"/>
          <w:iCs/>
          <w:sz w:val="20"/>
          <w:lang w:eastAsia="en-AU"/>
        </w:rPr>
        <w:tab/>
        <w:t>furan (on a dry weight basis)—not more than 50 mg/kg;</w:t>
      </w:r>
    </w:p>
    <w:p w14:paraId="33398A44" w14:textId="77777777" w:rsidR="00B01A3E" w:rsidRPr="00B01A3E" w:rsidRDefault="00B01A3E" w:rsidP="00B01A3E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B01A3E">
        <w:rPr>
          <w:rFonts w:eastAsia="Times New Roman" w:cs="Arial"/>
          <w:iCs/>
          <w:sz w:val="20"/>
          <w:lang w:eastAsia="en-AU"/>
        </w:rPr>
        <w:tab/>
        <w:t>(g)</w:t>
      </w:r>
      <w:r w:rsidRPr="00B01A3E">
        <w:rPr>
          <w:rFonts w:eastAsia="Times New Roman" w:cs="Arial"/>
          <w:iCs/>
          <w:sz w:val="20"/>
          <w:lang w:eastAsia="en-AU"/>
        </w:rPr>
        <w:tab/>
        <w:t>2-methylfuran (on a dry weight basis)—not more than 500 mg/kg.</w:t>
      </w:r>
    </w:p>
    <w:p w14:paraId="417A2BCB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  <w:lang w:bidi="en-US"/>
        </w:rPr>
      </w:pPr>
    </w:p>
    <w:p w14:paraId="06EEE377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Times New Roman"/>
          <w:b/>
          <w:sz w:val="20"/>
          <w:szCs w:val="20"/>
        </w:rPr>
        <w:t>Schedule 18</w:t>
      </w:r>
      <w:r w:rsidRPr="00B01A3E">
        <w:rPr>
          <w:rFonts w:eastAsia="Times New Roman" w:cs="Arial"/>
          <w:b/>
          <w:bCs/>
          <w:sz w:val="20"/>
          <w:szCs w:val="20"/>
          <w:shd w:val="clear" w:color="auto" w:fill="FFFFFF"/>
        </w:rPr>
        <w:t>—</w:t>
      </w:r>
      <w:r w:rsidRPr="00B01A3E">
        <w:rPr>
          <w:rFonts w:eastAsia="Times New Roman" w:cs="Times New Roman"/>
          <w:b/>
          <w:sz w:val="20"/>
          <w:szCs w:val="20"/>
        </w:rPr>
        <w:t>Processing aids</w:t>
      </w:r>
    </w:p>
    <w:p w14:paraId="1599021B" w14:textId="77777777" w:rsidR="00B01A3E" w:rsidRPr="00B01A3E" w:rsidRDefault="00B01A3E" w:rsidP="00B01A3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B01A3E">
        <w:rPr>
          <w:rFonts w:eastAsia="Times New Roman" w:cs="Arial"/>
          <w:b/>
          <w:sz w:val="20"/>
          <w:szCs w:val="20"/>
        </w:rPr>
        <w:t>[3]</w:t>
      </w:r>
      <w:r w:rsidRPr="00B01A3E">
        <w:rPr>
          <w:rFonts w:eastAsia="Times New Roman" w:cs="Times New Roman"/>
          <w:b/>
          <w:sz w:val="20"/>
          <w:szCs w:val="20"/>
        </w:rPr>
        <w:tab/>
      </w:r>
      <w:r w:rsidRPr="00B01A3E">
        <w:rPr>
          <w:rFonts w:eastAsia="Times New Roman" w:cs="Arial"/>
          <w:b/>
          <w:sz w:val="20"/>
          <w:szCs w:val="20"/>
        </w:rPr>
        <w:t xml:space="preserve">Section </w:t>
      </w:r>
      <w:r w:rsidRPr="00B01A3E">
        <w:rPr>
          <w:rFonts w:eastAsia="Times New Roman" w:cs="Times New Roman"/>
          <w:b/>
          <w:sz w:val="20"/>
          <w:szCs w:val="20"/>
        </w:rPr>
        <w:t xml:space="preserve">S18—8  (table, </w:t>
      </w:r>
      <w:bookmarkStart w:id="4" w:name="_Hlk167535838"/>
      <w:r w:rsidRPr="00B01A3E">
        <w:rPr>
          <w:rFonts w:eastAsia="Times New Roman" w:cs="Times New Roman"/>
          <w:b/>
          <w:sz w:val="20"/>
          <w:szCs w:val="20"/>
        </w:rPr>
        <w:t>before the table item dealing with ‘Propane</w:t>
      </w:r>
      <w:bookmarkEnd w:id="4"/>
      <w:r w:rsidRPr="00B01A3E">
        <w:rPr>
          <w:rFonts w:eastAsia="Times New Roman" w:cs="Times New Roman"/>
          <w:b/>
          <w:sz w:val="20"/>
          <w:szCs w:val="20"/>
        </w:rPr>
        <w:t>’)</w:t>
      </w:r>
    </w:p>
    <w:p w14:paraId="29F2904A" w14:textId="77777777" w:rsidR="00B01A3E" w:rsidRPr="00B01A3E" w:rsidRDefault="00B01A3E" w:rsidP="00B01A3E">
      <w:pPr>
        <w:tabs>
          <w:tab w:val="left" w:pos="851"/>
        </w:tabs>
        <w:spacing w:before="120" w:after="120"/>
        <w:rPr>
          <w:rFonts w:eastAsia="Times New Roman" w:cs="Arial"/>
          <w:sz w:val="20"/>
          <w:szCs w:val="20"/>
        </w:rPr>
      </w:pPr>
      <w:r w:rsidRPr="00B01A3E">
        <w:rPr>
          <w:rFonts w:eastAsia="Times New Roman" w:cs="Times New Roman"/>
          <w:sz w:val="20"/>
          <w:szCs w:val="20"/>
        </w:rPr>
        <w:tab/>
      </w:r>
      <w:r w:rsidRPr="00B01A3E">
        <w:rPr>
          <w:rFonts w:eastAsia="Times New Roman" w:cs="Arial"/>
          <w:sz w:val="20"/>
          <w:szCs w:val="20"/>
        </w:rPr>
        <w:t xml:space="preserve">Insert: 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188"/>
        <w:gridCol w:w="2488"/>
      </w:tblGrid>
      <w:tr w:rsidR="00B01A3E" w:rsidRPr="00B01A3E" w14:paraId="0697F8A8" w14:textId="77777777" w:rsidTr="00F37042">
        <w:trPr>
          <w:jc w:val="center"/>
        </w:trPr>
        <w:tc>
          <w:tcPr>
            <w:tcW w:w="2128" w:type="dxa"/>
          </w:tcPr>
          <w:p w14:paraId="59962F7D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Cs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iCs/>
                <w:sz w:val="18"/>
                <w:szCs w:val="18"/>
                <w:lang w:eastAsia="en-AU"/>
              </w:rPr>
              <w:t>2-Methyloxolane</w:t>
            </w:r>
          </w:p>
        </w:tc>
        <w:tc>
          <w:tcPr>
            <w:tcW w:w="2188" w:type="dxa"/>
          </w:tcPr>
          <w:p w14:paraId="71A8A89F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Infant formula products</w:t>
            </w:r>
          </w:p>
        </w:tc>
        <w:tc>
          <w:tcPr>
            <w:tcW w:w="2488" w:type="dxa"/>
          </w:tcPr>
          <w:p w14:paraId="6E59D046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3</w:t>
            </w:r>
          </w:p>
        </w:tc>
      </w:tr>
      <w:tr w:rsidR="00B01A3E" w:rsidRPr="00B01A3E" w14:paraId="28945EEB" w14:textId="77777777" w:rsidTr="00F37042">
        <w:trPr>
          <w:jc w:val="center"/>
        </w:trPr>
        <w:tc>
          <w:tcPr>
            <w:tcW w:w="2128" w:type="dxa"/>
          </w:tcPr>
          <w:p w14:paraId="0F2AF5D0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2188" w:type="dxa"/>
          </w:tcPr>
          <w:p w14:paraId="7E24E98D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Foods for infants</w:t>
            </w:r>
          </w:p>
        </w:tc>
        <w:tc>
          <w:tcPr>
            <w:tcW w:w="2488" w:type="dxa"/>
          </w:tcPr>
          <w:p w14:paraId="6920C0E1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B01A3E" w:rsidRPr="00B01A3E" w14:paraId="66933435" w14:textId="77777777" w:rsidTr="00F37042">
        <w:trPr>
          <w:jc w:val="center"/>
        </w:trPr>
        <w:tc>
          <w:tcPr>
            <w:tcW w:w="2128" w:type="dxa"/>
          </w:tcPr>
          <w:p w14:paraId="5F0A156A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2188" w:type="dxa"/>
          </w:tcPr>
          <w:p w14:paraId="20E47E9E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Formulated supplementary foods for young children</w:t>
            </w:r>
          </w:p>
        </w:tc>
        <w:tc>
          <w:tcPr>
            <w:tcW w:w="2488" w:type="dxa"/>
          </w:tcPr>
          <w:p w14:paraId="78DA3794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B01A3E" w:rsidRPr="00B01A3E" w14:paraId="547F0AB8" w14:textId="77777777" w:rsidTr="00F37042">
        <w:trPr>
          <w:jc w:val="center"/>
        </w:trPr>
        <w:tc>
          <w:tcPr>
            <w:tcW w:w="2128" w:type="dxa"/>
          </w:tcPr>
          <w:p w14:paraId="3846B071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2188" w:type="dxa"/>
          </w:tcPr>
          <w:p w14:paraId="0AEBBB11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All other foods</w:t>
            </w:r>
          </w:p>
        </w:tc>
        <w:tc>
          <w:tcPr>
            <w:tcW w:w="2488" w:type="dxa"/>
          </w:tcPr>
          <w:p w14:paraId="107430C1" w14:textId="77777777" w:rsidR="00B01A3E" w:rsidRPr="007B072A" w:rsidRDefault="00B01A3E" w:rsidP="00B01A3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B072A">
              <w:rPr>
                <w:rFonts w:ascii="Arial" w:hAnsi="Arial" w:cs="Arial"/>
                <w:sz w:val="18"/>
                <w:szCs w:val="18"/>
                <w:lang w:eastAsia="en-AU"/>
              </w:rPr>
              <w:t>20</w:t>
            </w:r>
          </w:p>
        </w:tc>
      </w:tr>
    </w:tbl>
    <w:p w14:paraId="28CB0DEF" w14:textId="77777777" w:rsidR="00B01A3E" w:rsidRPr="00B01A3E" w:rsidRDefault="00B01A3E" w:rsidP="00B01A3E">
      <w:pPr>
        <w:widowControl w:val="0"/>
        <w:rPr>
          <w:rFonts w:eastAsia="Times New Roman" w:cs="Times New Roman"/>
          <w:szCs w:val="24"/>
        </w:rPr>
      </w:pPr>
    </w:p>
    <w:p w14:paraId="3E586275" w14:textId="6D099CC7" w:rsidR="00D5526B" w:rsidRPr="003A01FB" w:rsidRDefault="00D5526B" w:rsidP="00B01A3E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0F30" w14:textId="77777777" w:rsidR="00C1550F" w:rsidRDefault="00C1550F" w:rsidP="00C1550F">
      <w:r>
        <w:separator/>
      </w:r>
    </w:p>
  </w:endnote>
  <w:endnote w:type="continuationSeparator" w:id="0">
    <w:p w14:paraId="7A482D17" w14:textId="77777777" w:rsidR="00C1550F" w:rsidRDefault="00C1550F" w:rsidP="00C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F1FD" w14:textId="77777777" w:rsidR="00C1550F" w:rsidRDefault="00C1550F" w:rsidP="00C1550F">
      <w:r>
        <w:separator/>
      </w:r>
    </w:p>
  </w:footnote>
  <w:footnote w:type="continuationSeparator" w:id="0">
    <w:p w14:paraId="71645F49" w14:textId="77777777" w:rsidR="00C1550F" w:rsidRDefault="00C1550F" w:rsidP="00C1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61604672">
    <w:abstractNumId w:val="0"/>
  </w:num>
  <w:num w:numId="2" w16cid:durableId="1919637035">
    <w:abstractNumId w:val="0"/>
  </w:num>
  <w:num w:numId="3" w16cid:durableId="838083325">
    <w:abstractNumId w:val="0"/>
  </w:num>
  <w:num w:numId="4" w16cid:durableId="1556309978">
    <w:abstractNumId w:val="0"/>
  </w:num>
  <w:num w:numId="5" w16cid:durableId="1731883482">
    <w:abstractNumId w:val="0"/>
  </w:num>
  <w:num w:numId="6" w16cid:durableId="1328746216">
    <w:abstractNumId w:val="0"/>
  </w:num>
  <w:num w:numId="7" w16cid:durableId="1875456222">
    <w:abstractNumId w:val="0"/>
  </w:num>
  <w:num w:numId="8" w16cid:durableId="158009143">
    <w:abstractNumId w:val="3"/>
  </w:num>
  <w:num w:numId="9" w16cid:durableId="835652352">
    <w:abstractNumId w:val="1"/>
  </w:num>
  <w:num w:numId="10" w16cid:durableId="1670327622">
    <w:abstractNumId w:val="2"/>
  </w:num>
  <w:num w:numId="11" w16cid:durableId="1179584226">
    <w:abstractNumId w:val="3"/>
  </w:num>
  <w:num w:numId="12" w16cid:durableId="1189635162">
    <w:abstractNumId w:val="1"/>
  </w:num>
  <w:num w:numId="13" w16cid:durableId="143150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3E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12367"/>
    <w:rsid w:val="0054036E"/>
    <w:rsid w:val="00575D6A"/>
    <w:rsid w:val="005B578D"/>
    <w:rsid w:val="005C1996"/>
    <w:rsid w:val="006B6900"/>
    <w:rsid w:val="006D473E"/>
    <w:rsid w:val="007201F8"/>
    <w:rsid w:val="00793DE6"/>
    <w:rsid w:val="007B072A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A29BC"/>
    <w:rsid w:val="00B01A3E"/>
    <w:rsid w:val="00B53154"/>
    <w:rsid w:val="00B72074"/>
    <w:rsid w:val="00B95803"/>
    <w:rsid w:val="00BC2133"/>
    <w:rsid w:val="00BE4F3A"/>
    <w:rsid w:val="00C019A6"/>
    <w:rsid w:val="00C1550F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83A33"/>
    <w:rsid w:val="00FD4B8D"/>
    <w:rsid w:val="00FF55E9"/>
    <w:rsid w:val="065F3581"/>
    <w:rsid w:val="0FCD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F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B01A3E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01A3E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Props1.xml><?xml version="1.0" encoding="utf-8"?>
<ds:datastoreItem xmlns:ds="http://schemas.openxmlformats.org/officeDocument/2006/customXml" ds:itemID="{9FDE3733-C746-4FD4-9B8A-AAA68E26E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ADDD2-6F6D-4137-AA84-ED3273E6D72C}"/>
</file>

<file path=customXml/itemProps3.xml><?xml version="1.0" encoding="utf-8"?>
<ds:datastoreItem xmlns:ds="http://schemas.openxmlformats.org/officeDocument/2006/customXml" ds:itemID="{AD7DD5E9-3657-4191-B7E0-991C23E09D47}"/>
</file>

<file path=customXml/itemProps4.xml><?xml version="1.0" encoding="utf-8"?>
<ds:datastoreItem xmlns:ds="http://schemas.openxmlformats.org/officeDocument/2006/customXml" ds:itemID="{5512C3AF-3E4D-4188-8A86-EBC81FB68B9C}"/>
</file>

<file path=customXml/itemProps5.xml><?xml version="1.0" encoding="utf-8"?>
<ds:datastoreItem xmlns:ds="http://schemas.openxmlformats.org/officeDocument/2006/customXml" ds:itemID="{0B928BB1-9D3A-45BE-A390-BBC838941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1606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2025-01-05T23:09:00Z</dcterms:created>
  <dcterms:modified xsi:type="dcterms:W3CDTF">2025-01-05T23:09:00Z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v=2022.1;a=SHA256;h=D06AE83CB39F7E9AA6ED89812376CF0B39ABA2999E0C0EDA55E9212DC523B858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2025-01-05T23:07:20Z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09B569037207566C68DDA322D8124FB47A89C341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2E7FDE1035024F5C9E2F159B1426CFC9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A5FD2317C9D8556B5143B0855F8BE111C11BE8F6BA5BCF94DC5B82C005B9C67B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6AF02F177980EC0B4CECAA91C2911825</vt:lpwstr>
  </property>
  <property fmtid="{D5CDD505-2E9C-101B-9397-08002B2CF9AE}" pid="25" name="PM_Hash_Salt">
    <vt:lpwstr>6AF02F177980EC0B4CECAA91C2911825</vt:lpwstr>
  </property>
  <property fmtid="{D5CDD505-2E9C-101B-9397-08002B2CF9AE}" pid="26" name="PM_Hash_SHA1">
    <vt:lpwstr>0EF429B945467F6FAACE5BB7F0EEA0F82544E5C1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MediaServiceImageTags">
    <vt:lpwstr/>
  </property>
  <property fmtid="{D5CDD505-2E9C-101B-9397-08002B2CF9AE}" pid="32" name="ContentTypeId">
    <vt:lpwstr>0x010100F5F252698E4843DFA3EBBF7EC57E522A00ED57D63352AC3D488C1927FA6C496CEC</vt:lpwstr>
  </property>
  <property fmtid="{D5CDD505-2E9C-101B-9397-08002B2CF9AE}" pid="33" name="Data Accessibility">
    <vt:lpwstr/>
  </property>
  <property fmtid="{D5CDD505-2E9C-101B-9397-08002B2CF9AE}" pid="34" name="Access">
    <vt:lpwstr/>
  </property>
  <property fmtid="{D5CDD505-2E9C-101B-9397-08002B2CF9AE}" pid="35" name="Classification">
    <vt:lpwstr>1;#OFFICIAL|3776503d-ed4e-4d70-8dfd-8e17b238523b</vt:lpwstr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Data Category">
    <vt:lpwstr/>
  </property>
  <property fmtid="{D5CDD505-2E9C-101B-9397-08002B2CF9AE}" pid="39" name="lcf76f155ced4ddcb4097134ff3c332f">
    <vt:lpwstr/>
  </property>
  <property fmtid="{D5CDD505-2E9C-101B-9397-08002B2CF9AE}" pid="40" name="BCS">
    <vt:lpwstr>27;#Instruments|4a8ff5e5-1f0e-4751-ab44-bc0d33b46a80</vt:lpwstr>
  </property>
  <property fmtid="{D5CDD505-2E9C-101B-9397-08002B2CF9AE}" pid="41" name="Data_x0020_Category">
    <vt:lpwstr/>
  </property>
</Properties>
</file>