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45FF" w14:textId="77777777" w:rsidR="00324551" w:rsidRPr="00A53601" w:rsidRDefault="00324551" w:rsidP="00324551">
      <w:pPr>
        <w:shd w:val="clear" w:color="auto" w:fill="FFFFFF"/>
        <w:spacing w:after="0" w:line="240" w:lineRule="auto"/>
        <w:ind w:left="284"/>
        <w:jc w:val="center"/>
        <w:rPr>
          <w:rFonts w:eastAsia="Times New Roman"/>
          <w:color w:val="000000"/>
          <w:lang w:eastAsia="en-AU"/>
        </w:rPr>
      </w:pPr>
      <w:r w:rsidRPr="00A53601">
        <w:rPr>
          <w:rFonts w:eastAsia="Times New Roman"/>
          <w:b/>
          <w:bCs/>
          <w:color w:val="000000"/>
          <w:u w:val="single"/>
          <w:lang w:eastAsia="en-AU"/>
        </w:rPr>
        <w:t>EXPLANATORY STATEMENT</w:t>
      </w:r>
    </w:p>
    <w:p w14:paraId="545B1CAE" w14:textId="77777777" w:rsidR="00324551" w:rsidRPr="00A53601" w:rsidRDefault="00324551" w:rsidP="00324551">
      <w:pPr>
        <w:shd w:val="clear" w:color="auto" w:fill="FFFFFF"/>
        <w:spacing w:after="0" w:line="240" w:lineRule="auto"/>
        <w:rPr>
          <w:rFonts w:eastAsia="Times New Roman"/>
          <w:color w:val="000000"/>
          <w:lang w:eastAsia="en-AU"/>
        </w:rPr>
      </w:pPr>
      <w:r w:rsidRPr="00A53601">
        <w:rPr>
          <w:rFonts w:eastAsia="Times New Roman"/>
          <w:color w:val="000000"/>
          <w:lang w:eastAsia="en-AU"/>
        </w:rPr>
        <w:t> </w:t>
      </w:r>
    </w:p>
    <w:p w14:paraId="46681F45" w14:textId="77777777" w:rsidR="00324551" w:rsidRPr="00A53601" w:rsidRDefault="00324551" w:rsidP="00324551">
      <w:pPr>
        <w:shd w:val="clear" w:color="auto" w:fill="FFFFFF"/>
        <w:spacing w:after="0" w:line="240" w:lineRule="auto"/>
        <w:jc w:val="center"/>
        <w:rPr>
          <w:rFonts w:eastAsia="Times New Roman"/>
          <w:color w:val="000000"/>
          <w:lang w:eastAsia="en-AU"/>
        </w:rPr>
      </w:pPr>
      <w:r w:rsidRPr="00A53601">
        <w:rPr>
          <w:rFonts w:eastAsia="Times New Roman"/>
          <w:i/>
          <w:iCs/>
          <w:color w:val="000000"/>
          <w:lang w:eastAsia="en-AU"/>
        </w:rPr>
        <w:t>Health Insurance Act 1973</w:t>
      </w:r>
    </w:p>
    <w:p w14:paraId="23846EAA" w14:textId="77777777" w:rsidR="00324551" w:rsidRPr="00A53601" w:rsidRDefault="00324551" w:rsidP="00324551">
      <w:pPr>
        <w:shd w:val="clear" w:color="auto" w:fill="FFFFFF"/>
        <w:spacing w:after="0" w:line="240" w:lineRule="auto"/>
        <w:rPr>
          <w:rFonts w:eastAsia="Times New Roman"/>
          <w:color w:val="000000"/>
          <w:lang w:eastAsia="en-AU"/>
        </w:rPr>
      </w:pPr>
      <w:r w:rsidRPr="00A53601">
        <w:rPr>
          <w:rFonts w:eastAsia="Times New Roman"/>
          <w:color w:val="000000"/>
          <w:lang w:eastAsia="en-AU"/>
        </w:rPr>
        <w:t> </w:t>
      </w:r>
    </w:p>
    <w:p w14:paraId="66EA5465" w14:textId="7A559107" w:rsidR="00CB589C" w:rsidRPr="00A53601" w:rsidRDefault="00CB589C" w:rsidP="00324551">
      <w:pPr>
        <w:shd w:val="clear" w:color="auto" w:fill="FFFFFF"/>
        <w:spacing w:after="0" w:line="240" w:lineRule="auto"/>
        <w:jc w:val="center"/>
        <w:rPr>
          <w:bCs/>
          <w:i/>
          <w:iCs/>
        </w:rPr>
      </w:pPr>
      <w:r w:rsidRPr="00A53601">
        <w:rPr>
          <w:bCs/>
          <w:i/>
          <w:iCs/>
        </w:rPr>
        <w:t>Health Insurance Legislation Amendment (Hospital</w:t>
      </w:r>
      <w:r w:rsidR="008209F6" w:rsidRPr="00A53601">
        <w:rPr>
          <w:bCs/>
          <w:i/>
          <w:iCs/>
        </w:rPr>
        <w:t>-</w:t>
      </w:r>
      <w:r w:rsidRPr="00A53601">
        <w:rPr>
          <w:bCs/>
          <w:i/>
          <w:iCs/>
        </w:rPr>
        <w:t>Only Services and Other Measures) Regulations 2025</w:t>
      </w:r>
    </w:p>
    <w:p w14:paraId="5D3CE1AF" w14:textId="3174BFAE" w:rsidR="00324551" w:rsidRPr="00A53601" w:rsidRDefault="00324551" w:rsidP="00324551">
      <w:pPr>
        <w:shd w:val="clear" w:color="auto" w:fill="FFFFFF"/>
        <w:spacing w:after="0" w:line="240" w:lineRule="auto"/>
        <w:jc w:val="center"/>
        <w:rPr>
          <w:rFonts w:eastAsia="Times New Roman"/>
          <w:color w:val="000000"/>
          <w:lang w:eastAsia="en-AU"/>
        </w:rPr>
      </w:pPr>
      <w:r w:rsidRPr="00A53601">
        <w:rPr>
          <w:rFonts w:eastAsia="Times New Roman"/>
          <w:i/>
          <w:iCs/>
          <w:color w:val="000000"/>
          <w:lang w:eastAsia="en-AU"/>
        </w:rPr>
        <w:t> </w:t>
      </w:r>
    </w:p>
    <w:p w14:paraId="03AAD0F1" w14:textId="77777777" w:rsidR="00324551" w:rsidRPr="00A53601" w:rsidRDefault="00324551" w:rsidP="00324551">
      <w:pPr>
        <w:shd w:val="clear" w:color="auto" w:fill="FFFFFF"/>
        <w:spacing w:after="0" w:line="240" w:lineRule="auto"/>
        <w:rPr>
          <w:color w:val="000000"/>
        </w:rPr>
      </w:pPr>
      <w:r w:rsidRPr="00A53601">
        <w:rPr>
          <w:color w:val="000000"/>
        </w:rPr>
        <w:t>The </w:t>
      </w:r>
      <w:r w:rsidRPr="00A53601">
        <w:rPr>
          <w:i/>
          <w:iCs/>
          <w:color w:val="000000"/>
        </w:rPr>
        <w:t>Health Insurance Act 1973</w:t>
      </w:r>
      <w:r w:rsidRPr="00A53601">
        <w:rPr>
          <w:color w:val="000000"/>
        </w:rPr>
        <w:t> (the Act) sets out the principles and definitions governing the Medicare Benefits Schedule (MBS). The Act provides for payments by way of medical benefits and for other purposes.</w:t>
      </w:r>
    </w:p>
    <w:p w14:paraId="4B1E6346" w14:textId="77777777" w:rsidR="00324551" w:rsidRPr="00A53601" w:rsidRDefault="00324551" w:rsidP="00603FC4">
      <w:pPr>
        <w:shd w:val="clear" w:color="auto" w:fill="FFFFFF"/>
        <w:spacing w:after="0" w:line="240" w:lineRule="auto"/>
        <w:rPr>
          <w:color w:val="000000"/>
        </w:rPr>
      </w:pPr>
      <w:r w:rsidRPr="00A53601">
        <w:rPr>
          <w:color w:val="000000"/>
        </w:rPr>
        <w:t> </w:t>
      </w:r>
    </w:p>
    <w:p w14:paraId="67D35755" w14:textId="77777777" w:rsidR="00324551" w:rsidRPr="00A53601" w:rsidRDefault="00324551" w:rsidP="00603FC4">
      <w:pPr>
        <w:shd w:val="clear" w:color="auto" w:fill="FFFFFF"/>
        <w:spacing w:after="0" w:line="240" w:lineRule="auto"/>
        <w:rPr>
          <w:color w:val="000000"/>
        </w:rPr>
      </w:pPr>
      <w:r w:rsidRPr="00A53601">
        <w:rPr>
          <w:color w:val="000000"/>
        </w:rPr>
        <w:t>Subsection 133(1) of the Act provides that the Governor</w:t>
      </w:r>
      <w:r w:rsidRPr="00A53601">
        <w:rPr>
          <w:color w:val="000000"/>
        </w:rPr>
        <w:noBreakHyphen/>
        <w:t>General may make regulations, not inconsistent with the Act, prescribing all matters required or permitted by the Act to be prescribed, or necessary or convenient to be prescribed for carrying out or giving effect to the Act.</w:t>
      </w:r>
    </w:p>
    <w:p w14:paraId="31CA4F17" w14:textId="77777777" w:rsidR="00324551" w:rsidRPr="00A53601" w:rsidRDefault="00324551" w:rsidP="00603FC4">
      <w:pPr>
        <w:shd w:val="clear" w:color="auto" w:fill="FFFFFF"/>
        <w:spacing w:after="0" w:line="240" w:lineRule="auto"/>
        <w:rPr>
          <w:color w:val="000000"/>
        </w:rPr>
      </w:pPr>
      <w:r w:rsidRPr="00A53601">
        <w:rPr>
          <w:color w:val="000000"/>
        </w:rPr>
        <w:t> </w:t>
      </w:r>
    </w:p>
    <w:p w14:paraId="3948FED2" w14:textId="77777777" w:rsidR="00324551" w:rsidRPr="00A53601" w:rsidRDefault="00324551" w:rsidP="00603FC4">
      <w:pPr>
        <w:shd w:val="clear" w:color="auto" w:fill="FFFFFF"/>
        <w:spacing w:after="0" w:line="240" w:lineRule="auto"/>
        <w:rPr>
          <w:color w:val="000000"/>
        </w:rPr>
      </w:pPr>
      <w:r w:rsidRPr="00A53601">
        <w:rPr>
          <w:color w:val="000000"/>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4064937C" w14:textId="77A7825A" w:rsidR="00324551" w:rsidRPr="00A53601" w:rsidRDefault="00324551" w:rsidP="00324551">
      <w:pPr>
        <w:shd w:val="clear" w:color="auto" w:fill="FFFFFF"/>
        <w:spacing w:after="0" w:line="240" w:lineRule="auto"/>
        <w:rPr>
          <w:color w:val="000000"/>
        </w:rPr>
      </w:pPr>
    </w:p>
    <w:p w14:paraId="73EDCFBE" w14:textId="77777777" w:rsidR="00871053" w:rsidRPr="00A53601" w:rsidRDefault="00871053" w:rsidP="00871053">
      <w:pPr>
        <w:shd w:val="clear" w:color="auto" w:fill="FFFFFF"/>
        <w:spacing w:after="0" w:line="240" w:lineRule="auto"/>
        <w:rPr>
          <w:color w:val="000000"/>
        </w:rPr>
      </w:pPr>
      <w:r w:rsidRPr="00A53601">
        <w:rPr>
          <w:color w:val="000000"/>
        </w:rPr>
        <w:t>Subsection 4(1) of the Act provides that regulations may prescribe a table of general medical services which sets out items of general medical services, the fees applicable for each item, and rules for interpreting the table. The table made under this subsection is referred to as the General Medical Services Table. The most recent version of the regulations is the </w:t>
      </w:r>
      <w:r w:rsidRPr="00A53601">
        <w:rPr>
          <w:i/>
          <w:iCs/>
          <w:color w:val="000000"/>
        </w:rPr>
        <w:t>Health Insurance (General Medical Services Table) Regulations 2021 </w:t>
      </w:r>
      <w:r w:rsidRPr="00A53601">
        <w:rPr>
          <w:color w:val="000000"/>
        </w:rPr>
        <w:t>(GMST).</w:t>
      </w:r>
    </w:p>
    <w:p w14:paraId="0547ABA1" w14:textId="77777777" w:rsidR="00871053" w:rsidRPr="00A53601" w:rsidRDefault="00871053" w:rsidP="00871053">
      <w:pPr>
        <w:shd w:val="clear" w:color="auto" w:fill="FFFFFF"/>
        <w:spacing w:after="0" w:line="240" w:lineRule="auto"/>
        <w:rPr>
          <w:color w:val="000000"/>
        </w:rPr>
      </w:pPr>
    </w:p>
    <w:p w14:paraId="298FFFDA" w14:textId="77777777" w:rsidR="00871053" w:rsidRPr="00A53601" w:rsidRDefault="00871053" w:rsidP="00871053">
      <w:pPr>
        <w:shd w:val="clear" w:color="auto" w:fill="FFFFFF"/>
        <w:spacing w:after="0" w:line="240" w:lineRule="auto"/>
        <w:rPr>
          <w:color w:val="000000"/>
        </w:rPr>
      </w:pPr>
      <w:r w:rsidRPr="00A53601">
        <w:rPr>
          <w:color w:val="000000"/>
        </w:rPr>
        <w:t>Section 4A of the Act provides that regulations may prescribe a table of pathology services which set out items of pathology services, the fees applicable for each item, and rules for interpreting the table. The table made under this section is referred to as the Pathology Services Table. The most recent version of the regulations is the </w:t>
      </w:r>
      <w:r w:rsidRPr="00A53601">
        <w:rPr>
          <w:i/>
          <w:iCs/>
          <w:color w:val="000000"/>
        </w:rPr>
        <w:t>Health Insurance (Pathology Services Table) Regulations 2020</w:t>
      </w:r>
      <w:r w:rsidRPr="00A53601">
        <w:rPr>
          <w:color w:val="000000"/>
        </w:rPr>
        <w:t> (PST).</w:t>
      </w:r>
    </w:p>
    <w:p w14:paraId="35724513" w14:textId="77777777" w:rsidR="00871053" w:rsidRPr="00A53601" w:rsidRDefault="00871053" w:rsidP="00324551">
      <w:pPr>
        <w:shd w:val="clear" w:color="auto" w:fill="FFFFFF"/>
        <w:spacing w:after="0" w:line="240" w:lineRule="auto"/>
        <w:rPr>
          <w:color w:val="000000"/>
        </w:rPr>
      </w:pPr>
    </w:p>
    <w:p w14:paraId="7DDAC58B" w14:textId="72F46407" w:rsidR="0022588F" w:rsidRPr="00A53601" w:rsidRDefault="0022588F" w:rsidP="00324551">
      <w:pPr>
        <w:shd w:val="clear" w:color="auto" w:fill="FFFFFF"/>
        <w:spacing w:after="0" w:line="240" w:lineRule="auto"/>
        <w:rPr>
          <w:color w:val="000000"/>
        </w:rPr>
      </w:pPr>
      <w:r w:rsidRPr="00A53601">
        <w:rPr>
          <w:color w:val="000000"/>
        </w:rPr>
        <w:t>Section 4AA of the Act provides that regulations may prescribe a table of diagnostic imaging services which sets out items of diagnostic imaging services, the fees applicable for each item, and rules for interpreting the table. The table made under this section is referred to as the Diagnostic Imaging Services Table.  The most recent version of the regulations is the </w:t>
      </w:r>
      <w:r w:rsidRPr="00A53601">
        <w:rPr>
          <w:i/>
          <w:iCs/>
          <w:color w:val="000000"/>
        </w:rPr>
        <w:t>Health Insurance (Diagnostic Imaging Services Table) Regulations (No. 2) 2020</w:t>
      </w:r>
      <w:r w:rsidRPr="00A53601">
        <w:rPr>
          <w:color w:val="000000"/>
        </w:rPr>
        <w:t> (DIST).</w:t>
      </w:r>
    </w:p>
    <w:p w14:paraId="4363976D" w14:textId="77777777" w:rsidR="007D4EC3" w:rsidRPr="00A53601" w:rsidRDefault="007D4EC3" w:rsidP="00324551">
      <w:pPr>
        <w:shd w:val="clear" w:color="auto" w:fill="FFFFFF"/>
        <w:spacing w:after="0" w:line="240" w:lineRule="auto"/>
        <w:rPr>
          <w:color w:val="000000"/>
        </w:rPr>
      </w:pPr>
    </w:p>
    <w:p w14:paraId="608FB621" w14:textId="77777777" w:rsidR="0072751F" w:rsidRPr="00A53601" w:rsidRDefault="0072751F" w:rsidP="00603FC4">
      <w:pPr>
        <w:shd w:val="clear" w:color="auto" w:fill="FFFFFF"/>
        <w:spacing w:after="0" w:line="240" w:lineRule="auto"/>
        <w:rPr>
          <w:color w:val="000000"/>
        </w:rPr>
      </w:pPr>
      <w:r w:rsidRPr="00A53601">
        <w:rPr>
          <w:color w:val="000000"/>
        </w:rPr>
        <w:t xml:space="preserve">The </w:t>
      </w:r>
      <w:r w:rsidRPr="00A53601">
        <w:rPr>
          <w:i/>
          <w:iCs/>
          <w:color w:val="000000"/>
        </w:rPr>
        <w:t>Health Insurance Regulations 2018</w:t>
      </w:r>
      <w:r w:rsidRPr="00A53601">
        <w:rPr>
          <w:color w:val="000000"/>
        </w:rPr>
        <w:t xml:space="preserve"> (HIR) provide the overarching policy framework supporting the provision of appropriate Medicare services:</w:t>
      </w:r>
    </w:p>
    <w:p w14:paraId="044AFA04" w14:textId="77777777" w:rsidR="0072751F" w:rsidRPr="00A53601" w:rsidRDefault="0072751F" w:rsidP="00603FC4">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Paragraph 16A(1)(ab) of the Act provides a regulation making power to list the kinds of services which can be considered necessary by ‘treating practitioners’, who are participating nurse practitioners. Section 31 of the HIR prescribes the pathology services that may be requested by participating nurse practitioners and the simple basic pathology services in P9 which can be rendered by participating nurse practitioners subject to certain circumstances under subsection 16A(7A) of the Act.</w:t>
      </w:r>
    </w:p>
    <w:p w14:paraId="1209E49F" w14:textId="46AE0F95" w:rsidR="00324551" w:rsidRPr="00A53601" w:rsidRDefault="0072751F" w:rsidP="00603FC4">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Subsection 16B(3E) of the Act provides a regulation making power to list the kinds of services which can be requested by participating nurse practitioners, which are defined in subsection 3(1). Section 44 of the HIR prescribes the diagnostic imaging services which can be requested by participating nurse practitioners.</w:t>
      </w:r>
    </w:p>
    <w:p w14:paraId="5DE038BC" w14:textId="77777777" w:rsidR="005B32A2" w:rsidRPr="00A53601" w:rsidRDefault="005B32A2" w:rsidP="005B32A2">
      <w:pPr>
        <w:spacing w:after="0"/>
        <w:contextualSpacing/>
        <w:rPr>
          <w:color w:val="000000"/>
        </w:rPr>
      </w:pPr>
    </w:p>
    <w:p w14:paraId="20946F78" w14:textId="77777777" w:rsidR="00324551" w:rsidRPr="00A53601" w:rsidRDefault="00324551" w:rsidP="00324551">
      <w:pPr>
        <w:shd w:val="clear" w:color="auto" w:fill="FFFFFF"/>
        <w:spacing w:after="0" w:line="240" w:lineRule="auto"/>
        <w:rPr>
          <w:rFonts w:eastAsia="Times New Roman"/>
          <w:color w:val="000000"/>
          <w:lang w:eastAsia="en-AU"/>
        </w:rPr>
      </w:pPr>
      <w:r w:rsidRPr="00A53601">
        <w:rPr>
          <w:rFonts w:eastAsia="Times New Roman"/>
          <w:b/>
          <w:bCs/>
          <w:color w:val="000000"/>
          <w:lang w:eastAsia="en-AU"/>
        </w:rPr>
        <w:t>Purpose</w:t>
      </w:r>
    </w:p>
    <w:p w14:paraId="4923F167" w14:textId="25A36D9A" w:rsidR="00201CB2" w:rsidRPr="00A53601" w:rsidRDefault="00201CB2" w:rsidP="00981743">
      <w:pPr>
        <w:shd w:val="clear" w:color="auto" w:fill="FFFFFF"/>
        <w:spacing w:after="0" w:line="240" w:lineRule="auto"/>
        <w:rPr>
          <w:color w:val="000000"/>
        </w:rPr>
      </w:pPr>
      <w:r w:rsidRPr="00A53601">
        <w:rPr>
          <w:color w:val="000000"/>
        </w:rPr>
        <w:t xml:space="preserve">The purpose of the </w:t>
      </w:r>
      <w:r w:rsidRPr="00A53601">
        <w:rPr>
          <w:i/>
          <w:iCs/>
          <w:color w:val="000000"/>
        </w:rPr>
        <w:t>Health Insurance Legislation Amendment (Hospital</w:t>
      </w:r>
      <w:r w:rsidRPr="00A53601">
        <w:rPr>
          <w:i/>
          <w:iCs/>
          <w:color w:val="000000"/>
        </w:rPr>
        <w:noBreakHyphen/>
        <w:t>Only Services and Other Measures) Regulations 2025</w:t>
      </w:r>
      <w:r w:rsidRPr="00A53601">
        <w:rPr>
          <w:color w:val="000000"/>
        </w:rPr>
        <w:t xml:space="preserve"> (the Regulations) is to amend more than 800 MBS items to limit the services to being performed or provided in a hospital. This will align the MBS to contemporary clinical practice and ensure services are only rendered in the appropriate clinical location. </w:t>
      </w:r>
      <w:bookmarkStart w:id="0" w:name="_Hlk187057785"/>
      <w:r w:rsidRPr="00A53601">
        <w:rPr>
          <w:color w:val="000000"/>
        </w:rPr>
        <w:t xml:space="preserve">This change was announced in the 2024-25 Budget under the </w:t>
      </w:r>
      <w:r w:rsidRPr="00A53601">
        <w:rPr>
          <w:i/>
          <w:iCs/>
          <w:color w:val="000000"/>
        </w:rPr>
        <w:t>Strengthening Medicare – an effective and clinically appropriate Medicare Benefits Schedule (MBS)</w:t>
      </w:r>
      <w:r w:rsidRPr="00A53601">
        <w:rPr>
          <w:color w:val="000000"/>
        </w:rPr>
        <w:t xml:space="preserve"> measure</w:t>
      </w:r>
      <w:r w:rsidR="00462949" w:rsidRPr="00A53601">
        <w:rPr>
          <w:color w:val="000000"/>
        </w:rPr>
        <w:t xml:space="preserve"> and as part of the 2024-25 MYEFO under the </w:t>
      </w:r>
      <w:r w:rsidR="00462949" w:rsidRPr="00A53601">
        <w:rPr>
          <w:i/>
          <w:iCs/>
          <w:color w:val="000000"/>
        </w:rPr>
        <w:t xml:space="preserve">An Effective and Clinically Appropriate Medicare Benefits Schedule </w:t>
      </w:r>
      <w:r w:rsidR="00462949" w:rsidRPr="00A53601">
        <w:rPr>
          <w:color w:val="000000"/>
        </w:rPr>
        <w:t xml:space="preserve">measure. </w:t>
      </w:r>
      <w:bookmarkEnd w:id="0"/>
    </w:p>
    <w:p w14:paraId="46014C02" w14:textId="77777777" w:rsidR="00981743" w:rsidRPr="00A53601" w:rsidRDefault="00981743" w:rsidP="00981743">
      <w:pPr>
        <w:shd w:val="clear" w:color="auto" w:fill="FFFFFF"/>
        <w:spacing w:after="0" w:line="240" w:lineRule="auto"/>
        <w:rPr>
          <w:color w:val="000000"/>
        </w:rPr>
      </w:pPr>
    </w:p>
    <w:p w14:paraId="6BE578D2" w14:textId="6844FCF6" w:rsidR="00201CB2" w:rsidRPr="00A53601" w:rsidRDefault="00201CB2" w:rsidP="00981743">
      <w:pPr>
        <w:shd w:val="clear" w:color="auto" w:fill="FFFFFF"/>
        <w:spacing w:after="0" w:line="240" w:lineRule="auto"/>
        <w:rPr>
          <w:color w:val="000000"/>
        </w:rPr>
      </w:pPr>
      <w:r w:rsidRPr="00A53601">
        <w:rPr>
          <w:color w:val="000000"/>
        </w:rPr>
        <w:t>The Regulations w</w:t>
      </w:r>
      <w:r w:rsidR="00B25758" w:rsidRPr="00A53601">
        <w:rPr>
          <w:color w:val="000000"/>
        </w:rPr>
        <w:t>ill</w:t>
      </w:r>
      <w:r w:rsidRPr="00A53601">
        <w:rPr>
          <w:color w:val="000000"/>
        </w:rPr>
        <w:t xml:space="preserve"> also implement recommendations of the Medical Services Advisory Committee (MSAC). Policy authority for these changes was given by the Minister of Health and Aged Care who has delegated authority from Expenditure Review Committee to approve new and amended MBS services following a positive recommendation from MSAC if under the $20 million annual threshold. Changes include:</w:t>
      </w:r>
    </w:p>
    <w:p w14:paraId="5D58F512" w14:textId="64CAF85B" w:rsidR="00201CB2" w:rsidRPr="00A53601" w:rsidRDefault="00201CB2" w:rsidP="00981743">
      <w:pPr>
        <w:pStyle w:val="ListParagraph"/>
        <w:numPr>
          <w:ilvl w:val="0"/>
          <w:numId w:val="74"/>
        </w:numPr>
        <w:shd w:val="clear" w:color="auto" w:fill="FFFFFF"/>
        <w:spacing w:before="0" w:beforeAutospacing="0" w:after="0"/>
        <w:rPr>
          <w:color w:val="000000"/>
        </w:rPr>
      </w:pPr>
      <w:r w:rsidRPr="00A53601">
        <w:rPr>
          <w:color w:val="000000"/>
        </w:rPr>
        <w:t xml:space="preserve">Listing two new items (38376 for percutaneous technique, 38616 for surgical technique) for the insertion of an intravascular microaxial ventricular assist device into the left ventricle only, by arteriotomy. This change was recommended by MSAC to support a small and high-risk population of patients who are experiencing deteriorating cardiogenic shock who have not </w:t>
      </w:r>
      <w:r w:rsidR="006A5AC1" w:rsidRPr="00A53601">
        <w:rPr>
          <w:color w:val="000000"/>
        </w:rPr>
        <w:t xml:space="preserve">been </w:t>
      </w:r>
      <w:r w:rsidRPr="00A53601">
        <w:rPr>
          <w:color w:val="000000"/>
        </w:rPr>
        <w:t>stabilised despite pharmacotherapy</w:t>
      </w:r>
      <w:r w:rsidR="006A5AC1" w:rsidRPr="00A53601">
        <w:rPr>
          <w:color w:val="000000"/>
        </w:rPr>
        <w:t xml:space="preserve"> or as an adjunct to Veno-Arterial Extra-corporeal Oxygenation</w:t>
      </w:r>
      <w:r w:rsidRPr="00A53601">
        <w:rPr>
          <w:color w:val="000000"/>
        </w:rPr>
        <w:t>. A new item w</w:t>
      </w:r>
      <w:r w:rsidR="003763BF" w:rsidRPr="00A53601">
        <w:rPr>
          <w:color w:val="000000"/>
        </w:rPr>
        <w:t>ill</w:t>
      </w:r>
      <w:r w:rsidRPr="00A53601">
        <w:rPr>
          <w:color w:val="000000"/>
        </w:rPr>
        <w:t xml:space="preserve"> also be listed for the surgical removal of the device (38619) and two items w</w:t>
      </w:r>
      <w:r w:rsidR="003763BF" w:rsidRPr="00A53601">
        <w:rPr>
          <w:color w:val="000000"/>
        </w:rPr>
        <w:t>ill</w:t>
      </w:r>
      <w:r w:rsidRPr="00A53601">
        <w:rPr>
          <w:color w:val="000000"/>
        </w:rPr>
        <w:t xml:space="preserve"> be amended (13851 and 13854) to clarify the services exclude intravascular microaxial ventricular assist device inserted into the right ventricle and must be performed or provided in a hospital.</w:t>
      </w:r>
    </w:p>
    <w:p w14:paraId="38BE89C8" w14:textId="77777777" w:rsidR="00201CB2" w:rsidRPr="00A53601" w:rsidRDefault="00201CB2" w:rsidP="00981743">
      <w:pPr>
        <w:pStyle w:val="ListParagraph"/>
        <w:numPr>
          <w:ilvl w:val="0"/>
          <w:numId w:val="74"/>
        </w:numPr>
        <w:shd w:val="clear" w:color="auto" w:fill="FFFFFF"/>
        <w:spacing w:before="0" w:beforeAutospacing="0" w:after="0"/>
        <w:rPr>
          <w:color w:val="000000"/>
        </w:rPr>
      </w:pPr>
      <w:r w:rsidRPr="00A53601">
        <w:rPr>
          <w:color w:val="000000"/>
        </w:rPr>
        <w:t>Listing a new item (22032) for perioperative continuous nerve blockade using catheter technique. This change was recommended by MSAC for the management of moderate to severe post-operative pain, acknowledging that it will provide a small but clinically important improvement in pain relief compared to current options (such as single nerve block or systemic opioids).</w:t>
      </w:r>
    </w:p>
    <w:p w14:paraId="00B89A1F" w14:textId="77777777" w:rsidR="00201CB2" w:rsidRPr="00A53601" w:rsidRDefault="00201CB2" w:rsidP="00981743">
      <w:pPr>
        <w:pStyle w:val="ListParagraph"/>
        <w:numPr>
          <w:ilvl w:val="0"/>
          <w:numId w:val="74"/>
        </w:numPr>
        <w:shd w:val="clear" w:color="auto" w:fill="FFFFFF"/>
        <w:spacing w:before="0" w:beforeAutospacing="0" w:after="0"/>
        <w:rPr>
          <w:color w:val="000000"/>
        </w:rPr>
      </w:pPr>
      <w:r w:rsidRPr="00A53601">
        <w:rPr>
          <w:color w:val="000000"/>
        </w:rPr>
        <w:t xml:space="preserve">Amending genetic testing items 73296 and 73297 for patients at greater risk of BRCA-related ovarian, fallopian tube, primary peritoneal, or breast cancer due to family history, to remove references to specific genes and instead refer to ‘one or more other relevant </w:t>
      </w:r>
      <w:proofErr w:type="gramStart"/>
      <w:r w:rsidRPr="00A53601">
        <w:rPr>
          <w:color w:val="000000"/>
        </w:rPr>
        <w:t>genes’</w:t>
      </w:r>
      <w:proofErr w:type="gramEnd"/>
      <w:r w:rsidRPr="00A53601">
        <w:rPr>
          <w:color w:val="000000"/>
        </w:rPr>
        <w:t>. This change was recommended by MSAC to future proof both items from further gene list changes, to avoid unnecessary treatment delay for patients, and to allow clinicians to choose the most appropriate genes to test.</w:t>
      </w:r>
    </w:p>
    <w:p w14:paraId="7E18FF32" w14:textId="370DD14F" w:rsidR="00723D21" w:rsidRPr="00A53601" w:rsidRDefault="00201CB2" w:rsidP="00981743">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 xml:space="preserve">Allowing nurse practitioner to request plain abdominal x-ray diagnostic imaging services (item 58903). These changes align with the intent of MSAC executive support for expanding nurse practitioner requesting rights. </w:t>
      </w:r>
    </w:p>
    <w:p w14:paraId="6C0E78C8" w14:textId="77777777" w:rsidR="00981743" w:rsidRPr="00A53601" w:rsidRDefault="00981743" w:rsidP="00981743">
      <w:pPr>
        <w:shd w:val="clear" w:color="auto" w:fill="FFFFFF"/>
        <w:spacing w:after="0" w:line="240" w:lineRule="auto"/>
        <w:rPr>
          <w:color w:val="000000"/>
        </w:rPr>
      </w:pPr>
    </w:p>
    <w:p w14:paraId="553F6BA4" w14:textId="2E0BDA35" w:rsidR="00201CB2" w:rsidRPr="00A53601" w:rsidRDefault="00201CB2" w:rsidP="00981743">
      <w:pPr>
        <w:shd w:val="clear" w:color="auto" w:fill="FFFFFF"/>
        <w:spacing w:after="0" w:line="240" w:lineRule="auto"/>
        <w:rPr>
          <w:color w:val="000000"/>
        </w:rPr>
      </w:pPr>
      <w:r w:rsidRPr="00A53601">
        <w:rPr>
          <w:color w:val="000000"/>
        </w:rPr>
        <w:t>The Regulations w</w:t>
      </w:r>
      <w:r w:rsidR="0042021C" w:rsidRPr="00A53601">
        <w:rPr>
          <w:color w:val="000000"/>
        </w:rPr>
        <w:t>ill</w:t>
      </w:r>
      <w:r w:rsidRPr="00A53601">
        <w:rPr>
          <w:color w:val="000000"/>
        </w:rPr>
        <w:t xml:space="preserve"> also implement minor and machinery changes, including:</w:t>
      </w:r>
    </w:p>
    <w:p w14:paraId="7D115482" w14:textId="77777777" w:rsidR="00201CB2" w:rsidRPr="00A53601" w:rsidRDefault="00201CB2" w:rsidP="00981743">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Incorporating items 69421 and 69422, which are currently made under a legislative instrument made under section 3C of the Act, into the PST.</w:t>
      </w:r>
    </w:p>
    <w:p w14:paraId="1CE3E894" w14:textId="77777777" w:rsidR="00201CB2" w:rsidRPr="00A53601" w:rsidRDefault="00201CB2" w:rsidP="00981743">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Making an editorial change to item 73297 to clarify the eligible patient cohort and the policy intent of the item.</w:t>
      </w:r>
    </w:p>
    <w:p w14:paraId="6E5E3839" w14:textId="77777777" w:rsidR="00201CB2" w:rsidRPr="00A53601" w:rsidRDefault="00201CB2" w:rsidP="00981743">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 xml:space="preserve">Amending section 31 of the HIR to clarify that all simple basic pathology services in P9 which can be rendered by participating nurse practitioners are conditional on the practitioner considering the clinical necessity of the test. </w:t>
      </w:r>
    </w:p>
    <w:p w14:paraId="0F272748" w14:textId="77777777" w:rsidR="005F7490" w:rsidRPr="00A53601" w:rsidRDefault="005F7490" w:rsidP="005A2B67">
      <w:pPr>
        <w:spacing w:after="200" w:line="276" w:lineRule="auto"/>
        <w:contextualSpacing/>
        <w:rPr>
          <w:bCs/>
        </w:rPr>
      </w:pPr>
    </w:p>
    <w:p w14:paraId="439CFB5E" w14:textId="6B72DD44" w:rsidR="00324551" w:rsidRPr="00A53601" w:rsidRDefault="00324551" w:rsidP="00324551">
      <w:pPr>
        <w:shd w:val="clear" w:color="auto" w:fill="FFFFFF"/>
        <w:spacing w:after="0" w:line="240" w:lineRule="auto"/>
        <w:rPr>
          <w:color w:val="000000"/>
        </w:rPr>
      </w:pPr>
      <w:r w:rsidRPr="00A53601">
        <w:rPr>
          <w:b/>
          <w:bCs/>
          <w:color w:val="000000"/>
        </w:rPr>
        <w:lastRenderedPageBreak/>
        <w:t>Consultation</w:t>
      </w:r>
    </w:p>
    <w:p w14:paraId="08BBC6BF" w14:textId="3B68931A" w:rsidR="00EB0804" w:rsidRPr="00A53601" w:rsidRDefault="00EB0804" w:rsidP="00CB3969">
      <w:pPr>
        <w:shd w:val="clear" w:color="auto" w:fill="FFFFFF"/>
        <w:spacing w:after="0" w:line="240" w:lineRule="auto"/>
        <w:rPr>
          <w:color w:val="000000"/>
        </w:rPr>
      </w:pPr>
      <w:r w:rsidRPr="00A53601">
        <w:rPr>
          <w:color w:val="000000"/>
        </w:rPr>
        <w:t xml:space="preserve">The Department of Health and Aged Care consulted with key stakeholders and offered an opportunity for them to provide input on the changes to hospital-only services. These stakeholders included the: Australian Medical Association, Australian and New Zealand Association of Oral and Maxillofacial Surgeons, Australian Society of Plastic Surgeons, Royal Australasian College of Surgeons, Royal Australian and New Zealand College of Obstetricians and Gynaecologists, Australasian College for Emergency Medicine, Australian and New Zealand College of Anaesthetists and Australasian College for Emergency Medicine. </w:t>
      </w:r>
    </w:p>
    <w:p w14:paraId="34D212BF" w14:textId="77777777" w:rsidR="00CB3969" w:rsidRPr="00A53601" w:rsidRDefault="00CB3969" w:rsidP="00CB3969">
      <w:pPr>
        <w:shd w:val="clear" w:color="auto" w:fill="FFFFFF"/>
        <w:spacing w:after="0" w:line="240" w:lineRule="auto"/>
        <w:rPr>
          <w:color w:val="000000"/>
        </w:rPr>
      </w:pPr>
    </w:p>
    <w:p w14:paraId="502D44A6" w14:textId="4784F6BF" w:rsidR="00EB0804" w:rsidRPr="00A53601" w:rsidRDefault="00EB0804" w:rsidP="00CB3969">
      <w:pPr>
        <w:shd w:val="clear" w:color="auto" w:fill="FFFFFF"/>
        <w:spacing w:after="0" w:line="240" w:lineRule="auto"/>
        <w:rPr>
          <w:color w:val="000000"/>
        </w:rPr>
      </w:pPr>
      <w:r w:rsidRPr="00A53601">
        <w:rPr>
          <w:color w:val="000000"/>
        </w:rPr>
        <w:t xml:space="preserve">The MSAC recommended changes were subject to public consultation which is consistent with the usual MSAC application and assessment process. Any individual, organisation, consumer, carer or health professionals can make a submission on an application that is out for consultation. There was also general consultation with peak bodies who represented the clinicians who render the MSAC-recommended changes, with peak bodies being supportive of the recommendations. </w:t>
      </w:r>
    </w:p>
    <w:p w14:paraId="66B9FDBA" w14:textId="77777777" w:rsidR="007854F5" w:rsidRPr="00A53601" w:rsidRDefault="007854F5" w:rsidP="00EB0804">
      <w:pPr>
        <w:shd w:val="clear" w:color="auto" w:fill="FFFFFF"/>
        <w:spacing w:after="0" w:line="240" w:lineRule="auto"/>
        <w:rPr>
          <w:color w:val="000000"/>
        </w:rPr>
      </w:pPr>
    </w:p>
    <w:p w14:paraId="655BEA5D" w14:textId="2DB3D332" w:rsidR="00CB3969" w:rsidRPr="00A53601" w:rsidRDefault="00EB0804" w:rsidP="00EB0804">
      <w:pPr>
        <w:shd w:val="clear" w:color="auto" w:fill="FFFFFF"/>
        <w:spacing w:after="0" w:line="240" w:lineRule="auto"/>
        <w:rPr>
          <w:color w:val="000000"/>
        </w:rPr>
      </w:pPr>
      <w:r w:rsidRPr="00A53601">
        <w:rPr>
          <w:color w:val="000000"/>
        </w:rPr>
        <w:t>No consultation was undertaken with respect to machinery changes as these are minor and administrative in nature.</w:t>
      </w:r>
    </w:p>
    <w:p w14:paraId="755A8284" w14:textId="77777777" w:rsidR="00CB3969" w:rsidRPr="00A53601" w:rsidRDefault="00CB3969" w:rsidP="00EB0804">
      <w:pPr>
        <w:shd w:val="clear" w:color="auto" w:fill="FFFFFF"/>
        <w:spacing w:after="0" w:line="240" w:lineRule="auto"/>
      </w:pPr>
    </w:p>
    <w:p w14:paraId="3E355D49" w14:textId="00D5C285" w:rsidR="00324551" w:rsidRPr="00A53601" w:rsidRDefault="00324551" w:rsidP="00324551">
      <w:pPr>
        <w:shd w:val="clear" w:color="auto" w:fill="FFFFFF"/>
        <w:spacing w:after="0" w:line="240" w:lineRule="auto"/>
        <w:rPr>
          <w:color w:val="000000"/>
        </w:rPr>
      </w:pPr>
      <w:r w:rsidRPr="00A53601">
        <w:rPr>
          <w:color w:val="000000"/>
        </w:rPr>
        <w:t>Details of the Regulations are set out in the </w:t>
      </w:r>
      <w:r w:rsidRPr="00A53601">
        <w:rPr>
          <w:color w:val="000000"/>
          <w:u w:val="single"/>
        </w:rPr>
        <w:t>Attachment</w:t>
      </w:r>
      <w:r w:rsidRPr="00A53601">
        <w:rPr>
          <w:color w:val="000000"/>
        </w:rPr>
        <w:t>.</w:t>
      </w:r>
    </w:p>
    <w:p w14:paraId="20488340" w14:textId="77777777" w:rsidR="00324551" w:rsidRPr="00A53601" w:rsidRDefault="00324551" w:rsidP="00324551">
      <w:pPr>
        <w:shd w:val="clear" w:color="auto" w:fill="FFFFFF"/>
        <w:spacing w:after="0" w:line="240" w:lineRule="auto"/>
        <w:rPr>
          <w:color w:val="000000"/>
        </w:rPr>
      </w:pPr>
      <w:r w:rsidRPr="00A53601">
        <w:rPr>
          <w:color w:val="000000"/>
        </w:rPr>
        <w:t> </w:t>
      </w:r>
    </w:p>
    <w:p w14:paraId="18DFFDE7" w14:textId="77777777" w:rsidR="00324551" w:rsidRPr="00A53601" w:rsidRDefault="00324551" w:rsidP="005A2B67">
      <w:pPr>
        <w:shd w:val="clear" w:color="auto" w:fill="FFFFFF"/>
        <w:spacing w:after="0" w:line="240" w:lineRule="auto"/>
        <w:rPr>
          <w:color w:val="000000"/>
        </w:rPr>
      </w:pPr>
      <w:r w:rsidRPr="00A53601">
        <w:rPr>
          <w:color w:val="000000"/>
        </w:rPr>
        <w:t>The Regulations are a legislative instrument for the purposes of the </w:t>
      </w:r>
      <w:r w:rsidRPr="00A53601">
        <w:rPr>
          <w:i/>
          <w:iCs/>
          <w:color w:val="000000"/>
        </w:rPr>
        <w:t>Legislation Act 2003</w:t>
      </w:r>
      <w:r w:rsidRPr="00A53601">
        <w:rPr>
          <w:color w:val="000000"/>
        </w:rPr>
        <w:t>.</w:t>
      </w:r>
    </w:p>
    <w:p w14:paraId="641C3D9D" w14:textId="77777777" w:rsidR="00324551" w:rsidRPr="00A53601" w:rsidRDefault="00324551" w:rsidP="00324551">
      <w:pPr>
        <w:shd w:val="clear" w:color="auto" w:fill="FFFFFF"/>
        <w:spacing w:after="0" w:line="240" w:lineRule="auto"/>
        <w:rPr>
          <w:color w:val="000000"/>
        </w:rPr>
      </w:pPr>
      <w:r w:rsidRPr="00A53601">
        <w:rPr>
          <w:color w:val="000000"/>
        </w:rPr>
        <w:t> </w:t>
      </w:r>
    </w:p>
    <w:p w14:paraId="7EC3BDBD" w14:textId="2A906973" w:rsidR="006A4358" w:rsidRPr="00A53601" w:rsidRDefault="006A4358" w:rsidP="00324551">
      <w:pPr>
        <w:shd w:val="clear" w:color="auto" w:fill="FFFFFF"/>
        <w:spacing w:after="0" w:line="240" w:lineRule="auto"/>
        <w:rPr>
          <w:color w:val="000000"/>
        </w:rPr>
      </w:pPr>
      <w:r w:rsidRPr="00A53601">
        <w:rPr>
          <w:color w:val="000000"/>
        </w:rPr>
        <w:t xml:space="preserve">The Regulations will commence on </w:t>
      </w:r>
      <w:r w:rsidR="00657C57" w:rsidRPr="00A53601">
        <w:rPr>
          <w:color w:val="000000"/>
        </w:rPr>
        <w:t>1 March 2025</w:t>
      </w:r>
      <w:r w:rsidRPr="00A53601">
        <w:rPr>
          <w:color w:val="000000"/>
        </w:rPr>
        <w:t xml:space="preserve">. </w:t>
      </w:r>
    </w:p>
    <w:p w14:paraId="2570B8D7" w14:textId="77777777" w:rsidR="006A4358" w:rsidRPr="00A53601" w:rsidRDefault="006A4358" w:rsidP="00324551">
      <w:pPr>
        <w:shd w:val="clear" w:color="auto" w:fill="FFFFFF"/>
        <w:spacing w:after="0" w:line="240" w:lineRule="auto"/>
        <w:rPr>
          <w:color w:val="000000"/>
        </w:rPr>
      </w:pPr>
    </w:p>
    <w:p w14:paraId="4369C04B" w14:textId="77777777" w:rsidR="00324551" w:rsidRPr="00A53601" w:rsidRDefault="00324551" w:rsidP="00324551">
      <w:pPr>
        <w:shd w:val="clear" w:color="auto" w:fill="FFFFFF"/>
        <w:spacing w:after="0" w:line="240" w:lineRule="auto"/>
        <w:rPr>
          <w:rFonts w:eastAsia="Times New Roman"/>
          <w:color w:val="000000"/>
          <w:lang w:eastAsia="en-AU"/>
        </w:rPr>
      </w:pPr>
      <w:r w:rsidRPr="00A53601">
        <w:rPr>
          <w:rFonts w:eastAsia="Times New Roman"/>
          <w:color w:val="000000"/>
          <w:lang w:eastAsia="en-AU"/>
        </w:rPr>
        <w:t> </w:t>
      </w:r>
    </w:p>
    <w:p w14:paraId="4B02CB05" w14:textId="77777777" w:rsidR="00324551" w:rsidRPr="00A53601" w:rsidRDefault="00324551" w:rsidP="00324551">
      <w:pPr>
        <w:shd w:val="clear" w:color="auto" w:fill="FFFFFF"/>
        <w:spacing w:after="0" w:line="240" w:lineRule="auto"/>
        <w:ind w:left="284"/>
        <w:jc w:val="center"/>
        <w:rPr>
          <w:rFonts w:eastAsia="Times New Roman"/>
          <w:color w:val="000000"/>
          <w:lang w:eastAsia="en-AU"/>
        </w:rPr>
      </w:pPr>
      <w:r w:rsidRPr="00A53601">
        <w:rPr>
          <w:rFonts w:eastAsia="Times New Roman"/>
          <w:color w:val="000000"/>
          <w:lang w:eastAsia="en-AU"/>
        </w:rPr>
        <w:t>                                                                     </w:t>
      </w:r>
      <w:r w:rsidRPr="00A53601">
        <w:rPr>
          <w:rFonts w:eastAsia="Times New Roman"/>
          <w:color w:val="000000"/>
          <w:u w:val="single"/>
          <w:lang w:eastAsia="en-AU"/>
        </w:rPr>
        <w:t>Authority</w:t>
      </w:r>
      <w:r w:rsidRPr="00A53601">
        <w:rPr>
          <w:rFonts w:eastAsia="Times New Roman"/>
          <w:color w:val="000000"/>
          <w:lang w:eastAsia="en-AU"/>
        </w:rPr>
        <w:t>:  Subsection 133(1) of the</w:t>
      </w:r>
    </w:p>
    <w:p w14:paraId="60FC12C0" w14:textId="3B6AF6CC" w:rsidR="00324551" w:rsidRPr="00A53601" w:rsidRDefault="00324551" w:rsidP="005A2B67">
      <w:pPr>
        <w:shd w:val="clear" w:color="auto" w:fill="FFFFFF"/>
        <w:spacing w:after="0" w:line="240" w:lineRule="auto"/>
        <w:ind w:left="284"/>
        <w:jc w:val="center"/>
        <w:rPr>
          <w:rFonts w:eastAsia="Times New Roman"/>
          <w:lang w:eastAsia="en-AU"/>
        </w:rPr>
      </w:pPr>
      <w:r w:rsidRPr="00A53601">
        <w:rPr>
          <w:rFonts w:eastAsia="Times New Roman"/>
          <w:i/>
          <w:iCs/>
          <w:color w:val="000000"/>
          <w:lang w:eastAsia="en-AU"/>
        </w:rPr>
        <w:t>                                                                                         Health Insurance Act 1973</w:t>
      </w:r>
      <w:r w:rsidRPr="00A53601">
        <w:rPr>
          <w:rFonts w:eastAsia="Times New Roman"/>
          <w:color w:val="000000"/>
          <w:lang w:eastAsia="en-AU"/>
        </w:rPr>
        <w:t> </w:t>
      </w:r>
    </w:p>
    <w:p w14:paraId="250751C2" w14:textId="231C43B0" w:rsidR="005541FD" w:rsidRPr="00A53601" w:rsidRDefault="005541FD">
      <w:r w:rsidRPr="00A53601">
        <w:br w:type="page"/>
      </w:r>
    </w:p>
    <w:p w14:paraId="704A2036" w14:textId="77777777" w:rsidR="005541FD" w:rsidRPr="00A53601" w:rsidRDefault="005541FD" w:rsidP="005541FD">
      <w:pPr>
        <w:spacing w:after="0" w:line="240" w:lineRule="auto"/>
        <w:rPr>
          <w:rFonts w:eastAsia="Times New Roman"/>
          <w:b/>
          <w:lang w:eastAsia="en-AU"/>
        </w:rPr>
      </w:pPr>
      <w:bookmarkStart w:id="1" w:name="_Hlk106367543"/>
      <w:bookmarkStart w:id="2" w:name="_Hlk127362040"/>
      <w:r w:rsidRPr="00A53601">
        <w:rPr>
          <w:rFonts w:eastAsia="Times New Roman"/>
          <w:b/>
          <w:lang w:eastAsia="en-AU"/>
        </w:rPr>
        <w:lastRenderedPageBreak/>
        <w:t>ATTACHMENT</w:t>
      </w:r>
    </w:p>
    <w:p w14:paraId="66C2A217" w14:textId="77777777" w:rsidR="005541FD" w:rsidRPr="00A53601" w:rsidRDefault="005541FD" w:rsidP="005541FD">
      <w:pPr>
        <w:spacing w:after="0" w:line="240" w:lineRule="auto"/>
        <w:ind w:left="284"/>
        <w:jc w:val="center"/>
        <w:rPr>
          <w:rFonts w:eastAsia="Times New Roman"/>
          <w:lang w:eastAsia="en-AU"/>
        </w:rPr>
      </w:pPr>
    </w:p>
    <w:p w14:paraId="53D12A8A" w14:textId="7C281A24" w:rsidR="005541FD" w:rsidRPr="00A53601" w:rsidRDefault="005541FD" w:rsidP="005541FD">
      <w:pPr>
        <w:spacing w:after="0" w:line="240" w:lineRule="auto"/>
        <w:rPr>
          <w:rFonts w:eastAsia="Times New Roman"/>
          <w:b/>
          <w:i/>
          <w:lang w:eastAsia="en-AU"/>
        </w:rPr>
      </w:pPr>
      <w:r w:rsidRPr="00A53601">
        <w:rPr>
          <w:rFonts w:eastAsia="Times New Roman"/>
          <w:b/>
          <w:lang w:eastAsia="en-AU"/>
        </w:rPr>
        <w:t xml:space="preserve">Details of the </w:t>
      </w:r>
      <w:r w:rsidR="008209F6" w:rsidRPr="00A53601">
        <w:rPr>
          <w:rFonts w:eastAsia="Times New Roman"/>
          <w:b/>
          <w:i/>
        </w:rPr>
        <w:t>Health Insurance Legislation Amendment (Hospital-Only Services and Other Measures) Regulations 2025</w:t>
      </w:r>
    </w:p>
    <w:p w14:paraId="1A59D656" w14:textId="77777777" w:rsidR="005541FD" w:rsidRPr="00A53601" w:rsidRDefault="005541FD" w:rsidP="005541FD">
      <w:pPr>
        <w:spacing w:after="0" w:line="240" w:lineRule="auto"/>
        <w:rPr>
          <w:rFonts w:eastAsia="Times New Roman"/>
          <w:bCs/>
          <w:iCs/>
          <w:lang w:eastAsia="en-AU"/>
        </w:rPr>
      </w:pPr>
    </w:p>
    <w:p w14:paraId="038071CB" w14:textId="77777777" w:rsidR="005541FD" w:rsidRPr="00A53601" w:rsidRDefault="005541FD" w:rsidP="005541FD">
      <w:pPr>
        <w:keepNext/>
        <w:tabs>
          <w:tab w:val="left" w:pos="284"/>
        </w:tabs>
        <w:spacing w:after="0" w:line="240" w:lineRule="auto"/>
        <w:outlineLvl w:val="0"/>
        <w:rPr>
          <w:rFonts w:eastAsia="Times New Roman"/>
          <w:u w:val="single"/>
          <w:lang w:eastAsia="en-AU"/>
        </w:rPr>
      </w:pPr>
      <w:r w:rsidRPr="00A53601">
        <w:rPr>
          <w:rFonts w:eastAsia="Times New Roman"/>
          <w:u w:val="single"/>
          <w:lang w:eastAsia="en-AU"/>
        </w:rPr>
        <w:t>Section 1 – Name</w:t>
      </w:r>
    </w:p>
    <w:p w14:paraId="719A3656" w14:textId="77777777" w:rsidR="005541FD" w:rsidRPr="00A53601" w:rsidRDefault="005541FD" w:rsidP="005541FD">
      <w:pPr>
        <w:keepNext/>
        <w:spacing w:after="0" w:line="240" w:lineRule="auto"/>
        <w:outlineLvl w:val="0"/>
        <w:rPr>
          <w:rFonts w:eastAsia="Times New Roman"/>
          <w:lang w:eastAsia="en-AU"/>
        </w:rPr>
      </w:pPr>
    </w:p>
    <w:p w14:paraId="442366EC" w14:textId="6C664AD1" w:rsidR="005541FD" w:rsidRPr="00A53601" w:rsidRDefault="005541FD" w:rsidP="005541FD">
      <w:pPr>
        <w:keepNext/>
        <w:spacing w:after="0" w:line="240" w:lineRule="auto"/>
        <w:outlineLvl w:val="0"/>
        <w:rPr>
          <w:rFonts w:eastAsia="Times New Roman"/>
          <w:lang w:eastAsia="en-AU"/>
        </w:rPr>
      </w:pPr>
      <w:r w:rsidRPr="00A53601">
        <w:rPr>
          <w:rFonts w:eastAsia="Times New Roman"/>
          <w:lang w:eastAsia="en-AU"/>
        </w:rPr>
        <w:t>This section provides for the Regulations to be referred to as the</w:t>
      </w:r>
      <w:r w:rsidRPr="00A53601">
        <w:rPr>
          <w:rFonts w:eastAsia="Times New Roman"/>
          <w:i/>
          <w:lang w:eastAsia="en-AU"/>
        </w:rPr>
        <w:t xml:space="preserve"> </w:t>
      </w:r>
      <w:r w:rsidR="008209F6" w:rsidRPr="00A53601">
        <w:rPr>
          <w:rFonts w:eastAsia="Times New Roman"/>
          <w:bCs/>
          <w:i/>
          <w:iCs/>
        </w:rPr>
        <w:t>Health Insurance Legislation Amendment (Hospital-Only Services and Other Measures) Regulations 2025</w:t>
      </w:r>
      <w:r w:rsidR="0035173C" w:rsidRPr="00A53601">
        <w:rPr>
          <w:rFonts w:eastAsia="Times New Roman"/>
          <w:bCs/>
          <w:i/>
          <w:iCs/>
        </w:rPr>
        <w:t xml:space="preserve"> </w:t>
      </w:r>
      <w:r w:rsidRPr="00A53601">
        <w:rPr>
          <w:rFonts w:eastAsia="Times New Roman"/>
          <w:iCs/>
        </w:rPr>
        <w:t>(the Regulations)</w:t>
      </w:r>
      <w:r w:rsidRPr="00A53601">
        <w:rPr>
          <w:rFonts w:eastAsia="Times New Roman"/>
          <w:i/>
        </w:rPr>
        <w:t>.</w:t>
      </w:r>
    </w:p>
    <w:p w14:paraId="1D3031F2" w14:textId="77777777" w:rsidR="005541FD" w:rsidRPr="00A53601" w:rsidRDefault="005541FD" w:rsidP="005541FD">
      <w:pPr>
        <w:spacing w:after="0" w:line="240" w:lineRule="auto"/>
        <w:rPr>
          <w:rFonts w:eastAsia="Times New Roman"/>
          <w:lang w:eastAsia="en-AU"/>
        </w:rPr>
      </w:pPr>
    </w:p>
    <w:p w14:paraId="5CF8CBF5" w14:textId="77777777" w:rsidR="005541FD" w:rsidRPr="00A53601" w:rsidRDefault="005541FD" w:rsidP="005541FD">
      <w:pPr>
        <w:spacing w:after="0" w:line="240" w:lineRule="auto"/>
        <w:rPr>
          <w:rFonts w:eastAsia="Times New Roman"/>
          <w:u w:val="single"/>
          <w:lang w:eastAsia="en-AU"/>
        </w:rPr>
      </w:pPr>
      <w:r w:rsidRPr="00A53601">
        <w:rPr>
          <w:rFonts w:eastAsia="Times New Roman"/>
          <w:u w:val="single"/>
          <w:lang w:eastAsia="en-AU"/>
        </w:rPr>
        <w:t xml:space="preserve">Section 2 – Commencement </w:t>
      </w:r>
    </w:p>
    <w:p w14:paraId="4FB554F0" w14:textId="77777777" w:rsidR="005541FD" w:rsidRPr="00A53601" w:rsidRDefault="005541FD" w:rsidP="005541FD">
      <w:pPr>
        <w:spacing w:after="0" w:line="240" w:lineRule="auto"/>
        <w:rPr>
          <w:rFonts w:eastAsia="Times New Roman"/>
          <w:lang w:eastAsia="en-AU"/>
        </w:rPr>
      </w:pPr>
    </w:p>
    <w:p w14:paraId="5BFED608" w14:textId="4F05CBB9" w:rsidR="005541FD" w:rsidRPr="00A53601" w:rsidRDefault="00AD3965" w:rsidP="005541FD">
      <w:pPr>
        <w:spacing w:after="0" w:line="240" w:lineRule="auto"/>
        <w:rPr>
          <w:rFonts w:eastAsia="Times New Roman"/>
          <w:lang w:eastAsia="en-AU"/>
        </w:rPr>
      </w:pPr>
      <w:r w:rsidRPr="00A53601">
        <w:rPr>
          <w:color w:val="000000"/>
        </w:rPr>
        <w:t xml:space="preserve">This section provides for the Regulations to commence on </w:t>
      </w:r>
      <w:r w:rsidR="00CE1A44" w:rsidRPr="00A53601">
        <w:rPr>
          <w:color w:val="000000"/>
        </w:rPr>
        <w:t>1 March 2025</w:t>
      </w:r>
      <w:r w:rsidRPr="00A53601">
        <w:rPr>
          <w:color w:val="000000"/>
        </w:rPr>
        <w:t>.</w:t>
      </w:r>
    </w:p>
    <w:p w14:paraId="3BE4CCE0" w14:textId="77777777" w:rsidR="00AD3965" w:rsidRPr="00A53601" w:rsidRDefault="00AD3965" w:rsidP="005541FD">
      <w:pPr>
        <w:spacing w:after="0" w:line="240" w:lineRule="auto"/>
        <w:rPr>
          <w:rFonts w:eastAsia="Times New Roman"/>
          <w:lang w:eastAsia="en-AU"/>
        </w:rPr>
      </w:pPr>
    </w:p>
    <w:p w14:paraId="5A65D8AE" w14:textId="77777777" w:rsidR="005541FD" w:rsidRPr="00A53601" w:rsidRDefault="005541FD" w:rsidP="005541FD">
      <w:pPr>
        <w:spacing w:after="0" w:line="240" w:lineRule="auto"/>
        <w:rPr>
          <w:rFonts w:eastAsia="Times New Roman"/>
          <w:u w:val="single"/>
          <w:lang w:eastAsia="en-AU"/>
        </w:rPr>
      </w:pPr>
      <w:r w:rsidRPr="00A53601">
        <w:rPr>
          <w:rFonts w:eastAsia="Times New Roman"/>
          <w:u w:val="single"/>
          <w:lang w:eastAsia="en-AU"/>
        </w:rPr>
        <w:t xml:space="preserve">Section 3 – Authority  </w:t>
      </w:r>
    </w:p>
    <w:p w14:paraId="10367B02" w14:textId="77777777" w:rsidR="005541FD" w:rsidRPr="00A53601" w:rsidRDefault="005541FD" w:rsidP="005541FD">
      <w:pPr>
        <w:spacing w:after="0" w:line="240" w:lineRule="auto"/>
        <w:rPr>
          <w:rFonts w:eastAsia="Times New Roman"/>
          <w:lang w:eastAsia="en-AU"/>
        </w:rPr>
      </w:pPr>
    </w:p>
    <w:p w14:paraId="1519AF81" w14:textId="77777777" w:rsidR="005541FD" w:rsidRPr="00A53601" w:rsidRDefault="005541FD" w:rsidP="005541FD">
      <w:pPr>
        <w:spacing w:after="0" w:line="240" w:lineRule="auto"/>
        <w:ind w:right="-483"/>
        <w:rPr>
          <w:rFonts w:eastAsia="Times New Roman"/>
          <w:lang w:eastAsia="en-AU"/>
        </w:rPr>
      </w:pPr>
      <w:r w:rsidRPr="00A53601">
        <w:rPr>
          <w:rFonts w:eastAsia="Times New Roman"/>
          <w:lang w:eastAsia="en-AU"/>
        </w:rPr>
        <w:t xml:space="preserve">This section provides that the Regulations are made under the </w:t>
      </w:r>
      <w:r w:rsidRPr="00A53601">
        <w:rPr>
          <w:rFonts w:eastAsia="Times New Roman"/>
          <w:i/>
          <w:lang w:eastAsia="en-AU"/>
        </w:rPr>
        <w:t>Health Insurance Act 1973</w:t>
      </w:r>
      <w:r w:rsidRPr="00A53601">
        <w:rPr>
          <w:rFonts w:eastAsia="Times New Roman"/>
          <w:lang w:eastAsia="en-AU"/>
        </w:rPr>
        <w:t>.</w:t>
      </w:r>
    </w:p>
    <w:p w14:paraId="156EAF0C" w14:textId="77777777" w:rsidR="005541FD" w:rsidRPr="00A53601" w:rsidRDefault="005541FD" w:rsidP="005541FD">
      <w:pPr>
        <w:tabs>
          <w:tab w:val="num" w:pos="1080"/>
        </w:tabs>
        <w:spacing w:after="0" w:line="240" w:lineRule="auto"/>
        <w:rPr>
          <w:rFonts w:eastAsia="Times New Roman"/>
          <w:lang w:eastAsia="en-AU"/>
        </w:rPr>
      </w:pPr>
    </w:p>
    <w:p w14:paraId="523E2844" w14:textId="77777777" w:rsidR="005541FD" w:rsidRPr="00A53601" w:rsidRDefault="005541FD" w:rsidP="005541FD">
      <w:pPr>
        <w:tabs>
          <w:tab w:val="num" w:pos="1080"/>
        </w:tabs>
        <w:spacing w:after="0" w:line="240" w:lineRule="auto"/>
        <w:rPr>
          <w:rFonts w:eastAsia="Times New Roman"/>
          <w:u w:val="single"/>
          <w:lang w:eastAsia="en-AU"/>
        </w:rPr>
      </w:pPr>
      <w:r w:rsidRPr="00A53601">
        <w:rPr>
          <w:rFonts w:eastAsia="Times New Roman"/>
          <w:u w:val="single"/>
          <w:lang w:eastAsia="en-AU"/>
        </w:rPr>
        <w:t>Section 4 – Schedules</w:t>
      </w:r>
    </w:p>
    <w:p w14:paraId="359B886E" w14:textId="77777777" w:rsidR="005541FD" w:rsidRPr="00A53601" w:rsidRDefault="005541FD" w:rsidP="005541FD">
      <w:pPr>
        <w:tabs>
          <w:tab w:val="num" w:pos="1080"/>
        </w:tabs>
        <w:spacing w:after="0" w:line="240" w:lineRule="auto"/>
        <w:rPr>
          <w:rFonts w:eastAsia="Times New Roman"/>
          <w:lang w:eastAsia="en-AU"/>
        </w:rPr>
      </w:pPr>
    </w:p>
    <w:p w14:paraId="7B7A0347" w14:textId="77777777" w:rsidR="005541FD" w:rsidRPr="00A53601" w:rsidRDefault="005541FD" w:rsidP="005541FD">
      <w:pPr>
        <w:spacing w:after="0" w:line="240" w:lineRule="auto"/>
        <w:rPr>
          <w:rFonts w:eastAsia="Times New Roman"/>
          <w:lang w:eastAsia="en-AU"/>
        </w:rPr>
      </w:pPr>
      <w:r w:rsidRPr="00A53601">
        <w:rPr>
          <w:rFonts w:eastAsia="Times New Roman"/>
          <w:lang w:eastAsia="en-AU"/>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359A8171" w14:textId="77777777" w:rsidR="005541FD" w:rsidRPr="00A53601" w:rsidRDefault="005541FD" w:rsidP="005541FD">
      <w:pPr>
        <w:spacing w:after="0" w:line="240" w:lineRule="auto"/>
        <w:rPr>
          <w:rFonts w:eastAsia="Times New Roman"/>
          <w:lang w:eastAsia="en-AU"/>
        </w:rPr>
      </w:pPr>
    </w:p>
    <w:p w14:paraId="29CCCA31" w14:textId="64531458" w:rsidR="005541FD" w:rsidRPr="00A53601" w:rsidRDefault="005541FD" w:rsidP="005541FD">
      <w:pPr>
        <w:spacing w:after="0" w:line="240" w:lineRule="auto"/>
        <w:rPr>
          <w:rFonts w:eastAsia="Times New Roman"/>
          <w:szCs w:val="20"/>
          <w:u w:val="single"/>
          <w:lang w:eastAsia="en-AU"/>
        </w:rPr>
      </w:pPr>
      <w:r w:rsidRPr="00A53601">
        <w:rPr>
          <w:rFonts w:eastAsia="Times New Roman"/>
          <w:szCs w:val="20"/>
          <w:u w:val="single"/>
          <w:lang w:eastAsia="en-AU"/>
        </w:rPr>
        <w:t>Schedule 1 –</w:t>
      </w:r>
      <w:r w:rsidR="00BE2E50" w:rsidRPr="00A53601">
        <w:rPr>
          <w:rFonts w:eastAsia="Times New Roman"/>
          <w:szCs w:val="20"/>
          <w:u w:val="single"/>
          <w:lang w:eastAsia="en-AU"/>
        </w:rPr>
        <w:t xml:space="preserve"> </w:t>
      </w:r>
      <w:r w:rsidR="0025094B" w:rsidRPr="00A53601">
        <w:rPr>
          <w:rFonts w:eastAsia="Times New Roman"/>
          <w:szCs w:val="20"/>
          <w:u w:val="single"/>
          <w:lang w:eastAsia="en-AU"/>
        </w:rPr>
        <w:t>Hospital</w:t>
      </w:r>
      <w:r w:rsidR="00975590" w:rsidRPr="00A53601">
        <w:rPr>
          <w:rFonts w:eastAsia="Times New Roman"/>
          <w:szCs w:val="20"/>
          <w:u w:val="single"/>
          <w:lang w:eastAsia="en-AU"/>
        </w:rPr>
        <w:t>-</w:t>
      </w:r>
      <w:r w:rsidR="0025094B" w:rsidRPr="00A53601">
        <w:rPr>
          <w:rFonts w:eastAsia="Times New Roman"/>
          <w:szCs w:val="20"/>
          <w:u w:val="single"/>
          <w:lang w:eastAsia="en-AU"/>
        </w:rPr>
        <w:t>only services</w:t>
      </w:r>
    </w:p>
    <w:p w14:paraId="20ACFD02" w14:textId="77777777" w:rsidR="00EB3BA6" w:rsidRPr="00A53601" w:rsidRDefault="00EB3BA6" w:rsidP="00EB3BA6">
      <w:pPr>
        <w:spacing w:after="0" w:line="240" w:lineRule="auto"/>
        <w:rPr>
          <w:rFonts w:eastAsia="Times New Roman"/>
          <w:szCs w:val="20"/>
          <w:lang w:eastAsia="en-AU"/>
        </w:rPr>
      </w:pPr>
    </w:p>
    <w:p w14:paraId="0D813707" w14:textId="129C0EF1" w:rsidR="000940E8" w:rsidRPr="00A53601" w:rsidRDefault="000940E8" w:rsidP="000940E8">
      <w:pPr>
        <w:spacing w:after="0" w:line="240" w:lineRule="auto"/>
        <w:rPr>
          <w:rFonts w:eastAsia="Times New Roman"/>
          <w:szCs w:val="20"/>
          <w:lang w:eastAsia="en-AU"/>
        </w:rPr>
      </w:pPr>
      <w:r w:rsidRPr="00A53601">
        <w:rPr>
          <w:rFonts w:eastAsia="Times New Roman"/>
          <w:szCs w:val="20"/>
          <w:lang w:eastAsia="en-AU"/>
        </w:rPr>
        <w:t>Schedule 1 of the Regulations is split into 5 parts to cover the following amendments:</w:t>
      </w:r>
    </w:p>
    <w:p w14:paraId="3128C210" w14:textId="7B002AAC" w:rsidR="000940E8" w:rsidRPr="00A53601" w:rsidRDefault="000940E8" w:rsidP="000940E8">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Part 1 of the Schedule amend</w:t>
      </w:r>
      <w:r w:rsidR="00A1791E" w:rsidRPr="00A53601">
        <w:rPr>
          <w:color w:val="000000"/>
        </w:rPr>
        <w:t>s</w:t>
      </w:r>
      <w:r w:rsidRPr="00A53601">
        <w:rPr>
          <w:color w:val="000000"/>
        </w:rPr>
        <w:t xml:space="preserve"> GMST items to which “(H)” is to be added after the last word in the item descriptor.</w:t>
      </w:r>
    </w:p>
    <w:p w14:paraId="03A9B456" w14:textId="40376B88" w:rsidR="000940E8" w:rsidRPr="00A53601" w:rsidRDefault="000940E8" w:rsidP="000940E8">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Part 2 of the Schedule amend</w:t>
      </w:r>
      <w:r w:rsidR="00A1791E" w:rsidRPr="00A53601">
        <w:rPr>
          <w:color w:val="000000"/>
        </w:rPr>
        <w:t>s</w:t>
      </w:r>
      <w:r w:rsidRPr="00A53601">
        <w:rPr>
          <w:color w:val="000000"/>
        </w:rPr>
        <w:t xml:space="preserve"> GMST items to which “(H)” is to be added on a new line of the item descriptor.</w:t>
      </w:r>
    </w:p>
    <w:p w14:paraId="2077F686" w14:textId="1455BCA8" w:rsidR="000940E8" w:rsidRPr="00A53601" w:rsidRDefault="000940E8" w:rsidP="000940E8">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Part 3 of the Schedul</w:t>
      </w:r>
      <w:r w:rsidR="00A1791E" w:rsidRPr="00A53601">
        <w:rPr>
          <w:color w:val="000000"/>
        </w:rPr>
        <w:t>e</w:t>
      </w:r>
      <w:r w:rsidRPr="00A53601">
        <w:rPr>
          <w:color w:val="000000"/>
        </w:rPr>
        <w:t xml:space="preserve"> amend</w:t>
      </w:r>
      <w:r w:rsidR="00A1791E" w:rsidRPr="00A53601">
        <w:rPr>
          <w:color w:val="000000"/>
        </w:rPr>
        <w:t>s</w:t>
      </w:r>
      <w:r w:rsidRPr="00A53601">
        <w:rPr>
          <w:color w:val="000000"/>
        </w:rPr>
        <w:t xml:space="preserve"> GMST items to which “(H)” is to be added before an existing anaesthesia flag in the item.</w:t>
      </w:r>
    </w:p>
    <w:p w14:paraId="35393DC2" w14:textId="6E4B33F3" w:rsidR="000940E8" w:rsidRPr="00A53601" w:rsidRDefault="000940E8" w:rsidP="000940E8">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Part 4 of the Schedule amend</w:t>
      </w:r>
      <w:r w:rsidR="00A1791E" w:rsidRPr="00A53601">
        <w:rPr>
          <w:color w:val="000000"/>
        </w:rPr>
        <w:t>s</w:t>
      </w:r>
      <w:r w:rsidRPr="00A53601">
        <w:rPr>
          <w:color w:val="000000"/>
        </w:rPr>
        <w:t xml:space="preserve"> other GMST items to which the “(H)” flag is required.</w:t>
      </w:r>
    </w:p>
    <w:p w14:paraId="70031576" w14:textId="0B740E1C" w:rsidR="000940E8" w:rsidRPr="00A53601" w:rsidRDefault="000940E8" w:rsidP="000940E8">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Part 5 of the Schedul</w:t>
      </w:r>
      <w:r w:rsidR="00A1791E" w:rsidRPr="00A53601">
        <w:rPr>
          <w:color w:val="000000"/>
        </w:rPr>
        <w:t>e</w:t>
      </w:r>
      <w:r w:rsidRPr="00A53601">
        <w:rPr>
          <w:color w:val="000000"/>
        </w:rPr>
        <w:t xml:space="preserve"> amend</w:t>
      </w:r>
      <w:r w:rsidR="00A1791E" w:rsidRPr="00A53601">
        <w:rPr>
          <w:color w:val="000000"/>
        </w:rPr>
        <w:t>s</w:t>
      </w:r>
      <w:r w:rsidRPr="00A53601">
        <w:rPr>
          <w:color w:val="000000"/>
        </w:rPr>
        <w:t xml:space="preserve"> the DIST to define the “(H)” flag in clause 1.2.15 of Schedule 1 and amend DIST items to which the “(H)” flag is required. </w:t>
      </w:r>
    </w:p>
    <w:p w14:paraId="1D37657D" w14:textId="77777777" w:rsidR="003F2854" w:rsidRPr="00A53601" w:rsidRDefault="003F2854" w:rsidP="000940E8">
      <w:pPr>
        <w:spacing w:after="0" w:line="240" w:lineRule="auto"/>
        <w:rPr>
          <w:color w:val="000000"/>
        </w:rPr>
      </w:pPr>
    </w:p>
    <w:p w14:paraId="415B55D7" w14:textId="6A461242" w:rsidR="000940E8" w:rsidRPr="00A53601" w:rsidRDefault="003F2854" w:rsidP="000940E8">
      <w:pPr>
        <w:spacing w:after="0" w:line="240" w:lineRule="auto"/>
        <w:rPr>
          <w:rFonts w:eastAsia="Times New Roman"/>
          <w:b/>
          <w:bCs/>
          <w:szCs w:val="20"/>
          <w:lang w:eastAsia="en-AU"/>
        </w:rPr>
      </w:pPr>
      <w:r w:rsidRPr="00A53601">
        <w:rPr>
          <w:b/>
          <w:bCs/>
          <w:i/>
          <w:iCs/>
          <w:color w:val="000000"/>
        </w:rPr>
        <w:t>Health Insurance (General Medical Services Table) Regulations 2021 </w:t>
      </w:r>
    </w:p>
    <w:p w14:paraId="08D7DCCF" w14:textId="77777777" w:rsidR="003F2854" w:rsidRPr="00A53601" w:rsidRDefault="003F2854" w:rsidP="000940E8">
      <w:pPr>
        <w:spacing w:after="0" w:line="240" w:lineRule="auto"/>
        <w:rPr>
          <w:rFonts w:eastAsia="Times New Roman"/>
          <w:szCs w:val="20"/>
          <w:lang w:eastAsia="en-AU"/>
        </w:rPr>
      </w:pPr>
    </w:p>
    <w:p w14:paraId="484DFB91" w14:textId="4745C375" w:rsidR="000940E8" w:rsidRPr="00A53601" w:rsidRDefault="000940E8" w:rsidP="000940E8">
      <w:pPr>
        <w:spacing w:after="0" w:line="240" w:lineRule="auto"/>
        <w:rPr>
          <w:rFonts w:eastAsia="Times New Roman"/>
          <w:szCs w:val="20"/>
          <w:lang w:eastAsia="en-AU"/>
        </w:rPr>
      </w:pPr>
      <w:r w:rsidRPr="00A53601">
        <w:rPr>
          <w:rFonts w:eastAsia="Times New Roman"/>
          <w:b/>
          <w:bCs/>
          <w:szCs w:val="20"/>
          <w:lang w:eastAsia="en-AU"/>
        </w:rPr>
        <w:t>Item 1</w:t>
      </w:r>
      <w:r w:rsidRPr="00A53601">
        <w:rPr>
          <w:rFonts w:eastAsia="Times New Roman"/>
          <w:szCs w:val="20"/>
          <w:lang w:eastAsia="en-AU"/>
        </w:rPr>
        <w:t xml:space="preserve"> add</w:t>
      </w:r>
      <w:r w:rsidR="00F8484F" w:rsidRPr="00A53601">
        <w:rPr>
          <w:rFonts w:eastAsia="Times New Roman"/>
          <w:szCs w:val="20"/>
          <w:lang w:eastAsia="en-AU"/>
        </w:rPr>
        <w:t>s</w:t>
      </w:r>
      <w:r w:rsidRPr="00A53601">
        <w:rPr>
          <w:rFonts w:eastAsia="Times New Roman"/>
          <w:szCs w:val="20"/>
          <w:lang w:eastAsia="en-AU"/>
        </w:rPr>
        <w:t xml:space="preserve"> the “(H)” flag to the end of the descriptor (column 2) of 278 relevant items as specified by the amending table. This w</w:t>
      </w:r>
      <w:r w:rsidR="002E44BE" w:rsidRPr="00A53601">
        <w:rPr>
          <w:rFonts w:eastAsia="Times New Roman"/>
          <w:szCs w:val="20"/>
          <w:lang w:eastAsia="en-AU"/>
        </w:rPr>
        <w:t>ill</w:t>
      </w:r>
      <w:r w:rsidRPr="00A53601">
        <w:rPr>
          <w:rFonts w:eastAsia="Times New Roman"/>
          <w:szCs w:val="20"/>
          <w:lang w:eastAsia="en-AU"/>
        </w:rPr>
        <w:t xml:space="preserve"> limit these services to being rendered in hospital only, per clause 1.1.7 of the GMST.</w:t>
      </w:r>
    </w:p>
    <w:p w14:paraId="72B8B2CE" w14:textId="77777777" w:rsidR="000940E8" w:rsidRPr="00A53601" w:rsidRDefault="000940E8" w:rsidP="000940E8">
      <w:pPr>
        <w:spacing w:after="0" w:line="240" w:lineRule="auto"/>
        <w:rPr>
          <w:rFonts w:eastAsia="Times New Roman"/>
          <w:szCs w:val="20"/>
          <w:lang w:eastAsia="en-AU"/>
        </w:rPr>
      </w:pPr>
    </w:p>
    <w:p w14:paraId="62DD2FD5" w14:textId="5AEBF5B4" w:rsidR="000940E8" w:rsidRPr="00A53601" w:rsidRDefault="000940E8" w:rsidP="000940E8">
      <w:pPr>
        <w:spacing w:after="0" w:line="240" w:lineRule="auto"/>
        <w:rPr>
          <w:rFonts w:eastAsia="Times New Roman"/>
          <w:szCs w:val="20"/>
          <w:lang w:eastAsia="en-AU"/>
        </w:rPr>
      </w:pPr>
      <w:r w:rsidRPr="00A53601">
        <w:rPr>
          <w:rFonts w:eastAsia="Times New Roman"/>
          <w:b/>
          <w:bCs/>
          <w:szCs w:val="20"/>
          <w:lang w:eastAsia="en-AU"/>
        </w:rPr>
        <w:t>Item</w:t>
      </w:r>
      <w:r w:rsidR="00F8484F" w:rsidRPr="00A53601">
        <w:rPr>
          <w:rFonts w:eastAsia="Times New Roman"/>
          <w:b/>
          <w:bCs/>
          <w:szCs w:val="20"/>
          <w:lang w:eastAsia="en-AU"/>
        </w:rPr>
        <w:t>s</w:t>
      </w:r>
      <w:r w:rsidRPr="00A53601">
        <w:rPr>
          <w:rFonts w:eastAsia="Times New Roman"/>
          <w:b/>
          <w:bCs/>
          <w:szCs w:val="20"/>
          <w:lang w:eastAsia="en-AU"/>
        </w:rPr>
        <w:t xml:space="preserve"> 3</w:t>
      </w:r>
      <w:r w:rsidR="00F8484F" w:rsidRPr="00A53601">
        <w:rPr>
          <w:rFonts w:eastAsia="Times New Roman"/>
          <w:szCs w:val="20"/>
          <w:lang w:eastAsia="en-AU"/>
        </w:rPr>
        <w:t xml:space="preserve"> </w:t>
      </w:r>
      <w:r w:rsidRPr="00A53601">
        <w:rPr>
          <w:rFonts w:eastAsia="Times New Roman"/>
          <w:szCs w:val="20"/>
          <w:lang w:eastAsia="en-AU"/>
        </w:rPr>
        <w:t xml:space="preserve">to </w:t>
      </w:r>
      <w:r w:rsidRPr="00A53601">
        <w:rPr>
          <w:rFonts w:eastAsia="Times New Roman"/>
          <w:b/>
          <w:bCs/>
          <w:szCs w:val="20"/>
          <w:lang w:eastAsia="en-AU"/>
        </w:rPr>
        <w:t>10</w:t>
      </w:r>
      <w:r w:rsidRPr="00A53601">
        <w:rPr>
          <w:rFonts w:eastAsia="Times New Roman"/>
          <w:szCs w:val="20"/>
          <w:lang w:eastAsia="en-AU"/>
        </w:rPr>
        <w:t xml:space="preserve"> </w:t>
      </w:r>
      <w:r w:rsidR="00F8484F" w:rsidRPr="00A53601">
        <w:rPr>
          <w:rFonts w:eastAsia="Times New Roman"/>
          <w:szCs w:val="20"/>
          <w:lang w:eastAsia="en-AU"/>
        </w:rPr>
        <w:t>a</w:t>
      </w:r>
      <w:r w:rsidRPr="00A53601">
        <w:rPr>
          <w:rFonts w:eastAsia="Times New Roman"/>
          <w:szCs w:val="20"/>
          <w:lang w:eastAsia="en-AU"/>
        </w:rPr>
        <w:t>dd the “(H)” flag to the specified part of the descriptor for 9 items (20560, 20745, 20790, 22012, 22014, 22025, 22065, 25205 and 51318). This w</w:t>
      </w:r>
      <w:r w:rsidR="00627251" w:rsidRPr="00A53601">
        <w:rPr>
          <w:rFonts w:eastAsia="Times New Roman"/>
          <w:szCs w:val="20"/>
          <w:lang w:eastAsia="en-AU"/>
        </w:rPr>
        <w:t>ill</w:t>
      </w:r>
      <w:r w:rsidRPr="00A53601">
        <w:rPr>
          <w:rFonts w:eastAsia="Times New Roman"/>
          <w:szCs w:val="20"/>
          <w:lang w:eastAsia="en-AU"/>
        </w:rPr>
        <w:t xml:space="preserve"> limit these services to being rendered in hospital only, per clause 1.1.7 of the GMST.</w:t>
      </w:r>
    </w:p>
    <w:p w14:paraId="5A80D811" w14:textId="77777777" w:rsidR="000940E8" w:rsidRPr="00A53601" w:rsidRDefault="000940E8" w:rsidP="000940E8">
      <w:pPr>
        <w:spacing w:after="0" w:line="240" w:lineRule="auto"/>
        <w:rPr>
          <w:rFonts w:eastAsia="Times New Roman"/>
          <w:szCs w:val="20"/>
          <w:lang w:eastAsia="en-AU"/>
        </w:rPr>
      </w:pPr>
    </w:p>
    <w:p w14:paraId="132C944B" w14:textId="474D75F6" w:rsidR="000940E8" w:rsidRPr="00A53601" w:rsidRDefault="000940E8" w:rsidP="003C144F">
      <w:pPr>
        <w:spacing w:after="0" w:line="240" w:lineRule="auto"/>
        <w:rPr>
          <w:rFonts w:eastAsia="Times New Roman"/>
          <w:szCs w:val="20"/>
          <w:lang w:eastAsia="en-AU"/>
        </w:rPr>
      </w:pPr>
      <w:r w:rsidRPr="00A53601">
        <w:rPr>
          <w:rFonts w:eastAsia="Times New Roman"/>
          <w:b/>
          <w:bCs/>
          <w:szCs w:val="20"/>
          <w:lang w:eastAsia="en-AU"/>
        </w:rPr>
        <w:t>Item 11</w:t>
      </w:r>
      <w:r w:rsidRPr="00A53601">
        <w:rPr>
          <w:rFonts w:eastAsia="Times New Roman"/>
          <w:szCs w:val="20"/>
          <w:lang w:eastAsia="en-AU"/>
        </w:rPr>
        <w:t xml:space="preserve"> add</w:t>
      </w:r>
      <w:r w:rsidR="00C128FC" w:rsidRPr="00A53601">
        <w:rPr>
          <w:rFonts w:eastAsia="Times New Roman"/>
          <w:szCs w:val="20"/>
          <w:lang w:eastAsia="en-AU"/>
        </w:rPr>
        <w:t>s</w:t>
      </w:r>
      <w:r w:rsidRPr="00A53601">
        <w:rPr>
          <w:rFonts w:eastAsia="Times New Roman"/>
          <w:szCs w:val="20"/>
          <w:lang w:eastAsia="en-AU"/>
        </w:rPr>
        <w:t xml:space="preserve"> the “(H)” flag immediately before the appearance of the “(Anaes.)” flag at the end of the descriptor (column 2) of 495 relevant items, as specified by the amending table. </w:t>
      </w:r>
      <w:r w:rsidRPr="00A53601">
        <w:rPr>
          <w:rFonts w:eastAsia="Times New Roman"/>
          <w:szCs w:val="20"/>
          <w:lang w:eastAsia="en-AU"/>
        </w:rPr>
        <w:lastRenderedPageBreak/>
        <w:t>This w</w:t>
      </w:r>
      <w:r w:rsidR="00C128FC" w:rsidRPr="00A53601">
        <w:rPr>
          <w:rFonts w:eastAsia="Times New Roman"/>
          <w:szCs w:val="20"/>
          <w:lang w:eastAsia="en-AU"/>
        </w:rPr>
        <w:t>ill</w:t>
      </w:r>
      <w:r w:rsidRPr="00A53601">
        <w:rPr>
          <w:rFonts w:eastAsia="Times New Roman"/>
          <w:szCs w:val="20"/>
          <w:lang w:eastAsia="en-AU"/>
        </w:rPr>
        <w:t xml:space="preserve"> limit these services to being rendered in hospital only, per clause 1.1.7 of the GMST.</w:t>
      </w:r>
    </w:p>
    <w:p w14:paraId="3041ADAE" w14:textId="77777777" w:rsidR="000940E8" w:rsidRPr="00A53601" w:rsidRDefault="000940E8" w:rsidP="003C144F">
      <w:pPr>
        <w:spacing w:after="0" w:line="240" w:lineRule="auto"/>
        <w:rPr>
          <w:rFonts w:eastAsia="Times New Roman"/>
          <w:szCs w:val="20"/>
          <w:lang w:eastAsia="en-AU"/>
        </w:rPr>
      </w:pPr>
    </w:p>
    <w:p w14:paraId="564B3BC7" w14:textId="6B95F934" w:rsidR="003C144F" w:rsidRPr="00A53601" w:rsidRDefault="003C144F" w:rsidP="006A5AC1">
      <w:pPr>
        <w:spacing w:after="0"/>
      </w:pPr>
      <w:r w:rsidRPr="00A53601">
        <w:rPr>
          <w:b/>
          <w:bCs/>
        </w:rPr>
        <w:t xml:space="preserve">Items 12 </w:t>
      </w:r>
      <w:r w:rsidRPr="00A53601">
        <w:t>and</w:t>
      </w:r>
      <w:r w:rsidRPr="00A53601">
        <w:rPr>
          <w:b/>
          <w:bCs/>
        </w:rPr>
        <w:t xml:space="preserve"> 13</w:t>
      </w:r>
      <w:r w:rsidRPr="00A53601">
        <w:t xml:space="preserve"> make an editorial change to the descriptor of item 16527. </w:t>
      </w:r>
      <w:r w:rsidRPr="00A53601">
        <w:rPr>
          <w:b/>
          <w:bCs/>
        </w:rPr>
        <w:t>Item 12</w:t>
      </w:r>
      <w:r w:rsidRPr="00A53601">
        <w:t xml:space="preserve"> removes the “(Anaes.)” flag which was not specified in the correct part of the descriptor. </w:t>
      </w:r>
      <w:r w:rsidRPr="00A53601">
        <w:rPr>
          <w:b/>
          <w:bCs/>
        </w:rPr>
        <w:t>Item 13</w:t>
      </w:r>
      <w:r w:rsidRPr="00A53601">
        <w:t xml:space="preserve"> inserts “(Anaes.)” at the end of the descriptor to make the editorial correction to the location where the anaesthesia flag should apply.</w:t>
      </w:r>
    </w:p>
    <w:p w14:paraId="1F412673" w14:textId="77777777" w:rsidR="003C144F" w:rsidRPr="00A53601" w:rsidRDefault="003C144F" w:rsidP="006A5AC1">
      <w:pPr>
        <w:spacing w:after="0"/>
      </w:pPr>
    </w:p>
    <w:p w14:paraId="36AEA1E2" w14:textId="25FCC04A" w:rsidR="003C144F" w:rsidRPr="00A53601" w:rsidRDefault="003C144F" w:rsidP="003C144F">
      <w:pPr>
        <w:spacing w:after="0"/>
      </w:pPr>
      <w:r w:rsidRPr="00A53601">
        <w:rPr>
          <w:b/>
          <w:bCs/>
        </w:rPr>
        <w:t xml:space="preserve">Items 14 </w:t>
      </w:r>
      <w:r w:rsidRPr="00A53601">
        <w:t>and</w:t>
      </w:r>
      <w:r w:rsidRPr="00A53601">
        <w:rPr>
          <w:b/>
          <w:bCs/>
        </w:rPr>
        <w:t xml:space="preserve"> 15</w:t>
      </w:r>
      <w:r w:rsidRPr="00A53601">
        <w:t xml:space="preserve"> make an editorial change to the descriptor of item 16528 to remove the “(Anaes.)” flag which was not currently specified in the correct part of the descriptor and to limit the service to being rendered in hospital only. </w:t>
      </w:r>
      <w:r w:rsidRPr="00A53601">
        <w:rPr>
          <w:b/>
          <w:bCs/>
        </w:rPr>
        <w:t>Item 14</w:t>
      </w:r>
      <w:r w:rsidRPr="00A53601">
        <w:t xml:space="preserve"> removes the “(Anaes.)” flag which was not specified in the correct part of the descriptor. </w:t>
      </w:r>
      <w:r w:rsidRPr="00A53601">
        <w:rPr>
          <w:b/>
          <w:bCs/>
        </w:rPr>
        <w:t>Item 15</w:t>
      </w:r>
      <w:r w:rsidRPr="00A53601">
        <w:t xml:space="preserve"> inserts “(H) (Anaes.)” at the end of the descriptor to make the editorial correction to the location where the anaesthesia flag should apply and to add the “(H)” flag to limit the service to being rendered in hospital only.</w:t>
      </w:r>
    </w:p>
    <w:p w14:paraId="24BC6C8D" w14:textId="77777777" w:rsidR="003C144F" w:rsidRPr="00A53601" w:rsidRDefault="003C144F" w:rsidP="003C144F">
      <w:pPr>
        <w:spacing w:after="0"/>
      </w:pPr>
    </w:p>
    <w:p w14:paraId="6B006D7A" w14:textId="40AA2DE0" w:rsidR="003C144F" w:rsidRPr="00A53601" w:rsidRDefault="003C144F" w:rsidP="006A5AC1">
      <w:pPr>
        <w:spacing w:after="0" w:line="240" w:lineRule="auto"/>
        <w:rPr>
          <w:rFonts w:eastAsia="Times New Roman"/>
          <w:szCs w:val="20"/>
          <w:lang w:eastAsia="en-AU"/>
        </w:rPr>
      </w:pPr>
      <w:r w:rsidRPr="00A53601">
        <w:rPr>
          <w:rFonts w:eastAsia="Times New Roman"/>
          <w:b/>
          <w:bCs/>
          <w:szCs w:val="20"/>
          <w:lang w:eastAsia="en-AU"/>
        </w:rPr>
        <w:t>Item 16</w:t>
      </w:r>
      <w:r w:rsidRPr="00A53601">
        <w:rPr>
          <w:rFonts w:eastAsia="Times New Roman"/>
          <w:szCs w:val="20"/>
          <w:lang w:eastAsia="en-AU"/>
        </w:rPr>
        <w:t xml:space="preserve"> makes an editorial change to item 42504 to correct the location where the “(Anaes.)” flag should apply and to add the “(H)” flag to limit the service to being rendered in hospital only.</w:t>
      </w:r>
    </w:p>
    <w:p w14:paraId="73CB0D51" w14:textId="77777777" w:rsidR="003F2854" w:rsidRPr="00A53601" w:rsidRDefault="003F2854" w:rsidP="003C144F">
      <w:pPr>
        <w:spacing w:after="0" w:line="240" w:lineRule="auto"/>
        <w:rPr>
          <w:rFonts w:eastAsia="Times New Roman"/>
          <w:szCs w:val="20"/>
          <w:lang w:eastAsia="en-AU"/>
        </w:rPr>
      </w:pPr>
    </w:p>
    <w:p w14:paraId="338D6919" w14:textId="1F706B9B" w:rsidR="003F2854" w:rsidRPr="00A53601" w:rsidRDefault="003F2854" w:rsidP="003C144F">
      <w:pPr>
        <w:spacing w:after="0" w:line="240" w:lineRule="auto"/>
        <w:rPr>
          <w:rFonts w:eastAsia="Times New Roman"/>
          <w:b/>
          <w:bCs/>
          <w:szCs w:val="20"/>
          <w:lang w:eastAsia="en-AU"/>
        </w:rPr>
      </w:pPr>
      <w:r w:rsidRPr="00A53601">
        <w:rPr>
          <w:b/>
          <w:bCs/>
          <w:i/>
          <w:iCs/>
          <w:color w:val="000000"/>
        </w:rPr>
        <w:t>Health Insurance (Diagnostic Imaging Services Table) Regulations (No. 2) 2020</w:t>
      </w:r>
      <w:r w:rsidRPr="00A53601">
        <w:rPr>
          <w:b/>
          <w:bCs/>
          <w:color w:val="000000"/>
        </w:rPr>
        <w:t> </w:t>
      </w:r>
    </w:p>
    <w:p w14:paraId="163F8D94" w14:textId="77777777" w:rsidR="000940E8" w:rsidRPr="00A53601" w:rsidRDefault="000940E8" w:rsidP="000940E8">
      <w:pPr>
        <w:spacing w:after="0" w:line="240" w:lineRule="auto"/>
        <w:rPr>
          <w:rFonts w:eastAsia="Times New Roman"/>
          <w:szCs w:val="20"/>
          <w:lang w:eastAsia="en-AU"/>
        </w:rPr>
      </w:pPr>
    </w:p>
    <w:p w14:paraId="13B0348A" w14:textId="20850611" w:rsidR="000940E8" w:rsidRPr="00A53601" w:rsidRDefault="000940E8" w:rsidP="000940E8">
      <w:pPr>
        <w:spacing w:after="0" w:line="240" w:lineRule="auto"/>
        <w:rPr>
          <w:rFonts w:eastAsia="Times New Roman"/>
          <w:szCs w:val="20"/>
          <w:lang w:eastAsia="en-AU"/>
        </w:rPr>
      </w:pPr>
      <w:r w:rsidRPr="00A53601">
        <w:rPr>
          <w:rFonts w:eastAsia="Times New Roman"/>
          <w:b/>
          <w:bCs/>
          <w:szCs w:val="20"/>
          <w:lang w:eastAsia="en-AU"/>
        </w:rPr>
        <w:t>Item</w:t>
      </w:r>
      <w:r w:rsidR="003C144F" w:rsidRPr="00A53601">
        <w:rPr>
          <w:rFonts w:eastAsia="Times New Roman"/>
          <w:b/>
          <w:bCs/>
          <w:szCs w:val="20"/>
          <w:lang w:eastAsia="en-AU"/>
        </w:rPr>
        <w:t>s</w:t>
      </w:r>
      <w:r w:rsidRPr="00A53601">
        <w:rPr>
          <w:rFonts w:eastAsia="Times New Roman"/>
          <w:b/>
          <w:bCs/>
          <w:szCs w:val="20"/>
          <w:lang w:eastAsia="en-AU"/>
        </w:rPr>
        <w:t xml:space="preserve"> </w:t>
      </w:r>
      <w:r w:rsidR="003C144F" w:rsidRPr="00A53601">
        <w:rPr>
          <w:rFonts w:eastAsia="Times New Roman"/>
          <w:b/>
          <w:bCs/>
          <w:szCs w:val="20"/>
          <w:lang w:eastAsia="en-AU"/>
        </w:rPr>
        <w:t>17</w:t>
      </w:r>
      <w:r w:rsidR="003C144F" w:rsidRPr="00A53601">
        <w:rPr>
          <w:rFonts w:eastAsia="Times New Roman"/>
          <w:szCs w:val="20"/>
          <w:lang w:eastAsia="en-AU"/>
        </w:rPr>
        <w:t xml:space="preserve"> </w:t>
      </w:r>
      <w:r w:rsidRPr="00A53601">
        <w:rPr>
          <w:rFonts w:eastAsia="Times New Roman"/>
          <w:szCs w:val="20"/>
          <w:lang w:eastAsia="en-AU"/>
        </w:rPr>
        <w:t xml:space="preserve">and </w:t>
      </w:r>
      <w:r w:rsidR="003C144F" w:rsidRPr="00A53601">
        <w:rPr>
          <w:rFonts w:eastAsia="Times New Roman"/>
          <w:b/>
          <w:bCs/>
          <w:szCs w:val="20"/>
          <w:lang w:eastAsia="en-AU"/>
        </w:rPr>
        <w:t>18</w:t>
      </w:r>
      <w:r w:rsidR="003C144F" w:rsidRPr="00A53601">
        <w:rPr>
          <w:rFonts w:eastAsia="Times New Roman"/>
          <w:szCs w:val="20"/>
          <w:lang w:eastAsia="en-AU"/>
        </w:rPr>
        <w:t xml:space="preserve"> </w:t>
      </w:r>
      <w:r w:rsidR="00BF5C45" w:rsidRPr="00A53601">
        <w:rPr>
          <w:rFonts w:eastAsia="Times New Roman"/>
          <w:szCs w:val="20"/>
          <w:lang w:eastAsia="en-AU"/>
        </w:rPr>
        <w:t xml:space="preserve">amend clause 1.2.15 of the of the DIST to clarify the use of the “(H)” flag in relation to the DIST. </w:t>
      </w:r>
      <w:r w:rsidR="00BF5C45" w:rsidRPr="00A53601">
        <w:rPr>
          <w:rFonts w:eastAsia="Times New Roman"/>
          <w:b/>
          <w:bCs/>
          <w:szCs w:val="20"/>
          <w:lang w:eastAsia="en-AU"/>
        </w:rPr>
        <w:t xml:space="preserve">Item </w:t>
      </w:r>
      <w:r w:rsidR="003C144F" w:rsidRPr="00A53601">
        <w:rPr>
          <w:rFonts w:eastAsia="Times New Roman"/>
          <w:b/>
          <w:bCs/>
          <w:szCs w:val="20"/>
          <w:lang w:eastAsia="en-AU"/>
        </w:rPr>
        <w:t>17</w:t>
      </w:r>
      <w:r w:rsidR="003C144F" w:rsidRPr="00A53601">
        <w:rPr>
          <w:rFonts w:eastAsia="Times New Roman"/>
          <w:szCs w:val="20"/>
          <w:lang w:eastAsia="en-AU"/>
        </w:rPr>
        <w:t xml:space="preserve"> </w:t>
      </w:r>
      <w:r w:rsidR="00BF5C45" w:rsidRPr="00A53601">
        <w:rPr>
          <w:rFonts w:eastAsia="Times New Roman"/>
          <w:szCs w:val="20"/>
          <w:lang w:eastAsia="en-AU"/>
        </w:rPr>
        <w:t xml:space="preserve">amends the heading of </w:t>
      </w:r>
      <w:r w:rsidRPr="00A53601">
        <w:rPr>
          <w:rFonts w:eastAsia="Times New Roman"/>
          <w:szCs w:val="20"/>
          <w:lang w:eastAsia="en-AU"/>
        </w:rPr>
        <w:t xml:space="preserve">clause 1.2.15 to reflect the nature of the amendments to the clause. </w:t>
      </w:r>
      <w:r w:rsidRPr="00A53601">
        <w:rPr>
          <w:rFonts w:eastAsia="Times New Roman"/>
          <w:b/>
          <w:bCs/>
          <w:szCs w:val="20"/>
          <w:lang w:eastAsia="en-AU"/>
        </w:rPr>
        <w:t xml:space="preserve">Item </w:t>
      </w:r>
      <w:r w:rsidR="003C144F" w:rsidRPr="00A53601">
        <w:rPr>
          <w:rFonts w:eastAsia="Times New Roman"/>
          <w:b/>
          <w:bCs/>
          <w:szCs w:val="20"/>
          <w:lang w:eastAsia="en-AU"/>
        </w:rPr>
        <w:t>18</w:t>
      </w:r>
      <w:r w:rsidR="003C144F" w:rsidRPr="00A53601">
        <w:rPr>
          <w:rFonts w:eastAsia="Times New Roman"/>
          <w:szCs w:val="20"/>
          <w:lang w:eastAsia="en-AU"/>
        </w:rPr>
        <w:t xml:space="preserve"> </w:t>
      </w:r>
      <w:r w:rsidRPr="00A53601">
        <w:rPr>
          <w:rFonts w:eastAsia="Times New Roman"/>
          <w:szCs w:val="20"/>
          <w:lang w:eastAsia="en-AU"/>
        </w:rPr>
        <w:t>add</w:t>
      </w:r>
      <w:r w:rsidR="00381CB3" w:rsidRPr="00A53601">
        <w:rPr>
          <w:rFonts w:eastAsia="Times New Roman"/>
          <w:szCs w:val="20"/>
          <w:lang w:eastAsia="en-AU"/>
        </w:rPr>
        <w:t>s</w:t>
      </w:r>
      <w:r w:rsidRPr="00A53601">
        <w:rPr>
          <w:rFonts w:eastAsia="Times New Roman"/>
          <w:szCs w:val="20"/>
          <w:lang w:eastAsia="en-AU"/>
        </w:rPr>
        <w:t xml:space="preserve"> new subclause 1.2.15(3) to prescribe that an item in this Schedule including the symbol </w:t>
      </w:r>
      <w:r w:rsidR="00BF5C45" w:rsidRPr="00A53601">
        <w:rPr>
          <w:rFonts w:eastAsia="Times New Roman"/>
          <w:szCs w:val="20"/>
          <w:lang w:eastAsia="en-AU"/>
        </w:rPr>
        <w:t>“</w:t>
      </w:r>
      <w:r w:rsidRPr="00A53601">
        <w:rPr>
          <w:rFonts w:eastAsia="Times New Roman"/>
          <w:szCs w:val="20"/>
          <w:lang w:eastAsia="en-AU"/>
        </w:rPr>
        <w:t>(H)</w:t>
      </w:r>
      <w:r w:rsidR="00BF5C45" w:rsidRPr="00A53601">
        <w:rPr>
          <w:rFonts w:eastAsia="Times New Roman"/>
          <w:szCs w:val="20"/>
          <w:lang w:eastAsia="en-AU"/>
        </w:rPr>
        <w:t>”</w:t>
      </w:r>
      <w:r w:rsidRPr="00A53601">
        <w:rPr>
          <w:rFonts w:eastAsia="Times New Roman"/>
          <w:szCs w:val="20"/>
          <w:lang w:eastAsia="en-AU"/>
        </w:rPr>
        <w:t xml:space="preserve"> applies only to a service performed or provided in a hospital.</w:t>
      </w:r>
    </w:p>
    <w:p w14:paraId="69DC5CFC" w14:textId="77777777" w:rsidR="000940E8" w:rsidRPr="00A53601" w:rsidRDefault="000940E8" w:rsidP="000940E8">
      <w:pPr>
        <w:spacing w:after="0" w:line="240" w:lineRule="auto"/>
        <w:rPr>
          <w:rFonts w:eastAsia="Times New Roman"/>
          <w:szCs w:val="20"/>
          <w:lang w:eastAsia="en-AU"/>
        </w:rPr>
      </w:pPr>
    </w:p>
    <w:p w14:paraId="327236E9" w14:textId="0BE18692" w:rsidR="000940E8" w:rsidRPr="00A53601" w:rsidRDefault="000940E8" w:rsidP="000940E8">
      <w:pPr>
        <w:spacing w:after="0" w:line="240" w:lineRule="auto"/>
        <w:rPr>
          <w:rFonts w:eastAsia="Times New Roman"/>
          <w:szCs w:val="20"/>
          <w:lang w:eastAsia="en-AU"/>
        </w:rPr>
      </w:pPr>
      <w:r w:rsidRPr="00A53601">
        <w:rPr>
          <w:rFonts w:eastAsia="Times New Roman"/>
          <w:b/>
          <w:bCs/>
          <w:szCs w:val="20"/>
          <w:lang w:eastAsia="en-AU"/>
        </w:rPr>
        <w:t xml:space="preserve">Item </w:t>
      </w:r>
      <w:r w:rsidR="003C144F" w:rsidRPr="00A53601">
        <w:rPr>
          <w:rFonts w:eastAsia="Times New Roman"/>
          <w:b/>
          <w:bCs/>
          <w:szCs w:val="20"/>
          <w:lang w:eastAsia="en-AU"/>
        </w:rPr>
        <w:t>19</w:t>
      </w:r>
      <w:r w:rsidR="003C144F" w:rsidRPr="00A53601">
        <w:rPr>
          <w:rFonts w:eastAsia="Times New Roman"/>
          <w:szCs w:val="20"/>
          <w:lang w:eastAsia="en-AU"/>
        </w:rPr>
        <w:t xml:space="preserve"> </w:t>
      </w:r>
      <w:r w:rsidRPr="00A53601">
        <w:rPr>
          <w:rFonts w:eastAsia="Times New Roman"/>
          <w:szCs w:val="20"/>
          <w:lang w:eastAsia="en-AU"/>
        </w:rPr>
        <w:t>omit</w:t>
      </w:r>
      <w:r w:rsidR="00652B44" w:rsidRPr="00A53601">
        <w:rPr>
          <w:rFonts w:eastAsia="Times New Roman"/>
          <w:szCs w:val="20"/>
          <w:lang w:eastAsia="en-AU"/>
        </w:rPr>
        <w:t>s</w:t>
      </w:r>
      <w:r w:rsidRPr="00A53601">
        <w:rPr>
          <w:rFonts w:eastAsia="Times New Roman"/>
          <w:szCs w:val="20"/>
          <w:lang w:eastAsia="en-AU"/>
        </w:rPr>
        <w:t xml:space="preserve"> and substitute</w:t>
      </w:r>
      <w:r w:rsidR="004047D5" w:rsidRPr="00A53601">
        <w:rPr>
          <w:rFonts w:eastAsia="Times New Roman"/>
          <w:szCs w:val="20"/>
          <w:lang w:eastAsia="en-AU"/>
        </w:rPr>
        <w:t>s</w:t>
      </w:r>
      <w:r w:rsidRPr="00A53601">
        <w:rPr>
          <w:rFonts w:eastAsia="Times New Roman"/>
          <w:szCs w:val="20"/>
          <w:lang w:eastAsia="en-AU"/>
        </w:rPr>
        <w:t xml:space="preserve"> parts of the descriptor of item 55130 in the DIST to add the “(H)” flag to immediately before the appearance of the “(Anaes.)” flag. This w</w:t>
      </w:r>
      <w:r w:rsidR="00BF36C3" w:rsidRPr="00A53601">
        <w:rPr>
          <w:rFonts w:eastAsia="Times New Roman"/>
          <w:szCs w:val="20"/>
          <w:lang w:eastAsia="en-AU"/>
        </w:rPr>
        <w:t>ill</w:t>
      </w:r>
      <w:r w:rsidRPr="00A53601">
        <w:rPr>
          <w:rFonts w:eastAsia="Times New Roman"/>
          <w:szCs w:val="20"/>
          <w:lang w:eastAsia="en-AU"/>
        </w:rPr>
        <w:t xml:space="preserve"> limit this service to being rendered in hospital only, per subclause 1.2.15(3) of the DIST.</w:t>
      </w:r>
    </w:p>
    <w:p w14:paraId="62B1622F" w14:textId="77777777" w:rsidR="000940E8" w:rsidRPr="00A53601" w:rsidRDefault="000940E8" w:rsidP="000940E8">
      <w:pPr>
        <w:spacing w:after="0" w:line="240" w:lineRule="auto"/>
        <w:rPr>
          <w:rFonts w:eastAsia="Times New Roman"/>
          <w:szCs w:val="20"/>
          <w:lang w:eastAsia="en-AU"/>
        </w:rPr>
      </w:pPr>
    </w:p>
    <w:p w14:paraId="4797C736" w14:textId="4474BBAA" w:rsidR="000940E8" w:rsidRPr="00A53601" w:rsidRDefault="000940E8" w:rsidP="000940E8">
      <w:pPr>
        <w:spacing w:after="0" w:line="240" w:lineRule="auto"/>
        <w:rPr>
          <w:rFonts w:eastAsia="Times New Roman"/>
          <w:szCs w:val="20"/>
          <w:lang w:eastAsia="en-AU"/>
        </w:rPr>
      </w:pPr>
      <w:r w:rsidRPr="00A53601">
        <w:rPr>
          <w:rFonts w:eastAsia="Times New Roman"/>
          <w:b/>
          <w:bCs/>
          <w:szCs w:val="20"/>
          <w:lang w:eastAsia="en-AU"/>
        </w:rPr>
        <w:t xml:space="preserve">Item </w:t>
      </w:r>
      <w:r w:rsidR="003C144F" w:rsidRPr="00A53601">
        <w:rPr>
          <w:rFonts w:eastAsia="Times New Roman"/>
          <w:b/>
          <w:bCs/>
          <w:szCs w:val="20"/>
          <w:lang w:eastAsia="en-AU"/>
        </w:rPr>
        <w:t>20</w:t>
      </w:r>
      <w:r w:rsidR="003C144F" w:rsidRPr="00A53601">
        <w:rPr>
          <w:rFonts w:eastAsia="Times New Roman"/>
          <w:szCs w:val="20"/>
          <w:lang w:eastAsia="en-AU"/>
        </w:rPr>
        <w:t xml:space="preserve"> </w:t>
      </w:r>
      <w:r w:rsidRPr="00A53601">
        <w:rPr>
          <w:rFonts w:eastAsia="Times New Roman"/>
          <w:szCs w:val="20"/>
          <w:lang w:eastAsia="en-AU"/>
        </w:rPr>
        <w:t>omit</w:t>
      </w:r>
      <w:r w:rsidR="004047D5" w:rsidRPr="00A53601">
        <w:rPr>
          <w:rFonts w:eastAsia="Times New Roman"/>
          <w:szCs w:val="20"/>
          <w:lang w:eastAsia="en-AU"/>
        </w:rPr>
        <w:t>s</w:t>
      </w:r>
      <w:r w:rsidRPr="00A53601">
        <w:rPr>
          <w:rFonts w:eastAsia="Times New Roman"/>
          <w:szCs w:val="20"/>
          <w:lang w:eastAsia="en-AU"/>
        </w:rPr>
        <w:t xml:space="preserve"> and substitute</w:t>
      </w:r>
      <w:r w:rsidR="004047D5" w:rsidRPr="00A53601">
        <w:rPr>
          <w:rFonts w:eastAsia="Times New Roman"/>
          <w:szCs w:val="20"/>
          <w:lang w:eastAsia="en-AU"/>
        </w:rPr>
        <w:t>s</w:t>
      </w:r>
      <w:r w:rsidRPr="00A53601">
        <w:rPr>
          <w:rFonts w:eastAsia="Times New Roman"/>
          <w:szCs w:val="20"/>
          <w:lang w:eastAsia="en-AU"/>
        </w:rPr>
        <w:t xml:space="preserve"> parts of the descriptor of item 55135 in the DIST to add the “(H)” flag to immediately before the appearance of the “(Anaes.)” flag. This </w:t>
      </w:r>
      <w:r w:rsidR="004047D5" w:rsidRPr="00A53601">
        <w:rPr>
          <w:rFonts w:eastAsia="Times New Roman"/>
          <w:szCs w:val="20"/>
          <w:lang w:eastAsia="en-AU"/>
        </w:rPr>
        <w:t>will</w:t>
      </w:r>
      <w:r w:rsidR="003D3CBD" w:rsidRPr="00A53601">
        <w:rPr>
          <w:rFonts w:eastAsia="Times New Roman"/>
          <w:szCs w:val="20"/>
          <w:lang w:eastAsia="en-AU"/>
        </w:rPr>
        <w:t xml:space="preserve"> </w:t>
      </w:r>
      <w:r w:rsidRPr="00A53601">
        <w:rPr>
          <w:rFonts w:eastAsia="Times New Roman"/>
          <w:szCs w:val="20"/>
          <w:lang w:eastAsia="en-AU"/>
        </w:rPr>
        <w:t>limit this service to being rendered in hospital only, per subclause 1.2.15(3) of the DIST.</w:t>
      </w:r>
    </w:p>
    <w:p w14:paraId="24C23C75" w14:textId="77777777" w:rsidR="000940E8" w:rsidRPr="00A53601" w:rsidRDefault="000940E8" w:rsidP="000940E8">
      <w:pPr>
        <w:spacing w:after="0" w:line="240" w:lineRule="auto"/>
        <w:rPr>
          <w:rFonts w:eastAsia="Times New Roman"/>
          <w:szCs w:val="20"/>
          <w:lang w:eastAsia="en-AU"/>
        </w:rPr>
      </w:pPr>
    </w:p>
    <w:p w14:paraId="1DA2D1E3" w14:textId="3DEDC047" w:rsidR="000940E8" w:rsidRPr="00A53601" w:rsidRDefault="000940E8" w:rsidP="000940E8">
      <w:pPr>
        <w:spacing w:after="0" w:line="240" w:lineRule="auto"/>
        <w:rPr>
          <w:rFonts w:eastAsia="Times New Roman"/>
          <w:szCs w:val="20"/>
          <w:lang w:eastAsia="en-AU"/>
        </w:rPr>
      </w:pPr>
      <w:r w:rsidRPr="00A53601">
        <w:rPr>
          <w:rFonts w:eastAsia="Times New Roman"/>
          <w:b/>
          <w:bCs/>
          <w:szCs w:val="20"/>
          <w:lang w:eastAsia="en-AU"/>
        </w:rPr>
        <w:t xml:space="preserve">Item </w:t>
      </w:r>
      <w:r w:rsidR="003C144F" w:rsidRPr="00A53601">
        <w:rPr>
          <w:rFonts w:eastAsia="Times New Roman"/>
          <w:b/>
          <w:bCs/>
          <w:szCs w:val="20"/>
          <w:lang w:eastAsia="en-AU"/>
        </w:rPr>
        <w:t>21</w:t>
      </w:r>
      <w:r w:rsidR="003C144F" w:rsidRPr="00A53601">
        <w:rPr>
          <w:rFonts w:eastAsia="Times New Roman"/>
          <w:szCs w:val="20"/>
          <w:lang w:eastAsia="en-AU"/>
        </w:rPr>
        <w:t xml:space="preserve"> </w:t>
      </w:r>
      <w:r w:rsidRPr="00A53601">
        <w:rPr>
          <w:rFonts w:eastAsia="Times New Roman"/>
          <w:szCs w:val="20"/>
          <w:lang w:eastAsia="en-AU"/>
        </w:rPr>
        <w:t>add</w:t>
      </w:r>
      <w:r w:rsidR="00EF463F" w:rsidRPr="00A53601">
        <w:rPr>
          <w:rFonts w:eastAsia="Times New Roman"/>
          <w:szCs w:val="20"/>
          <w:lang w:eastAsia="en-AU"/>
        </w:rPr>
        <w:t>s</w:t>
      </w:r>
      <w:r w:rsidRPr="00A53601">
        <w:rPr>
          <w:rFonts w:eastAsia="Times New Roman"/>
          <w:szCs w:val="20"/>
          <w:lang w:eastAsia="en-AU"/>
        </w:rPr>
        <w:t xml:space="preserve"> the “(H)” flag to items 66072, 66075 and 60078 in the DIST immediately after the “(NR)” flag. This w</w:t>
      </w:r>
      <w:r w:rsidR="00EF463F" w:rsidRPr="00A53601">
        <w:rPr>
          <w:rFonts w:eastAsia="Times New Roman"/>
          <w:szCs w:val="20"/>
          <w:lang w:eastAsia="en-AU"/>
        </w:rPr>
        <w:t>ill</w:t>
      </w:r>
      <w:r w:rsidRPr="00A53601">
        <w:rPr>
          <w:rFonts w:eastAsia="Times New Roman"/>
          <w:szCs w:val="20"/>
          <w:lang w:eastAsia="en-AU"/>
        </w:rPr>
        <w:t xml:space="preserve"> limit these services to being rendered in hospital only, per subclause 1.2.15(3) of the DIST.</w:t>
      </w:r>
    </w:p>
    <w:p w14:paraId="0A5ABD39" w14:textId="77777777" w:rsidR="000940E8" w:rsidRPr="00A53601" w:rsidRDefault="000940E8" w:rsidP="000940E8">
      <w:pPr>
        <w:spacing w:after="0" w:line="240" w:lineRule="auto"/>
        <w:rPr>
          <w:rFonts w:eastAsia="Times New Roman"/>
          <w:szCs w:val="20"/>
          <w:lang w:eastAsia="en-AU"/>
        </w:rPr>
      </w:pPr>
    </w:p>
    <w:p w14:paraId="46073E01" w14:textId="459C5062" w:rsidR="000940E8" w:rsidRPr="00A53601" w:rsidRDefault="000940E8" w:rsidP="000940E8">
      <w:pPr>
        <w:spacing w:after="0" w:line="240" w:lineRule="auto"/>
        <w:rPr>
          <w:rFonts w:eastAsia="Times New Roman"/>
          <w:szCs w:val="20"/>
          <w:lang w:eastAsia="en-AU"/>
        </w:rPr>
      </w:pPr>
      <w:r w:rsidRPr="00A53601">
        <w:rPr>
          <w:rFonts w:eastAsia="Times New Roman"/>
          <w:b/>
          <w:bCs/>
          <w:szCs w:val="20"/>
          <w:lang w:eastAsia="en-AU"/>
        </w:rPr>
        <w:t xml:space="preserve">Item </w:t>
      </w:r>
      <w:r w:rsidR="003C144F" w:rsidRPr="00A53601">
        <w:rPr>
          <w:rFonts w:eastAsia="Times New Roman"/>
          <w:b/>
          <w:bCs/>
          <w:szCs w:val="20"/>
          <w:lang w:eastAsia="en-AU"/>
        </w:rPr>
        <w:t xml:space="preserve">22 </w:t>
      </w:r>
      <w:r w:rsidRPr="00A53601">
        <w:rPr>
          <w:rFonts w:eastAsia="Times New Roman"/>
          <w:szCs w:val="20"/>
          <w:lang w:eastAsia="en-AU"/>
        </w:rPr>
        <w:t>omit</w:t>
      </w:r>
      <w:r w:rsidR="00E562D3" w:rsidRPr="00A53601">
        <w:rPr>
          <w:rFonts w:eastAsia="Times New Roman"/>
          <w:szCs w:val="20"/>
          <w:lang w:eastAsia="en-AU"/>
        </w:rPr>
        <w:t>s</w:t>
      </w:r>
      <w:r w:rsidRPr="00A53601">
        <w:rPr>
          <w:rFonts w:eastAsia="Times New Roman"/>
          <w:szCs w:val="20"/>
          <w:lang w:eastAsia="en-AU"/>
        </w:rPr>
        <w:t xml:space="preserve"> and substitute</w:t>
      </w:r>
      <w:r w:rsidR="00E562D3" w:rsidRPr="00A53601">
        <w:rPr>
          <w:rFonts w:eastAsia="Times New Roman"/>
          <w:szCs w:val="20"/>
          <w:lang w:eastAsia="en-AU"/>
        </w:rPr>
        <w:t>s</w:t>
      </w:r>
      <w:r w:rsidRPr="00A53601">
        <w:rPr>
          <w:rFonts w:eastAsia="Times New Roman"/>
          <w:szCs w:val="20"/>
          <w:lang w:eastAsia="en-AU"/>
        </w:rPr>
        <w:t xml:space="preserve"> parts of the descriptor of item 63499 in the DIST to add the “(H)” flag to the end of the descriptor. This w</w:t>
      </w:r>
      <w:r w:rsidR="00381CB3" w:rsidRPr="00A53601">
        <w:rPr>
          <w:rFonts w:eastAsia="Times New Roman"/>
          <w:szCs w:val="20"/>
          <w:lang w:eastAsia="en-AU"/>
        </w:rPr>
        <w:t>ill</w:t>
      </w:r>
      <w:r w:rsidRPr="00A53601">
        <w:rPr>
          <w:rFonts w:eastAsia="Times New Roman"/>
          <w:szCs w:val="20"/>
          <w:lang w:eastAsia="en-AU"/>
        </w:rPr>
        <w:t xml:space="preserve"> limit this service to being rendered in hospital only, per subclause 1.2.15(3) of the DIST.</w:t>
      </w:r>
    </w:p>
    <w:p w14:paraId="1EE28202" w14:textId="77777777" w:rsidR="000940E8" w:rsidRPr="00A53601" w:rsidRDefault="000940E8" w:rsidP="000940E8">
      <w:pPr>
        <w:spacing w:after="0" w:line="240" w:lineRule="auto"/>
        <w:rPr>
          <w:rFonts w:eastAsia="Times New Roman"/>
          <w:szCs w:val="20"/>
          <w:lang w:eastAsia="en-AU"/>
        </w:rPr>
      </w:pPr>
    </w:p>
    <w:p w14:paraId="3D9CEF56" w14:textId="76AA348E" w:rsidR="000940E8" w:rsidRPr="00A53601" w:rsidRDefault="000940E8" w:rsidP="000940E8">
      <w:pPr>
        <w:spacing w:after="0" w:line="240" w:lineRule="auto"/>
        <w:rPr>
          <w:rFonts w:eastAsia="Times New Roman"/>
          <w:szCs w:val="20"/>
          <w:lang w:eastAsia="en-AU"/>
        </w:rPr>
      </w:pPr>
      <w:r w:rsidRPr="00A53601">
        <w:rPr>
          <w:rFonts w:eastAsia="Times New Roman"/>
          <w:b/>
          <w:bCs/>
          <w:szCs w:val="20"/>
          <w:lang w:eastAsia="en-AU"/>
        </w:rPr>
        <w:t xml:space="preserve">Item </w:t>
      </w:r>
      <w:r w:rsidR="003C144F" w:rsidRPr="00A53601">
        <w:rPr>
          <w:rFonts w:eastAsia="Times New Roman"/>
          <w:b/>
          <w:bCs/>
          <w:szCs w:val="20"/>
          <w:lang w:eastAsia="en-AU"/>
        </w:rPr>
        <w:t>23</w:t>
      </w:r>
      <w:r w:rsidR="003C144F" w:rsidRPr="00A53601">
        <w:rPr>
          <w:rFonts w:eastAsia="Times New Roman"/>
          <w:szCs w:val="20"/>
          <w:lang w:eastAsia="en-AU"/>
        </w:rPr>
        <w:t xml:space="preserve"> </w:t>
      </w:r>
      <w:r w:rsidR="00E01643" w:rsidRPr="00A53601">
        <w:rPr>
          <w:rFonts w:eastAsia="Times New Roman"/>
          <w:szCs w:val="20"/>
          <w:lang w:eastAsia="en-AU"/>
        </w:rPr>
        <w:t xml:space="preserve">will </w:t>
      </w:r>
      <w:r w:rsidRPr="00A53601">
        <w:rPr>
          <w:rFonts w:eastAsia="Times New Roman"/>
          <w:szCs w:val="20"/>
          <w:lang w:eastAsia="en-AU"/>
        </w:rPr>
        <w:t xml:space="preserve">add the meaning of “(H)” to the dictionary of the DIST. </w:t>
      </w:r>
    </w:p>
    <w:p w14:paraId="48968E5C" w14:textId="77777777" w:rsidR="000940E8" w:rsidRPr="00A53601" w:rsidRDefault="000940E8" w:rsidP="000940E8">
      <w:pPr>
        <w:spacing w:after="0" w:line="240" w:lineRule="auto"/>
        <w:rPr>
          <w:rFonts w:eastAsia="Times New Roman"/>
          <w:szCs w:val="20"/>
          <w:lang w:eastAsia="en-AU"/>
        </w:rPr>
      </w:pPr>
    </w:p>
    <w:p w14:paraId="5410A978" w14:textId="0E63D9FA" w:rsidR="009564EA" w:rsidRPr="00A53601" w:rsidRDefault="000940E8" w:rsidP="000940E8">
      <w:pPr>
        <w:spacing w:after="0" w:line="240" w:lineRule="auto"/>
        <w:rPr>
          <w:rFonts w:eastAsia="Times New Roman"/>
          <w:szCs w:val="20"/>
          <w:lang w:eastAsia="en-AU"/>
        </w:rPr>
      </w:pPr>
      <w:r w:rsidRPr="00A53601">
        <w:rPr>
          <w:rFonts w:eastAsia="Times New Roman"/>
          <w:b/>
          <w:bCs/>
          <w:szCs w:val="20"/>
          <w:lang w:eastAsia="en-AU"/>
        </w:rPr>
        <w:t xml:space="preserve">Item </w:t>
      </w:r>
      <w:r w:rsidR="003C144F" w:rsidRPr="00A53601">
        <w:rPr>
          <w:rFonts w:eastAsia="Times New Roman"/>
          <w:b/>
          <w:bCs/>
          <w:szCs w:val="20"/>
          <w:lang w:eastAsia="en-AU"/>
        </w:rPr>
        <w:t>24</w:t>
      </w:r>
      <w:r w:rsidR="003C144F" w:rsidRPr="00A53601">
        <w:rPr>
          <w:rFonts w:eastAsia="Times New Roman"/>
          <w:szCs w:val="20"/>
          <w:lang w:eastAsia="en-AU"/>
        </w:rPr>
        <w:t xml:space="preserve"> </w:t>
      </w:r>
      <w:r w:rsidRPr="00A53601">
        <w:rPr>
          <w:rFonts w:eastAsia="Times New Roman"/>
          <w:szCs w:val="20"/>
          <w:lang w:eastAsia="en-AU"/>
        </w:rPr>
        <w:t>add</w:t>
      </w:r>
      <w:r w:rsidR="00994F61" w:rsidRPr="00A53601">
        <w:rPr>
          <w:rFonts w:eastAsia="Times New Roman"/>
          <w:szCs w:val="20"/>
          <w:lang w:eastAsia="en-AU"/>
        </w:rPr>
        <w:t>s</w:t>
      </w:r>
      <w:r w:rsidRPr="00A53601">
        <w:rPr>
          <w:rFonts w:eastAsia="Times New Roman"/>
          <w:szCs w:val="20"/>
          <w:lang w:eastAsia="en-AU"/>
        </w:rPr>
        <w:t xml:space="preserve"> the “(H)” flag immediately after the appearance of the “(R)” flag at the end of the descriptor (column 2) of 30 relevant items, as specified by the amending table. This </w:t>
      </w:r>
      <w:r w:rsidR="001518AA" w:rsidRPr="00A53601">
        <w:rPr>
          <w:rFonts w:eastAsia="Times New Roman"/>
          <w:szCs w:val="20"/>
          <w:lang w:eastAsia="en-AU"/>
        </w:rPr>
        <w:t>will</w:t>
      </w:r>
      <w:r w:rsidRPr="00A53601">
        <w:rPr>
          <w:rFonts w:eastAsia="Times New Roman"/>
          <w:szCs w:val="20"/>
          <w:lang w:eastAsia="en-AU"/>
        </w:rPr>
        <w:t xml:space="preserve"> limit these services to being rendered in hospital only, per subclause 1.2.15(3) of the DIST.</w:t>
      </w:r>
    </w:p>
    <w:p w14:paraId="0F1B237F" w14:textId="77777777" w:rsidR="0025094B" w:rsidRPr="00A53601" w:rsidRDefault="0025094B" w:rsidP="00EB3BA6">
      <w:pPr>
        <w:spacing w:after="0" w:line="240" w:lineRule="auto"/>
        <w:rPr>
          <w:rFonts w:eastAsia="Times New Roman"/>
          <w:szCs w:val="20"/>
          <w:lang w:eastAsia="en-AU"/>
        </w:rPr>
      </w:pPr>
    </w:p>
    <w:p w14:paraId="1AAA24FE" w14:textId="327E3B31" w:rsidR="0025094B" w:rsidRPr="00A53601" w:rsidRDefault="0025094B" w:rsidP="0025094B">
      <w:pPr>
        <w:spacing w:after="0" w:line="240" w:lineRule="auto"/>
        <w:rPr>
          <w:rFonts w:eastAsia="Times New Roman"/>
          <w:szCs w:val="20"/>
          <w:u w:val="single"/>
          <w:lang w:eastAsia="en-AU"/>
        </w:rPr>
      </w:pPr>
      <w:r w:rsidRPr="00A53601">
        <w:rPr>
          <w:rFonts w:eastAsia="Times New Roman"/>
          <w:szCs w:val="20"/>
          <w:u w:val="single"/>
          <w:lang w:eastAsia="en-AU"/>
        </w:rPr>
        <w:t>Schedule 2 – Other amendments</w:t>
      </w:r>
    </w:p>
    <w:p w14:paraId="12D89A75" w14:textId="77777777" w:rsidR="0025094B" w:rsidRPr="00A53601" w:rsidRDefault="0025094B" w:rsidP="00EB3BA6">
      <w:pPr>
        <w:spacing w:after="0" w:line="240" w:lineRule="auto"/>
        <w:rPr>
          <w:rFonts w:eastAsia="Times New Roman"/>
          <w:szCs w:val="20"/>
          <w:lang w:eastAsia="en-AU"/>
        </w:rPr>
      </w:pPr>
    </w:p>
    <w:p w14:paraId="1B8F9231" w14:textId="77777777" w:rsidR="002D3A0D" w:rsidRPr="00A53601" w:rsidRDefault="002D3A0D" w:rsidP="002D3A0D">
      <w:pPr>
        <w:spacing w:after="0" w:line="240" w:lineRule="auto"/>
        <w:rPr>
          <w:rFonts w:eastAsia="Times New Roman"/>
          <w:b/>
          <w:bCs/>
          <w:szCs w:val="20"/>
          <w:lang w:eastAsia="en-AU"/>
        </w:rPr>
      </w:pPr>
      <w:r w:rsidRPr="00A53601">
        <w:rPr>
          <w:b/>
          <w:bCs/>
          <w:i/>
          <w:iCs/>
          <w:color w:val="000000"/>
        </w:rPr>
        <w:t>Health Insurance (General Medical Services Table) Regulations 2021 </w:t>
      </w:r>
    </w:p>
    <w:p w14:paraId="1C4198CC" w14:textId="77777777" w:rsidR="002D3A0D" w:rsidRPr="00A53601" w:rsidRDefault="002D3A0D" w:rsidP="00EB3BA6">
      <w:pPr>
        <w:spacing w:after="0" w:line="240" w:lineRule="auto"/>
        <w:rPr>
          <w:rFonts w:eastAsia="Times New Roman"/>
          <w:szCs w:val="20"/>
          <w:lang w:eastAsia="en-AU"/>
        </w:rPr>
      </w:pPr>
    </w:p>
    <w:p w14:paraId="7E01945F" w14:textId="0DBA89DB" w:rsidR="002D3A0D" w:rsidRPr="00A53601" w:rsidRDefault="002D3A0D" w:rsidP="002D3A0D">
      <w:pPr>
        <w:spacing w:after="0" w:line="240" w:lineRule="auto"/>
        <w:rPr>
          <w:rFonts w:eastAsia="Times New Roman"/>
          <w:b/>
          <w:bCs/>
          <w:szCs w:val="20"/>
          <w:lang w:eastAsia="en-AU"/>
        </w:rPr>
      </w:pPr>
      <w:r w:rsidRPr="00A53601">
        <w:rPr>
          <w:rFonts w:eastAsia="Times New Roman"/>
          <w:b/>
          <w:bCs/>
          <w:szCs w:val="20"/>
          <w:lang w:eastAsia="en-AU"/>
        </w:rPr>
        <w:t>Item 1</w:t>
      </w:r>
      <w:r w:rsidR="00445C57" w:rsidRPr="00A53601">
        <w:rPr>
          <w:rFonts w:eastAsia="Times New Roman"/>
          <w:szCs w:val="20"/>
          <w:lang w:eastAsia="en-AU"/>
        </w:rPr>
        <w:t xml:space="preserve"> amends item 13851 of the GMST </w:t>
      </w:r>
      <w:r w:rsidRPr="00A53601">
        <w:rPr>
          <w:rFonts w:eastAsia="Times New Roman"/>
          <w:szCs w:val="20"/>
          <w:lang w:eastAsia="en-AU"/>
        </w:rPr>
        <w:t xml:space="preserve">for the implantation of a ventricular assist device, or for complications arising from implantation or management of the device, on the first day a patient is admitted to an intensive care unit. </w:t>
      </w:r>
      <w:r w:rsidRPr="00A53601">
        <w:rPr>
          <w:rFonts w:eastAsia="Times New Roman"/>
          <w:b/>
          <w:bCs/>
          <w:szCs w:val="20"/>
          <w:lang w:eastAsia="en-AU"/>
        </w:rPr>
        <w:t>Item 1</w:t>
      </w:r>
      <w:r w:rsidRPr="00A53601">
        <w:rPr>
          <w:rFonts w:eastAsia="Times New Roman"/>
          <w:szCs w:val="20"/>
          <w:lang w:eastAsia="en-AU"/>
        </w:rPr>
        <w:t xml:space="preserve"> amend</w:t>
      </w:r>
      <w:r w:rsidR="00445C57" w:rsidRPr="00A53601">
        <w:rPr>
          <w:rFonts w:eastAsia="Times New Roman"/>
          <w:szCs w:val="20"/>
          <w:lang w:eastAsia="en-AU"/>
        </w:rPr>
        <w:t>s</w:t>
      </w:r>
      <w:r w:rsidRPr="00A53601">
        <w:rPr>
          <w:rFonts w:eastAsia="Times New Roman"/>
          <w:szCs w:val="20"/>
          <w:lang w:eastAsia="en-AU"/>
        </w:rPr>
        <w:t xml:space="preserve"> this service to clarify it excludes intravascular microaxial ventricular assist device inserted into the right ventricle and to apply the “(H)” symbol to limit the service to being rendered in hospital only, per clause 1.1.7 of the GMST.</w:t>
      </w:r>
    </w:p>
    <w:p w14:paraId="1DA5F7E0" w14:textId="77777777" w:rsidR="002D3A0D" w:rsidRPr="00A53601" w:rsidRDefault="002D3A0D" w:rsidP="002D3A0D">
      <w:pPr>
        <w:spacing w:after="0" w:line="240" w:lineRule="auto"/>
        <w:rPr>
          <w:rFonts w:eastAsia="Times New Roman"/>
          <w:szCs w:val="20"/>
          <w:lang w:eastAsia="en-AU"/>
        </w:rPr>
      </w:pPr>
    </w:p>
    <w:p w14:paraId="2EE8A924" w14:textId="2EC9ACFA" w:rsidR="002D3A0D" w:rsidRPr="00A53601" w:rsidRDefault="002D3A0D" w:rsidP="002D3A0D">
      <w:pPr>
        <w:spacing w:after="0" w:line="240" w:lineRule="auto"/>
        <w:rPr>
          <w:rFonts w:eastAsia="Times New Roman"/>
          <w:szCs w:val="20"/>
          <w:lang w:eastAsia="en-AU"/>
        </w:rPr>
      </w:pPr>
      <w:r w:rsidRPr="00A53601">
        <w:rPr>
          <w:rFonts w:eastAsia="Times New Roman"/>
          <w:b/>
          <w:bCs/>
          <w:szCs w:val="20"/>
          <w:lang w:eastAsia="en-AU"/>
        </w:rPr>
        <w:t>Item 2</w:t>
      </w:r>
      <w:r w:rsidRPr="00A53601">
        <w:rPr>
          <w:rFonts w:eastAsia="Times New Roman"/>
          <w:szCs w:val="20"/>
          <w:lang w:eastAsia="en-AU"/>
        </w:rPr>
        <w:t xml:space="preserve"> </w:t>
      </w:r>
      <w:r w:rsidR="00445C57" w:rsidRPr="00A53601">
        <w:rPr>
          <w:rFonts w:eastAsia="Times New Roman"/>
          <w:szCs w:val="20"/>
          <w:lang w:eastAsia="en-AU"/>
        </w:rPr>
        <w:t xml:space="preserve">amends item </w:t>
      </w:r>
      <w:r w:rsidRPr="00A53601">
        <w:rPr>
          <w:rFonts w:eastAsia="Times New Roman"/>
          <w:szCs w:val="20"/>
          <w:lang w:eastAsia="en-AU"/>
        </w:rPr>
        <w:t xml:space="preserve">13854 in the GMST for the management of a ventricular assist device, including for complications arising from implantation of the device, when a patient is an intensive care unit (excluding the day of admission to intensive care). </w:t>
      </w:r>
      <w:r w:rsidRPr="00A53601">
        <w:rPr>
          <w:rFonts w:eastAsia="Times New Roman"/>
          <w:b/>
          <w:bCs/>
          <w:szCs w:val="20"/>
          <w:lang w:eastAsia="en-AU"/>
        </w:rPr>
        <w:t>Item 2</w:t>
      </w:r>
      <w:r w:rsidRPr="00A53601">
        <w:rPr>
          <w:rFonts w:eastAsia="Times New Roman"/>
          <w:szCs w:val="20"/>
          <w:lang w:eastAsia="en-AU"/>
        </w:rPr>
        <w:t xml:space="preserve"> amend</w:t>
      </w:r>
      <w:r w:rsidR="004940FC" w:rsidRPr="00A53601">
        <w:rPr>
          <w:rFonts w:eastAsia="Times New Roman"/>
          <w:szCs w:val="20"/>
          <w:lang w:eastAsia="en-AU"/>
        </w:rPr>
        <w:t>s</w:t>
      </w:r>
      <w:r w:rsidRPr="00A53601">
        <w:rPr>
          <w:rFonts w:eastAsia="Times New Roman"/>
          <w:szCs w:val="20"/>
          <w:lang w:eastAsia="en-AU"/>
        </w:rPr>
        <w:t xml:space="preserve"> this service to clarify it excludes intravascular microaxial ventricular assist device inserted into the right ventricle and to apply the “(H)” symbol to limit the service to being rendered in hospital only, per clause 1.1.7 of the GMST.</w:t>
      </w:r>
    </w:p>
    <w:p w14:paraId="2EADA6C4" w14:textId="77777777" w:rsidR="002D3A0D" w:rsidRPr="00A53601" w:rsidRDefault="002D3A0D" w:rsidP="002D3A0D">
      <w:pPr>
        <w:spacing w:after="0" w:line="240" w:lineRule="auto"/>
        <w:rPr>
          <w:rFonts w:eastAsia="Times New Roman"/>
          <w:szCs w:val="20"/>
          <w:lang w:eastAsia="en-AU"/>
        </w:rPr>
      </w:pPr>
    </w:p>
    <w:p w14:paraId="03A5EEE6" w14:textId="6040C762" w:rsidR="002D3A0D" w:rsidRPr="00A53601" w:rsidRDefault="002D3A0D" w:rsidP="002D3A0D">
      <w:pPr>
        <w:spacing w:after="0" w:line="240" w:lineRule="auto"/>
        <w:rPr>
          <w:rFonts w:eastAsia="Times New Roman"/>
          <w:szCs w:val="20"/>
          <w:lang w:eastAsia="en-AU"/>
        </w:rPr>
      </w:pPr>
      <w:r w:rsidRPr="00A53601">
        <w:rPr>
          <w:rFonts w:eastAsia="Times New Roman"/>
          <w:b/>
          <w:bCs/>
          <w:szCs w:val="20"/>
          <w:lang w:eastAsia="en-AU"/>
        </w:rPr>
        <w:t>Item 3</w:t>
      </w:r>
      <w:r w:rsidRPr="00A53601">
        <w:rPr>
          <w:rFonts w:eastAsia="Times New Roman"/>
          <w:szCs w:val="20"/>
          <w:lang w:eastAsia="en-AU"/>
        </w:rPr>
        <w:t xml:space="preserve"> </w:t>
      </w:r>
      <w:r w:rsidR="0015560C" w:rsidRPr="00A53601">
        <w:rPr>
          <w:rFonts w:eastAsia="Times New Roman"/>
          <w:szCs w:val="20"/>
          <w:lang w:eastAsia="en-AU"/>
        </w:rPr>
        <w:t xml:space="preserve">makes a consequential amendment to subclause </w:t>
      </w:r>
      <w:r w:rsidRPr="00A53601">
        <w:rPr>
          <w:rFonts w:eastAsia="Times New Roman"/>
          <w:szCs w:val="20"/>
          <w:lang w:eastAsia="en-AU"/>
        </w:rPr>
        <w:t xml:space="preserve">5.10.17(2) of </w:t>
      </w:r>
      <w:r w:rsidR="0015560C" w:rsidRPr="00A53601">
        <w:rPr>
          <w:rFonts w:eastAsia="Times New Roman"/>
          <w:szCs w:val="20"/>
          <w:lang w:eastAsia="en-AU"/>
        </w:rPr>
        <w:t>the GMST which</w:t>
      </w:r>
      <w:r w:rsidR="00094BC2" w:rsidRPr="00A53601">
        <w:rPr>
          <w:rFonts w:eastAsia="Times New Roman"/>
          <w:szCs w:val="20"/>
          <w:lang w:eastAsia="en-AU"/>
        </w:rPr>
        <w:t xml:space="preserve"> has applications to </w:t>
      </w:r>
      <w:r w:rsidRPr="00A53601">
        <w:rPr>
          <w:rFonts w:eastAsia="Times New Roman"/>
          <w:szCs w:val="20"/>
          <w:lang w:eastAsia="en-AU"/>
        </w:rPr>
        <w:t xml:space="preserve">items 38817, 38818 and the range of items from 38485 to 38766 unless they explicitly carved out from that subclause. Services which are subject to that clause must be performed using open exposure or minimally invasive surgery which excludes percutaneous and transcatheter techniques unless otherwise stated in the item. </w:t>
      </w:r>
      <w:r w:rsidRPr="00A53601">
        <w:rPr>
          <w:rFonts w:eastAsia="Times New Roman"/>
          <w:b/>
          <w:bCs/>
          <w:szCs w:val="20"/>
          <w:lang w:eastAsia="en-AU"/>
        </w:rPr>
        <w:t>Item 3</w:t>
      </w:r>
      <w:r w:rsidRPr="00A53601">
        <w:rPr>
          <w:rFonts w:eastAsia="Times New Roman"/>
          <w:szCs w:val="20"/>
          <w:lang w:eastAsia="en-AU"/>
        </w:rPr>
        <w:t xml:space="preserve"> </w:t>
      </w:r>
      <w:r w:rsidR="00283284" w:rsidRPr="00A53601">
        <w:rPr>
          <w:rFonts w:eastAsia="Times New Roman"/>
          <w:szCs w:val="20"/>
          <w:lang w:eastAsia="en-AU"/>
        </w:rPr>
        <w:t xml:space="preserve">will </w:t>
      </w:r>
      <w:r w:rsidRPr="00A53601">
        <w:rPr>
          <w:rFonts w:eastAsia="Times New Roman"/>
          <w:szCs w:val="20"/>
          <w:lang w:eastAsia="en-AU"/>
        </w:rPr>
        <w:t xml:space="preserve">exclude the new surgical removal service of a left sided intravascular microaxial ventricular assist device (38619), which is being listed by </w:t>
      </w:r>
      <w:r w:rsidRPr="00A53601">
        <w:rPr>
          <w:rFonts w:eastAsia="Times New Roman"/>
          <w:b/>
          <w:bCs/>
          <w:szCs w:val="20"/>
          <w:lang w:eastAsia="en-AU"/>
        </w:rPr>
        <w:t>item 6</w:t>
      </w:r>
      <w:r w:rsidR="00D054D4" w:rsidRPr="00A53601">
        <w:rPr>
          <w:rFonts w:eastAsia="Times New Roman"/>
          <w:b/>
          <w:bCs/>
          <w:szCs w:val="20"/>
          <w:lang w:eastAsia="en-AU"/>
        </w:rPr>
        <w:t xml:space="preserve"> </w:t>
      </w:r>
      <w:r w:rsidR="00D054D4" w:rsidRPr="00A53601">
        <w:rPr>
          <w:rFonts w:eastAsia="Times New Roman"/>
          <w:szCs w:val="20"/>
          <w:lang w:eastAsia="en-AU"/>
        </w:rPr>
        <w:t>of Schedule 2 of the Regulations.</w:t>
      </w:r>
    </w:p>
    <w:p w14:paraId="0FCAA6BA" w14:textId="77777777" w:rsidR="002D3A0D" w:rsidRPr="00A53601" w:rsidRDefault="002D3A0D" w:rsidP="002D3A0D">
      <w:pPr>
        <w:spacing w:after="0" w:line="240" w:lineRule="auto"/>
        <w:rPr>
          <w:rFonts w:eastAsia="Times New Roman"/>
          <w:szCs w:val="20"/>
          <w:lang w:eastAsia="en-AU"/>
        </w:rPr>
      </w:pPr>
    </w:p>
    <w:p w14:paraId="0730703F" w14:textId="4DA398AB" w:rsidR="002D3A0D" w:rsidRPr="00A53601" w:rsidRDefault="002D3A0D" w:rsidP="002D3A0D">
      <w:pPr>
        <w:spacing w:after="0" w:line="240" w:lineRule="auto"/>
        <w:rPr>
          <w:rFonts w:eastAsia="Times New Roman"/>
          <w:szCs w:val="20"/>
          <w:lang w:eastAsia="en-AU"/>
        </w:rPr>
      </w:pPr>
      <w:r w:rsidRPr="00A53601">
        <w:rPr>
          <w:rFonts w:eastAsia="Times New Roman"/>
          <w:b/>
          <w:bCs/>
          <w:szCs w:val="20"/>
          <w:lang w:eastAsia="en-AU"/>
        </w:rPr>
        <w:t>Item 4</w:t>
      </w:r>
      <w:r w:rsidR="00E70003" w:rsidRPr="00A53601">
        <w:rPr>
          <w:rFonts w:eastAsia="Times New Roman"/>
          <w:szCs w:val="20"/>
          <w:lang w:eastAsia="en-AU"/>
        </w:rPr>
        <w:t xml:space="preserve"> </w:t>
      </w:r>
      <w:r w:rsidR="00382A59" w:rsidRPr="00A53601">
        <w:rPr>
          <w:rFonts w:eastAsia="Times New Roman"/>
          <w:szCs w:val="20"/>
          <w:lang w:eastAsia="en-AU"/>
        </w:rPr>
        <w:t>introduces new</w:t>
      </w:r>
      <w:r w:rsidRPr="00A53601">
        <w:rPr>
          <w:rFonts w:eastAsia="Times New Roman"/>
          <w:szCs w:val="20"/>
          <w:lang w:eastAsia="en-AU"/>
        </w:rPr>
        <w:t xml:space="preserve"> item 38376 </w:t>
      </w:r>
      <w:r w:rsidR="00382A59" w:rsidRPr="00A53601">
        <w:rPr>
          <w:rFonts w:eastAsia="Times New Roman"/>
          <w:szCs w:val="20"/>
          <w:lang w:eastAsia="en-AU"/>
        </w:rPr>
        <w:t>to</w:t>
      </w:r>
      <w:r w:rsidRPr="00A53601">
        <w:rPr>
          <w:rFonts w:eastAsia="Times New Roman"/>
          <w:szCs w:val="20"/>
          <w:lang w:eastAsia="en-AU"/>
        </w:rPr>
        <w:t xml:space="preserve"> the GMST for the percutaneous insertion of an intravascular microaxial ventricular assist device, into the left ventricle only, by arteriotomy. This service w</w:t>
      </w:r>
      <w:r w:rsidR="00845F42" w:rsidRPr="00A53601">
        <w:rPr>
          <w:rFonts w:eastAsia="Times New Roman"/>
          <w:szCs w:val="20"/>
          <w:lang w:eastAsia="en-AU"/>
        </w:rPr>
        <w:t>ill</w:t>
      </w:r>
      <w:r w:rsidRPr="00A53601">
        <w:rPr>
          <w:rFonts w:eastAsia="Times New Roman"/>
          <w:szCs w:val="20"/>
          <w:lang w:eastAsia="en-AU"/>
        </w:rPr>
        <w:t xml:space="preserve"> be available to a small and high-risk population of patients who:</w:t>
      </w:r>
    </w:p>
    <w:p w14:paraId="684ECE24" w14:textId="3C001D79" w:rsidR="002D3A0D" w:rsidRPr="00A53601" w:rsidRDefault="002D3A0D" w:rsidP="00382A59">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has deteriorating cardiogenic shock which has not stabilised despite optimal medical therapy (pharmacotherapy); or</w:t>
      </w:r>
    </w:p>
    <w:p w14:paraId="32473031" w14:textId="55E7E79F" w:rsidR="002D3A0D" w:rsidRPr="00A53601" w:rsidRDefault="002D3A0D" w:rsidP="00382A59">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 xml:space="preserve">has deteriorating cardiogenic shock which has not stabilised despite optimal medical therapy (pharmacotherapy), is on </w:t>
      </w:r>
      <w:proofErr w:type="spellStart"/>
      <w:r w:rsidRPr="00A53601">
        <w:rPr>
          <w:color w:val="000000"/>
        </w:rPr>
        <w:t>veno</w:t>
      </w:r>
      <w:proofErr w:type="spellEnd"/>
      <w:r w:rsidRPr="00A53601">
        <w:rPr>
          <w:color w:val="000000"/>
        </w:rPr>
        <w:t xml:space="preserve">-arterial extracorporeal membrane oxygenation (VA-ECMO) is an intervention, but </w:t>
      </w:r>
      <w:proofErr w:type="gramStart"/>
      <w:r w:rsidRPr="00A53601">
        <w:rPr>
          <w:color w:val="000000"/>
        </w:rPr>
        <w:t>due to the effects</w:t>
      </w:r>
      <w:proofErr w:type="gramEnd"/>
      <w:r w:rsidRPr="00A53601">
        <w:rPr>
          <w:color w:val="000000"/>
        </w:rPr>
        <w:t xml:space="preserve"> of VA-ECMO requires unloading of the left ventricle.</w:t>
      </w:r>
    </w:p>
    <w:p w14:paraId="70109DF7" w14:textId="77777777" w:rsidR="002D3A0D" w:rsidRPr="00A53601" w:rsidRDefault="002D3A0D" w:rsidP="002D3A0D">
      <w:pPr>
        <w:spacing w:after="0" w:line="240" w:lineRule="auto"/>
        <w:rPr>
          <w:rFonts w:eastAsia="Times New Roman"/>
          <w:szCs w:val="20"/>
          <w:lang w:eastAsia="en-AU"/>
        </w:rPr>
      </w:pPr>
    </w:p>
    <w:p w14:paraId="48890896" w14:textId="77777777" w:rsidR="002D3A0D" w:rsidRPr="00A53601" w:rsidRDefault="002D3A0D" w:rsidP="002D3A0D">
      <w:pPr>
        <w:spacing w:after="0" w:line="240" w:lineRule="auto"/>
        <w:rPr>
          <w:rFonts w:eastAsia="Times New Roman"/>
          <w:szCs w:val="20"/>
          <w:lang w:eastAsia="en-AU"/>
        </w:rPr>
      </w:pPr>
      <w:r w:rsidRPr="00A53601">
        <w:rPr>
          <w:rFonts w:eastAsia="Times New Roman"/>
          <w:szCs w:val="20"/>
          <w:lang w:eastAsia="en-AU"/>
        </w:rPr>
        <w:t xml:space="preserve">The fee for this item includes all intraoperative imaging and an associated imaging service in the DIST is not to be claimed with this service. </w:t>
      </w:r>
    </w:p>
    <w:p w14:paraId="4C1B4612" w14:textId="77777777" w:rsidR="002D3A0D" w:rsidRPr="00A53601" w:rsidRDefault="002D3A0D" w:rsidP="002D3A0D">
      <w:pPr>
        <w:spacing w:after="0" w:line="240" w:lineRule="auto"/>
        <w:rPr>
          <w:rFonts w:eastAsia="Times New Roman"/>
          <w:szCs w:val="20"/>
          <w:lang w:eastAsia="en-AU"/>
        </w:rPr>
      </w:pPr>
    </w:p>
    <w:p w14:paraId="7CA78B9E" w14:textId="753AFA71" w:rsidR="002D3A0D" w:rsidRPr="00A53601" w:rsidRDefault="002D3A0D" w:rsidP="002D3A0D">
      <w:pPr>
        <w:spacing w:after="0" w:line="240" w:lineRule="auto"/>
        <w:rPr>
          <w:rFonts w:eastAsia="Times New Roman"/>
          <w:szCs w:val="20"/>
          <w:lang w:eastAsia="en-AU"/>
        </w:rPr>
      </w:pPr>
      <w:r w:rsidRPr="00A53601">
        <w:rPr>
          <w:rFonts w:eastAsia="Times New Roman"/>
          <w:b/>
          <w:bCs/>
          <w:szCs w:val="20"/>
          <w:lang w:eastAsia="en-AU"/>
        </w:rPr>
        <w:t>Item 5</w:t>
      </w:r>
      <w:r w:rsidRPr="00A53601">
        <w:rPr>
          <w:rFonts w:eastAsia="Times New Roman"/>
          <w:szCs w:val="20"/>
          <w:lang w:eastAsia="en-AU"/>
        </w:rPr>
        <w:t xml:space="preserve"> </w:t>
      </w:r>
      <w:r w:rsidR="00324D9D" w:rsidRPr="00A53601">
        <w:rPr>
          <w:rFonts w:eastAsia="Times New Roman"/>
          <w:szCs w:val="20"/>
          <w:lang w:eastAsia="en-AU"/>
        </w:rPr>
        <w:t xml:space="preserve">introduces new item </w:t>
      </w:r>
      <w:r w:rsidRPr="00A53601">
        <w:rPr>
          <w:rFonts w:eastAsia="Times New Roman"/>
          <w:szCs w:val="20"/>
          <w:lang w:eastAsia="en-AU"/>
        </w:rPr>
        <w:t xml:space="preserve">38616 </w:t>
      </w:r>
      <w:r w:rsidR="00324D9D" w:rsidRPr="00A53601">
        <w:rPr>
          <w:rFonts w:eastAsia="Times New Roman"/>
          <w:szCs w:val="20"/>
          <w:lang w:eastAsia="en-AU"/>
        </w:rPr>
        <w:t>to</w:t>
      </w:r>
      <w:r w:rsidRPr="00A53601">
        <w:rPr>
          <w:rFonts w:eastAsia="Times New Roman"/>
          <w:szCs w:val="20"/>
          <w:lang w:eastAsia="en-AU"/>
        </w:rPr>
        <w:t xml:space="preserve"> the GMST for the surgical insertion of an intravascular microaxial ventricular assist device, into the left ventricle only, by arteriotomy. Apart from the technique, this item w</w:t>
      </w:r>
      <w:r w:rsidR="000653CE" w:rsidRPr="00A53601">
        <w:rPr>
          <w:rFonts w:eastAsia="Times New Roman"/>
          <w:szCs w:val="20"/>
          <w:lang w:eastAsia="en-AU"/>
        </w:rPr>
        <w:t>ill</w:t>
      </w:r>
      <w:r w:rsidRPr="00A53601">
        <w:rPr>
          <w:rFonts w:eastAsia="Times New Roman"/>
          <w:szCs w:val="20"/>
          <w:lang w:eastAsia="en-AU"/>
        </w:rPr>
        <w:t xml:space="preserve"> have the same patient cohort as item 38375. The fee for this item includes all intraoperative imaging and an associated imaging service in the DIST is not to be claimed with this service. </w:t>
      </w:r>
    </w:p>
    <w:p w14:paraId="42A42110" w14:textId="77777777" w:rsidR="002D3A0D" w:rsidRPr="00A53601" w:rsidRDefault="002D3A0D" w:rsidP="002D3A0D">
      <w:pPr>
        <w:spacing w:after="0" w:line="240" w:lineRule="auto"/>
        <w:rPr>
          <w:rFonts w:eastAsia="Times New Roman"/>
          <w:szCs w:val="20"/>
          <w:lang w:eastAsia="en-AU"/>
        </w:rPr>
      </w:pPr>
    </w:p>
    <w:p w14:paraId="53869546" w14:textId="2A7B918B" w:rsidR="002D3A0D" w:rsidRPr="00A53601" w:rsidRDefault="002D3A0D" w:rsidP="002D3A0D">
      <w:pPr>
        <w:spacing w:after="0" w:line="240" w:lineRule="auto"/>
        <w:rPr>
          <w:rFonts w:eastAsia="Times New Roman"/>
          <w:szCs w:val="20"/>
          <w:lang w:eastAsia="en-AU"/>
        </w:rPr>
      </w:pPr>
      <w:r w:rsidRPr="00A53601">
        <w:rPr>
          <w:rFonts w:eastAsia="Times New Roman"/>
          <w:b/>
          <w:bCs/>
          <w:szCs w:val="20"/>
          <w:lang w:eastAsia="en-AU"/>
        </w:rPr>
        <w:t>Item 6</w:t>
      </w:r>
      <w:r w:rsidR="00D36C76" w:rsidRPr="00A53601">
        <w:rPr>
          <w:rFonts w:eastAsia="Times New Roman"/>
          <w:b/>
          <w:bCs/>
          <w:szCs w:val="20"/>
          <w:lang w:eastAsia="en-AU"/>
        </w:rPr>
        <w:t xml:space="preserve"> </w:t>
      </w:r>
      <w:r w:rsidR="00D36C76" w:rsidRPr="00A53601">
        <w:rPr>
          <w:rFonts w:eastAsia="Times New Roman"/>
          <w:szCs w:val="20"/>
          <w:lang w:eastAsia="en-AU"/>
        </w:rPr>
        <w:t xml:space="preserve">introduces new item </w:t>
      </w:r>
      <w:r w:rsidRPr="00A53601">
        <w:rPr>
          <w:rFonts w:eastAsia="Times New Roman"/>
          <w:szCs w:val="20"/>
          <w:lang w:eastAsia="en-AU"/>
        </w:rPr>
        <w:t>38619</w:t>
      </w:r>
      <w:r w:rsidR="00D36C76" w:rsidRPr="00A53601">
        <w:rPr>
          <w:rFonts w:eastAsia="Times New Roman"/>
          <w:szCs w:val="20"/>
          <w:lang w:eastAsia="en-AU"/>
        </w:rPr>
        <w:t xml:space="preserve"> to </w:t>
      </w:r>
      <w:r w:rsidRPr="00A53601">
        <w:rPr>
          <w:rFonts w:eastAsia="Times New Roman"/>
          <w:szCs w:val="20"/>
          <w:lang w:eastAsia="en-AU"/>
        </w:rPr>
        <w:t>the GMST for the surgical removal of a left sided intravascular microaxial ventricular assist device.</w:t>
      </w:r>
    </w:p>
    <w:p w14:paraId="6D196FCD" w14:textId="77777777" w:rsidR="002D3A0D" w:rsidRPr="00A53601" w:rsidRDefault="002D3A0D" w:rsidP="002D3A0D">
      <w:pPr>
        <w:spacing w:after="0" w:line="240" w:lineRule="auto"/>
        <w:rPr>
          <w:rFonts w:eastAsia="Times New Roman"/>
          <w:szCs w:val="20"/>
          <w:lang w:eastAsia="en-AU"/>
        </w:rPr>
      </w:pPr>
    </w:p>
    <w:p w14:paraId="45D4F5E8" w14:textId="156E2F55" w:rsidR="002D3A0D" w:rsidRPr="00A53601" w:rsidRDefault="002D3A0D" w:rsidP="002D3A0D">
      <w:pPr>
        <w:spacing w:after="0" w:line="240" w:lineRule="auto"/>
        <w:rPr>
          <w:rFonts w:eastAsia="Times New Roman"/>
          <w:szCs w:val="20"/>
          <w:lang w:eastAsia="en-AU"/>
        </w:rPr>
      </w:pPr>
      <w:r w:rsidRPr="00A53601">
        <w:rPr>
          <w:rFonts w:eastAsia="Times New Roman"/>
          <w:b/>
          <w:bCs/>
          <w:szCs w:val="20"/>
          <w:lang w:eastAsia="en-AU"/>
        </w:rPr>
        <w:lastRenderedPageBreak/>
        <w:t>Item 7</w:t>
      </w:r>
      <w:r w:rsidRPr="00A53601">
        <w:rPr>
          <w:rFonts w:eastAsia="Times New Roman"/>
          <w:szCs w:val="20"/>
          <w:lang w:eastAsia="en-AU"/>
        </w:rPr>
        <w:t xml:space="preserve"> amend</w:t>
      </w:r>
      <w:r w:rsidR="00576910" w:rsidRPr="00A53601">
        <w:rPr>
          <w:rFonts w:eastAsia="Times New Roman"/>
          <w:szCs w:val="20"/>
          <w:lang w:eastAsia="en-AU"/>
        </w:rPr>
        <w:t>s</w:t>
      </w:r>
      <w:r w:rsidRPr="00A53601">
        <w:rPr>
          <w:rFonts w:eastAsia="Times New Roman"/>
          <w:szCs w:val="20"/>
          <w:lang w:eastAsia="en-AU"/>
        </w:rPr>
        <w:t xml:space="preserve"> the descriptor of item 38621 </w:t>
      </w:r>
      <w:r w:rsidR="00576910" w:rsidRPr="00A53601">
        <w:rPr>
          <w:rFonts w:eastAsia="Times New Roman"/>
          <w:szCs w:val="20"/>
          <w:lang w:eastAsia="en-AU"/>
        </w:rPr>
        <w:t>for</w:t>
      </w:r>
      <w:r w:rsidR="00415E34" w:rsidRPr="00A53601">
        <w:rPr>
          <w:rFonts w:eastAsia="Times New Roman"/>
          <w:szCs w:val="20"/>
          <w:lang w:eastAsia="en-AU"/>
        </w:rPr>
        <w:t xml:space="preserve"> an</w:t>
      </w:r>
      <w:r w:rsidRPr="00A53601">
        <w:rPr>
          <w:rFonts w:eastAsia="Times New Roman"/>
          <w:szCs w:val="20"/>
          <w:lang w:eastAsia="en-AU"/>
        </w:rPr>
        <w:t xml:space="preserve"> independent procedure for the removal of left or right ventricular assist device. The amendment w</w:t>
      </w:r>
      <w:r w:rsidR="00A92AB0" w:rsidRPr="00A53601">
        <w:rPr>
          <w:rFonts w:eastAsia="Times New Roman"/>
          <w:szCs w:val="20"/>
          <w:lang w:eastAsia="en-AU"/>
        </w:rPr>
        <w:t>ill</w:t>
      </w:r>
      <w:r w:rsidRPr="00A53601">
        <w:rPr>
          <w:rFonts w:eastAsia="Times New Roman"/>
          <w:szCs w:val="20"/>
          <w:lang w:eastAsia="en-AU"/>
        </w:rPr>
        <w:t xml:space="preserve"> include a co-claim limitation with the new surgical removal service of a left sided intravascular microaxial ventricular assist device (38619), which is being listed by </w:t>
      </w:r>
      <w:r w:rsidRPr="00A53601">
        <w:rPr>
          <w:rFonts w:eastAsia="Times New Roman"/>
          <w:b/>
          <w:bCs/>
          <w:szCs w:val="20"/>
          <w:lang w:eastAsia="en-AU"/>
        </w:rPr>
        <w:t>item 6</w:t>
      </w:r>
      <w:r w:rsidR="00780795" w:rsidRPr="00A53601">
        <w:rPr>
          <w:rFonts w:eastAsia="Times New Roman"/>
          <w:b/>
          <w:bCs/>
          <w:szCs w:val="20"/>
          <w:lang w:eastAsia="en-AU"/>
        </w:rPr>
        <w:t xml:space="preserve"> </w:t>
      </w:r>
      <w:r w:rsidR="00780795" w:rsidRPr="00A53601">
        <w:rPr>
          <w:rFonts w:eastAsia="Times New Roman"/>
          <w:szCs w:val="20"/>
          <w:lang w:eastAsia="en-AU"/>
        </w:rPr>
        <w:t xml:space="preserve">of Schedule 2 of the Regulations. </w:t>
      </w:r>
    </w:p>
    <w:p w14:paraId="15EA9B3A" w14:textId="77777777" w:rsidR="002D3A0D" w:rsidRPr="00A53601" w:rsidRDefault="002D3A0D" w:rsidP="002D3A0D">
      <w:pPr>
        <w:spacing w:after="0" w:line="240" w:lineRule="auto"/>
        <w:rPr>
          <w:rFonts w:eastAsia="Times New Roman"/>
          <w:szCs w:val="20"/>
          <w:lang w:eastAsia="en-AU"/>
        </w:rPr>
      </w:pPr>
    </w:p>
    <w:p w14:paraId="7F1F44A9" w14:textId="31B0FBA3" w:rsidR="002D3A0D" w:rsidRPr="00A53601" w:rsidRDefault="002D3A0D" w:rsidP="002D3A0D">
      <w:pPr>
        <w:spacing w:after="0" w:line="240" w:lineRule="auto"/>
        <w:rPr>
          <w:rFonts w:eastAsia="Times New Roman"/>
          <w:szCs w:val="20"/>
          <w:lang w:eastAsia="en-AU"/>
        </w:rPr>
      </w:pPr>
      <w:r w:rsidRPr="00A53601">
        <w:rPr>
          <w:rFonts w:eastAsia="Times New Roman"/>
          <w:b/>
          <w:bCs/>
          <w:szCs w:val="20"/>
          <w:lang w:eastAsia="en-AU"/>
        </w:rPr>
        <w:t>Item 8</w:t>
      </w:r>
      <w:r w:rsidR="00CB7B75" w:rsidRPr="00A53601">
        <w:rPr>
          <w:rFonts w:eastAsia="Times New Roman"/>
          <w:b/>
          <w:bCs/>
          <w:szCs w:val="20"/>
          <w:lang w:eastAsia="en-AU"/>
        </w:rPr>
        <w:t xml:space="preserve"> </w:t>
      </w:r>
      <w:r w:rsidRPr="00A53601">
        <w:rPr>
          <w:rFonts w:eastAsia="Times New Roman"/>
          <w:szCs w:val="20"/>
          <w:lang w:eastAsia="en-AU"/>
        </w:rPr>
        <w:t>introduce</w:t>
      </w:r>
      <w:r w:rsidR="00CB7B75" w:rsidRPr="00A53601">
        <w:rPr>
          <w:rFonts w:eastAsia="Times New Roman"/>
          <w:szCs w:val="20"/>
          <w:lang w:eastAsia="en-AU"/>
        </w:rPr>
        <w:t>s</w:t>
      </w:r>
      <w:r w:rsidRPr="00A53601">
        <w:rPr>
          <w:rFonts w:eastAsia="Times New Roman"/>
          <w:szCs w:val="20"/>
          <w:lang w:eastAsia="en-AU"/>
        </w:rPr>
        <w:t xml:space="preserve"> a new item 22032 for perioperative continuous nerve blockade using catheter technique to the GMST. Continuous peripheral nerve blockage involves the insertion of a catheter (a thin, flexible tube) next to the target nerve, which is then used to deliver a continuous flow of pain medication to the affected nerve.</w:t>
      </w:r>
    </w:p>
    <w:p w14:paraId="5C7A3731" w14:textId="77777777" w:rsidR="002D3A0D" w:rsidRPr="00A53601" w:rsidRDefault="002D3A0D" w:rsidP="00EB3BA6">
      <w:pPr>
        <w:spacing w:after="0" w:line="240" w:lineRule="auto"/>
        <w:rPr>
          <w:rFonts w:eastAsia="Times New Roman"/>
          <w:szCs w:val="20"/>
          <w:lang w:eastAsia="en-AU"/>
        </w:rPr>
      </w:pPr>
    </w:p>
    <w:p w14:paraId="26FC3218" w14:textId="7A45BF04" w:rsidR="002D3A0D" w:rsidRPr="00A53601" w:rsidRDefault="002D3A0D" w:rsidP="00EB3BA6">
      <w:pPr>
        <w:spacing w:after="0" w:line="240" w:lineRule="auto"/>
        <w:rPr>
          <w:rFonts w:eastAsia="Times New Roman"/>
          <w:b/>
          <w:bCs/>
          <w:szCs w:val="20"/>
          <w:lang w:eastAsia="en-AU"/>
        </w:rPr>
      </w:pPr>
      <w:r w:rsidRPr="00A53601">
        <w:rPr>
          <w:b/>
          <w:bCs/>
          <w:i/>
          <w:iCs/>
          <w:color w:val="000000"/>
        </w:rPr>
        <w:t>Health Insurance (Pathology Services Table) Regulations 2020</w:t>
      </w:r>
      <w:r w:rsidRPr="00A53601">
        <w:rPr>
          <w:b/>
          <w:bCs/>
          <w:color w:val="000000"/>
        </w:rPr>
        <w:t> </w:t>
      </w:r>
    </w:p>
    <w:p w14:paraId="7FC3A593" w14:textId="77777777" w:rsidR="002D3A0D" w:rsidRPr="00A53601" w:rsidRDefault="002D3A0D" w:rsidP="00EB3BA6">
      <w:pPr>
        <w:spacing w:after="0" w:line="240" w:lineRule="auto"/>
        <w:rPr>
          <w:rFonts w:eastAsia="Times New Roman"/>
          <w:szCs w:val="20"/>
          <w:lang w:eastAsia="en-AU"/>
        </w:rPr>
      </w:pPr>
    </w:p>
    <w:p w14:paraId="31C4981C" w14:textId="683CFA02" w:rsidR="004B3614" w:rsidRPr="00A53601" w:rsidRDefault="002D3A0D" w:rsidP="002D3A0D">
      <w:pPr>
        <w:spacing w:after="0"/>
        <w:rPr>
          <w:szCs w:val="20"/>
        </w:rPr>
      </w:pPr>
      <w:r w:rsidRPr="00A53601">
        <w:rPr>
          <w:b/>
          <w:bCs/>
          <w:szCs w:val="20"/>
        </w:rPr>
        <w:t>Item 9</w:t>
      </w:r>
      <w:r w:rsidRPr="00A53601">
        <w:rPr>
          <w:szCs w:val="20"/>
        </w:rPr>
        <w:t xml:space="preserve"> insert</w:t>
      </w:r>
      <w:r w:rsidR="00BC2BBC" w:rsidRPr="00A53601">
        <w:rPr>
          <w:szCs w:val="20"/>
        </w:rPr>
        <w:t>s</w:t>
      </w:r>
      <w:r w:rsidRPr="00A53601">
        <w:rPr>
          <w:szCs w:val="20"/>
        </w:rPr>
        <w:t xml:space="preserve"> items 69421 and 69422 into the PST as part of minor and machinery change. Items 69421 and 69422 for testing of respiratory pathogens were introduced to the MBS on</w:t>
      </w:r>
      <w:r w:rsidR="00BC2BBC" w:rsidRPr="00A53601">
        <w:rPr>
          <w:szCs w:val="20"/>
        </w:rPr>
        <w:t xml:space="preserve"> 1 </w:t>
      </w:r>
      <w:r w:rsidRPr="00A53601">
        <w:rPr>
          <w:szCs w:val="20"/>
        </w:rPr>
        <w:t xml:space="preserve">July 2024 and were prescribed in the </w:t>
      </w:r>
      <w:r w:rsidRPr="00A53601">
        <w:rPr>
          <w:i/>
          <w:iCs/>
          <w:szCs w:val="20"/>
        </w:rPr>
        <w:t>Health Insurance (Section 3C Pathology Services – Respiratory Pathogen Testing) Determination 2024</w:t>
      </w:r>
      <w:r w:rsidRPr="00A53601">
        <w:rPr>
          <w:szCs w:val="20"/>
        </w:rPr>
        <w:t xml:space="preserve"> (the Respiratory Pathogen Testing Determination). The Respiratory Pathogen Resting Determination w</w:t>
      </w:r>
      <w:r w:rsidR="007004E0" w:rsidRPr="00A53601">
        <w:rPr>
          <w:szCs w:val="20"/>
        </w:rPr>
        <w:t>ill</w:t>
      </w:r>
      <w:r w:rsidRPr="00A53601">
        <w:rPr>
          <w:szCs w:val="20"/>
        </w:rPr>
        <w:t xml:space="preserve"> be repealed immediately following the commencement of this change. There </w:t>
      </w:r>
      <w:r w:rsidR="00AD6651" w:rsidRPr="00A53601">
        <w:rPr>
          <w:szCs w:val="20"/>
        </w:rPr>
        <w:t>is</w:t>
      </w:r>
      <w:r w:rsidRPr="00A53601">
        <w:rPr>
          <w:szCs w:val="20"/>
        </w:rPr>
        <w:t xml:space="preserve"> no change to the clinical intent of these items under this change.</w:t>
      </w:r>
      <w:r w:rsidR="004B3614" w:rsidRPr="00A53601">
        <w:rPr>
          <w:szCs w:val="20"/>
        </w:rPr>
        <w:t xml:space="preserve"> </w:t>
      </w:r>
      <w:bookmarkStart w:id="3" w:name="_Hlk187148743"/>
      <w:r w:rsidR="004B3614" w:rsidRPr="00A53601">
        <w:rPr>
          <w:szCs w:val="20"/>
        </w:rPr>
        <w:t xml:space="preserve">A single </w:t>
      </w:r>
      <w:r w:rsidR="00C842E5" w:rsidRPr="00A53601">
        <w:rPr>
          <w:szCs w:val="20"/>
        </w:rPr>
        <w:t>M</w:t>
      </w:r>
      <w:r w:rsidR="004B3614" w:rsidRPr="00A53601">
        <w:rPr>
          <w:szCs w:val="20"/>
        </w:rPr>
        <w:t xml:space="preserve">edicare benefit is payable for the testing of 4 pathogens regardless how many specimens are being tested. </w:t>
      </w:r>
      <w:bookmarkEnd w:id="3"/>
    </w:p>
    <w:p w14:paraId="320FAF1C" w14:textId="77777777" w:rsidR="002D3A0D" w:rsidRPr="00A53601" w:rsidRDefault="002D3A0D" w:rsidP="002D3A0D">
      <w:pPr>
        <w:spacing w:after="0"/>
        <w:rPr>
          <w:szCs w:val="20"/>
        </w:rPr>
      </w:pPr>
    </w:p>
    <w:p w14:paraId="489A6CBC" w14:textId="67B31605" w:rsidR="001207C3" w:rsidRPr="00A53601" w:rsidRDefault="002D3A0D" w:rsidP="001207C3">
      <w:pPr>
        <w:spacing w:after="0"/>
        <w:rPr>
          <w:szCs w:val="20"/>
        </w:rPr>
      </w:pPr>
      <w:r w:rsidRPr="00A53601">
        <w:rPr>
          <w:b/>
          <w:bCs/>
          <w:szCs w:val="20"/>
        </w:rPr>
        <w:t>Item 10</w:t>
      </w:r>
      <w:r w:rsidRPr="00A53601">
        <w:rPr>
          <w:szCs w:val="20"/>
        </w:rPr>
        <w:t xml:space="preserve"> amend</w:t>
      </w:r>
      <w:r w:rsidR="007D57CB" w:rsidRPr="00A53601">
        <w:rPr>
          <w:szCs w:val="20"/>
        </w:rPr>
        <w:t>s</w:t>
      </w:r>
      <w:r w:rsidRPr="00A53601">
        <w:rPr>
          <w:szCs w:val="20"/>
        </w:rPr>
        <w:t xml:space="preserve"> the descriptor of item 73296 in the PST</w:t>
      </w:r>
      <w:r w:rsidR="001207C3" w:rsidRPr="00A53601">
        <w:rPr>
          <w:szCs w:val="20"/>
        </w:rPr>
        <w:t xml:space="preserve"> </w:t>
      </w:r>
      <w:r w:rsidRPr="00A53601">
        <w:rPr>
          <w:szCs w:val="20"/>
        </w:rPr>
        <w:t>for characterisation of germline gene variants in genes associated with breast, ovarian, fallopian tube or primary peritoneal cancer</w:t>
      </w:r>
      <w:r w:rsidR="001207C3" w:rsidRPr="00A53601">
        <w:rPr>
          <w:szCs w:val="20"/>
        </w:rPr>
        <w:t xml:space="preserve"> to replace the specified genes listed under subparagraph (a)(ii) with “one or more other relevant genes” respectively.</w:t>
      </w:r>
    </w:p>
    <w:p w14:paraId="50A93B23" w14:textId="3388BA87" w:rsidR="001207C3" w:rsidRPr="00A53601" w:rsidRDefault="001207C3" w:rsidP="002D3A0D">
      <w:pPr>
        <w:spacing w:after="0"/>
        <w:rPr>
          <w:szCs w:val="20"/>
        </w:rPr>
      </w:pPr>
    </w:p>
    <w:p w14:paraId="10D16CBB" w14:textId="77777777" w:rsidR="001207C3" w:rsidRPr="00A53601" w:rsidRDefault="001207C3" w:rsidP="001207C3">
      <w:pPr>
        <w:spacing w:after="0"/>
        <w:rPr>
          <w:szCs w:val="20"/>
        </w:rPr>
      </w:pPr>
      <w:r w:rsidRPr="00A53601">
        <w:rPr>
          <w:szCs w:val="20"/>
        </w:rPr>
        <w:t>Item 73296 is available to patients with a cancer diagnosis and a family or clinical history which indicates they have a greater than 10% risk of having a pathogenic or likely pathogenic gene associated with breast, ovarian, fallopian tube or primary peritoneal cancer.</w:t>
      </w:r>
    </w:p>
    <w:p w14:paraId="06A9D331" w14:textId="77777777" w:rsidR="002D3A0D" w:rsidRPr="00A53601" w:rsidRDefault="002D3A0D" w:rsidP="002D3A0D">
      <w:pPr>
        <w:spacing w:after="0"/>
        <w:rPr>
          <w:szCs w:val="20"/>
        </w:rPr>
      </w:pPr>
    </w:p>
    <w:p w14:paraId="5F55D19A" w14:textId="32B43BF9" w:rsidR="002D3A0D" w:rsidRPr="00A53601" w:rsidRDefault="002D3A0D" w:rsidP="002D3A0D">
      <w:pPr>
        <w:spacing w:after="0"/>
        <w:rPr>
          <w:szCs w:val="20"/>
        </w:rPr>
      </w:pPr>
      <w:r w:rsidRPr="00A53601">
        <w:rPr>
          <w:b/>
          <w:bCs/>
          <w:szCs w:val="20"/>
        </w:rPr>
        <w:t>Item</w:t>
      </w:r>
      <w:r w:rsidR="009A3E03" w:rsidRPr="00A53601">
        <w:rPr>
          <w:b/>
          <w:bCs/>
          <w:szCs w:val="20"/>
        </w:rPr>
        <w:t>s</w:t>
      </w:r>
      <w:r w:rsidRPr="00A53601">
        <w:rPr>
          <w:b/>
          <w:bCs/>
          <w:szCs w:val="20"/>
        </w:rPr>
        <w:t xml:space="preserve"> 11 </w:t>
      </w:r>
      <w:r w:rsidRPr="00A53601">
        <w:rPr>
          <w:szCs w:val="20"/>
        </w:rPr>
        <w:t>and</w:t>
      </w:r>
      <w:r w:rsidRPr="00A53601">
        <w:rPr>
          <w:b/>
          <w:bCs/>
          <w:szCs w:val="20"/>
        </w:rPr>
        <w:t xml:space="preserve"> 12</w:t>
      </w:r>
      <w:r w:rsidRPr="00A53601">
        <w:rPr>
          <w:szCs w:val="20"/>
        </w:rPr>
        <w:t xml:space="preserve"> amend the descriptor of item 73297 in the PST which is for characterisation of germline gene variants in genes associated with breast, ovarian, fallopian tube or primary peritoneal cancer, which may include the following genes:</w:t>
      </w:r>
    </w:p>
    <w:p w14:paraId="7A56E678" w14:textId="7BA38C47" w:rsidR="002D3A0D" w:rsidRPr="00A53601" w:rsidRDefault="002D3A0D" w:rsidP="00871230">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BRCA1 or BRCA2, per subparagraph (a)(</w:t>
      </w:r>
      <w:proofErr w:type="spellStart"/>
      <w:r w:rsidRPr="00A53601">
        <w:rPr>
          <w:color w:val="000000"/>
        </w:rPr>
        <w:t>i</w:t>
      </w:r>
      <w:proofErr w:type="spellEnd"/>
      <w:proofErr w:type="gramStart"/>
      <w:r w:rsidRPr="00A53601">
        <w:rPr>
          <w:color w:val="000000"/>
        </w:rPr>
        <w:t>);</w:t>
      </w:r>
      <w:proofErr w:type="gramEnd"/>
    </w:p>
    <w:p w14:paraId="72D48E84" w14:textId="3B44656F" w:rsidR="002D3A0D" w:rsidRPr="00A53601" w:rsidRDefault="002D3A0D" w:rsidP="00871230">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STK11, PTEN, CDH1, PALB2 and TP53, per subparagraph (a)(ii).</w:t>
      </w:r>
    </w:p>
    <w:p w14:paraId="5F6C40C8" w14:textId="77777777" w:rsidR="002D3A0D" w:rsidRPr="00A53601" w:rsidRDefault="002D3A0D" w:rsidP="002D3A0D">
      <w:pPr>
        <w:spacing w:after="0"/>
        <w:rPr>
          <w:szCs w:val="20"/>
        </w:rPr>
      </w:pPr>
    </w:p>
    <w:p w14:paraId="56FE28F9" w14:textId="5284EB72" w:rsidR="002D3A0D" w:rsidRPr="00A53601" w:rsidRDefault="002D3A0D" w:rsidP="002D3A0D">
      <w:pPr>
        <w:spacing w:after="0"/>
        <w:rPr>
          <w:szCs w:val="20"/>
        </w:rPr>
      </w:pPr>
      <w:r w:rsidRPr="00A53601">
        <w:rPr>
          <w:b/>
          <w:bCs/>
          <w:szCs w:val="20"/>
        </w:rPr>
        <w:t>Item 11</w:t>
      </w:r>
      <w:r w:rsidRPr="00A53601">
        <w:rPr>
          <w:szCs w:val="20"/>
        </w:rPr>
        <w:t xml:space="preserve"> amend</w:t>
      </w:r>
      <w:r w:rsidR="009A3E03" w:rsidRPr="00A53601">
        <w:rPr>
          <w:szCs w:val="20"/>
        </w:rPr>
        <w:t>s</w:t>
      </w:r>
      <w:r w:rsidRPr="00A53601">
        <w:rPr>
          <w:szCs w:val="20"/>
        </w:rPr>
        <w:t xml:space="preserve"> the specified genes in subparagraph (a)(ii) to replace the specified genes with “one or more other relevant genes” respectively. </w:t>
      </w:r>
    </w:p>
    <w:p w14:paraId="6F76BD02" w14:textId="77777777" w:rsidR="002D3A0D" w:rsidRPr="00A53601" w:rsidRDefault="002D3A0D" w:rsidP="002D3A0D">
      <w:pPr>
        <w:spacing w:after="0"/>
        <w:rPr>
          <w:szCs w:val="20"/>
        </w:rPr>
      </w:pPr>
    </w:p>
    <w:p w14:paraId="393DECCA" w14:textId="7137F417" w:rsidR="002D3A0D" w:rsidRPr="00A53601" w:rsidRDefault="002D3A0D" w:rsidP="002D3A0D">
      <w:pPr>
        <w:spacing w:after="0"/>
        <w:rPr>
          <w:szCs w:val="20"/>
        </w:rPr>
      </w:pPr>
      <w:r w:rsidRPr="00A53601">
        <w:rPr>
          <w:b/>
          <w:bCs/>
          <w:szCs w:val="20"/>
        </w:rPr>
        <w:t>Item 12</w:t>
      </w:r>
      <w:r w:rsidRPr="00A53601">
        <w:rPr>
          <w:szCs w:val="20"/>
        </w:rPr>
        <w:t xml:space="preserve"> omit</w:t>
      </w:r>
      <w:r w:rsidR="009A3E03" w:rsidRPr="00A53601">
        <w:rPr>
          <w:szCs w:val="20"/>
        </w:rPr>
        <w:t>s</w:t>
      </w:r>
      <w:r w:rsidRPr="00A53601">
        <w:rPr>
          <w:szCs w:val="20"/>
        </w:rPr>
        <w:t xml:space="preserve"> “; or</w:t>
      </w:r>
      <w:proofErr w:type="gramStart"/>
      <w:r w:rsidRPr="00A53601">
        <w:rPr>
          <w:szCs w:val="20"/>
        </w:rPr>
        <w:t>”, and</w:t>
      </w:r>
      <w:proofErr w:type="gramEnd"/>
      <w:r w:rsidRPr="00A53601">
        <w:rPr>
          <w:szCs w:val="20"/>
        </w:rPr>
        <w:t xml:space="preserve"> replace</w:t>
      </w:r>
      <w:r w:rsidR="009A3E03" w:rsidRPr="00A53601">
        <w:rPr>
          <w:szCs w:val="20"/>
        </w:rPr>
        <w:t>s it</w:t>
      </w:r>
      <w:r w:rsidRPr="00A53601">
        <w:rPr>
          <w:szCs w:val="20"/>
        </w:rPr>
        <w:t xml:space="preserve"> with “; and” in subparagraph (b)(</w:t>
      </w:r>
      <w:proofErr w:type="spellStart"/>
      <w:r w:rsidRPr="00A53601">
        <w:rPr>
          <w:szCs w:val="20"/>
        </w:rPr>
        <w:t>i</w:t>
      </w:r>
      <w:proofErr w:type="spellEnd"/>
      <w:r w:rsidRPr="00A53601">
        <w:rPr>
          <w:szCs w:val="20"/>
        </w:rPr>
        <w:t>)) to fix a typographical error and align with the intended clinical intent of the item. This w</w:t>
      </w:r>
      <w:r w:rsidR="00937A39" w:rsidRPr="00A53601">
        <w:rPr>
          <w:szCs w:val="20"/>
        </w:rPr>
        <w:t>ill</w:t>
      </w:r>
      <w:r w:rsidRPr="00A53601">
        <w:rPr>
          <w:szCs w:val="20"/>
        </w:rPr>
        <w:t xml:space="preserve"> make it clear the patient cohort is:</w:t>
      </w:r>
    </w:p>
    <w:p w14:paraId="17B1CCFD" w14:textId="6011D548" w:rsidR="002D3A0D" w:rsidRPr="00A53601" w:rsidRDefault="002D3A0D" w:rsidP="00871230">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 xml:space="preserve">patients who have a biological relative who has had a pathogenic or likely pathogenic gene variant identified in one or more of the genes mentioned in paragraph (a); and </w:t>
      </w:r>
    </w:p>
    <w:p w14:paraId="6E7D9DD9" w14:textId="7B1F3B12" w:rsidR="009564EA" w:rsidRPr="00A53601" w:rsidRDefault="002D3A0D" w:rsidP="00871230">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the patient has not previously had genetic testing under items 73295, 73296 or 73302.</w:t>
      </w:r>
    </w:p>
    <w:p w14:paraId="418B32CD" w14:textId="40308F62" w:rsidR="003D2DD3" w:rsidRPr="00A53601" w:rsidRDefault="003D2DD3" w:rsidP="0025094B">
      <w:pPr>
        <w:spacing w:after="0"/>
        <w:rPr>
          <w:szCs w:val="20"/>
        </w:rPr>
      </w:pPr>
    </w:p>
    <w:p w14:paraId="0B9E743C" w14:textId="521E018B" w:rsidR="002D3A0D" w:rsidRPr="00A53601" w:rsidRDefault="00CD6DA2" w:rsidP="0025094B">
      <w:pPr>
        <w:spacing w:after="0"/>
        <w:rPr>
          <w:b/>
          <w:bCs/>
          <w:szCs w:val="20"/>
        </w:rPr>
      </w:pPr>
      <w:r w:rsidRPr="00A53601">
        <w:rPr>
          <w:b/>
          <w:bCs/>
          <w:i/>
          <w:iCs/>
          <w:color w:val="000000"/>
        </w:rPr>
        <w:t>Health Insurance Regulations 2018</w:t>
      </w:r>
    </w:p>
    <w:bookmarkEnd w:id="1"/>
    <w:bookmarkEnd w:id="2"/>
    <w:p w14:paraId="5833145B" w14:textId="77777777" w:rsidR="00CD6DA2" w:rsidRPr="00A53601" w:rsidRDefault="00CD6DA2" w:rsidP="005A2B67">
      <w:pPr>
        <w:spacing w:after="0" w:line="240" w:lineRule="auto"/>
        <w:rPr>
          <w:bCs/>
          <w:lang w:eastAsia="en-AU"/>
        </w:rPr>
      </w:pPr>
    </w:p>
    <w:p w14:paraId="42621C7B" w14:textId="0A3FD1BD" w:rsidR="00CD6DA2" w:rsidRPr="00A53601" w:rsidRDefault="00CD6DA2" w:rsidP="00CD6DA2">
      <w:pPr>
        <w:spacing w:after="0" w:line="240" w:lineRule="auto"/>
        <w:rPr>
          <w:bCs/>
          <w:lang w:eastAsia="en-AU"/>
        </w:rPr>
      </w:pPr>
      <w:r w:rsidRPr="00A53601">
        <w:rPr>
          <w:b/>
          <w:lang w:eastAsia="en-AU"/>
        </w:rPr>
        <w:t>Item 13</w:t>
      </w:r>
      <w:r w:rsidRPr="00A53601">
        <w:rPr>
          <w:bCs/>
          <w:lang w:eastAsia="en-AU"/>
        </w:rPr>
        <w:t xml:space="preserve"> amend</w:t>
      </w:r>
      <w:r w:rsidR="009D504D" w:rsidRPr="00A53601">
        <w:rPr>
          <w:bCs/>
          <w:lang w:eastAsia="en-AU"/>
        </w:rPr>
        <w:t>s</w:t>
      </w:r>
      <w:r w:rsidRPr="00A53601">
        <w:rPr>
          <w:bCs/>
          <w:lang w:eastAsia="en-AU"/>
        </w:rPr>
        <w:t xml:space="preserve"> section 31 of the HIR to omit “73828” (wherever occurring) and substitute “73825”. This change clarif</w:t>
      </w:r>
      <w:r w:rsidR="00B54FA3" w:rsidRPr="00A53601">
        <w:rPr>
          <w:bCs/>
          <w:lang w:eastAsia="en-AU"/>
        </w:rPr>
        <w:t>ies</w:t>
      </w:r>
      <w:r w:rsidRPr="00A53601">
        <w:rPr>
          <w:bCs/>
          <w:lang w:eastAsia="en-AU"/>
        </w:rPr>
        <w:t xml:space="preserve"> that participating nurse practitioners must consider the clinical necessity for all simple basic pathology services in P9 which they can render.</w:t>
      </w:r>
    </w:p>
    <w:p w14:paraId="48EB7353" w14:textId="77777777" w:rsidR="00CD6DA2" w:rsidRPr="00A53601" w:rsidRDefault="00CD6DA2" w:rsidP="00CD6DA2">
      <w:pPr>
        <w:spacing w:after="0" w:line="240" w:lineRule="auto"/>
        <w:rPr>
          <w:bCs/>
          <w:lang w:eastAsia="en-AU"/>
        </w:rPr>
      </w:pPr>
    </w:p>
    <w:p w14:paraId="4C579C77" w14:textId="181E96E3" w:rsidR="00553CD0" w:rsidRPr="00A53601" w:rsidRDefault="00CD6DA2" w:rsidP="00CD6DA2">
      <w:pPr>
        <w:spacing w:after="0" w:line="240" w:lineRule="auto"/>
        <w:rPr>
          <w:b/>
          <w:lang w:eastAsia="en-AU"/>
        </w:rPr>
      </w:pPr>
      <w:r w:rsidRPr="00A53601">
        <w:rPr>
          <w:b/>
          <w:lang w:eastAsia="en-AU"/>
        </w:rPr>
        <w:t>Item 14</w:t>
      </w:r>
      <w:r w:rsidR="00AB4E82" w:rsidRPr="00A53601">
        <w:rPr>
          <w:b/>
          <w:lang w:eastAsia="en-AU"/>
        </w:rPr>
        <w:t xml:space="preserve"> </w:t>
      </w:r>
      <w:r w:rsidRPr="00A53601">
        <w:rPr>
          <w:bCs/>
          <w:lang w:eastAsia="en-AU"/>
        </w:rPr>
        <w:t>amend</w:t>
      </w:r>
      <w:r w:rsidR="00AB4E82" w:rsidRPr="00A53601">
        <w:rPr>
          <w:bCs/>
          <w:lang w:eastAsia="en-AU"/>
        </w:rPr>
        <w:t>s</w:t>
      </w:r>
      <w:r w:rsidRPr="00A53601">
        <w:rPr>
          <w:bCs/>
          <w:lang w:eastAsia="en-AU"/>
        </w:rPr>
        <w:t xml:space="preserve"> section 44 of the HIR to add item “58903” to enable participating nurse practitioners </w:t>
      </w:r>
      <w:r w:rsidR="00B318F1" w:rsidRPr="00A53601">
        <w:rPr>
          <w:bCs/>
          <w:lang w:eastAsia="en-AU"/>
        </w:rPr>
        <w:t xml:space="preserve">to request </w:t>
      </w:r>
      <w:r w:rsidRPr="00A53601">
        <w:rPr>
          <w:bCs/>
          <w:lang w:eastAsia="en-AU"/>
        </w:rPr>
        <w:t>an x-ray for suspected acute abdomen or bowel obstruction.</w:t>
      </w:r>
      <w:r w:rsidR="00553CD0" w:rsidRPr="00A53601">
        <w:rPr>
          <w:b/>
          <w:lang w:eastAsia="en-AU"/>
        </w:rPr>
        <w:br w:type="page"/>
      </w:r>
    </w:p>
    <w:p w14:paraId="206E7063" w14:textId="4546E8A3" w:rsidR="00EC742E" w:rsidRPr="00A53601" w:rsidRDefault="00EC742E" w:rsidP="00EC742E">
      <w:pPr>
        <w:spacing w:before="120" w:after="120"/>
        <w:jc w:val="center"/>
        <w:rPr>
          <w:b/>
          <w:lang w:eastAsia="en-AU"/>
        </w:rPr>
      </w:pPr>
      <w:r w:rsidRPr="00A53601">
        <w:rPr>
          <w:b/>
          <w:lang w:eastAsia="en-AU"/>
        </w:rPr>
        <w:lastRenderedPageBreak/>
        <w:t>Statement of Compatibility with Human Rights</w:t>
      </w:r>
    </w:p>
    <w:p w14:paraId="47DA3B8A" w14:textId="77777777" w:rsidR="00EC742E" w:rsidRPr="00A53601" w:rsidRDefault="00EC742E" w:rsidP="00EC742E">
      <w:pPr>
        <w:spacing w:before="120" w:after="120"/>
        <w:jc w:val="center"/>
        <w:rPr>
          <w:lang w:eastAsia="en-AU"/>
        </w:rPr>
      </w:pPr>
      <w:r w:rsidRPr="00A53601">
        <w:rPr>
          <w:i/>
          <w:lang w:eastAsia="en-AU"/>
        </w:rPr>
        <w:t>Prepared in accordance with Part 3 of the Human Rights (Parliamentary Scrutiny) Act 2011</w:t>
      </w:r>
    </w:p>
    <w:p w14:paraId="3ADD6F5E" w14:textId="7559ABAE" w:rsidR="00FF1498" w:rsidRPr="00A53601" w:rsidRDefault="00FF1498" w:rsidP="00FF1498">
      <w:pPr>
        <w:tabs>
          <w:tab w:val="left" w:pos="1418"/>
        </w:tabs>
        <w:ind w:left="851"/>
        <w:jc w:val="center"/>
        <w:rPr>
          <w:i/>
        </w:rPr>
      </w:pPr>
      <w:r w:rsidRPr="00A53601">
        <w:rPr>
          <w:b/>
          <w:bCs/>
          <w:i/>
        </w:rPr>
        <w:t>Health Insurance Legislation Amendment (Hospital</w:t>
      </w:r>
      <w:r w:rsidR="00031619" w:rsidRPr="00A53601">
        <w:rPr>
          <w:b/>
          <w:bCs/>
          <w:i/>
        </w:rPr>
        <w:t>-</w:t>
      </w:r>
      <w:r w:rsidRPr="00A53601">
        <w:rPr>
          <w:b/>
          <w:bCs/>
          <w:i/>
        </w:rPr>
        <w:t>Only Services and Other Measures) Regulations 2025</w:t>
      </w:r>
    </w:p>
    <w:p w14:paraId="3ACC687C" w14:textId="77777777" w:rsidR="00EC742E" w:rsidRPr="00A53601" w:rsidRDefault="00EC742E" w:rsidP="00FD30C1">
      <w:pPr>
        <w:spacing w:before="120" w:after="120"/>
        <w:rPr>
          <w:lang w:eastAsia="en-AU"/>
        </w:rPr>
      </w:pPr>
      <w:r w:rsidRPr="00A53601">
        <w:rPr>
          <w:lang w:eastAsia="en-AU"/>
        </w:rPr>
        <w:t xml:space="preserve">This Regulation is compatible with the human rights and freedoms recognised or declared in the international instruments listed in section 3 of the </w:t>
      </w:r>
      <w:r w:rsidRPr="00A53601">
        <w:rPr>
          <w:i/>
          <w:lang w:eastAsia="en-AU"/>
        </w:rPr>
        <w:t>Human Rights (Parliamentary Scrutiny) Act 2011</w:t>
      </w:r>
      <w:r w:rsidRPr="00A53601">
        <w:rPr>
          <w:lang w:eastAsia="en-AU"/>
        </w:rPr>
        <w:t>.</w:t>
      </w:r>
    </w:p>
    <w:p w14:paraId="4ED13948" w14:textId="77777777" w:rsidR="00EC742E" w:rsidRPr="00A53601" w:rsidRDefault="00EC742E" w:rsidP="00975590">
      <w:pPr>
        <w:spacing w:before="120" w:after="120"/>
        <w:ind w:right="-483"/>
        <w:rPr>
          <w:b/>
          <w:lang w:eastAsia="en-AU"/>
        </w:rPr>
      </w:pPr>
      <w:r w:rsidRPr="00A53601">
        <w:rPr>
          <w:b/>
          <w:lang w:eastAsia="en-AU"/>
        </w:rPr>
        <w:t>Overview of the Disallowable Legislative Instrument</w:t>
      </w:r>
    </w:p>
    <w:p w14:paraId="56775AFE" w14:textId="17696420" w:rsidR="001454D5" w:rsidRPr="00A53601" w:rsidRDefault="001454D5" w:rsidP="00FD30C1">
      <w:pPr>
        <w:shd w:val="clear" w:color="auto" w:fill="FFFFFF"/>
        <w:spacing w:before="120" w:after="120" w:line="240" w:lineRule="auto"/>
        <w:rPr>
          <w:rFonts w:eastAsia="Times New Roman"/>
          <w:color w:val="000000"/>
          <w:lang w:eastAsia="en-AU"/>
        </w:rPr>
      </w:pPr>
      <w:r w:rsidRPr="00A53601">
        <w:rPr>
          <w:rFonts w:eastAsia="Times New Roman"/>
          <w:color w:val="000000"/>
          <w:lang w:eastAsia="en-AU"/>
        </w:rPr>
        <w:t>The </w:t>
      </w:r>
      <w:r w:rsidRPr="00A53601">
        <w:rPr>
          <w:rFonts w:eastAsia="Times New Roman"/>
          <w:i/>
          <w:iCs/>
          <w:color w:val="000000"/>
          <w:lang w:eastAsia="en-AU"/>
        </w:rPr>
        <w:t>Health Insurance Act 1973 </w:t>
      </w:r>
      <w:r w:rsidRPr="00A53601">
        <w:rPr>
          <w:rFonts w:eastAsia="Times New Roman"/>
          <w:color w:val="000000"/>
          <w:lang w:eastAsia="en-AU"/>
        </w:rPr>
        <w:t>(the Act) sets out the principles and definitions governing the Medicare Benefits Schedule (MBS). The Act provides for payments by way of medical benefits and for other purposes.</w:t>
      </w:r>
    </w:p>
    <w:p w14:paraId="31546324" w14:textId="09E3985C" w:rsidR="001454D5" w:rsidRPr="00A53601" w:rsidRDefault="001454D5" w:rsidP="00FD30C1">
      <w:pPr>
        <w:shd w:val="clear" w:color="auto" w:fill="FFFFFF"/>
        <w:spacing w:before="120" w:after="120" w:line="240" w:lineRule="auto"/>
        <w:ind w:right="-483"/>
        <w:rPr>
          <w:rFonts w:eastAsia="Times New Roman"/>
          <w:color w:val="000000"/>
          <w:lang w:eastAsia="en-AU"/>
        </w:rPr>
      </w:pPr>
      <w:r w:rsidRPr="00A53601">
        <w:rPr>
          <w:rFonts w:eastAsia="Times New Roman"/>
          <w:color w:val="000000"/>
          <w:lang w:eastAsia="en-AU"/>
        </w:rPr>
        <w:t>Subsection 133(1) of the Act provides that the Governor</w:t>
      </w:r>
      <w:r w:rsidRPr="00A53601">
        <w:rPr>
          <w:rFonts w:eastAsia="Times New Roman"/>
          <w:color w:val="000000"/>
          <w:lang w:eastAsia="en-AU"/>
        </w:rPr>
        <w:noBreakHyphen/>
        <w:t>General may make regulations, not inconsistent with the Act, prescribing all matters required or permitted by the Act to be prescribed, or necessary or convenient to be prescribed for carrying out or giving effect to the Act.</w:t>
      </w:r>
    </w:p>
    <w:p w14:paraId="368FFDBE" w14:textId="624F1ED2" w:rsidR="00D53D19" w:rsidRPr="00A53601" w:rsidRDefault="001454D5" w:rsidP="00FD30C1">
      <w:pPr>
        <w:shd w:val="clear" w:color="auto" w:fill="FFFFFF"/>
        <w:spacing w:before="120" w:after="120" w:line="240" w:lineRule="auto"/>
        <w:ind w:right="-483"/>
        <w:rPr>
          <w:rFonts w:eastAsia="Times New Roman"/>
          <w:color w:val="000000"/>
          <w:lang w:eastAsia="en-AU"/>
        </w:rPr>
      </w:pPr>
      <w:r w:rsidRPr="00A53601">
        <w:rPr>
          <w:rFonts w:eastAsia="Times New Roman"/>
          <w:color w:val="000000"/>
          <w:lang w:eastAsia="en-AU"/>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4A1B6D66" w14:textId="12EC02B1" w:rsidR="00D53D19" w:rsidRPr="00A53601" w:rsidRDefault="00D53D19" w:rsidP="00FD30C1">
      <w:pPr>
        <w:shd w:val="clear" w:color="auto" w:fill="FFFFFF"/>
        <w:spacing w:before="120" w:after="120" w:line="240" w:lineRule="auto"/>
        <w:rPr>
          <w:rFonts w:eastAsia="Times New Roman"/>
          <w:color w:val="000000"/>
          <w:lang w:eastAsia="en-AU"/>
        </w:rPr>
      </w:pPr>
      <w:r w:rsidRPr="00A53601">
        <w:rPr>
          <w:rFonts w:eastAsia="Times New Roman"/>
          <w:color w:val="000000"/>
          <w:lang w:eastAsia="en-AU"/>
        </w:rPr>
        <w:t>Subsection 4(1) of the Act provides that regulations may prescribe a table of general medical services which sets out items of general medical services, the fees applicable for each item, and rules for interpreting the table. The table made under this subsection is referred to as the General Medical Services Table. The most recent version of the regulations is the </w:t>
      </w:r>
      <w:r w:rsidRPr="00A53601">
        <w:rPr>
          <w:rFonts w:eastAsia="Times New Roman"/>
          <w:i/>
          <w:iCs/>
          <w:color w:val="000000"/>
          <w:lang w:eastAsia="en-AU"/>
        </w:rPr>
        <w:t>Health Insurance (General Medical Services Table) Regulations 2021</w:t>
      </w:r>
      <w:r w:rsidRPr="00A53601">
        <w:rPr>
          <w:rFonts w:eastAsia="Times New Roman"/>
          <w:color w:val="000000"/>
          <w:lang w:eastAsia="en-AU"/>
        </w:rPr>
        <w:t> (GMST)</w:t>
      </w:r>
      <w:r w:rsidRPr="00A53601">
        <w:rPr>
          <w:rFonts w:eastAsia="Times New Roman"/>
          <w:i/>
          <w:iCs/>
          <w:color w:val="000000"/>
          <w:lang w:eastAsia="en-AU"/>
        </w:rPr>
        <w:t>.</w:t>
      </w:r>
    </w:p>
    <w:p w14:paraId="09D09BE5" w14:textId="12FAE77E" w:rsidR="001454D5" w:rsidRPr="00A53601" w:rsidRDefault="00D53D19" w:rsidP="00FD30C1">
      <w:pPr>
        <w:shd w:val="clear" w:color="auto" w:fill="FFFFFF"/>
        <w:spacing w:before="120" w:after="120" w:line="240" w:lineRule="auto"/>
        <w:rPr>
          <w:rFonts w:eastAsia="Times New Roman"/>
          <w:color w:val="000000"/>
          <w:lang w:eastAsia="en-AU"/>
        </w:rPr>
      </w:pPr>
      <w:r w:rsidRPr="00A53601">
        <w:rPr>
          <w:color w:val="000000"/>
        </w:rPr>
        <w:t>Section 4A of the Act provides that regulations may prescribe a table of pathology services which set out items of pathology services, the fees applicable for each item, and rules for interpreting the table. The table made under this section is referred to as the Pathology Services Table. The most recent version of the regulations is the </w:t>
      </w:r>
      <w:r w:rsidRPr="00A53601">
        <w:rPr>
          <w:i/>
          <w:iCs/>
          <w:color w:val="000000"/>
        </w:rPr>
        <w:t>Health Insurance (Pathology Services Table) Regulations 2020</w:t>
      </w:r>
      <w:r w:rsidRPr="00A53601">
        <w:rPr>
          <w:color w:val="000000"/>
        </w:rPr>
        <w:t> (PST).</w:t>
      </w:r>
    </w:p>
    <w:p w14:paraId="4B30679F" w14:textId="38D2E934" w:rsidR="00BE2E50" w:rsidRPr="00A53601" w:rsidRDefault="00BE2E50" w:rsidP="00FD30C1">
      <w:pPr>
        <w:shd w:val="clear" w:color="auto" w:fill="FFFFFF"/>
        <w:spacing w:before="120" w:after="120" w:line="240" w:lineRule="auto"/>
        <w:rPr>
          <w:rFonts w:eastAsia="Times New Roman"/>
          <w:color w:val="000000"/>
          <w:lang w:eastAsia="en-AU"/>
        </w:rPr>
      </w:pPr>
      <w:r w:rsidRPr="00A53601">
        <w:rPr>
          <w:color w:val="000000"/>
        </w:rPr>
        <w:t>Section 4AA of the Act provides that regulations may prescribe a table of diagnostic imaging services which sets out items of diagnostic imaging services, the fees applicable for each item, and rules for interpreting the table. The table made under this section is referred to as the Diagnostic Imaging Services Table.  The most recent version of the regulations is the </w:t>
      </w:r>
      <w:r w:rsidRPr="00A53601">
        <w:rPr>
          <w:i/>
          <w:iCs/>
          <w:color w:val="000000"/>
        </w:rPr>
        <w:t>Health Insurance (Diagnostic Imaging Services Table) Regulations (No. 2) 2020</w:t>
      </w:r>
      <w:r w:rsidRPr="00A53601">
        <w:rPr>
          <w:color w:val="000000"/>
        </w:rPr>
        <w:t> (DIST)</w:t>
      </w:r>
      <w:r w:rsidRPr="00A53601">
        <w:rPr>
          <w:i/>
          <w:iCs/>
          <w:color w:val="000000"/>
        </w:rPr>
        <w:t>.</w:t>
      </w:r>
    </w:p>
    <w:p w14:paraId="551AA6E1" w14:textId="77777777" w:rsidR="001454D5" w:rsidRPr="00A53601" w:rsidRDefault="001454D5" w:rsidP="00FD30C1">
      <w:pPr>
        <w:shd w:val="clear" w:color="auto" w:fill="FFFFFF"/>
        <w:spacing w:before="120" w:after="120" w:line="240" w:lineRule="auto"/>
        <w:rPr>
          <w:rFonts w:eastAsia="Times New Roman"/>
          <w:color w:val="000000"/>
          <w:lang w:eastAsia="en-AU"/>
        </w:rPr>
      </w:pPr>
      <w:r w:rsidRPr="00A53601">
        <w:rPr>
          <w:rFonts w:eastAsia="Times New Roman"/>
          <w:b/>
          <w:bCs/>
          <w:color w:val="000000"/>
          <w:lang w:eastAsia="en-AU"/>
        </w:rPr>
        <w:t>Purpose</w:t>
      </w:r>
    </w:p>
    <w:p w14:paraId="0DDDBBCB" w14:textId="77777777" w:rsidR="006A5AC1" w:rsidRPr="00A53601" w:rsidRDefault="006A5AC1" w:rsidP="006A5AC1">
      <w:pPr>
        <w:shd w:val="clear" w:color="auto" w:fill="FFFFFF"/>
        <w:spacing w:after="0" w:line="240" w:lineRule="auto"/>
        <w:rPr>
          <w:color w:val="000000"/>
        </w:rPr>
      </w:pPr>
      <w:r w:rsidRPr="00A53601">
        <w:rPr>
          <w:color w:val="000000"/>
        </w:rPr>
        <w:t xml:space="preserve">The purpose of the </w:t>
      </w:r>
      <w:r w:rsidRPr="00A53601">
        <w:rPr>
          <w:i/>
          <w:iCs/>
          <w:color w:val="000000"/>
        </w:rPr>
        <w:t>Health Insurance Legislation Amendment (Hospital</w:t>
      </w:r>
      <w:r w:rsidRPr="00A53601">
        <w:rPr>
          <w:i/>
          <w:iCs/>
          <w:color w:val="000000"/>
        </w:rPr>
        <w:noBreakHyphen/>
        <w:t>Only Services and Other Measures) Regulations 2025</w:t>
      </w:r>
      <w:r w:rsidRPr="00A53601">
        <w:rPr>
          <w:color w:val="000000"/>
        </w:rPr>
        <w:t xml:space="preserve"> (the Regulations) is to amend more than 800 MBS items to limit the services to being performed or provided in a hospital. This will align the MBS to contemporary clinical practice and ensure services are only rendered in the appropriate clinical location. This change was announced in the 2024-25 Budget under the </w:t>
      </w:r>
      <w:r w:rsidRPr="00A53601">
        <w:rPr>
          <w:i/>
          <w:iCs/>
          <w:color w:val="000000"/>
        </w:rPr>
        <w:t>Strengthening Medicare – an effective and clinically appropriate Medicare Benefits Schedule (MBS)</w:t>
      </w:r>
      <w:r w:rsidRPr="00A53601">
        <w:rPr>
          <w:color w:val="000000"/>
        </w:rPr>
        <w:t xml:space="preserve"> measure and as part of the 2024-25 MYEFO under the </w:t>
      </w:r>
      <w:r w:rsidRPr="00A53601">
        <w:rPr>
          <w:i/>
          <w:iCs/>
          <w:color w:val="000000"/>
        </w:rPr>
        <w:t xml:space="preserve">An Effective and Clinically Appropriate Medicare Benefits Schedule </w:t>
      </w:r>
      <w:r w:rsidRPr="00A53601">
        <w:rPr>
          <w:color w:val="000000"/>
        </w:rPr>
        <w:t xml:space="preserve">measure. </w:t>
      </w:r>
    </w:p>
    <w:p w14:paraId="0E7A1B90" w14:textId="77777777" w:rsidR="006A5AC1" w:rsidRPr="00A53601" w:rsidRDefault="006A5AC1" w:rsidP="006A5AC1">
      <w:pPr>
        <w:shd w:val="clear" w:color="auto" w:fill="FFFFFF"/>
        <w:spacing w:after="0" w:line="240" w:lineRule="auto"/>
        <w:rPr>
          <w:color w:val="000000"/>
        </w:rPr>
      </w:pPr>
    </w:p>
    <w:p w14:paraId="7D8026DB" w14:textId="77777777" w:rsidR="006A5AC1" w:rsidRPr="00A53601" w:rsidRDefault="006A5AC1" w:rsidP="006A5AC1">
      <w:pPr>
        <w:shd w:val="clear" w:color="auto" w:fill="FFFFFF"/>
        <w:spacing w:after="0" w:line="240" w:lineRule="auto"/>
        <w:rPr>
          <w:color w:val="000000"/>
        </w:rPr>
      </w:pPr>
      <w:r w:rsidRPr="00A53601">
        <w:rPr>
          <w:color w:val="000000"/>
        </w:rPr>
        <w:t xml:space="preserve">The Regulations will also implement recommendations of the Medical Services Advisory Committee (MSAC). Policy authority for these changes was given by the Minister of Health </w:t>
      </w:r>
      <w:r w:rsidRPr="00A53601">
        <w:rPr>
          <w:color w:val="000000"/>
        </w:rPr>
        <w:lastRenderedPageBreak/>
        <w:t>and Aged Care who has delegated authority from Expenditure Review Committee to approve new and amended MBS services following a positive recommendation from MSAC if under the $20 million annual threshold. Changes include:</w:t>
      </w:r>
    </w:p>
    <w:p w14:paraId="385FA951" w14:textId="77777777" w:rsidR="006A5AC1" w:rsidRPr="00A53601" w:rsidRDefault="006A5AC1" w:rsidP="006A5AC1">
      <w:pPr>
        <w:pStyle w:val="ListParagraph"/>
        <w:numPr>
          <w:ilvl w:val="0"/>
          <w:numId w:val="74"/>
        </w:numPr>
        <w:shd w:val="clear" w:color="auto" w:fill="FFFFFF"/>
        <w:spacing w:before="0" w:beforeAutospacing="0" w:after="0"/>
        <w:rPr>
          <w:color w:val="000000"/>
        </w:rPr>
      </w:pPr>
      <w:r w:rsidRPr="00A53601">
        <w:rPr>
          <w:color w:val="000000"/>
        </w:rPr>
        <w:t>Listing two new items (38376 for percutaneous technique, 38616 for surgical technique) for the insertion of an intravascular microaxial ventricular assist device into the left ventricle only, by arteriotomy. This change was recommended by MSAC to support a small and high-risk population of patients who are experiencing deteriorating cardiogenic shock who have not been stabilised despite pharmacotherapy or as an adjunct to Veno-Arterial Extra-corporeal Oxygenation. A new item will also be listed for the surgical removal of the device (38619) and two items will be amended (13851 and 13854) to clarify the services exclude intravascular microaxial ventricular assist device inserted into the right ventricle and must be performed or provided in a hospital.</w:t>
      </w:r>
    </w:p>
    <w:p w14:paraId="48EF4D23" w14:textId="77777777" w:rsidR="006A5AC1" w:rsidRPr="00A53601" w:rsidRDefault="006A5AC1" w:rsidP="006A5AC1">
      <w:pPr>
        <w:pStyle w:val="ListParagraph"/>
        <w:numPr>
          <w:ilvl w:val="0"/>
          <w:numId w:val="74"/>
        </w:numPr>
        <w:shd w:val="clear" w:color="auto" w:fill="FFFFFF"/>
        <w:spacing w:before="0" w:beforeAutospacing="0" w:after="0"/>
        <w:rPr>
          <w:color w:val="000000"/>
        </w:rPr>
      </w:pPr>
      <w:r w:rsidRPr="00A53601">
        <w:rPr>
          <w:color w:val="000000"/>
        </w:rPr>
        <w:t>Listing a new item (22032) for perioperative continuous nerve blockade using catheter technique. This change was recommended by MSAC for the management of moderate to severe post-operative pain, acknowledging that it will provide a small but clinically important improvement in pain relief compared to current options (such as single nerve block or systemic opioids).</w:t>
      </w:r>
    </w:p>
    <w:p w14:paraId="1F6F00D9" w14:textId="77777777" w:rsidR="006A5AC1" w:rsidRPr="00A53601" w:rsidRDefault="006A5AC1" w:rsidP="006A5AC1">
      <w:pPr>
        <w:pStyle w:val="ListParagraph"/>
        <w:numPr>
          <w:ilvl w:val="0"/>
          <w:numId w:val="74"/>
        </w:numPr>
        <w:shd w:val="clear" w:color="auto" w:fill="FFFFFF"/>
        <w:spacing w:before="0" w:beforeAutospacing="0" w:after="0"/>
        <w:rPr>
          <w:color w:val="000000"/>
        </w:rPr>
      </w:pPr>
      <w:r w:rsidRPr="00A53601">
        <w:rPr>
          <w:color w:val="000000"/>
        </w:rPr>
        <w:t xml:space="preserve">Amending genetic testing items 73296 and 73297 for patients at greater risk of BRCA-related ovarian, fallopian tube, primary peritoneal, or breast cancer due to family history, to remove references to specific genes and instead refer to ‘one or more other relevant </w:t>
      </w:r>
      <w:proofErr w:type="gramStart"/>
      <w:r w:rsidRPr="00A53601">
        <w:rPr>
          <w:color w:val="000000"/>
        </w:rPr>
        <w:t>genes’</w:t>
      </w:r>
      <w:proofErr w:type="gramEnd"/>
      <w:r w:rsidRPr="00A53601">
        <w:rPr>
          <w:color w:val="000000"/>
        </w:rPr>
        <w:t>. This change was recommended by MSAC to future proof both items from further gene list changes, to avoid unnecessary treatment delay for patients, and to allow clinicians to choose the most appropriate genes to test.</w:t>
      </w:r>
    </w:p>
    <w:p w14:paraId="0080431A" w14:textId="77777777" w:rsidR="006A5AC1" w:rsidRPr="00A53601" w:rsidRDefault="006A5AC1" w:rsidP="006A5AC1">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 xml:space="preserve">Allowing nurse practitioner to request plain abdominal x-ray diagnostic imaging services (item 58903). These changes align with the intent of MSAC executive support for expanding nurse practitioner requesting rights. </w:t>
      </w:r>
    </w:p>
    <w:p w14:paraId="539AEDBF" w14:textId="77777777" w:rsidR="006A5AC1" w:rsidRPr="00A53601" w:rsidRDefault="006A5AC1" w:rsidP="006A5AC1">
      <w:pPr>
        <w:shd w:val="clear" w:color="auto" w:fill="FFFFFF"/>
        <w:spacing w:after="0" w:line="240" w:lineRule="auto"/>
        <w:rPr>
          <w:color w:val="000000"/>
        </w:rPr>
      </w:pPr>
    </w:p>
    <w:p w14:paraId="799FA628" w14:textId="77777777" w:rsidR="006A5AC1" w:rsidRPr="00A53601" w:rsidRDefault="006A5AC1" w:rsidP="006A5AC1">
      <w:pPr>
        <w:shd w:val="clear" w:color="auto" w:fill="FFFFFF"/>
        <w:spacing w:after="0" w:line="240" w:lineRule="auto"/>
        <w:rPr>
          <w:color w:val="000000"/>
        </w:rPr>
      </w:pPr>
      <w:r w:rsidRPr="00A53601">
        <w:rPr>
          <w:color w:val="000000"/>
        </w:rPr>
        <w:t>The Regulations will also implement minor and machinery changes, including:</w:t>
      </w:r>
    </w:p>
    <w:p w14:paraId="7CB635CD" w14:textId="77777777" w:rsidR="006A5AC1" w:rsidRPr="00A53601" w:rsidRDefault="006A5AC1" w:rsidP="006A5AC1">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Incorporating items 69421 and 69422, which are currently made under a legislative instrument made under section 3C of the Act, into the PST.</w:t>
      </w:r>
    </w:p>
    <w:p w14:paraId="753B019D" w14:textId="77777777" w:rsidR="006A5AC1" w:rsidRPr="00A53601" w:rsidRDefault="006A5AC1" w:rsidP="006A5AC1">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Making an editorial change to item 73297 to clarify the eligible patient cohort and the policy intent of the item.</w:t>
      </w:r>
    </w:p>
    <w:p w14:paraId="73B9E5E2" w14:textId="77777777" w:rsidR="006A5AC1" w:rsidRPr="00A53601" w:rsidRDefault="006A5AC1" w:rsidP="006A5AC1">
      <w:pPr>
        <w:pStyle w:val="ListParagraph"/>
        <w:numPr>
          <w:ilvl w:val="0"/>
          <w:numId w:val="74"/>
        </w:numPr>
        <w:shd w:val="clear" w:color="auto" w:fill="FFFFFF"/>
        <w:spacing w:before="0" w:beforeAutospacing="0" w:after="0" w:afterAutospacing="0"/>
        <w:ind w:left="714" w:hanging="357"/>
        <w:rPr>
          <w:color w:val="000000"/>
        </w:rPr>
      </w:pPr>
      <w:r w:rsidRPr="00A53601">
        <w:rPr>
          <w:color w:val="000000"/>
        </w:rPr>
        <w:t xml:space="preserve">Amending section 31 of the HIR to clarify that all simple basic pathology services in P9 which can be rendered by participating nurse practitioners are conditional on the practitioner considering the clinical necessity of the test. </w:t>
      </w:r>
    </w:p>
    <w:p w14:paraId="17CEF7C0" w14:textId="46FFD6F5" w:rsidR="00EC742E" w:rsidRPr="00A53601" w:rsidRDefault="00EC742E" w:rsidP="00EC742E">
      <w:pPr>
        <w:spacing w:before="120" w:after="120"/>
        <w:rPr>
          <w:b/>
          <w:lang w:eastAsia="en-AU"/>
        </w:rPr>
      </w:pPr>
      <w:r w:rsidRPr="00A53601">
        <w:rPr>
          <w:b/>
          <w:lang w:eastAsia="en-AU"/>
        </w:rPr>
        <w:t>Human rights implications</w:t>
      </w:r>
    </w:p>
    <w:p w14:paraId="7A0348D4" w14:textId="77777777" w:rsidR="00EC742E" w:rsidRPr="00A53601" w:rsidRDefault="00EC742E" w:rsidP="00EC742E">
      <w:pPr>
        <w:spacing w:before="120" w:after="120"/>
        <w:rPr>
          <w:lang w:eastAsia="en-AU"/>
        </w:rPr>
      </w:pPr>
      <w:r w:rsidRPr="00A53601">
        <w:rPr>
          <w:lang w:eastAsia="en-AU"/>
        </w:rPr>
        <w:t xml:space="preserve">The Regulations engage Articles 9 and 12 of the International Covenant on Economic Social and Cultural Rights (ICESCR), specifically the rights to health and social security. </w:t>
      </w:r>
    </w:p>
    <w:p w14:paraId="6B0DE32D" w14:textId="77777777" w:rsidR="00EC742E" w:rsidRPr="00A53601" w:rsidRDefault="00EC742E" w:rsidP="00EC742E">
      <w:pPr>
        <w:spacing w:before="120" w:after="120"/>
        <w:rPr>
          <w:i/>
          <w:lang w:eastAsia="en-AU"/>
        </w:rPr>
      </w:pPr>
      <w:r w:rsidRPr="00A53601">
        <w:rPr>
          <w:i/>
          <w:lang w:eastAsia="en-AU"/>
        </w:rPr>
        <w:t>The Right to Health</w:t>
      </w:r>
    </w:p>
    <w:p w14:paraId="0ED1206C" w14:textId="77777777" w:rsidR="00EC742E" w:rsidRPr="00A53601" w:rsidRDefault="00EC742E" w:rsidP="00EC742E">
      <w:pPr>
        <w:spacing w:before="120" w:after="120"/>
        <w:rPr>
          <w:lang w:eastAsia="en-AU"/>
        </w:rPr>
      </w:pPr>
      <w:r w:rsidRPr="00A53601">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A53601">
        <w:rPr>
          <w:lang w:eastAsia="en-AU"/>
        </w:rPr>
        <w:t>healthy, but</w:t>
      </w:r>
      <w:proofErr w:type="gramEnd"/>
      <w:r w:rsidRPr="00A53601">
        <w:rPr>
          <w:lang w:eastAsia="en-AU"/>
        </w:rPr>
        <w:t xml:space="preserve"> is a right to a system of health protection which provides equality of opportunity for people to enjoy the highest attainable level of health. </w:t>
      </w:r>
    </w:p>
    <w:p w14:paraId="07D59871" w14:textId="77777777" w:rsidR="00EC742E" w:rsidRPr="00A53601" w:rsidRDefault="00EC742E" w:rsidP="00EC742E">
      <w:pPr>
        <w:spacing w:before="120" w:after="120"/>
        <w:rPr>
          <w:lang w:eastAsia="en-AU"/>
        </w:rPr>
      </w:pPr>
      <w:r w:rsidRPr="00A53601">
        <w:rPr>
          <w:lang w:eastAsia="en-AU"/>
        </w:rPr>
        <w:t xml:space="preserve">The Committee reports that the </w:t>
      </w:r>
      <w:r w:rsidRPr="00A53601">
        <w:rPr>
          <w:i/>
          <w:lang w:eastAsia="en-AU"/>
        </w:rPr>
        <w:t>‘highest attainable standard of health’</w:t>
      </w:r>
      <w:r w:rsidRPr="00A53601">
        <w:rPr>
          <w:lang w:eastAsia="en-AU"/>
        </w:rPr>
        <w:t xml:space="preserve"> </w:t>
      </w:r>
      <w:proofErr w:type="gramStart"/>
      <w:r w:rsidRPr="00A53601">
        <w:rPr>
          <w:lang w:eastAsia="en-AU"/>
        </w:rPr>
        <w:t>takes into account</w:t>
      </w:r>
      <w:proofErr w:type="gramEnd"/>
      <w:r w:rsidRPr="00A53601">
        <w:rPr>
          <w:lang w:eastAsia="en-AU"/>
        </w:rPr>
        <w:t xml:space="preserve"> the country’s available resources. This right may be understood as a right of access to a variety of </w:t>
      </w:r>
      <w:r w:rsidRPr="00A53601">
        <w:rPr>
          <w:lang w:eastAsia="en-AU"/>
        </w:rPr>
        <w:lastRenderedPageBreak/>
        <w:t xml:space="preserve">public health and health care facilities, goods, services, programs, and conditions necessary for the realisation of the highest attainable standard of health. </w:t>
      </w:r>
    </w:p>
    <w:p w14:paraId="2845EC49" w14:textId="77777777" w:rsidR="00EC742E" w:rsidRPr="00A53601" w:rsidRDefault="00EC742E" w:rsidP="00EC742E">
      <w:pPr>
        <w:spacing w:before="120" w:after="120"/>
        <w:rPr>
          <w:i/>
          <w:lang w:eastAsia="en-AU"/>
        </w:rPr>
      </w:pPr>
      <w:r w:rsidRPr="00A53601">
        <w:rPr>
          <w:i/>
          <w:lang w:eastAsia="en-AU"/>
        </w:rPr>
        <w:t xml:space="preserve">The Right to Social Security </w:t>
      </w:r>
    </w:p>
    <w:p w14:paraId="1D868011" w14:textId="77777777" w:rsidR="00EC742E" w:rsidRPr="00A53601" w:rsidRDefault="00EC742E" w:rsidP="00EC742E">
      <w:pPr>
        <w:spacing w:before="120" w:after="120"/>
        <w:rPr>
          <w:lang w:eastAsia="en-AU"/>
        </w:rPr>
      </w:pPr>
      <w:r w:rsidRPr="00A53601">
        <w:rPr>
          <w:lang w:eastAsia="en-AU"/>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A53601">
        <w:rPr>
          <w:lang w:eastAsia="en-AU"/>
        </w:rPr>
        <w:t>in an effort to</w:t>
      </w:r>
      <w:proofErr w:type="gramEnd"/>
      <w:r w:rsidRPr="00A53601">
        <w:rPr>
          <w:lang w:eastAsia="en-AU"/>
        </w:rPr>
        <w:t xml:space="preserve"> satisfy, as a matter of priority, this minimum obligation.</w:t>
      </w:r>
    </w:p>
    <w:p w14:paraId="4BEBD3F5" w14:textId="77777777" w:rsidR="00EC742E" w:rsidRPr="00A53601" w:rsidRDefault="00EC742E" w:rsidP="00EC742E">
      <w:pPr>
        <w:spacing w:before="120" w:after="120"/>
        <w:rPr>
          <w:lang w:eastAsia="en-AU"/>
        </w:rPr>
      </w:pPr>
      <w:r w:rsidRPr="00A53601">
        <w:rPr>
          <w:lang w:eastAsia="en-AU"/>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A53601">
        <w:rPr>
          <w:lang w:eastAsia="en-AU"/>
        </w:rPr>
        <w:t>Government</w:t>
      </w:r>
      <w:proofErr w:type="gramEnd"/>
      <w:r w:rsidRPr="00A53601">
        <w:rPr>
          <w:lang w:eastAsia="en-AU"/>
        </w:rPr>
        <w:t xml:space="preserve"> to re-direct its limited resources in ways that it considers to be more effective at meeting the general health needs of all society, particularly the needs of the more disadvantaged members of society.</w:t>
      </w:r>
    </w:p>
    <w:p w14:paraId="312F384B" w14:textId="77777777" w:rsidR="00EC742E" w:rsidRPr="00A53601" w:rsidRDefault="00EC742E" w:rsidP="00EC742E">
      <w:pPr>
        <w:spacing w:before="120" w:after="120"/>
        <w:rPr>
          <w:color w:val="000000"/>
          <w:lang w:eastAsia="en-AU"/>
        </w:rPr>
      </w:pPr>
      <w:r w:rsidRPr="00A53601">
        <w:rPr>
          <w:i/>
          <w:iCs/>
          <w:color w:val="000000"/>
        </w:rPr>
        <w:t>The right of equality and non-discrimination</w:t>
      </w:r>
    </w:p>
    <w:p w14:paraId="7B8F6A5C" w14:textId="77777777" w:rsidR="00EC742E" w:rsidRPr="00A53601" w:rsidRDefault="00EC742E" w:rsidP="00EC742E">
      <w:pPr>
        <w:spacing w:before="120" w:after="120"/>
        <w:rPr>
          <w:color w:val="000000"/>
        </w:rPr>
      </w:pPr>
      <w:r w:rsidRPr="00A53601">
        <w:rPr>
          <w:color w:val="000000"/>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7F058D0" w14:textId="77777777" w:rsidR="00EC742E" w:rsidRPr="00A53601" w:rsidRDefault="00EC742E" w:rsidP="00EC742E">
      <w:pPr>
        <w:spacing w:before="120" w:after="120"/>
        <w:rPr>
          <w:lang w:eastAsia="en-AU"/>
        </w:rPr>
      </w:pPr>
      <w:r w:rsidRPr="00A53601">
        <w:rPr>
          <w:u w:val="single"/>
          <w:lang w:eastAsia="en-AU"/>
        </w:rPr>
        <w:t xml:space="preserve">Analysis </w:t>
      </w:r>
    </w:p>
    <w:p w14:paraId="7E01BB83" w14:textId="77777777" w:rsidR="003D5CF6" w:rsidRPr="00A53601" w:rsidRDefault="003D5CF6" w:rsidP="003D5CF6">
      <w:pPr>
        <w:spacing w:before="120" w:after="120"/>
        <w:rPr>
          <w:color w:val="000000"/>
        </w:rPr>
      </w:pPr>
      <w:r w:rsidRPr="00A53601">
        <w:rPr>
          <w:lang w:eastAsia="en-AU"/>
        </w:rPr>
        <w:t>Schedule 1 of the Regulations will maintain the rights to health and social security by ensuring</w:t>
      </w:r>
      <w:r w:rsidRPr="00A53601">
        <w:t xml:space="preserve"> conditions on the location particular Medicare services can be rendered reflects </w:t>
      </w:r>
      <w:r w:rsidRPr="00A53601">
        <w:rPr>
          <w:lang w:eastAsia="en-AU"/>
        </w:rPr>
        <w:t xml:space="preserve">contemporary and appropriate clinical practice. Schedule 2 of the Regulations </w:t>
      </w:r>
      <w:r w:rsidRPr="00A53601">
        <w:rPr>
          <w:color w:val="000000"/>
        </w:rPr>
        <w:t>advance the rights to health and social security by introducing new services which will be available as publicly subsidised medical services. The Regulations make no change to the right of equality and non</w:t>
      </w:r>
      <w:r w:rsidRPr="00A53601">
        <w:rPr>
          <w:color w:val="000000"/>
        </w:rPr>
        <w:noBreakHyphen/>
        <w:t xml:space="preserve">discrimination, as a Medicare-eligible person (as defined in the Act) continues to have access to all Medicare services based on clinical need consistent with a universal health insurance program. </w:t>
      </w:r>
    </w:p>
    <w:p w14:paraId="1620BA21" w14:textId="59557F31" w:rsidR="00EC742E" w:rsidRPr="00A53601" w:rsidRDefault="00EC742E" w:rsidP="002F10B6">
      <w:pPr>
        <w:spacing w:before="120" w:after="120"/>
        <w:rPr>
          <w:rFonts w:eastAsia="Calibri"/>
          <w:b/>
        </w:rPr>
      </w:pPr>
      <w:r w:rsidRPr="00A53601">
        <w:rPr>
          <w:rFonts w:eastAsia="Calibri"/>
          <w:b/>
        </w:rPr>
        <w:t xml:space="preserve">Conclusion </w:t>
      </w:r>
    </w:p>
    <w:p w14:paraId="0091434F" w14:textId="77777777" w:rsidR="00EC742E" w:rsidRPr="00A53601" w:rsidRDefault="00EC742E" w:rsidP="00EC742E">
      <w:pPr>
        <w:spacing w:before="120" w:after="120"/>
        <w:rPr>
          <w:lang w:eastAsia="en-AU"/>
        </w:rPr>
      </w:pPr>
      <w:r w:rsidRPr="00A53601">
        <w:rPr>
          <w:lang w:eastAsia="en-AU"/>
        </w:rPr>
        <w:t>This instrument is compatible with human rights because it maintains existing arrangements and the protection of human rights.</w:t>
      </w:r>
    </w:p>
    <w:p w14:paraId="5FCFCD78" w14:textId="77777777" w:rsidR="00EC742E" w:rsidRPr="00A53601" w:rsidRDefault="00EC742E" w:rsidP="00EC742E">
      <w:pPr>
        <w:rPr>
          <w:rFonts w:eastAsia="Calibri"/>
        </w:rPr>
      </w:pPr>
    </w:p>
    <w:p w14:paraId="420A4F09" w14:textId="77777777" w:rsidR="00EC742E" w:rsidRPr="00A53601" w:rsidRDefault="00EC742E" w:rsidP="00EC742E">
      <w:pPr>
        <w:spacing w:before="120" w:after="120" w:line="276" w:lineRule="auto"/>
        <w:jc w:val="center"/>
        <w:rPr>
          <w:rFonts w:eastAsia="Calibri"/>
          <w:b/>
          <w:bCs/>
        </w:rPr>
      </w:pPr>
      <w:r w:rsidRPr="00A53601">
        <w:rPr>
          <w:rFonts w:eastAsia="Calibri"/>
          <w:b/>
          <w:bCs/>
        </w:rPr>
        <w:t>Mark Butler</w:t>
      </w:r>
    </w:p>
    <w:p w14:paraId="5BDF6E4A" w14:textId="5018158E" w:rsidR="00280050" w:rsidRPr="00CB0B36" w:rsidRDefault="00EC742E" w:rsidP="00CB0B36">
      <w:pPr>
        <w:spacing w:before="120" w:after="120" w:line="276" w:lineRule="auto"/>
        <w:jc w:val="center"/>
        <w:rPr>
          <w:rFonts w:eastAsia="Calibri"/>
        </w:rPr>
      </w:pPr>
      <w:r w:rsidRPr="00A53601">
        <w:rPr>
          <w:rFonts w:eastAsia="Calibri"/>
          <w:b/>
          <w:bCs/>
        </w:rPr>
        <w:t>Minister for Health and Aged Care</w:t>
      </w:r>
    </w:p>
    <w:sectPr w:rsidR="00280050" w:rsidRPr="00CB0B3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FBF9" w14:textId="77777777" w:rsidR="006A5FA7" w:rsidRDefault="006A5FA7" w:rsidP="00EC742E">
      <w:pPr>
        <w:spacing w:after="0" w:line="240" w:lineRule="auto"/>
      </w:pPr>
      <w:r>
        <w:separator/>
      </w:r>
    </w:p>
  </w:endnote>
  <w:endnote w:type="continuationSeparator" w:id="0">
    <w:p w14:paraId="2F11EBC3" w14:textId="77777777" w:rsidR="006A5FA7" w:rsidRDefault="006A5FA7" w:rsidP="00EC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8757" w14:textId="77777777" w:rsidR="006A5FA7" w:rsidRDefault="006A5FA7" w:rsidP="00EC742E">
      <w:pPr>
        <w:spacing w:after="0" w:line="240" w:lineRule="auto"/>
      </w:pPr>
      <w:r>
        <w:separator/>
      </w:r>
    </w:p>
  </w:footnote>
  <w:footnote w:type="continuationSeparator" w:id="0">
    <w:p w14:paraId="1AE5837B" w14:textId="77777777" w:rsidR="006A5FA7" w:rsidRDefault="006A5FA7" w:rsidP="00EC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890542"/>
      <w:docPartObj>
        <w:docPartGallery w:val="Page Numbers (Top of Page)"/>
        <w:docPartUnique/>
      </w:docPartObj>
    </w:sdtPr>
    <w:sdtEndPr>
      <w:rPr>
        <w:noProof/>
      </w:rPr>
    </w:sdtEndPr>
    <w:sdtContent>
      <w:p w14:paraId="25DF1491" w14:textId="5C6377BC" w:rsidR="00EC742E" w:rsidRDefault="00EC742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05E18BC" w14:textId="77777777" w:rsidR="00EC742E" w:rsidRDefault="00EC7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0165"/>
    <w:multiLevelType w:val="hybridMultilevel"/>
    <w:tmpl w:val="368E2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AE2487"/>
    <w:multiLevelType w:val="hybridMultilevel"/>
    <w:tmpl w:val="F656CC02"/>
    <w:lvl w:ilvl="0" w:tplc="47B8ECA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6232F82"/>
    <w:multiLevelType w:val="hybridMultilevel"/>
    <w:tmpl w:val="9850C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24690A"/>
    <w:multiLevelType w:val="hybridMultilevel"/>
    <w:tmpl w:val="E7BA8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67D10"/>
    <w:multiLevelType w:val="hybridMultilevel"/>
    <w:tmpl w:val="29D09D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7B0BBE"/>
    <w:multiLevelType w:val="hybridMultilevel"/>
    <w:tmpl w:val="41E2E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D25E67"/>
    <w:multiLevelType w:val="hybridMultilevel"/>
    <w:tmpl w:val="A2007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254747"/>
    <w:multiLevelType w:val="hybridMultilevel"/>
    <w:tmpl w:val="2292C306"/>
    <w:lvl w:ilvl="0" w:tplc="0C090001">
      <w:start w:val="1"/>
      <w:numFmt w:val="bullet"/>
      <w:lvlText w:val=""/>
      <w:lvlJc w:val="left"/>
      <w:pPr>
        <w:ind w:left="720" w:hanging="360"/>
      </w:pPr>
      <w:rPr>
        <w:rFonts w:ascii="Symbol" w:hAnsi="Symbol"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DA6C7D"/>
    <w:multiLevelType w:val="hybridMultilevel"/>
    <w:tmpl w:val="3DFE8C22"/>
    <w:lvl w:ilvl="0" w:tplc="747060E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70033D"/>
    <w:multiLevelType w:val="hybridMultilevel"/>
    <w:tmpl w:val="591263EA"/>
    <w:lvl w:ilvl="0" w:tplc="2228DEDC">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3A39A2"/>
    <w:multiLevelType w:val="hybridMultilevel"/>
    <w:tmpl w:val="8BE2E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081B83"/>
    <w:multiLevelType w:val="hybridMultilevel"/>
    <w:tmpl w:val="68864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674214"/>
    <w:multiLevelType w:val="hybridMultilevel"/>
    <w:tmpl w:val="6FCEB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8C2326"/>
    <w:multiLevelType w:val="hybridMultilevel"/>
    <w:tmpl w:val="2B28E2FA"/>
    <w:lvl w:ilvl="0" w:tplc="2228DEDC">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913122"/>
    <w:multiLevelType w:val="hybridMultilevel"/>
    <w:tmpl w:val="682E433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B6254B"/>
    <w:multiLevelType w:val="hybridMultilevel"/>
    <w:tmpl w:val="CF42A87C"/>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7F1914"/>
    <w:multiLevelType w:val="hybridMultilevel"/>
    <w:tmpl w:val="6E484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8A4A99"/>
    <w:multiLevelType w:val="hybridMultilevel"/>
    <w:tmpl w:val="F2264292"/>
    <w:lvl w:ilvl="0" w:tplc="0C090001">
      <w:start w:val="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1F69BE"/>
    <w:multiLevelType w:val="hybridMultilevel"/>
    <w:tmpl w:val="BC9A08B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9" w15:restartNumberingAfterBreak="0">
    <w:nsid w:val="290C6787"/>
    <w:multiLevelType w:val="hybridMultilevel"/>
    <w:tmpl w:val="ED5EB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C6485B"/>
    <w:multiLevelType w:val="hybridMultilevel"/>
    <w:tmpl w:val="906613D4"/>
    <w:lvl w:ilvl="0" w:tplc="3BC0B746">
      <w:numFmt w:val="bullet"/>
      <w:lvlText w:val=""/>
      <w:lvlJc w:val="left"/>
      <w:pPr>
        <w:ind w:left="360" w:hanging="360"/>
      </w:pPr>
      <w:rPr>
        <w:rFonts w:ascii="Symbol" w:eastAsiaTheme="minorEastAsia"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29F26B2B"/>
    <w:multiLevelType w:val="hybridMultilevel"/>
    <w:tmpl w:val="5322B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F842B9"/>
    <w:multiLevelType w:val="hybridMultilevel"/>
    <w:tmpl w:val="CD2218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56591E"/>
    <w:multiLevelType w:val="hybridMultilevel"/>
    <w:tmpl w:val="1BF4B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FF07B9"/>
    <w:multiLevelType w:val="hybridMultilevel"/>
    <w:tmpl w:val="063A3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F60EDE"/>
    <w:multiLevelType w:val="hybridMultilevel"/>
    <w:tmpl w:val="2724E6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FF5D03"/>
    <w:multiLevelType w:val="hybridMultilevel"/>
    <w:tmpl w:val="ED42C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5C4553"/>
    <w:multiLevelType w:val="hybridMultilevel"/>
    <w:tmpl w:val="993C3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87339F"/>
    <w:multiLevelType w:val="hybridMultilevel"/>
    <w:tmpl w:val="1D4E8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78B15E6"/>
    <w:multiLevelType w:val="hybridMultilevel"/>
    <w:tmpl w:val="7C62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4E1677"/>
    <w:multiLevelType w:val="hybridMultilevel"/>
    <w:tmpl w:val="B6823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AC30812"/>
    <w:multiLevelType w:val="hybridMultilevel"/>
    <w:tmpl w:val="18806C24"/>
    <w:lvl w:ilvl="0" w:tplc="5E1A80C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C217041"/>
    <w:multiLevelType w:val="hybridMultilevel"/>
    <w:tmpl w:val="6F36D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3CB477A0"/>
    <w:multiLevelType w:val="hybridMultilevel"/>
    <w:tmpl w:val="F6A24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022D88"/>
    <w:multiLevelType w:val="hybridMultilevel"/>
    <w:tmpl w:val="CA386E2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35" w15:restartNumberingAfterBreak="0">
    <w:nsid w:val="3DB33EE5"/>
    <w:multiLevelType w:val="hybridMultilevel"/>
    <w:tmpl w:val="5582F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1B61D61"/>
    <w:multiLevelType w:val="hybridMultilevel"/>
    <w:tmpl w:val="A5F41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685FB7"/>
    <w:multiLevelType w:val="hybridMultilevel"/>
    <w:tmpl w:val="5D9819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451864DE"/>
    <w:multiLevelType w:val="hybridMultilevel"/>
    <w:tmpl w:val="B28C1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45BD376F"/>
    <w:multiLevelType w:val="hybridMultilevel"/>
    <w:tmpl w:val="937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82D3400"/>
    <w:multiLevelType w:val="hybridMultilevel"/>
    <w:tmpl w:val="2B969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8467AE4"/>
    <w:multiLevelType w:val="hybridMultilevel"/>
    <w:tmpl w:val="9AF4F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B831EA6"/>
    <w:multiLevelType w:val="hybridMultilevel"/>
    <w:tmpl w:val="1A06D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CDD735E"/>
    <w:multiLevelType w:val="hybridMultilevel"/>
    <w:tmpl w:val="459A7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D5200F4"/>
    <w:multiLevelType w:val="hybridMultilevel"/>
    <w:tmpl w:val="766462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F12321C"/>
    <w:multiLevelType w:val="hybridMultilevel"/>
    <w:tmpl w:val="0D18C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3873B0F"/>
    <w:multiLevelType w:val="hybridMultilevel"/>
    <w:tmpl w:val="E0D26934"/>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47" w15:restartNumberingAfterBreak="0">
    <w:nsid w:val="569F652A"/>
    <w:multiLevelType w:val="hybridMultilevel"/>
    <w:tmpl w:val="99BA1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6F52A64"/>
    <w:multiLevelType w:val="hybridMultilevel"/>
    <w:tmpl w:val="F19C7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8B6067B"/>
    <w:multiLevelType w:val="hybridMultilevel"/>
    <w:tmpl w:val="A69C1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BD54B32"/>
    <w:multiLevelType w:val="hybridMultilevel"/>
    <w:tmpl w:val="AD7A9A40"/>
    <w:lvl w:ilvl="0" w:tplc="15969568">
      <w:start w:val="1"/>
      <w:numFmt w:val="lowerLetter"/>
      <w:lvlText w:val="(%1)"/>
      <w:lvlJc w:val="left"/>
      <w:pPr>
        <w:ind w:left="720" w:hanging="360"/>
      </w:pPr>
      <w:rPr>
        <w:rFonts w:hint="default"/>
        <w:b w:val="0"/>
        <w:bCs w:val="0"/>
        <w:i w:val="0"/>
        <w:iC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CC41442"/>
    <w:multiLevelType w:val="hybridMultilevel"/>
    <w:tmpl w:val="D2CA2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D072559"/>
    <w:multiLevelType w:val="hybridMultilevel"/>
    <w:tmpl w:val="8E06E114"/>
    <w:lvl w:ilvl="0" w:tplc="110675F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F546113"/>
    <w:multiLevelType w:val="hybridMultilevel"/>
    <w:tmpl w:val="A3DCC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0310FB2"/>
    <w:multiLevelType w:val="hybridMultilevel"/>
    <w:tmpl w:val="9D684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11C2BEC"/>
    <w:multiLevelType w:val="hybridMultilevel"/>
    <w:tmpl w:val="71C27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18912CA"/>
    <w:multiLevelType w:val="hybridMultilevel"/>
    <w:tmpl w:val="0C28DA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7" w15:restartNumberingAfterBreak="0">
    <w:nsid w:val="61F54176"/>
    <w:multiLevelType w:val="hybridMultilevel"/>
    <w:tmpl w:val="00CE3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2A407E0"/>
    <w:multiLevelType w:val="hybridMultilevel"/>
    <w:tmpl w:val="793A3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2B62CFC"/>
    <w:multiLevelType w:val="hybridMultilevel"/>
    <w:tmpl w:val="72361030"/>
    <w:lvl w:ilvl="0" w:tplc="50B20F9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64C3C82"/>
    <w:multiLevelType w:val="hybridMultilevel"/>
    <w:tmpl w:val="15DE4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A7F5F97"/>
    <w:multiLevelType w:val="hybridMultilevel"/>
    <w:tmpl w:val="F8FA2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B8403FE"/>
    <w:multiLevelType w:val="hybridMultilevel"/>
    <w:tmpl w:val="D2687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B932834"/>
    <w:multiLevelType w:val="hybridMultilevel"/>
    <w:tmpl w:val="310AB8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4" w15:restartNumberingAfterBreak="0">
    <w:nsid w:val="6C390EBA"/>
    <w:multiLevelType w:val="hybridMultilevel"/>
    <w:tmpl w:val="70284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C8D2313"/>
    <w:multiLevelType w:val="hybridMultilevel"/>
    <w:tmpl w:val="BA16880E"/>
    <w:lvl w:ilvl="0" w:tplc="0C090001">
      <w:start w:val="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D5055B8"/>
    <w:multiLevelType w:val="hybridMultilevel"/>
    <w:tmpl w:val="541AD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6E004A7D"/>
    <w:multiLevelType w:val="hybridMultilevel"/>
    <w:tmpl w:val="24960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0007103"/>
    <w:multiLevelType w:val="hybridMultilevel"/>
    <w:tmpl w:val="C9788500"/>
    <w:lvl w:ilvl="0" w:tplc="0C090001">
      <w:start w:val="1"/>
      <w:numFmt w:val="bullet"/>
      <w:lvlText w:val=""/>
      <w:lvlJc w:val="left"/>
      <w:pPr>
        <w:ind w:left="720" w:hanging="360"/>
      </w:pPr>
      <w:rPr>
        <w:rFonts w:ascii="Symbol" w:eastAsia="Times New Roman"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3ED2A5D"/>
    <w:multiLevelType w:val="hybridMultilevel"/>
    <w:tmpl w:val="DD8CC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4065A26"/>
    <w:multiLevelType w:val="hybridMultilevel"/>
    <w:tmpl w:val="52842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6795894"/>
    <w:multiLevelType w:val="hybridMultilevel"/>
    <w:tmpl w:val="D4F6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78E5F70"/>
    <w:multiLevelType w:val="hybridMultilevel"/>
    <w:tmpl w:val="4C6A0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7E027FE"/>
    <w:multiLevelType w:val="hybridMultilevel"/>
    <w:tmpl w:val="CC0692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4" w15:restartNumberingAfterBreak="0">
    <w:nsid w:val="7952003F"/>
    <w:multiLevelType w:val="hybridMultilevel"/>
    <w:tmpl w:val="32705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9C83C4E"/>
    <w:multiLevelType w:val="hybridMultilevel"/>
    <w:tmpl w:val="68749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6518652">
    <w:abstractNumId w:val="65"/>
  </w:num>
  <w:num w:numId="2" w16cid:durableId="865556171">
    <w:abstractNumId w:val="17"/>
  </w:num>
  <w:num w:numId="3" w16cid:durableId="667825774">
    <w:abstractNumId w:val="68"/>
  </w:num>
  <w:num w:numId="4" w16cid:durableId="1986472711">
    <w:abstractNumId w:val="70"/>
  </w:num>
  <w:num w:numId="5" w16cid:durableId="1642149669">
    <w:abstractNumId w:val="62"/>
  </w:num>
  <w:num w:numId="6" w16cid:durableId="1054154799">
    <w:abstractNumId w:val="61"/>
  </w:num>
  <w:num w:numId="7" w16cid:durableId="1513252628">
    <w:abstractNumId w:val="69"/>
  </w:num>
  <w:num w:numId="8" w16cid:durableId="1180124173">
    <w:abstractNumId w:val="19"/>
  </w:num>
  <w:num w:numId="9" w16cid:durableId="1568415902">
    <w:abstractNumId w:val="25"/>
  </w:num>
  <w:num w:numId="10" w16cid:durableId="6519610">
    <w:abstractNumId w:val="53"/>
  </w:num>
  <w:num w:numId="11" w16cid:durableId="564336785">
    <w:abstractNumId w:val="18"/>
  </w:num>
  <w:num w:numId="12" w16cid:durableId="865558606">
    <w:abstractNumId w:val="11"/>
  </w:num>
  <w:num w:numId="13" w16cid:durableId="1270119529">
    <w:abstractNumId w:val="32"/>
  </w:num>
  <w:num w:numId="14" w16cid:durableId="150870522">
    <w:abstractNumId w:val="39"/>
  </w:num>
  <w:num w:numId="15" w16cid:durableId="1108042286">
    <w:abstractNumId w:val="66"/>
  </w:num>
  <w:num w:numId="16" w16cid:durableId="1367751854">
    <w:abstractNumId w:val="74"/>
  </w:num>
  <w:num w:numId="17" w16cid:durableId="526213653">
    <w:abstractNumId w:val="3"/>
  </w:num>
  <w:num w:numId="18" w16cid:durableId="225533872">
    <w:abstractNumId w:val="27"/>
  </w:num>
  <w:num w:numId="19" w16cid:durableId="540636486">
    <w:abstractNumId w:val="28"/>
  </w:num>
  <w:num w:numId="20" w16cid:durableId="1378042550">
    <w:abstractNumId w:val="7"/>
  </w:num>
  <w:num w:numId="21" w16cid:durableId="2018266865">
    <w:abstractNumId w:val="6"/>
  </w:num>
  <w:num w:numId="22" w16cid:durableId="1183592999">
    <w:abstractNumId w:val="9"/>
  </w:num>
  <w:num w:numId="23" w16cid:durableId="861819255">
    <w:abstractNumId w:val="13"/>
  </w:num>
  <w:num w:numId="24" w16cid:durableId="436020294">
    <w:abstractNumId w:val="1"/>
  </w:num>
  <w:num w:numId="25" w16cid:durableId="1200388493">
    <w:abstractNumId w:val="20"/>
  </w:num>
  <w:num w:numId="26" w16cid:durableId="1523393501">
    <w:abstractNumId w:val="75"/>
  </w:num>
  <w:num w:numId="27" w16cid:durableId="343360727">
    <w:abstractNumId w:val="42"/>
  </w:num>
  <w:num w:numId="28" w16cid:durableId="771432320">
    <w:abstractNumId w:val="59"/>
  </w:num>
  <w:num w:numId="29" w16cid:durableId="808127742">
    <w:abstractNumId w:val="30"/>
  </w:num>
  <w:num w:numId="30" w16cid:durableId="527183039">
    <w:abstractNumId w:val="40"/>
  </w:num>
  <w:num w:numId="31" w16cid:durableId="1336230892">
    <w:abstractNumId w:val="72"/>
  </w:num>
  <w:num w:numId="32" w16cid:durableId="1945846503">
    <w:abstractNumId w:val="33"/>
  </w:num>
  <w:num w:numId="33" w16cid:durableId="1576354273">
    <w:abstractNumId w:val="5"/>
  </w:num>
  <w:num w:numId="34" w16cid:durableId="1921720117">
    <w:abstractNumId w:val="56"/>
  </w:num>
  <w:num w:numId="35" w16cid:durableId="598100729">
    <w:abstractNumId w:val="45"/>
  </w:num>
  <w:num w:numId="36" w16cid:durableId="1105462850">
    <w:abstractNumId w:val="34"/>
  </w:num>
  <w:num w:numId="37" w16cid:durableId="15544430">
    <w:abstractNumId w:val="64"/>
  </w:num>
  <w:num w:numId="38" w16cid:durableId="144977095">
    <w:abstractNumId w:val="46"/>
  </w:num>
  <w:num w:numId="39" w16cid:durableId="2074084184">
    <w:abstractNumId w:val="21"/>
  </w:num>
  <w:num w:numId="40" w16cid:durableId="132647549">
    <w:abstractNumId w:val="10"/>
  </w:num>
  <w:num w:numId="41" w16cid:durableId="26377455">
    <w:abstractNumId w:val="50"/>
  </w:num>
  <w:num w:numId="42" w16cid:durableId="654646829">
    <w:abstractNumId w:val="15"/>
  </w:num>
  <w:num w:numId="43" w16cid:durableId="1402827438">
    <w:abstractNumId w:val="60"/>
  </w:num>
  <w:num w:numId="44" w16cid:durableId="1430663642">
    <w:abstractNumId w:val="38"/>
  </w:num>
  <w:num w:numId="45" w16cid:durableId="2106026262">
    <w:abstractNumId w:val="24"/>
  </w:num>
  <w:num w:numId="46" w16cid:durableId="379331285">
    <w:abstractNumId w:val="73"/>
  </w:num>
  <w:num w:numId="47" w16cid:durableId="2132244723">
    <w:abstractNumId w:val="48"/>
  </w:num>
  <w:num w:numId="48" w16cid:durableId="884829577">
    <w:abstractNumId w:val="0"/>
  </w:num>
  <w:num w:numId="49" w16cid:durableId="958100276">
    <w:abstractNumId w:val="58"/>
  </w:num>
  <w:num w:numId="50" w16cid:durableId="1295018399">
    <w:abstractNumId w:val="49"/>
  </w:num>
  <w:num w:numId="51" w16cid:durableId="482896478">
    <w:abstractNumId w:val="67"/>
  </w:num>
  <w:num w:numId="52" w16cid:durableId="186455607">
    <w:abstractNumId w:val="63"/>
  </w:num>
  <w:num w:numId="53" w16cid:durableId="513570688">
    <w:abstractNumId w:val="4"/>
  </w:num>
  <w:num w:numId="54" w16cid:durableId="2145418800">
    <w:abstractNumId w:val="52"/>
  </w:num>
  <w:num w:numId="55" w16cid:durableId="711737151">
    <w:abstractNumId w:val="14"/>
  </w:num>
  <w:num w:numId="56" w16cid:durableId="1939672687">
    <w:abstractNumId w:val="51"/>
  </w:num>
  <w:num w:numId="57" w16cid:durableId="246229128">
    <w:abstractNumId w:val="16"/>
  </w:num>
  <w:num w:numId="58" w16cid:durableId="414864219">
    <w:abstractNumId w:val="2"/>
  </w:num>
  <w:num w:numId="59" w16cid:durableId="922448851">
    <w:abstractNumId w:val="8"/>
  </w:num>
  <w:num w:numId="60" w16cid:durableId="567299772">
    <w:abstractNumId w:val="41"/>
  </w:num>
  <w:num w:numId="61" w16cid:durableId="354428177">
    <w:abstractNumId w:val="35"/>
  </w:num>
  <w:num w:numId="62" w16cid:durableId="1060901677">
    <w:abstractNumId w:val="43"/>
  </w:num>
  <w:num w:numId="63" w16cid:durableId="1957833119">
    <w:abstractNumId w:val="71"/>
  </w:num>
  <w:num w:numId="64" w16cid:durableId="1820146790">
    <w:abstractNumId w:val="37"/>
  </w:num>
  <w:num w:numId="65" w16cid:durableId="10180025">
    <w:abstractNumId w:val="47"/>
  </w:num>
  <w:num w:numId="66" w16cid:durableId="1036465062">
    <w:abstractNumId w:val="23"/>
  </w:num>
  <w:num w:numId="67" w16cid:durableId="378285120">
    <w:abstractNumId w:val="44"/>
  </w:num>
  <w:num w:numId="68" w16cid:durableId="679814503">
    <w:abstractNumId w:val="22"/>
  </w:num>
  <w:num w:numId="69" w16cid:durableId="758871134">
    <w:abstractNumId w:val="12"/>
  </w:num>
  <w:num w:numId="70" w16cid:durableId="1015036125">
    <w:abstractNumId w:val="36"/>
  </w:num>
  <w:num w:numId="71" w16cid:durableId="2139452756">
    <w:abstractNumId w:val="55"/>
  </w:num>
  <w:num w:numId="72" w16cid:durableId="805314857">
    <w:abstractNumId w:val="57"/>
  </w:num>
  <w:num w:numId="73" w16cid:durableId="481192958">
    <w:abstractNumId w:val="26"/>
  </w:num>
  <w:num w:numId="74" w16cid:durableId="1060716515">
    <w:abstractNumId w:val="29"/>
  </w:num>
  <w:num w:numId="75" w16cid:durableId="496845533">
    <w:abstractNumId w:val="54"/>
  </w:num>
  <w:num w:numId="76" w16cid:durableId="970621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51"/>
    <w:rsid w:val="00000661"/>
    <w:rsid w:val="00001860"/>
    <w:rsid w:val="000023EA"/>
    <w:rsid w:val="00003D15"/>
    <w:rsid w:val="00004196"/>
    <w:rsid w:val="00005F8F"/>
    <w:rsid w:val="00006320"/>
    <w:rsid w:val="0000713E"/>
    <w:rsid w:val="00010FDD"/>
    <w:rsid w:val="00011031"/>
    <w:rsid w:val="00011502"/>
    <w:rsid w:val="0001661A"/>
    <w:rsid w:val="0002260E"/>
    <w:rsid w:val="00030094"/>
    <w:rsid w:val="00031619"/>
    <w:rsid w:val="0003682D"/>
    <w:rsid w:val="00036DA4"/>
    <w:rsid w:val="000377A0"/>
    <w:rsid w:val="00040613"/>
    <w:rsid w:val="000427DF"/>
    <w:rsid w:val="00047537"/>
    <w:rsid w:val="000477CC"/>
    <w:rsid w:val="000613B1"/>
    <w:rsid w:val="000629F1"/>
    <w:rsid w:val="000637D6"/>
    <w:rsid w:val="0006428F"/>
    <w:rsid w:val="000653CE"/>
    <w:rsid w:val="00065DBE"/>
    <w:rsid w:val="00070547"/>
    <w:rsid w:val="00070685"/>
    <w:rsid w:val="00073024"/>
    <w:rsid w:val="00073752"/>
    <w:rsid w:val="000775BF"/>
    <w:rsid w:val="00080EC6"/>
    <w:rsid w:val="00081527"/>
    <w:rsid w:val="00081995"/>
    <w:rsid w:val="0008617D"/>
    <w:rsid w:val="00086896"/>
    <w:rsid w:val="0008724C"/>
    <w:rsid w:val="0009038A"/>
    <w:rsid w:val="000915CE"/>
    <w:rsid w:val="00092492"/>
    <w:rsid w:val="00093F81"/>
    <w:rsid w:val="000940E8"/>
    <w:rsid w:val="00094BC2"/>
    <w:rsid w:val="00095116"/>
    <w:rsid w:val="000A117A"/>
    <w:rsid w:val="000A698E"/>
    <w:rsid w:val="000A6A58"/>
    <w:rsid w:val="000B3B69"/>
    <w:rsid w:val="000B4030"/>
    <w:rsid w:val="000B4BC6"/>
    <w:rsid w:val="000B582D"/>
    <w:rsid w:val="000C741F"/>
    <w:rsid w:val="000D1D99"/>
    <w:rsid w:val="000D442C"/>
    <w:rsid w:val="000E0ECB"/>
    <w:rsid w:val="000E1B70"/>
    <w:rsid w:val="000E286D"/>
    <w:rsid w:val="000E3D94"/>
    <w:rsid w:val="000E6065"/>
    <w:rsid w:val="000E6383"/>
    <w:rsid w:val="000E64AA"/>
    <w:rsid w:val="000E67AA"/>
    <w:rsid w:val="000E69BD"/>
    <w:rsid w:val="000F3B8B"/>
    <w:rsid w:val="000F6DFD"/>
    <w:rsid w:val="000F79A1"/>
    <w:rsid w:val="0010163F"/>
    <w:rsid w:val="0010439F"/>
    <w:rsid w:val="00106ABF"/>
    <w:rsid w:val="00106EF7"/>
    <w:rsid w:val="00110510"/>
    <w:rsid w:val="001116AF"/>
    <w:rsid w:val="00116AF4"/>
    <w:rsid w:val="001171E8"/>
    <w:rsid w:val="001207C3"/>
    <w:rsid w:val="00131C34"/>
    <w:rsid w:val="00135CAD"/>
    <w:rsid w:val="001449B8"/>
    <w:rsid w:val="00144D36"/>
    <w:rsid w:val="001454D5"/>
    <w:rsid w:val="00146086"/>
    <w:rsid w:val="001475DF"/>
    <w:rsid w:val="00150F49"/>
    <w:rsid w:val="001518AA"/>
    <w:rsid w:val="00153A6E"/>
    <w:rsid w:val="00153D9D"/>
    <w:rsid w:val="0015560C"/>
    <w:rsid w:val="00155EF9"/>
    <w:rsid w:val="00156C9B"/>
    <w:rsid w:val="0016130A"/>
    <w:rsid w:val="00161B9A"/>
    <w:rsid w:val="00161F6F"/>
    <w:rsid w:val="00162F6B"/>
    <w:rsid w:val="00165BCC"/>
    <w:rsid w:val="00172D7B"/>
    <w:rsid w:val="001778A9"/>
    <w:rsid w:val="001778F0"/>
    <w:rsid w:val="00183162"/>
    <w:rsid w:val="0018630F"/>
    <w:rsid w:val="00194345"/>
    <w:rsid w:val="00194C5F"/>
    <w:rsid w:val="001959E7"/>
    <w:rsid w:val="00196882"/>
    <w:rsid w:val="001A5613"/>
    <w:rsid w:val="001A62DF"/>
    <w:rsid w:val="001A6B0D"/>
    <w:rsid w:val="001B1414"/>
    <w:rsid w:val="001B1AA1"/>
    <w:rsid w:val="001B1ABF"/>
    <w:rsid w:val="001B57A5"/>
    <w:rsid w:val="001B65E8"/>
    <w:rsid w:val="001C29E5"/>
    <w:rsid w:val="001C3CED"/>
    <w:rsid w:val="001C7940"/>
    <w:rsid w:val="001D3ADE"/>
    <w:rsid w:val="001D6E24"/>
    <w:rsid w:val="001E3364"/>
    <w:rsid w:val="001F1293"/>
    <w:rsid w:val="001F1765"/>
    <w:rsid w:val="001F4B9A"/>
    <w:rsid w:val="001F6D39"/>
    <w:rsid w:val="00201B9B"/>
    <w:rsid w:val="00201CB2"/>
    <w:rsid w:val="00203FAA"/>
    <w:rsid w:val="00206B9B"/>
    <w:rsid w:val="00207FF2"/>
    <w:rsid w:val="00212DE5"/>
    <w:rsid w:val="002130A9"/>
    <w:rsid w:val="00213390"/>
    <w:rsid w:val="00215E2A"/>
    <w:rsid w:val="00220741"/>
    <w:rsid w:val="002253E9"/>
    <w:rsid w:val="002256AA"/>
    <w:rsid w:val="0022588F"/>
    <w:rsid w:val="002268BF"/>
    <w:rsid w:val="00230CB6"/>
    <w:rsid w:val="0023144C"/>
    <w:rsid w:val="00233616"/>
    <w:rsid w:val="002375D5"/>
    <w:rsid w:val="00240268"/>
    <w:rsid w:val="00240834"/>
    <w:rsid w:val="00242240"/>
    <w:rsid w:val="002474A0"/>
    <w:rsid w:val="0025094B"/>
    <w:rsid w:val="00251966"/>
    <w:rsid w:val="002532CB"/>
    <w:rsid w:val="002562B9"/>
    <w:rsid w:val="00256B3C"/>
    <w:rsid w:val="00257649"/>
    <w:rsid w:val="00257856"/>
    <w:rsid w:val="00265711"/>
    <w:rsid w:val="0026760D"/>
    <w:rsid w:val="00267CCF"/>
    <w:rsid w:val="002749FA"/>
    <w:rsid w:val="00274E51"/>
    <w:rsid w:val="00280050"/>
    <w:rsid w:val="0028144C"/>
    <w:rsid w:val="00283284"/>
    <w:rsid w:val="00290046"/>
    <w:rsid w:val="00292298"/>
    <w:rsid w:val="00294D7F"/>
    <w:rsid w:val="00295813"/>
    <w:rsid w:val="002A10C4"/>
    <w:rsid w:val="002A3112"/>
    <w:rsid w:val="002A357F"/>
    <w:rsid w:val="002A41C0"/>
    <w:rsid w:val="002A68DF"/>
    <w:rsid w:val="002B04C4"/>
    <w:rsid w:val="002B0770"/>
    <w:rsid w:val="002B1941"/>
    <w:rsid w:val="002B2EBE"/>
    <w:rsid w:val="002B3331"/>
    <w:rsid w:val="002B6787"/>
    <w:rsid w:val="002C0838"/>
    <w:rsid w:val="002C4C1D"/>
    <w:rsid w:val="002D2F38"/>
    <w:rsid w:val="002D350F"/>
    <w:rsid w:val="002D3A0D"/>
    <w:rsid w:val="002D4DE2"/>
    <w:rsid w:val="002D5855"/>
    <w:rsid w:val="002E042B"/>
    <w:rsid w:val="002E12A2"/>
    <w:rsid w:val="002E17C6"/>
    <w:rsid w:val="002E1DB0"/>
    <w:rsid w:val="002E2927"/>
    <w:rsid w:val="002E44BE"/>
    <w:rsid w:val="002E73E2"/>
    <w:rsid w:val="002F10B6"/>
    <w:rsid w:val="002F1645"/>
    <w:rsid w:val="002F5DA6"/>
    <w:rsid w:val="002F7439"/>
    <w:rsid w:val="003057BE"/>
    <w:rsid w:val="00305F99"/>
    <w:rsid w:val="003133CA"/>
    <w:rsid w:val="00313887"/>
    <w:rsid w:val="00316613"/>
    <w:rsid w:val="00316DD9"/>
    <w:rsid w:val="00321B9E"/>
    <w:rsid w:val="0032284B"/>
    <w:rsid w:val="00323CBA"/>
    <w:rsid w:val="00324551"/>
    <w:rsid w:val="00324D9D"/>
    <w:rsid w:val="00326656"/>
    <w:rsid w:val="00330EC5"/>
    <w:rsid w:val="00337144"/>
    <w:rsid w:val="00341611"/>
    <w:rsid w:val="00346990"/>
    <w:rsid w:val="0035173C"/>
    <w:rsid w:val="0035416A"/>
    <w:rsid w:val="00355421"/>
    <w:rsid w:val="00356B79"/>
    <w:rsid w:val="003617DA"/>
    <w:rsid w:val="003623F4"/>
    <w:rsid w:val="00363733"/>
    <w:rsid w:val="003660D3"/>
    <w:rsid w:val="00367A26"/>
    <w:rsid w:val="003704DA"/>
    <w:rsid w:val="00370C6A"/>
    <w:rsid w:val="0037113D"/>
    <w:rsid w:val="00373AB5"/>
    <w:rsid w:val="0037579F"/>
    <w:rsid w:val="003763BF"/>
    <w:rsid w:val="00380A61"/>
    <w:rsid w:val="00381CB3"/>
    <w:rsid w:val="00382A59"/>
    <w:rsid w:val="00382BB6"/>
    <w:rsid w:val="00387C0C"/>
    <w:rsid w:val="00390A4E"/>
    <w:rsid w:val="003A074D"/>
    <w:rsid w:val="003A4FDE"/>
    <w:rsid w:val="003A5168"/>
    <w:rsid w:val="003A6C7B"/>
    <w:rsid w:val="003A7B8D"/>
    <w:rsid w:val="003B6169"/>
    <w:rsid w:val="003C144F"/>
    <w:rsid w:val="003C19D3"/>
    <w:rsid w:val="003C2294"/>
    <w:rsid w:val="003C2B44"/>
    <w:rsid w:val="003C636D"/>
    <w:rsid w:val="003D2DD3"/>
    <w:rsid w:val="003D33D6"/>
    <w:rsid w:val="003D3CBD"/>
    <w:rsid w:val="003D5CF6"/>
    <w:rsid w:val="003E2C22"/>
    <w:rsid w:val="003E2E84"/>
    <w:rsid w:val="003E31AE"/>
    <w:rsid w:val="003E4271"/>
    <w:rsid w:val="003E5496"/>
    <w:rsid w:val="003E7FC1"/>
    <w:rsid w:val="003F2854"/>
    <w:rsid w:val="003F2C98"/>
    <w:rsid w:val="003F3DEE"/>
    <w:rsid w:val="003F5EA2"/>
    <w:rsid w:val="003F6E02"/>
    <w:rsid w:val="0040287B"/>
    <w:rsid w:val="00403E53"/>
    <w:rsid w:val="004047D5"/>
    <w:rsid w:val="00406593"/>
    <w:rsid w:val="00410966"/>
    <w:rsid w:val="004157EF"/>
    <w:rsid w:val="00415E34"/>
    <w:rsid w:val="0042021C"/>
    <w:rsid w:val="00422D13"/>
    <w:rsid w:val="00423922"/>
    <w:rsid w:val="00424C24"/>
    <w:rsid w:val="00425E8C"/>
    <w:rsid w:val="00427174"/>
    <w:rsid w:val="004275B3"/>
    <w:rsid w:val="00427E34"/>
    <w:rsid w:val="0043071D"/>
    <w:rsid w:val="00432CAC"/>
    <w:rsid w:val="00437158"/>
    <w:rsid w:val="0044005A"/>
    <w:rsid w:val="00441C42"/>
    <w:rsid w:val="0044544A"/>
    <w:rsid w:val="00445C57"/>
    <w:rsid w:val="00450D32"/>
    <w:rsid w:val="00453932"/>
    <w:rsid w:val="00455A99"/>
    <w:rsid w:val="0046196F"/>
    <w:rsid w:val="00461D68"/>
    <w:rsid w:val="00462949"/>
    <w:rsid w:val="00462D21"/>
    <w:rsid w:val="004639DE"/>
    <w:rsid w:val="0046449E"/>
    <w:rsid w:val="0046501C"/>
    <w:rsid w:val="00465EE7"/>
    <w:rsid w:val="00467D0F"/>
    <w:rsid w:val="00467D3E"/>
    <w:rsid w:val="004706A3"/>
    <w:rsid w:val="004709E5"/>
    <w:rsid w:val="0047549E"/>
    <w:rsid w:val="00476286"/>
    <w:rsid w:val="00476488"/>
    <w:rsid w:val="00476A3C"/>
    <w:rsid w:val="004771C2"/>
    <w:rsid w:val="00480DA0"/>
    <w:rsid w:val="0048204D"/>
    <w:rsid w:val="004837E7"/>
    <w:rsid w:val="0048527A"/>
    <w:rsid w:val="004855CF"/>
    <w:rsid w:val="00492CE8"/>
    <w:rsid w:val="004940FC"/>
    <w:rsid w:val="00497819"/>
    <w:rsid w:val="004A1B0D"/>
    <w:rsid w:val="004A58C6"/>
    <w:rsid w:val="004B2E77"/>
    <w:rsid w:val="004B3614"/>
    <w:rsid w:val="004B4191"/>
    <w:rsid w:val="004B490B"/>
    <w:rsid w:val="004B4EB1"/>
    <w:rsid w:val="004B7653"/>
    <w:rsid w:val="004B7C62"/>
    <w:rsid w:val="004C200B"/>
    <w:rsid w:val="004C269E"/>
    <w:rsid w:val="004C46CA"/>
    <w:rsid w:val="004C4F32"/>
    <w:rsid w:val="004D006A"/>
    <w:rsid w:val="004D0F81"/>
    <w:rsid w:val="004D24E2"/>
    <w:rsid w:val="004D547F"/>
    <w:rsid w:val="004D5D6F"/>
    <w:rsid w:val="004D7263"/>
    <w:rsid w:val="004D7B36"/>
    <w:rsid w:val="004D7E0C"/>
    <w:rsid w:val="004E2A82"/>
    <w:rsid w:val="004E3B48"/>
    <w:rsid w:val="004E3B80"/>
    <w:rsid w:val="004E4746"/>
    <w:rsid w:val="004E6F89"/>
    <w:rsid w:val="004F0014"/>
    <w:rsid w:val="004F0950"/>
    <w:rsid w:val="004F195A"/>
    <w:rsid w:val="004F75B1"/>
    <w:rsid w:val="0050196B"/>
    <w:rsid w:val="005060A1"/>
    <w:rsid w:val="005101D5"/>
    <w:rsid w:val="00511123"/>
    <w:rsid w:val="005112A3"/>
    <w:rsid w:val="0051251E"/>
    <w:rsid w:val="0051276B"/>
    <w:rsid w:val="00512AE7"/>
    <w:rsid w:val="00513246"/>
    <w:rsid w:val="00514CFD"/>
    <w:rsid w:val="005155BD"/>
    <w:rsid w:val="005176A8"/>
    <w:rsid w:val="005221FF"/>
    <w:rsid w:val="00527F41"/>
    <w:rsid w:val="0053084F"/>
    <w:rsid w:val="005339C7"/>
    <w:rsid w:val="005350DF"/>
    <w:rsid w:val="00537920"/>
    <w:rsid w:val="005409EA"/>
    <w:rsid w:val="00542FDA"/>
    <w:rsid w:val="00543A5A"/>
    <w:rsid w:val="00543FF2"/>
    <w:rsid w:val="0054404D"/>
    <w:rsid w:val="00545763"/>
    <w:rsid w:val="00553160"/>
    <w:rsid w:val="00553CD0"/>
    <w:rsid w:val="005541FD"/>
    <w:rsid w:val="0056245D"/>
    <w:rsid w:val="00563E49"/>
    <w:rsid w:val="0056464F"/>
    <w:rsid w:val="00567B9F"/>
    <w:rsid w:val="00567D8E"/>
    <w:rsid w:val="00567E09"/>
    <w:rsid w:val="005708EB"/>
    <w:rsid w:val="005754A0"/>
    <w:rsid w:val="00576910"/>
    <w:rsid w:val="00585651"/>
    <w:rsid w:val="005861AA"/>
    <w:rsid w:val="005865C8"/>
    <w:rsid w:val="00591143"/>
    <w:rsid w:val="00591C88"/>
    <w:rsid w:val="00592A74"/>
    <w:rsid w:val="005A04B3"/>
    <w:rsid w:val="005A1C84"/>
    <w:rsid w:val="005A2852"/>
    <w:rsid w:val="005A2B67"/>
    <w:rsid w:val="005A7F6A"/>
    <w:rsid w:val="005A7F91"/>
    <w:rsid w:val="005B32A2"/>
    <w:rsid w:val="005B4577"/>
    <w:rsid w:val="005B4762"/>
    <w:rsid w:val="005B6754"/>
    <w:rsid w:val="005B6ADE"/>
    <w:rsid w:val="005C0E7C"/>
    <w:rsid w:val="005C16A2"/>
    <w:rsid w:val="005C2ABC"/>
    <w:rsid w:val="005C2DA7"/>
    <w:rsid w:val="005C371E"/>
    <w:rsid w:val="005C38E3"/>
    <w:rsid w:val="005C44F2"/>
    <w:rsid w:val="005C4E45"/>
    <w:rsid w:val="005D3B1F"/>
    <w:rsid w:val="005D612C"/>
    <w:rsid w:val="005D6B1A"/>
    <w:rsid w:val="005E0B1B"/>
    <w:rsid w:val="005E2E40"/>
    <w:rsid w:val="005E52D3"/>
    <w:rsid w:val="005F0167"/>
    <w:rsid w:val="005F0930"/>
    <w:rsid w:val="005F6D35"/>
    <w:rsid w:val="005F7490"/>
    <w:rsid w:val="006008F9"/>
    <w:rsid w:val="00603FC4"/>
    <w:rsid w:val="006064EE"/>
    <w:rsid w:val="00610D9E"/>
    <w:rsid w:val="00612352"/>
    <w:rsid w:val="00612675"/>
    <w:rsid w:val="00612A32"/>
    <w:rsid w:val="00616694"/>
    <w:rsid w:val="00616BC2"/>
    <w:rsid w:val="006208C3"/>
    <w:rsid w:val="00621338"/>
    <w:rsid w:val="00621CA2"/>
    <w:rsid w:val="0062287F"/>
    <w:rsid w:val="0062462D"/>
    <w:rsid w:val="00624893"/>
    <w:rsid w:val="00624CFA"/>
    <w:rsid w:val="00627251"/>
    <w:rsid w:val="0063159F"/>
    <w:rsid w:val="00632141"/>
    <w:rsid w:val="00635D40"/>
    <w:rsid w:val="00636569"/>
    <w:rsid w:val="0064099E"/>
    <w:rsid w:val="00640B16"/>
    <w:rsid w:val="00641695"/>
    <w:rsid w:val="00647E89"/>
    <w:rsid w:val="00650869"/>
    <w:rsid w:val="00652B44"/>
    <w:rsid w:val="00654084"/>
    <w:rsid w:val="00654645"/>
    <w:rsid w:val="00655E07"/>
    <w:rsid w:val="006567B5"/>
    <w:rsid w:val="0065731E"/>
    <w:rsid w:val="00657C57"/>
    <w:rsid w:val="00660A8F"/>
    <w:rsid w:val="00662A01"/>
    <w:rsid w:val="00664C37"/>
    <w:rsid w:val="00670D22"/>
    <w:rsid w:val="006759BD"/>
    <w:rsid w:val="00684C1A"/>
    <w:rsid w:val="0068607F"/>
    <w:rsid w:val="006871FC"/>
    <w:rsid w:val="00690A61"/>
    <w:rsid w:val="00690FB7"/>
    <w:rsid w:val="006916BE"/>
    <w:rsid w:val="00691E47"/>
    <w:rsid w:val="00693094"/>
    <w:rsid w:val="00693CC1"/>
    <w:rsid w:val="00693F81"/>
    <w:rsid w:val="00697C5F"/>
    <w:rsid w:val="00697FA4"/>
    <w:rsid w:val="006A1301"/>
    <w:rsid w:val="006A2745"/>
    <w:rsid w:val="006A4358"/>
    <w:rsid w:val="006A4CC1"/>
    <w:rsid w:val="006A58A4"/>
    <w:rsid w:val="006A5AC1"/>
    <w:rsid w:val="006A5FA7"/>
    <w:rsid w:val="006A6A4D"/>
    <w:rsid w:val="006A761D"/>
    <w:rsid w:val="006B04FC"/>
    <w:rsid w:val="006B5848"/>
    <w:rsid w:val="006B5FB2"/>
    <w:rsid w:val="006D0861"/>
    <w:rsid w:val="006D1512"/>
    <w:rsid w:val="006D34B8"/>
    <w:rsid w:val="006D5B11"/>
    <w:rsid w:val="006D6D00"/>
    <w:rsid w:val="006E0FF9"/>
    <w:rsid w:val="006E280B"/>
    <w:rsid w:val="006E39A1"/>
    <w:rsid w:val="006F2B7C"/>
    <w:rsid w:val="006F3FB5"/>
    <w:rsid w:val="006F4D80"/>
    <w:rsid w:val="006F6815"/>
    <w:rsid w:val="006F6C10"/>
    <w:rsid w:val="007004E0"/>
    <w:rsid w:val="00700D00"/>
    <w:rsid w:val="00702E07"/>
    <w:rsid w:val="00710BA9"/>
    <w:rsid w:val="00712ADE"/>
    <w:rsid w:val="00712E2B"/>
    <w:rsid w:val="00713AF8"/>
    <w:rsid w:val="007179F8"/>
    <w:rsid w:val="00717CA8"/>
    <w:rsid w:val="00720DC7"/>
    <w:rsid w:val="007237DC"/>
    <w:rsid w:val="00723D21"/>
    <w:rsid w:val="007254D2"/>
    <w:rsid w:val="007268EF"/>
    <w:rsid w:val="0072751F"/>
    <w:rsid w:val="007311B8"/>
    <w:rsid w:val="0073226F"/>
    <w:rsid w:val="007402EF"/>
    <w:rsid w:val="00741E8E"/>
    <w:rsid w:val="0075396B"/>
    <w:rsid w:val="00753B60"/>
    <w:rsid w:val="00754F22"/>
    <w:rsid w:val="007565B7"/>
    <w:rsid w:val="00760D24"/>
    <w:rsid w:val="00761DE8"/>
    <w:rsid w:val="007620BB"/>
    <w:rsid w:val="00764621"/>
    <w:rsid w:val="00764C8A"/>
    <w:rsid w:val="00766FDC"/>
    <w:rsid w:val="00770ED4"/>
    <w:rsid w:val="00772364"/>
    <w:rsid w:val="0077653C"/>
    <w:rsid w:val="00777C1F"/>
    <w:rsid w:val="00780795"/>
    <w:rsid w:val="00780ED7"/>
    <w:rsid w:val="00784CF2"/>
    <w:rsid w:val="007854F5"/>
    <w:rsid w:val="00786DA4"/>
    <w:rsid w:val="0079153F"/>
    <w:rsid w:val="00794C29"/>
    <w:rsid w:val="00795504"/>
    <w:rsid w:val="00797B8B"/>
    <w:rsid w:val="007A49C1"/>
    <w:rsid w:val="007A57FC"/>
    <w:rsid w:val="007B0102"/>
    <w:rsid w:val="007B4665"/>
    <w:rsid w:val="007B5420"/>
    <w:rsid w:val="007B6657"/>
    <w:rsid w:val="007C2587"/>
    <w:rsid w:val="007C5B18"/>
    <w:rsid w:val="007C5ED3"/>
    <w:rsid w:val="007D0ABE"/>
    <w:rsid w:val="007D189E"/>
    <w:rsid w:val="007D3AAE"/>
    <w:rsid w:val="007D443B"/>
    <w:rsid w:val="007D47FA"/>
    <w:rsid w:val="007D4AC5"/>
    <w:rsid w:val="007D4EC3"/>
    <w:rsid w:val="007D57CB"/>
    <w:rsid w:val="007E0E31"/>
    <w:rsid w:val="007E1FC0"/>
    <w:rsid w:val="007E23E8"/>
    <w:rsid w:val="007E2510"/>
    <w:rsid w:val="007F3805"/>
    <w:rsid w:val="00801E4C"/>
    <w:rsid w:val="00810310"/>
    <w:rsid w:val="00812B10"/>
    <w:rsid w:val="00813565"/>
    <w:rsid w:val="00814301"/>
    <w:rsid w:val="0081508C"/>
    <w:rsid w:val="00816D4C"/>
    <w:rsid w:val="008209F6"/>
    <w:rsid w:val="00823AEB"/>
    <w:rsid w:val="00824380"/>
    <w:rsid w:val="00824B99"/>
    <w:rsid w:val="00825D76"/>
    <w:rsid w:val="00835B19"/>
    <w:rsid w:val="00840104"/>
    <w:rsid w:val="008416A8"/>
    <w:rsid w:val="008434AA"/>
    <w:rsid w:val="00845F42"/>
    <w:rsid w:val="00850649"/>
    <w:rsid w:val="00851622"/>
    <w:rsid w:val="00853EB5"/>
    <w:rsid w:val="0085643A"/>
    <w:rsid w:val="008649D4"/>
    <w:rsid w:val="008674CC"/>
    <w:rsid w:val="00871053"/>
    <w:rsid w:val="00871230"/>
    <w:rsid w:val="00871CE1"/>
    <w:rsid w:val="008740A5"/>
    <w:rsid w:val="00876A83"/>
    <w:rsid w:val="00881B85"/>
    <w:rsid w:val="00884C33"/>
    <w:rsid w:val="00885AFD"/>
    <w:rsid w:val="00894D2F"/>
    <w:rsid w:val="00895E3E"/>
    <w:rsid w:val="00897A0D"/>
    <w:rsid w:val="008A1C22"/>
    <w:rsid w:val="008B1868"/>
    <w:rsid w:val="008B60B5"/>
    <w:rsid w:val="008C5C82"/>
    <w:rsid w:val="008D167C"/>
    <w:rsid w:val="008D3B19"/>
    <w:rsid w:val="008D5E4A"/>
    <w:rsid w:val="008E257A"/>
    <w:rsid w:val="008E3514"/>
    <w:rsid w:val="008F145C"/>
    <w:rsid w:val="008F1FF7"/>
    <w:rsid w:val="008F3138"/>
    <w:rsid w:val="008F5186"/>
    <w:rsid w:val="008F5484"/>
    <w:rsid w:val="008F715C"/>
    <w:rsid w:val="009016E5"/>
    <w:rsid w:val="009036FF"/>
    <w:rsid w:val="00905351"/>
    <w:rsid w:val="009146C9"/>
    <w:rsid w:val="0091487D"/>
    <w:rsid w:val="00915950"/>
    <w:rsid w:val="009221EF"/>
    <w:rsid w:val="00922C52"/>
    <w:rsid w:val="00923C37"/>
    <w:rsid w:val="009241A2"/>
    <w:rsid w:val="00926672"/>
    <w:rsid w:val="0092795F"/>
    <w:rsid w:val="00930905"/>
    <w:rsid w:val="00930B10"/>
    <w:rsid w:val="00933D46"/>
    <w:rsid w:val="00937A39"/>
    <w:rsid w:val="009416A0"/>
    <w:rsid w:val="009466B2"/>
    <w:rsid w:val="0094782F"/>
    <w:rsid w:val="00950253"/>
    <w:rsid w:val="00950FCE"/>
    <w:rsid w:val="00952706"/>
    <w:rsid w:val="009527BB"/>
    <w:rsid w:val="00952D83"/>
    <w:rsid w:val="009564EA"/>
    <w:rsid w:val="00957D3C"/>
    <w:rsid w:val="0096051D"/>
    <w:rsid w:val="00961A29"/>
    <w:rsid w:val="00965423"/>
    <w:rsid w:val="00965E27"/>
    <w:rsid w:val="009668B8"/>
    <w:rsid w:val="00975590"/>
    <w:rsid w:val="00976131"/>
    <w:rsid w:val="0097653E"/>
    <w:rsid w:val="009771D4"/>
    <w:rsid w:val="009802F0"/>
    <w:rsid w:val="00981743"/>
    <w:rsid w:val="00982522"/>
    <w:rsid w:val="00987FCC"/>
    <w:rsid w:val="00993F0B"/>
    <w:rsid w:val="00994070"/>
    <w:rsid w:val="00994F61"/>
    <w:rsid w:val="009A2508"/>
    <w:rsid w:val="009A3478"/>
    <w:rsid w:val="009A3E03"/>
    <w:rsid w:val="009A4DAA"/>
    <w:rsid w:val="009B0548"/>
    <w:rsid w:val="009B0B42"/>
    <w:rsid w:val="009B4245"/>
    <w:rsid w:val="009B4573"/>
    <w:rsid w:val="009B55EE"/>
    <w:rsid w:val="009B7312"/>
    <w:rsid w:val="009C2F4C"/>
    <w:rsid w:val="009C6594"/>
    <w:rsid w:val="009D36ED"/>
    <w:rsid w:val="009D504D"/>
    <w:rsid w:val="009E2506"/>
    <w:rsid w:val="009F0C50"/>
    <w:rsid w:val="009F491B"/>
    <w:rsid w:val="009F597C"/>
    <w:rsid w:val="009F65F0"/>
    <w:rsid w:val="009F6660"/>
    <w:rsid w:val="009F7024"/>
    <w:rsid w:val="00A01BC9"/>
    <w:rsid w:val="00A03DF4"/>
    <w:rsid w:val="00A069D4"/>
    <w:rsid w:val="00A10EA6"/>
    <w:rsid w:val="00A140AE"/>
    <w:rsid w:val="00A16397"/>
    <w:rsid w:val="00A16450"/>
    <w:rsid w:val="00A16B5C"/>
    <w:rsid w:val="00A1791E"/>
    <w:rsid w:val="00A205A5"/>
    <w:rsid w:val="00A21487"/>
    <w:rsid w:val="00A2411A"/>
    <w:rsid w:val="00A2786F"/>
    <w:rsid w:val="00A30457"/>
    <w:rsid w:val="00A35EB6"/>
    <w:rsid w:val="00A37B73"/>
    <w:rsid w:val="00A43765"/>
    <w:rsid w:val="00A4402B"/>
    <w:rsid w:val="00A4605A"/>
    <w:rsid w:val="00A47535"/>
    <w:rsid w:val="00A5219A"/>
    <w:rsid w:val="00A53601"/>
    <w:rsid w:val="00A5365F"/>
    <w:rsid w:val="00A54028"/>
    <w:rsid w:val="00A54060"/>
    <w:rsid w:val="00A54071"/>
    <w:rsid w:val="00A5431E"/>
    <w:rsid w:val="00A5650B"/>
    <w:rsid w:val="00A57F44"/>
    <w:rsid w:val="00A60DB3"/>
    <w:rsid w:val="00A60E77"/>
    <w:rsid w:val="00A62972"/>
    <w:rsid w:val="00A642FC"/>
    <w:rsid w:val="00A6664D"/>
    <w:rsid w:val="00A7469F"/>
    <w:rsid w:val="00A8330B"/>
    <w:rsid w:val="00A86495"/>
    <w:rsid w:val="00A8769C"/>
    <w:rsid w:val="00A900FC"/>
    <w:rsid w:val="00A906FB"/>
    <w:rsid w:val="00A92AB0"/>
    <w:rsid w:val="00A96F59"/>
    <w:rsid w:val="00AA02CA"/>
    <w:rsid w:val="00AA7601"/>
    <w:rsid w:val="00AB4E82"/>
    <w:rsid w:val="00AB63B1"/>
    <w:rsid w:val="00AB7B64"/>
    <w:rsid w:val="00AB7FEB"/>
    <w:rsid w:val="00AC1CFF"/>
    <w:rsid w:val="00AC32DD"/>
    <w:rsid w:val="00AD1033"/>
    <w:rsid w:val="00AD3965"/>
    <w:rsid w:val="00AD479C"/>
    <w:rsid w:val="00AD5352"/>
    <w:rsid w:val="00AD5880"/>
    <w:rsid w:val="00AD5D4C"/>
    <w:rsid w:val="00AD6651"/>
    <w:rsid w:val="00AE21A3"/>
    <w:rsid w:val="00AE7221"/>
    <w:rsid w:val="00AF03E9"/>
    <w:rsid w:val="00AF1627"/>
    <w:rsid w:val="00AF2913"/>
    <w:rsid w:val="00AF6356"/>
    <w:rsid w:val="00AF69A2"/>
    <w:rsid w:val="00B05B82"/>
    <w:rsid w:val="00B06BE5"/>
    <w:rsid w:val="00B11687"/>
    <w:rsid w:val="00B13495"/>
    <w:rsid w:val="00B143FF"/>
    <w:rsid w:val="00B21FA2"/>
    <w:rsid w:val="00B24039"/>
    <w:rsid w:val="00B25758"/>
    <w:rsid w:val="00B27753"/>
    <w:rsid w:val="00B27F30"/>
    <w:rsid w:val="00B318F1"/>
    <w:rsid w:val="00B3362B"/>
    <w:rsid w:val="00B400FD"/>
    <w:rsid w:val="00B4126C"/>
    <w:rsid w:val="00B415E0"/>
    <w:rsid w:val="00B41818"/>
    <w:rsid w:val="00B437FF"/>
    <w:rsid w:val="00B46D4C"/>
    <w:rsid w:val="00B52504"/>
    <w:rsid w:val="00B54FA3"/>
    <w:rsid w:val="00B57696"/>
    <w:rsid w:val="00B60DA8"/>
    <w:rsid w:val="00B64D2D"/>
    <w:rsid w:val="00B652D4"/>
    <w:rsid w:val="00B66CCA"/>
    <w:rsid w:val="00B66E5D"/>
    <w:rsid w:val="00B6769A"/>
    <w:rsid w:val="00B71983"/>
    <w:rsid w:val="00B71AC9"/>
    <w:rsid w:val="00B8060A"/>
    <w:rsid w:val="00B81C66"/>
    <w:rsid w:val="00B84E1F"/>
    <w:rsid w:val="00B85C4E"/>
    <w:rsid w:val="00B90614"/>
    <w:rsid w:val="00B92941"/>
    <w:rsid w:val="00B94D2B"/>
    <w:rsid w:val="00BA18D5"/>
    <w:rsid w:val="00BA50B3"/>
    <w:rsid w:val="00BA5858"/>
    <w:rsid w:val="00BB2757"/>
    <w:rsid w:val="00BB7F4B"/>
    <w:rsid w:val="00BC2980"/>
    <w:rsid w:val="00BC29B3"/>
    <w:rsid w:val="00BC2BBC"/>
    <w:rsid w:val="00BC39C1"/>
    <w:rsid w:val="00BC402E"/>
    <w:rsid w:val="00BC64AE"/>
    <w:rsid w:val="00BC6B32"/>
    <w:rsid w:val="00BC713D"/>
    <w:rsid w:val="00BC7D03"/>
    <w:rsid w:val="00BD1A88"/>
    <w:rsid w:val="00BD66C6"/>
    <w:rsid w:val="00BD7B24"/>
    <w:rsid w:val="00BE0CBD"/>
    <w:rsid w:val="00BE1C5D"/>
    <w:rsid w:val="00BE2E50"/>
    <w:rsid w:val="00BE3B5A"/>
    <w:rsid w:val="00BE4D99"/>
    <w:rsid w:val="00BF2130"/>
    <w:rsid w:val="00BF36C3"/>
    <w:rsid w:val="00BF533A"/>
    <w:rsid w:val="00BF5C45"/>
    <w:rsid w:val="00BF6373"/>
    <w:rsid w:val="00BF7066"/>
    <w:rsid w:val="00C02380"/>
    <w:rsid w:val="00C03589"/>
    <w:rsid w:val="00C05B9C"/>
    <w:rsid w:val="00C06BCD"/>
    <w:rsid w:val="00C12583"/>
    <w:rsid w:val="00C128FC"/>
    <w:rsid w:val="00C17B8C"/>
    <w:rsid w:val="00C17F7B"/>
    <w:rsid w:val="00C21DF1"/>
    <w:rsid w:val="00C220A2"/>
    <w:rsid w:val="00C24B92"/>
    <w:rsid w:val="00C274D4"/>
    <w:rsid w:val="00C303D7"/>
    <w:rsid w:val="00C311BA"/>
    <w:rsid w:val="00C31C9B"/>
    <w:rsid w:val="00C31E7D"/>
    <w:rsid w:val="00C334B5"/>
    <w:rsid w:val="00C34172"/>
    <w:rsid w:val="00C35B3D"/>
    <w:rsid w:val="00C3630D"/>
    <w:rsid w:val="00C42B0D"/>
    <w:rsid w:val="00C44D61"/>
    <w:rsid w:val="00C45ECE"/>
    <w:rsid w:val="00C46852"/>
    <w:rsid w:val="00C47C5A"/>
    <w:rsid w:val="00C5033C"/>
    <w:rsid w:val="00C521EC"/>
    <w:rsid w:val="00C56824"/>
    <w:rsid w:val="00C5694E"/>
    <w:rsid w:val="00C5778A"/>
    <w:rsid w:val="00C62BBB"/>
    <w:rsid w:val="00C73051"/>
    <w:rsid w:val="00C730F5"/>
    <w:rsid w:val="00C765F8"/>
    <w:rsid w:val="00C77840"/>
    <w:rsid w:val="00C810EB"/>
    <w:rsid w:val="00C81E2C"/>
    <w:rsid w:val="00C842E5"/>
    <w:rsid w:val="00C9049F"/>
    <w:rsid w:val="00C906D1"/>
    <w:rsid w:val="00C91EDB"/>
    <w:rsid w:val="00C9517D"/>
    <w:rsid w:val="00C957D4"/>
    <w:rsid w:val="00C95A14"/>
    <w:rsid w:val="00C961BE"/>
    <w:rsid w:val="00CA2331"/>
    <w:rsid w:val="00CA5685"/>
    <w:rsid w:val="00CA64A3"/>
    <w:rsid w:val="00CB0B36"/>
    <w:rsid w:val="00CB0F60"/>
    <w:rsid w:val="00CB24E7"/>
    <w:rsid w:val="00CB2EB9"/>
    <w:rsid w:val="00CB3969"/>
    <w:rsid w:val="00CB42DB"/>
    <w:rsid w:val="00CB4EEF"/>
    <w:rsid w:val="00CB589C"/>
    <w:rsid w:val="00CB7B75"/>
    <w:rsid w:val="00CC2FE8"/>
    <w:rsid w:val="00CC5266"/>
    <w:rsid w:val="00CC548C"/>
    <w:rsid w:val="00CC7A12"/>
    <w:rsid w:val="00CD03B9"/>
    <w:rsid w:val="00CD3DDD"/>
    <w:rsid w:val="00CD6DA2"/>
    <w:rsid w:val="00CE1A44"/>
    <w:rsid w:val="00CE3642"/>
    <w:rsid w:val="00CE374A"/>
    <w:rsid w:val="00CE49FD"/>
    <w:rsid w:val="00CE59E0"/>
    <w:rsid w:val="00CE79D3"/>
    <w:rsid w:val="00CF2CEA"/>
    <w:rsid w:val="00CF47D3"/>
    <w:rsid w:val="00CF5FCE"/>
    <w:rsid w:val="00CF6221"/>
    <w:rsid w:val="00CF70E3"/>
    <w:rsid w:val="00CF7ED3"/>
    <w:rsid w:val="00D054D4"/>
    <w:rsid w:val="00D1164A"/>
    <w:rsid w:val="00D13715"/>
    <w:rsid w:val="00D147D8"/>
    <w:rsid w:val="00D20689"/>
    <w:rsid w:val="00D255BB"/>
    <w:rsid w:val="00D30765"/>
    <w:rsid w:val="00D31875"/>
    <w:rsid w:val="00D31AB1"/>
    <w:rsid w:val="00D32BE7"/>
    <w:rsid w:val="00D33B19"/>
    <w:rsid w:val="00D33DD2"/>
    <w:rsid w:val="00D36C76"/>
    <w:rsid w:val="00D37A90"/>
    <w:rsid w:val="00D426C4"/>
    <w:rsid w:val="00D42B14"/>
    <w:rsid w:val="00D4638C"/>
    <w:rsid w:val="00D476A0"/>
    <w:rsid w:val="00D53315"/>
    <w:rsid w:val="00D53D19"/>
    <w:rsid w:val="00D547F6"/>
    <w:rsid w:val="00D5724E"/>
    <w:rsid w:val="00D60CA7"/>
    <w:rsid w:val="00D62FD4"/>
    <w:rsid w:val="00D658A5"/>
    <w:rsid w:val="00D66283"/>
    <w:rsid w:val="00D66DA1"/>
    <w:rsid w:val="00D71887"/>
    <w:rsid w:val="00D75B5F"/>
    <w:rsid w:val="00D7764F"/>
    <w:rsid w:val="00D80149"/>
    <w:rsid w:val="00D81280"/>
    <w:rsid w:val="00D825C1"/>
    <w:rsid w:val="00D90DF1"/>
    <w:rsid w:val="00D916CF"/>
    <w:rsid w:val="00D93A99"/>
    <w:rsid w:val="00D97DDD"/>
    <w:rsid w:val="00DA0744"/>
    <w:rsid w:val="00DA0B1E"/>
    <w:rsid w:val="00DA22D5"/>
    <w:rsid w:val="00DA573E"/>
    <w:rsid w:val="00DA6B6E"/>
    <w:rsid w:val="00DB0DF0"/>
    <w:rsid w:val="00DB2DA9"/>
    <w:rsid w:val="00DB52F7"/>
    <w:rsid w:val="00DB7CB2"/>
    <w:rsid w:val="00DB7D36"/>
    <w:rsid w:val="00DC04F6"/>
    <w:rsid w:val="00DC0E25"/>
    <w:rsid w:val="00DC468A"/>
    <w:rsid w:val="00DC5A8A"/>
    <w:rsid w:val="00DC7326"/>
    <w:rsid w:val="00DD0419"/>
    <w:rsid w:val="00DD45A9"/>
    <w:rsid w:val="00DD4C05"/>
    <w:rsid w:val="00DD64F4"/>
    <w:rsid w:val="00DD7326"/>
    <w:rsid w:val="00DE0A80"/>
    <w:rsid w:val="00DE152E"/>
    <w:rsid w:val="00DE51D1"/>
    <w:rsid w:val="00DF0876"/>
    <w:rsid w:val="00DF4776"/>
    <w:rsid w:val="00DF546D"/>
    <w:rsid w:val="00DF55DC"/>
    <w:rsid w:val="00DF661B"/>
    <w:rsid w:val="00E00C92"/>
    <w:rsid w:val="00E01337"/>
    <w:rsid w:val="00E01643"/>
    <w:rsid w:val="00E05139"/>
    <w:rsid w:val="00E06999"/>
    <w:rsid w:val="00E1097F"/>
    <w:rsid w:val="00E12D50"/>
    <w:rsid w:val="00E16F65"/>
    <w:rsid w:val="00E1781B"/>
    <w:rsid w:val="00E225AA"/>
    <w:rsid w:val="00E24CB2"/>
    <w:rsid w:val="00E27DCA"/>
    <w:rsid w:val="00E3225D"/>
    <w:rsid w:val="00E33AD5"/>
    <w:rsid w:val="00E3539F"/>
    <w:rsid w:val="00E35DC5"/>
    <w:rsid w:val="00E40E9D"/>
    <w:rsid w:val="00E44388"/>
    <w:rsid w:val="00E461E2"/>
    <w:rsid w:val="00E5439A"/>
    <w:rsid w:val="00E562D3"/>
    <w:rsid w:val="00E60306"/>
    <w:rsid w:val="00E625AB"/>
    <w:rsid w:val="00E64CAB"/>
    <w:rsid w:val="00E67C1F"/>
    <w:rsid w:val="00E70003"/>
    <w:rsid w:val="00E73052"/>
    <w:rsid w:val="00E73D32"/>
    <w:rsid w:val="00E7540F"/>
    <w:rsid w:val="00E75830"/>
    <w:rsid w:val="00E80E72"/>
    <w:rsid w:val="00E8288B"/>
    <w:rsid w:val="00E83768"/>
    <w:rsid w:val="00E862CA"/>
    <w:rsid w:val="00E864E6"/>
    <w:rsid w:val="00E90A2C"/>
    <w:rsid w:val="00E9178C"/>
    <w:rsid w:val="00EA0C80"/>
    <w:rsid w:val="00EA16DD"/>
    <w:rsid w:val="00EA1AF5"/>
    <w:rsid w:val="00EA444E"/>
    <w:rsid w:val="00EA7E9B"/>
    <w:rsid w:val="00EB0804"/>
    <w:rsid w:val="00EB12C9"/>
    <w:rsid w:val="00EB2168"/>
    <w:rsid w:val="00EB2CF8"/>
    <w:rsid w:val="00EB3BA6"/>
    <w:rsid w:val="00EB42A8"/>
    <w:rsid w:val="00EB5A41"/>
    <w:rsid w:val="00EC0D79"/>
    <w:rsid w:val="00EC3DA5"/>
    <w:rsid w:val="00EC642B"/>
    <w:rsid w:val="00EC742E"/>
    <w:rsid w:val="00ED18E3"/>
    <w:rsid w:val="00ED31B5"/>
    <w:rsid w:val="00ED3903"/>
    <w:rsid w:val="00ED4FA6"/>
    <w:rsid w:val="00ED7BDD"/>
    <w:rsid w:val="00ED7D3A"/>
    <w:rsid w:val="00ED7E72"/>
    <w:rsid w:val="00EE231F"/>
    <w:rsid w:val="00EE23B1"/>
    <w:rsid w:val="00EE274C"/>
    <w:rsid w:val="00EE3254"/>
    <w:rsid w:val="00EE46DC"/>
    <w:rsid w:val="00EE4719"/>
    <w:rsid w:val="00EE4B62"/>
    <w:rsid w:val="00EE5041"/>
    <w:rsid w:val="00EE524D"/>
    <w:rsid w:val="00EE7F7F"/>
    <w:rsid w:val="00EF17E8"/>
    <w:rsid w:val="00EF292A"/>
    <w:rsid w:val="00EF35FB"/>
    <w:rsid w:val="00EF463F"/>
    <w:rsid w:val="00F01182"/>
    <w:rsid w:val="00F05375"/>
    <w:rsid w:val="00F058ED"/>
    <w:rsid w:val="00F064CC"/>
    <w:rsid w:val="00F10AE2"/>
    <w:rsid w:val="00F141AE"/>
    <w:rsid w:val="00F14D6C"/>
    <w:rsid w:val="00F20104"/>
    <w:rsid w:val="00F2439F"/>
    <w:rsid w:val="00F27536"/>
    <w:rsid w:val="00F30896"/>
    <w:rsid w:val="00F314A5"/>
    <w:rsid w:val="00F323D1"/>
    <w:rsid w:val="00F332C8"/>
    <w:rsid w:val="00F335F8"/>
    <w:rsid w:val="00F36942"/>
    <w:rsid w:val="00F3736A"/>
    <w:rsid w:val="00F41BF2"/>
    <w:rsid w:val="00F4200C"/>
    <w:rsid w:val="00F43681"/>
    <w:rsid w:val="00F45E58"/>
    <w:rsid w:val="00F51D61"/>
    <w:rsid w:val="00F525F1"/>
    <w:rsid w:val="00F568B3"/>
    <w:rsid w:val="00F56FA7"/>
    <w:rsid w:val="00F61527"/>
    <w:rsid w:val="00F64E71"/>
    <w:rsid w:val="00F64E89"/>
    <w:rsid w:val="00F65018"/>
    <w:rsid w:val="00F74C8F"/>
    <w:rsid w:val="00F809D4"/>
    <w:rsid w:val="00F80F92"/>
    <w:rsid w:val="00F82D2D"/>
    <w:rsid w:val="00F83F11"/>
    <w:rsid w:val="00F8484F"/>
    <w:rsid w:val="00F861E1"/>
    <w:rsid w:val="00F91338"/>
    <w:rsid w:val="00F9440A"/>
    <w:rsid w:val="00F9541C"/>
    <w:rsid w:val="00FA0393"/>
    <w:rsid w:val="00FB2F18"/>
    <w:rsid w:val="00FB419B"/>
    <w:rsid w:val="00FB5A0C"/>
    <w:rsid w:val="00FC1E93"/>
    <w:rsid w:val="00FC6722"/>
    <w:rsid w:val="00FC68B6"/>
    <w:rsid w:val="00FC6EE5"/>
    <w:rsid w:val="00FC7A2E"/>
    <w:rsid w:val="00FD189F"/>
    <w:rsid w:val="00FD2503"/>
    <w:rsid w:val="00FD3074"/>
    <w:rsid w:val="00FD30C1"/>
    <w:rsid w:val="00FD57F5"/>
    <w:rsid w:val="00FE0F1B"/>
    <w:rsid w:val="00FE28C1"/>
    <w:rsid w:val="00FE5B97"/>
    <w:rsid w:val="00FE7328"/>
    <w:rsid w:val="00FF0166"/>
    <w:rsid w:val="00FF06E5"/>
    <w:rsid w:val="00FF1498"/>
    <w:rsid w:val="00FF21D3"/>
    <w:rsid w:val="00FF3D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ECB4"/>
  <w15:chartTrackingRefBased/>
  <w15:docId w15:val="{D701B693-94BE-464B-BC40-F22D16B3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541FD"/>
    <w:pPr>
      <w:keepNext/>
      <w:spacing w:after="0" w:line="240" w:lineRule="auto"/>
      <w:jc w:val="center"/>
      <w:outlineLvl w:val="0"/>
    </w:pPr>
    <w:rPr>
      <w:rFonts w:eastAsia="Times New Roman"/>
      <w:b/>
      <w:szCs w:val="20"/>
      <w:u w:val="single"/>
      <w:lang w:eastAsia="en-AU"/>
    </w:rPr>
  </w:style>
  <w:style w:type="paragraph" w:styleId="Heading2">
    <w:name w:val="heading 2"/>
    <w:basedOn w:val="Normal"/>
    <w:next w:val="Normal"/>
    <w:link w:val="Heading2Char"/>
    <w:uiPriority w:val="9"/>
    <w:semiHidden/>
    <w:unhideWhenUsed/>
    <w:qFormat/>
    <w:rsid w:val="005541FD"/>
    <w:pPr>
      <w:keepNext/>
      <w:keepLines/>
      <w:spacing w:before="40" w:after="0"/>
      <w:outlineLvl w:val="1"/>
    </w:pPr>
    <w:rPr>
      <w:rFonts w:ascii="Cambria" w:eastAsia="MS Gothic" w:hAnsi="Cambria"/>
      <w:b/>
      <w:bCs/>
      <w:color w:val="4F81BD"/>
      <w:sz w:val="26"/>
      <w:szCs w:val="26"/>
      <w:lang w:eastAsia="en-AU"/>
    </w:rPr>
  </w:style>
  <w:style w:type="paragraph" w:styleId="Heading3">
    <w:name w:val="heading 3"/>
    <w:basedOn w:val="Normal"/>
    <w:next w:val="Normal"/>
    <w:link w:val="Heading3Char"/>
    <w:qFormat/>
    <w:rsid w:val="005541FD"/>
    <w:pPr>
      <w:keepNext/>
      <w:spacing w:before="240" w:after="60" w:line="240" w:lineRule="auto"/>
      <w:outlineLvl w:val="2"/>
    </w:pPr>
    <w:rPr>
      <w:rFonts w:ascii="Arial" w:eastAsia="Times New Roman" w:hAnsi="Arial" w:cs="Arial"/>
      <w:bCs/>
      <w:szCs w:val="26"/>
    </w:rPr>
  </w:style>
  <w:style w:type="paragraph" w:styleId="Heading4">
    <w:name w:val="heading 4"/>
    <w:basedOn w:val="Normal"/>
    <w:next w:val="Normal"/>
    <w:link w:val="Heading4Char"/>
    <w:qFormat/>
    <w:rsid w:val="005541FD"/>
    <w:pPr>
      <w:keepNext/>
      <w:spacing w:before="240" w:after="60" w:line="240" w:lineRule="auto"/>
      <w:outlineLvl w:val="3"/>
    </w:pPr>
    <w:rPr>
      <w:rFonts w:ascii="Arial" w:eastAsia="Times New Roman" w:hAnsi="Arial"/>
      <w:bCs/>
      <w:sz w:val="28"/>
      <w:szCs w:val="28"/>
    </w:rPr>
  </w:style>
  <w:style w:type="paragraph" w:styleId="Heading5">
    <w:name w:val="heading 5"/>
    <w:basedOn w:val="Normal"/>
    <w:next w:val="Normal"/>
    <w:link w:val="Heading5Char"/>
    <w:qFormat/>
    <w:rsid w:val="005541FD"/>
    <w:pPr>
      <w:keepNext/>
      <w:spacing w:before="240" w:after="60" w:line="240" w:lineRule="auto"/>
      <w:outlineLvl w:val="4"/>
    </w:pPr>
    <w:rPr>
      <w:rFonts w:eastAsia="Times New Roman"/>
      <w:b/>
      <w:bCs/>
      <w:iCs/>
      <w:szCs w:val="26"/>
    </w:rPr>
  </w:style>
  <w:style w:type="paragraph" w:styleId="Heading6">
    <w:name w:val="heading 6"/>
    <w:basedOn w:val="Normal"/>
    <w:next w:val="Normal"/>
    <w:link w:val="Heading6Char"/>
    <w:qFormat/>
    <w:rsid w:val="005541FD"/>
    <w:pPr>
      <w:keepNext/>
      <w:spacing w:before="240" w:after="60" w:line="240" w:lineRule="auto"/>
      <w:outlineLvl w:val="5"/>
    </w:pPr>
    <w:rPr>
      <w:rFonts w:eastAsia="Times New Roman"/>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24551"/>
    <w:pPr>
      <w:spacing w:before="100" w:beforeAutospacing="1" w:after="100" w:afterAutospacing="1" w:line="240" w:lineRule="auto"/>
    </w:pPr>
    <w:rPr>
      <w:rFonts w:eastAsia="Times New Roman"/>
      <w:lang w:eastAsia="en-AU"/>
    </w:rPr>
  </w:style>
  <w:style w:type="paragraph" w:styleId="ListParagraph">
    <w:name w:val="List Paragraph"/>
    <w:aliases w:val="List Paragraph1,Recommendation,List Paragraph11,dot point 1,Body text,Bullet Point,Bullet point,Bulletr List Paragraph,Content descriptions,FooterText,L,List Bullet 1,List Bullet Cab,List Paragraph2,List Paragraph21,Listeafsnit1,リスト段落,列"/>
    <w:basedOn w:val="Normal"/>
    <w:link w:val="ListParagraphChar"/>
    <w:uiPriority w:val="34"/>
    <w:qFormat/>
    <w:rsid w:val="00324551"/>
    <w:pPr>
      <w:spacing w:before="100" w:beforeAutospacing="1" w:after="100" w:afterAutospacing="1" w:line="240" w:lineRule="auto"/>
    </w:pPr>
    <w:rPr>
      <w:rFonts w:eastAsia="Times New Roman"/>
      <w:lang w:eastAsia="en-AU"/>
    </w:rPr>
  </w:style>
  <w:style w:type="character" w:styleId="CommentReference">
    <w:name w:val="annotation reference"/>
    <w:basedOn w:val="DefaultParagraphFont"/>
    <w:unhideWhenUsed/>
    <w:rsid w:val="00E05139"/>
    <w:rPr>
      <w:sz w:val="16"/>
      <w:szCs w:val="16"/>
    </w:rPr>
  </w:style>
  <w:style w:type="paragraph" w:styleId="CommentText">
    <w:name w:val="annotation text"/>
    <w:basedOn w:val="Normal"/>
    <w:link w:val="CommentTextChar"/>
    <w:unhideWhenUsed/>
    <w:rsid w:val="00E05139"/>
    <w:pPr>
      <w:spacing w:line="240" w:lineRule="auto"/>
    </w:pPr>
    <w:rPr>
      <w:sz w:val="20"/>
      <w:szCs w:val="20"/>
    </w:rPr>
  </w:style>
  <w:style w:type="character" w:customStyle="1" w:styleId="CommentTextChar">
    <w:name w:val="Comment Text Char"/>
    <w:basedOn w:val="DefaultParagraphFont"/>
    <w:link w:val="CommentText"/>
    <w:rsid w:val="00E05139"/>
    <w:rPr>
      <w:sz w:val="20"/>
      <w:szCs w:val="20"/>
    </w:rPr>
  </w:style>
  <w:style w:type="paragraph" w:styleId="CommentSubject">
    <w:name w:val="annotation subject"/>
    <w:basedOn w:val="CommentText"/>
    <w:next w:val="CommentText"/>
    <w:link w:val="CommentSubjectChar"/>
    <w:unhideWhenUsed/>
    <w:rsid w:val="00E05139"/>
    <w:rPr>
      <w:b/>
      <w:bCs/>
    </w:rPr>
  </w:style>
  <w:style w:type="character" w:customStyle="1" w:styleId="CommentSubjectChar">
    <w:name w:val="Comment Subject Char"/>
    <w:basedOn w:val="CommentTextChar"/>
    <w:link w:val="CommentSubject"/>
    <w:rsid w:val="00E05139"/>
    <w:rPr>
      <w:b/>
      <w:bCs/>
      <w:sz w:val="20"/>
      <w:szCs w:val="20"/>
    </w:rPr>
  </w:style>
  <w:style w:type="character" w:customStyle="1" w:styleId="Heading1Char">
    <w:name w:val="Heading 1 Char"/>
    <w:basedOn w:val="DefaultParagraphFont"/>
    <w:link w:val="Heading1"/>
    <w:rsid w:val="005541FD"/>
    <w:rPr>
      <w:rFonts w:eastAsia="Times New Roman"/>
      <w:b/>
      <w:szCs w:val="20"/>
      <w:u w:val="single"/>
      <w:lang w:eastAsia="en-AU"/>
    </w:rPr>
  </w:style>
  <w:style w:type="paragraph" w:customStyle="1" w:styleId="Heading21">
    <w:name w:val="Heading 21"/>
    <w:basedOn w:val="Normal"/>
    <w:next w:val="Normal"/>
    <w:unhideWhenUsed/>
    <w:qFormat/>
    <w:rsid w:val="005541FD"/>
    <w:pPr>
      <w:keepNext/>
      <w:keepLines/>
      <w:spacing w:before="200" w:after="0" w:line="240" w:lineRule="auto"/>
      <w:outlineLvl w:val="1"/>
    </w:pPr>
    <w:rPr>
      <w:rFonts w:ascii="Cambria" w:eastAsia="MS Gothic" w:hAnsi="Cambria"/>
      <w:b/>
      <w:bCs/>
      <w:color w:val="4F81BD"/>
      <w:sz w:val="26"/>
      <w:szCs w:val="26"/>
      <w:lang w:eastAsia="en-AU"/>
    </w:rPr>
  </w:style>
  <w:style w:type="character" w:customStyle="1" w:styleId="Heading3Char">
    <w:name w:val="Heading 3 Char"/>
    <w:basedOn w:val="DefaultParagraphFont"/>
    <w:link w:val="Heading3"/>
    <w:rsid w:val="005541FD"/>
    <w:rPr>
      <w:rFonts w:ascii="Arial" w:eastAsia="Times New Roman" w:hAnsi="Arial" w:cs="Arial"/>
      <w:bCs/>
      <w:szCs w:val="26"/>
    </w:rPr>
  </w:style>
  <w:style w:type="character" w:customStyle="1" w:styleId="Heading4Char">
    <w:name w:val="Heading 4 Char"/>
    <w:basedOn w:val="DefaultParagraphFont"/>
    <w:link w:val="Heading4"/>
    <w:rsid w:val="005541FD"/>
    <w:rPr>
      <w:rFonts w:ascii="Arial" w:eastAsia="Times New Roman" w:hAnsi="Arial"/>
      <w:bCs/>
      <w:sz w:val="28"/>
      <w:szCs w:val="28"/>
    </w:rPr>
  </w:style>
  <w:style w:type="character" w:customStyle="1" w:styleId="Heading5Char">
    <w:name w:val="Heading 5 Char"/>
    <w:basedOn w:val="DefaultParagraphFont"/>
    <w:link w:val="Heading5"/>
    <w:rsid w:val="005541FD"/>
    <w:rPr>
      <w:rFonts w:eastAsia="Times New Roman"/>
      <w:b/>
      <w:bCs/>
      <w:iCs/>
      <w:szCs w:val="26"/>
    </w:rPr>
  </w:style>
  <w:style w:type="character" w:customStyle="1" w:styleId="Heading6Char">
    <w:name w:val="Heading 6 Char"/>
    <w:basedOn w:val="DefaultParagraphFont"/>
    <w:link w:val="Heading6"/>
    <w:rsid w:val="005541FD"/>
    <w:rPr>
      <w:rFonts w:eastAsia="Times New Roman"/>
      <w:b/>
      <w:bCs/>
      <w:i/>
      <w:szCs w:val="22"/>
    </w:rPr>
  </w:style>
  <w:style w:type="numbering" w:customStyle="1" w:styleId="NoList1">
    <w:name w:val="No List1"/>
    <w:next w:val="NoList"/>
    <w:uiPriority w:val="99"/>
    <w:semiHidden/>
    <w:unhideWhenUsed/>
    <w:rsid w:val="005541FD"/>
  </w:style>
  <w:style w:type="paragraph" w:styleId="Subtitle">
    <w:name w:val="Subtitle"/>
    <w:basedOn w:val="Normal"/>
    <w:link w:val="SubtitleChar"/>
    <w:qFormat/>
    <w:rsid w:val="005541FD"/>
    <w:pPr>
      <w:spacing w:after="0" w:line="240" w:lineRule="auto"/>
    </w:pPr>
    <w:rPr>
      <w:rFonts w:eastAsia="Times New Roman"/>
      <w:szCs w:val="20"/>
      <w:u w:val="single"/>
      <w:lang w:eastAsia="en-AU"/>
    </w:rPr>
  </w:style>
  <w:style w:type="character" w:customStyle="1" w:styleId="SubtitleChar">
    <w:name w:val="Subtitle Char"/>
    <w:basedOn w:val="DefaultParagraphFont"/>
    <w:link w:val="Subtitle"/>
    <w:rsid w:val="005541FD"/>
    <w:rPr>
      <w:rFonts w:eastAsia="Times New Roman"/>
      <w:szCs w:val="20"/>
      <w:u w:val="single"/>
      <w:lang w:eastAsia="en-AU"/>
    </w:rPr>
  </w:style>
  <w:style w:type="paragraph" w:styleId="BodyText">
    <w:name w:val="Body Text"/>
    <w:basedOn w:val="Normal"/>
    <w:link w:val="BodyTextChar"/>
    <w:rsid w:val="005541FD"/>
    <w:pPr>
      <w:spacing w:after="0" w:line="240" w:lineRule="auto"/>
    </w:pPr>
    <w:rPr>
      <w:rFonts w:eastAsia="Times New Roman"/>
      <w:b/>
      <w:szCs w:val="20"/>
      <w:lang w:eastAsia="en-AU"/>
    </w:rPr>
  </w:style>
  <w:style w:type="character" w:customStyle="1" w:styleId="BodyTextChar">
    <w:name w:val="Body Text Char"/>
    <w:basedOn w:val="DefaultParagraphFont"/>
    <w:link w:val="BodyText"/>
    <w:rsid w:val="005541FD"/>
    <w:rPr>
      <w:rFonts w:eastAsia="Times New Roman"/>
      <w:b/>
      <w:szCs w:val="20"/>
      <w:lang w:eastAsia="en-AU"/>
    </w:rPr>
  </w:style>
  <w:style w:type="paragraph" w:styleId="Header">
    <w:name w:val="header"/>
    <w:basedOn w:val="Normal"/>
    <w:link w:val="HeaderChar"/>
    <w:uiPriority w:val="99"/>
    <w:rsid w:val="005541FD"/>
    <w:pPr>
      <w:tabs>
        <w:tab w:val="center" w:pos="4153"/>
        <w:tab w:val="right" w:pos="8306"/>
      </w:tabs>
      <w:spacing w:after="0" w:line="240" w:lineRule="auto"/>
    </w:pPr>
    <w:rPr>
      <w:rFonts w:eastAsia="Times New Roman"/>
      <w:szCs w:val="20"/>
      <w:lang w:eastAsia="en-AU"/>
    </w:rPr>
  </w:style>
  <w:style w:type="character" w:customStyle="1" w:styleId="HeaderChar">
    <w:name w:val="Header Char"/>
    <w:basedOn w:val="DefaultParagraphFont"/>
    <w:link w:val="Header"/>
    <w:uiPriority w:val="99"/>
    <w:rsid w:val="005541FD"/>
    <w:rPr>
      <w:rFonts w:eastAsia="Times New Roman"/>
      <w:szCs w:val="20"/>
      <w:lang w:eastAsia="en-AU"/>
    </w:rPr>
  </w:style>
  <w:style w:type="character" w:styleId="PageNumber">
    <w:name w:val="page number"/>
    <w:basedOn w:val="DefaultParagraphFont"/>
    <w:rsid w:val="005541FD"/>
  </w:style>
  <w:style w:type="paragraph" w:customStyle="1" w:styleId="CharCharChar">
    <w:name w:val="Char Char Char"/>
    <w:basedOn w:val="Normal"/>
    <w:rsid w:val="005541FD"/>
    <w:pPr>
      <w:spacing w:after="0" w:line="240" w:lineRule="auto"/>
    </w:pPr>
    <w:rPr>
      <w:rFonts w:ascii="Arial" w:eastAsia="Times New Roman" w:hAnsi="Arial" w:cs="Arial"/>
      <w:sz w:val="22"/>
      <w:szCs w:val="22"/>
    </w:rPr>
  </w:style>
  <w:style w:type="character" w:customStyle="1" w:styleId="Hyperlink1">
    <w:name w:val="Hyperlink1"/>
    <w:basedOn w:val="DefaultParagraphFont"/>
    <w:uiPriority w:val="99"/>
    <w:unhideWhenUsed/>
    <w:rsid w:val="005541FD"/>
    <w:rPr>
      <w:color w:val="0000FF"/>
      <w:u w:val="single"/>
    </w:rPr>
  </w:style>
  <w:style w:type="paragraph" w:customStyle="1" w:styleId="Default">
    <w:name w:val="Default"/>
    <w:rsid w:val="005541FD"/>
    <w:pPr>
      <w:autoSpaceDE w:val="0"/>
      <w:autoSpaceDN w:val="0"/>
      <w:adjustRightInd w:val="0"/>
      <w:spacing w:after="0" w:line="240" w:lineRule="auto"/>
    </w:pPr>
    <w:rPr>
      <w:color w:val="000000"/>
    </w:rPr>
  </w:style>
  <w:style w:type="paragraph" w:styleId="BalloonText">
    <w:name w:val="Balloon Text"/>
    <w:basedOn w:val="Normal"/>
    <w:link w:val="BalloonTextChar"/>
    <w:unhideWhenUsed/>
    <w:rsid w:val="005541FD"/>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5541FD"/>
    <w:rPr>
      <w:rFonts w:ascii="Tahoma" w:eastAsia="Times New Roman" w:hAnsi="Tahoma" w:cs="Tahoma"/>
      <w:sz w:val="16"/>
      <w:szCs w:val="16"/>
      <w:lang w:eastAsia="en-AU"/>
    </w:rPr>
  </w:style>
  <w:style w:type="paragraph" w:styleId="Revision">
    <w:name w:val="Revision"/>
    <w:hidden/>
    <w:uiPriority w:val="99"/>
    <w:semiHidden/>
    <w:rsid w:val="005541FD"/>
    <w:pPr>
      <w:spacing w:after="0" w:line="240" w:lineRule="auto"/>
    </w:pPr>
    <w:rPr>
      <w:rFonts w:eastAsia="Times New Roman"/>
      <w:szCs w:val="20"/>
      <w:lang w:eastAsia="en-AU"/>
    </w:rPr>
  </w:style>
  <w:style w:type="paragraph" w:styleId="Footer">
    <w:name w:val="footer"/>
    <w:basedOn w:val="Normal"/>
    <w:link w:val="FooterChar"/>
    <w:unhideWhenUsed/>
    <w:rsid w:val="005541FD"/>
    <w:pPr>
      <w:tabs>
        <w:tab w:val="center" w:pos="4513"/>
        <w:tab w:val="right" w:pos="9026"/>
      </w:tabs>
      <w:spacing w:after="0" w:line="240" w:lineRule="auto"/>
    </w:pPr>
    <w:rPr>
      <w:rFonts w:eastAsia="Times New Roman"/>
      <w:szCs w:val="20"/>
      <w:lang w:eastAsia="en-AU"/>
    </w:rPr>
  </w:style>
  <w:style w:type="character" w:customStyle="1" w:styleId="FooterChar">
    <w:name w:val="Footer Char"/>
    <w:basedOn w:val="DefaultParagraphFont"/>
    <w:link w:val="Footer"/>
    <w:rsid w:val="005541FD"/>
    <w:rPr>
      <w:rFonts w:eastAsia="Times New Roman"/>
      <w:szCs w:val="20"/>
      <w:lang w:eastAsia="en-AU"/>
    </w:rPr>
  </w:style>
  <w:style w:type="character" w:customStyle="1" w:styleId="IntenseReference1">
    <w:name w:val="Intense Reference1"/>
    <w:basedOn w:val="DefaultParagraphFont"/>
    <w:uiPriority w:val="32"/>
    <w:qFormat/>
    <w:rsid w:val="005541FD"/>
    <w:rPr>
      <w:b/>
      <w:bCs/>
      <w:i/>
      <w:smallCaps/>
      <w:color w:val="C0504D"/>
      <w:spacing w:val="5"/>
      <w:u w:val="none"/>
    </w:rPr>
  </w:style>
  <w:style w:type="paragraph" w:customStyle="1" w:styleId="ActHead9">
    <w:name w:val="ActHead 9"/>
    <w:aliases w:val="aat"/>
    <w:basedOn w:val="Normal"/>
    <w:next w:val="Normal"/>
    <w:qFormat/>
    <w:rsid w:val="005541FD"/>
    <w:pPr>
      <w:keepNext/>
      <w:keepLines/>
      <w:spacing w:before="280" w:after="0" w:line="240" w:lineRule="auto"/>
      <w:ind w:left="1134" w:hanging="1134"/>
      <w:outlineLvl w:val="8"/>
    </w:pPr>
    <w:rPr>
      <w:rFonts w:eastAsia="Times New Roman"/>
      <w:b/>
      <w:i/>
      <w:kern w:val="28"/>
      <w:sz w:val="28"/>
      <w:szCs w:val="20"/>
      <w:lang w:eastAsia="en-AU"/>
    </w:rPr>
  </w:style>
  <w:style w:type="paragraph" w:styleId="NoSpacing">
    <w:name w:val="No Spacing"/>
    <w:uiPriority w:val="1"/>
    <w:qFormat/>
    <w:rsid w:val="005541FD"/>
    <w:pPr>
      <w:spacing w:after="0" w:line="240" w:lineRule="auto"/>
    </w:pPr>
    <w:rPr>
      <w:rFonts w:eastAsia="Times New Roman"/>
    </w:rPr>
  </w:style>
  <w:style w:type="paragraph" w:customStyle="1" w:styleId="ItemHead">
    <w:name w:val="ItemHead"/>
    <w:aliases w:val="ih"/>
    <w:basedOn w:val="Normal"/>
    <w:next w:val="Normal"/>
    <w:rsid w:val="005541FD"/>
    <w:pPr>
      <w:keepNext/>
      <w:keepLines/>
      <w:spacing w:before="220" w:after="0" w:line="240" w:lineRule="auto"/>
      <w:ind w:left="709" w:hanging="709"/>
    </w:pPr>
    <w:rPr>
      <w:rFonts w:ascii="Arial" w:eastAsia="Times New Roman" w:hAnsi="Arial"/>
      <w:b/>
      <w:kern w:val="28"/>
      <w:szCs w:val="20"/>
      <w:lang w:eastAsia="en-AU"/>
    </w:rPr>
  </w:style>
  <w:style w:type="paragraph" w:customStyle="1" w:styleId="Tablea">
    <w:name w:val="Table(a)"/>
    <w:aliases w:val="ta"/>
    <w:basedOn w:val="Normal"/>
    <w:rsid w:val="005541FD"/>
    <w:pPr>
      <w:spacing w:before="60" w:after="0" w:line="240" w:lineRule="auto"/>
      <w:ind w:left="284" w:hanging="284"/>
    </w:pPr>
    <w:rPr>
      <w:rFonts w:eastAsia="Times New Roman"/>
      <w:sz w:val="20"/>
      <w:szCs w:val="20"/>
      <w:lang w:eastAsia="en-AU"/>
    </w:rPr>
  </w:style>
  <w:style w:type="paragraph" w:customStyle="1" w:styleId="Tabletext">
    <w:name w:val="Tabletext"/>
    <w:aliases w:val="tt"/>
    <w:basedOn w:val="Normal"/>
    <w:rsid w:val="005541FD"/>
    <w:pPr>
      <w:spacing w:before="60" w:after="0" w:line="240" w:lineRule="atLeast"/>
    </w:pPr>
    <w:rPr>
      <w:rFonts w:eastAsia="Times New Roman"/>
      <w:sz w:val="20"/>
      <w:szCs w:val="20"/>
      <w:lang w:eastAsia="en-AU"/>
    </w:rPr>
  </w:style>
  <w:style w:type="paragraph" w:customStyle="1" w:styleId="Item">
    <w:name w:val="Item"/>
    <w:aliases w:val="i"/>
    <w:basedOn w:val="Normal"/>
    <w:next w:val="ItemHead"/>
    <w:rsid w:val="005541FD"/>
    <w:pPr>
      <w:keepLines/>
      <w:spacing w:before="80" w:after="0" w:line="240" w:lineRule="auto"/>
      <w:ind w:left="709"/>
    </w:pPr>
    <w:rPr>
      <w:rFonts w:eastAsia="Times New Roman"/>
      <w:sz w:val="22"/>
      <w:szCs w:val="20"/>
      <w:lang w:eastAsia="en-AU"/>
    </w:rPr>
  </w:style>
  <w:style w:type="paragraph" w:customStyle="1" w:styleId="PlainText1">
    <w:name w:val="Plain Text1"/>
    <w:basedOn w:val="Normal"/>
    <w:next w:val="PlainText"/>
    <w:link w:val="PlainTextChar"/>
    <w:uiPriority w:val="99"/>
    <w:unhideWhenUsed/>
    <w:rsid w:val="005541FD"/>
    <w:pPr>
      <w:spacing w:after="0" w:line="240" w:lineRule="auto"/>
    </w:pPr>
    <w:rPr>
      <w:rFonts w:ascii="Calibri" w:hAnsi="Calibri"/>
    </w:rPr>
  </w:style>
  <w:style w:type="character" w:customStyle="1" w:styleId="PlainTextChar">
    <w:name w:val="Plain Text Char"/>
    <w:basedOn w:val="DefaultParagraphFont"/>
    <w:link w:val="PlainText1"/>
    <w:uiPriority w:val="99"/>
    <w:rsid w:val="005541FD"/>
    <w:rPr>
      <w:rFonts w:ascii="Calibri" w:hAnsi="Calibri" w:cs="Times New Roman"/>
    </w:rPr>
  </w:style>
  <w:style w:type="paragraph" w:customStyle="1" w:styleId="H3">
    <w:name w:val="H3"/>
    <w:basedOn w:val="Normal"/>
    <w:next w:val="Normal"/>
    <w:rsid w:val="005541FD"/>
    <w:pPr>
      <w:keepNext/>
      <w:spacing w:before="100" w:after="100" w:line="240" w:lineRule="auto"/>
      <w:outlineLvl w:val="3"/>
    </w:pPr>
    <w:rPr>
      <w:rFonts w:eastAsia="Times New Roman"/>
      <w:b/>
      <w:bCs/>
      <w:sz w:val="28"/>
      <w:szCs w:val="28"/>
    </w:rPr>
  </w:style>
  <w:style w:type="paragraph" w:customStyle="1" w:styleId="pfparanumlevel10">
    <w:name w:val="pfparanumlevel10"/>
    <w:basedOn w:val="Normal"/>
    <w:rsid w:val="005541FD"/>
    <w:pPr>
      <w:spacing w:before="100" w:beforeAutospacing="1" w:after="100" w:afterAutospacing="1" w:line="240" w:lineRule="auto"/>
    </w:pPr>
    <w:rPr>
      <w:rFonts w:eastAsia="Times New Roman"/>
      <w:lang w:eastAsia="en-AU"/>
    </w:rPr>
  </w:style>
  <w:style w:type="character" w:customStyle="1" w:styleId="apple-converted-space">
    <w:name w:val="apple-converted-space"/>
    <w:basedOn w:val="DefaultParagraphFont"/>
    <w:rsid w:val="005541FD"/>
  </w:style>
  <w:style w:type="character" w:customStyle="1" w:styleId="ListParagraphChar">
    <w:name w:val="List Paragraph Char"/>
    <w:aliases w:val="List Paragraph1 Char,Recommendation Char,List Paragraph11 Char,dot point 1 Char,Body text Char,Bullet Point Char,Bullet point Char,Bulletr List Paragraph Char,Content descriptions Char,FooterText Char,L Char,List Bullet 1 Char,列 Char"/>
    <w:link w:val="ListParagraph"/>
    <w:uiPriority w:val="34"/>
    <w:qFormat/>
    <w:locked/>
    <w:rsid w:val="005541FD"/>
    <w:rPr>
      <w:rFonts w:eastAsia="Times New Roman"/>
      <w:lang w:eastAsia="en-AU"/>
    </w:rPr>
  </w:style>
  <w:style w:type="paragraph" w:customStyle="1" w:styleId="r1">
    <w:name w:val="r1"/>
    <w:basedOn w:val="Normal"/>
    <w:rsid w:val="005541FD"/>
    <w:pPr>
      <w:spacing w:before="100" w:beforeAutospacing="1" w:after="100" w:afterAutospacing="1" w:line="240" w:lineRule="auto"/>
    </w:pPr>
    <w:rPr>
      <w:rFonts w:eastAsia="Times New Roman"/>
      <w:lang w:eastAsia="en-AU"/>
    </w:rPr>
  </w:style>
  <w:style w:type="paragraph" w:customStyle="1" w:styleId="p1">
    <w:name w:val="p1"/>
    <w:basedOn w:val="Normal"/>
    <w:rsid w:val="005541FD"/>
    <w:pPr>
      <w:spacing w:before="100" w:beforeAutospacing="1" w:after="100" w:afterAutospacing="1" w:line="240" w:lineRule="auto"/>
    </w:pPr>
    <w:rPr>
      <w:rFonts w:eastAsia="Times New Roman"/>
      <w:lang w:eastAsia="en-AU"/>
    </w:rPr>
  </w:style>
  <w:style w:type="paragraph" w:customStyle="1" w:styleId="p2">
    <w:name w:val="p2"/>
    <w:basedOn w:val="Normal"/>
    <w:rsid w:val="005541FD"/>
    <w:pPr>
      <w:spacing w:before="100" w:beforeAutospacing="1" w:after="100" w:afterAutospacing="1" w:line="240" w:lineRule="auto"/>
    </w:pPr>
    <w:rPr>
      <w:rFonts w:eastAsia="Times New Roman"/>
      <w:lang w:eastAsia="en-AU"/>
    </w:rPr>
  </w:style>
  <w:style w:type="character" w:customStyle="1" w:styleId="Heading2Char">
    <w:name w:val="Heading 2 Char"/>
    <w:basedOn w:val="DefaultParagraphFont"/>
    <w:link w:val="Heading2"/>
    <w:uiPriority w:val="9"/>
    <w:rsid w:val="005541FD"/>
    <w:rPr>
      <w:rFonts w:ascii="Cambria" w:eastAsia="MS Gothic" w:hAnsi="Cambria" w:cs="Times New Roman"/>
      <w:b/>
      <w:bCs/>
      <w:color w:val="4F81BD"/>
      <w:sz w:val="26"/>
      <w:szCs w:val="26"/>
      <w:lang w:eastAsia="en-AU"/>
    </w:rPr>
  </w:style>
  <w:style w:type="paragraph" w:customStyle="1" w:styleId="paragraph">
    <w:name w:val="paragraph"/>
    <w:aliases w:val="a,Paragraph"/>
    <w:basedOn w:val="Normal"/>
    <w:link w:val="paragraphChar"/>
    <w:rsid w:val="005541FD"/>
    <w:pPr>
      <w:spacing w:before="100" w:beforeAutospacing="1" w:after="100" w:afterAutospacing="1" w:line="240" w:lineRule="auto"/>
    </w:pPr>
    <w:rPr>
      <w:rFonts w:eastAsia="Times New Roman"/>
      <w:lang w:eastAsia="en-AU"/>
    </w:rPr>
  </w:style>
  <w:style w:type="paragraph" w:customStyle="1" w:styleId="paragraphsub">
    <w:name w:val="paragraphsub"/>
    <w:basedOn w:val="Normal"/>
    <w:rsid w:val="005541FD"/>
    <w:pPr>
      <w:spacing w:before="100" w:beforeAutospacing="1" w:after="100" w:afterAutospacing="1" w:line="240" w:lineRule="auto"/>
    </w:pPr>
    <w:rPr>
      <w:rFonts w:eastAsia="Times New Roman"/>
      <w:lang w:eastAsia="en-AU"/>
    </w:rPr>
  </w:style>
  <w:style w:type="paragraph" w:customStyle="1" w:styleId="a3s">
    <w:name w:val="a3s"/>
    <w:basedOn w:val="Normal"/>
    <w:rsid w:val="005541FD"/>
    <w:pPr>
      <w:spacing w:before="100" w:beforeAutospacing="1" w:after="100" w:afterAutospacing="1" w:line="240" w:lineRule="auto"/>
    </w:pPr>
    <w:rPr>
      <w:rFonts w:eastAsia="Times New Roman"/>
      <w:lang w:eastAsia="en-AU"/>
    </w:rPr>
  </w:style>
  <w:style w:type="character" w:customStyle="1" w:styleId="FollowedHyperlink1">
    <w:name w:val="FollowedHyperlink1"/>
    <w:basedOn w:val="DefaultParagraphFont"/>
    <w:unhideWhenUsed/>
    <w:rsid w:val="005541FD"/>
    <w:rPr>
      <w:color w:val="800080"/>
      <w:u w:val="single"/>
    </w:rPr>
  </w:style>
  <w:style w:type="paragraph" w:customStyle="1" w:styleId="notedraft">
    <w:name w:val="note(draft)"/>
    <w:aliases w:val="nd"/>
    <w:basedOn w:val="Normal"/>
    <w:rsid w:val="005541FD"/>
    <w:pPr>
      <w:spacing w:before="240" w:after="0" w:line="240" w:lineRule="auto"/>
      <w:ind w:left="284" w:hanging="284"/>
    </w:pPr>
    <w:rPr>
      <w:rFonts w:eastAsia="Times New Roman"/>
      <w:i/>
      <w:szCs w:val="20"/>
      <w:lang w:eastAsia="en-AU"/>
    </w:rPr>
  </w:style>
  <w:style w:type="character" w:styleId="Emphasis">
    <w:name w:val="Emphasis"/>
    <w:basedOn w:val="DefaultParagraphFont"/>
    <w:qFormat/>
    <w:rsid w:val="005541FD"/>
    <w:rPr>
      <w:i/>
      <w:iCs/>
    </w:rPr>
  </w:style>
  <w:style w:type="character" w:styleId="Strong">
    <w:name w:val="Strong"/>
    <w:basedOn w:val="DefaultParagraphFont"/>
    <w:uiPriority w:val="22"/>
    <w:qFormat/>
    <w:rsid w:val="005541FD"/>
    <w:rPr>
      <w:b/>
      <w:bCs/>
    </w:rPr>
  </w:style>
  <w:style w:type="paragraph" w:customStyle="1" w:styleId="Title1">
    <w:name w:val="Title1"/>
    <w:basedOn w:val="Normal"/>
    <w:next w:val="Normal"/>
    <w:qFormat/>
    <w:rsid w:val="005541FD"/>
    <w:pPr>
      <w:pBdr>
        <w:bottom w:val="single" w:sz="8" w:space="4" w:color="4F81BD"/>
      </w:pBdr>
      <w:spacing w:after="300" w:line="240" w:lineRule="auto"/>
      <w:contextualSpacing/>
      <w:jc w:val="center"/>
    </w:pPr>
    <w:rPr>
      <w:rFonts w:ascii="Arial" w:eastAsia="MS Gothic" w:hAnsi="Arial"/>
      <w:b/>
      <w:kern w:val="28"/>
      <w:sz w:val="32"/>
      <w:szCs w:val="52"/>
    </w:rPr>
  </w:style>
  <w:style w:type="character" w:customStyle="1" w:styleId="TitleChar">
    <w:name w:val="Title Char"/>
    <w:basedOn w:val="DefaultParagraphFont"/>
    <w:link w:val="Title"/>
    <w:rsid w:val="005541FD"/>
    <w:rPr>
      <w:rFonts w:ascii="Arial" w:eastAsia="MS Gothic" w:hAnsi="Arial" w:cs="Times New Roman"/>
      <w:b/>
      <w:kern w:val="28"/>
      <w:sz w:val="32"/>
      <w:szCs w:val="52"/>
    </w:rPr>
  </w:style>
  <w:style w:type="character" w:customStyle="1" w:styleId="SubtleEmphasis1">
    <w:name w:val="Subtle Emphasis1"/>
    <w:basedOn w:val="DefaultParagraphFont"/>
    <w:uiPriority w:val="19"/>
    <w:qFormat/>
    <w:rsid w:val="005541FD"/>
    <w:rPr>
      <w:i/>
      <w:iCs/>
      <w:color w:val="808080"/>
    </w:rPr>
  </w:style>
  <w:style w:type="character" w:customStyle="1" w:styleId="IntenseEmphasis1">
    <w:name w:val="Intense Emphasis1"/>
    <w:basedOn w:val="DefaultParagraphFont"/>
    <w:uiPriority w:val="21"/>
    <w:qFormat/>
    <w:rsid w:val="005541FD"/>
    <w:rPr>
      <w:b/>
      <w:bCs/>
      <w:i/>
      <w:iCs/>
      <w:color w:val="4F81BD"/>
    </w:rPr>
  </w:style>
  <w:style w:type="paragraph" w:customStyle="1" w:styleId="Quote1">
    <w:name w:val="Quote1"/>
    <w:basedOn w:val="Normal"/>
    <w:next w:val="Normal"/>
    <w:uiPriority w:val="29"/>
    <w:qFormat/>
    <w:rsid w:val="005541FD"/>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5541FD"/>
    <w:rPr>
      <w:rFonts w:ascii="Times New Roman" w:eastAsia="Times New Roman" w:hAnsi="Times New Roman" w:cs="Times New Roman"/>
      <w:i/>
      <w:iCs/>
      <w:color w:val="000000"/>
      <w:sz w:val="24"/>
      <w:szCs w:val="24"/>
    </w:rPr>
  </w:style>
  <w:style w:type="paragraph" w:customStyle="1" w:styleId="IntenseQuote1">
    <w:name w:val="Intense Quote1"/>
    <w:basedOn w:val="Normal"/>
    <w:next w:val="Normal"/>
    <w:uiPriority w:val="30"/>
    <w:qFormat/>
    <w:rsid w:val="005541FD"/>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5541FD"/>
    <w:rPr>
      <w:rFonts w:ascii="Times New Roman" w:eastAsia="Times New Roman" w:hAnsi="Times New Roman" w:cs="Times New Roman"/>
      <w:b/>
      <w:bCs/>
      <w:i/>
      <w:iCs/>
      <w:color w:val="4F81BD"/>
      <w:sz w:val="24"/>
      <w:szCs w:val="24"/>
    </w:rPr>
  </w:style>
  <w:style w:type="character" w:customStyle="1" w:styleId="SubtleReference1">
    <w:name w:val="Subtle Reference1"/>
    <w:basedOn w:val="DefaultParagraphFont"/>
    <w:uiPriority w:val="31"/>
    <w:qFormat/>
    <w:rsid w:val="005541FD"/>
    <w:rPr>
      <w:smallCaps/>
      <w:color w:val="C0504D"/>
      <w:u w:val="single"/>
    </w:rPr>
  </w:style>
  <w:style w:type="character" w:styleId="BookTitle">
    <w:name w:val="Book Title"/>
    <w:basedOn w:val="DefaultParagraphFont"/>
    <w:uiPriority w:val="33"/>
    <w:qFormat/>
    <w:rsid w:val="005541FD"/>
    <w:rPr>
      <w:b/>
      <w:bCs/>
      <w:smallCaps/>
      <w:spacing w:val="5"/>
    </w:rPr>
  </w:style>
  <w:style w:type="character" w:customStyle="1" w:styleId="CharDivText">
    <w:name w:val="CharDivText"/>
    <w:basedOn w:val="DefaultParagraphFont"/>
    <w:uiPriority w:val="1"/>
    <w:qFormat/>
    <w:rsid w:val="005541FD"/>
  </w:style>
  <w:style w:type="character" w:customStyle="1" w:styleId="CABNETParagraphChar">
    <w:name w:val="CABNET Paragraph. Char"/>
    <w:basedOn w:val="DefaultParagraphFont"/>
    <w:link w:val="CABNETParagraph"/>
    <w:uiPriority w:val="98"/>
    <w:locked/>
    <w:rsid w:val="005541FD"/>
    <w:rPr>
      <w:rFonts w:ascii="Arial" w:hAnsi="Arial" w:cs="Arial"/>
    </w:rPr>
  </w:style>
  <w:style w:type="paragraph" w:customStyle="1" w:styleId="CABNETParagraph">
    <w:name w:val="CABNET Paragraph."/>
    <w:basedOn w:val="Normal"/>
    <w:link w:val="CABNETParagraphChar"/>
    <w:uiPriority w:val="98"/>
    <w:rsid w:val="005541FD"/>
    <w:pPr>
      <w:spacing w:before="120" w:after="120" w:line="240" w:lineRule="auto"/>
    </w:pPr>
    <w:rPr>
      <w:rFonts w:ascii="Arial" w:hAnsi="Arial" w:cs="Arial"/>
    </w:rPr>
  </w:style>
  <w:style w:type="character" w:customStyle="1" w:styleId="paragraphChar">
    <w:name w:val="paragraph Char"/>
    <w:aliases w:val="a Char,Paragraph Char"/>
    <w:basedOn w:val="DefaultParagraphFont"/>
    <w:link w:val="paragraph"/>
    <w:locked/>
    <w:rsid w:val="005541FD"/>
    <w:rPr>
      <w:rFonts w:eastAsia="Times New Roman"/>
      <w:lang w:eastAsia="en-AU"/>
    </w:rPr>
  </w:style>
  <w:style w:type="character" w:customStyle="1" w:styleId="UnresolvedMention1">
    <w:name w:val="Unresolved Mention1"/>
    <w:basedOn w:val="DefaultParagraphFont"/>
    <w:uiPriority w:val="99"/>
    <w:semiHidden/>
    <w:unhideWhenUsed/>
    <w:rsid w:val="005541FD"/>
    <w:rPr>
      <w:color w:val="605E5C"/>
      <w:shd w:val="clear" w:color="auto" w:fill="E1DFDD"/>
    </w:rPr>
  </w:style>
  <w:style w:type="paragraph" w:customStyle="1" w:styleId="paragraphsub0">
    <w:name w:val="paragraph(sub)"/>
    <w:aliases w:val="aa"/>
    <w:basedOn w:val="Normal"/>
    <w:rsid w:val="005541FD"/>
    <w:pPr>
      <w:tabs>
        <w:tab w:val="right" w:pos="1985"/>
      </w:tabs>
      <w:spacing w:before="40" w:after="0" w:line="240" w:lineRule="auto"/>
      <w:ind w:left="2098" w:hanging="2098"/>
    </w:pPr>
    <w:rPr>
      <w:rFonts w:eastAsia="Times New Roman"/>
      <w:sz w:val="22"/>
      <w:szCs w:val="20"/>
      <w:lang w:eastAsia="en-AU"/>
    </w:rPr>
  </w:style>
  <w:style w:type="paragraph" w:customStyle="1" w:styleId="definition">
    <w:name w:val="definition"/>
    <w:basedOn w:val="Normal"/>
    <w:rsid w:val="005541FD"/>
    <w:pPr>
      <w:spacing w:before="100" w:beforeAutospacing="1" w:after="100" w:afterAutospacing="1" w:line="240" w:lineRule="auto"/>
    </w:pPr>
    <w:rPr>
      <w:rFonts w:eastAsia="Times New Roman"/>
      <w:lang w:eastAsia="en-AU"/>
    </w:rPr>
  </w:style>
  <w:style w:type="character" w:customStyle="1" w:styleId="CharAmPartNo">
    <w:name w:val="CharAmPartNo"/>
    <w:basedOn w:val="DefaultParagraphFont"/>
    <w:qFormat/>
    <w:rsid w:val="005541FD"/>
  </w:style>
  <w:style w:type="character" w:customStyle="1" w:styleId="CharAmPartText">
    <w:name w:val="CharAmPartText"/>
    <w:basedOn w:val="DefaultParagraphFont"/>
    <w:qFormat/>
    <w:rsid w:val="005541FD"/>
  </w:style>
  <w:style w:type="character" w:customStyle="1" w:styleId="UnresolvedMention2">
    <w:name w:val="Unresolved Mention2"/>
    <w:basedOn w:val="DefaultParagraphFont"/>
    <w:uiPriority w:val="99"/>
    <w:semiHidden/>
    <w:unhideWhenUsed/>
    <w:rsid w:val="005541FD"/>
    <w:rPr>
      <w:color w:val="605E5C"/>
      <w:shd w:val="clear" w:color="auto" w:fill="E1DFDD"/>
    </w:rPr>
  </w:style>
  <w:style w:type="paragraph" w:customStyle="1" w:styleId="FootnoteText1">
    <w:name w:val="Footnote Text1"/>
    <w:basedOn w:val="Normal"/>
    <w:next w:val="FootnoteText"/>
    <w:link w:val="FootnoteTextChar"/>
    <w:uiPriority w:val="99"/>
    <w:semiHidden/>
    <w:unhideWhenUsed/>
    <w:rsid w:val="005541FD"/>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5541FD"/>
    <w:rPr>
      <w:sz w:val="20"/>
      <w:szCs w:val="20"/>
    </w:rPr>
  </w:style>
  <w:style w:type="character" w:styleId="FootnoteReference">
    <w:name w:val="footnote reference"/>
    <w:basedOn w:val="DefaultParagraphFont"/>
    <w:uiPriority w:val="99"/>
    <w:semiHidden/>
    <w:unhideWhenUsed/>
    <w:rsid w:val="005541FD"/>
    <w:rPr>
      <w:vertAlign w:val="superscript"/>
    </w:rPr>
  </w:style>
  <w:style w:type="character" w:styleId="Hyperlink">
    <w:name w:val="Hyperlink"/>
    <w:basedOn w:val="DefaultParagraphFont"/>
    <w:uiPriority w:val="99"/>
    <w:semiHidden/>
    <w:unhideWhenUsed/>
    <w:rsid w:val="005541FD"/>
    <w:rPr>
      <w:color w:val="0563C1" w:themeColor="hyperlink"/>
      <w:u w:val="single"/>
    </w:rPr>
  </w:style>
  <w:style w:type="character" w:styleId="IntenseReference">
    <w:name w:val="Intense Reference"/>
    <w:basedOn w:val="DefaultParagraphFont"/>
    <w:uiPriority w:val="32"/>
    <w:qFormat/>
    <w:rsid w:val="005541FD"/>
    <w:rPr>
      <w:b/>
      <w:bCs/>
      <w:smallCaps/>
      <w:color w:val="4472C4" w:themeColor="accent1"/>
      <w:spacing w:val="5"/>
    </w:rPr>
  </w:style>
  <w:style w:type="paragraph" w:styleId="PlainText">
    <w:name w:val="Plain Text"/>
    <w:basedOn w:val="Normal"/>
    <w:link w:val="PlainTextChar1"/>
    <w:uiPriority w:val="99"/>
    <w:semiHidden/>
    <w:unhideWhenUsed/>
    <w:rsid w:val="005541FD"/>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5541FD"/>
    <w:rPr>
      <w:rFonts w:ascii="Consolas" w:hAnsi="Consolas"/>
      <w:sz w:val="21"/>
      <w:szCs w:val="21"/>
    </w:rPr>
  </w:style>
  <w:style w:type="character" w:customStyle="1" w:styleId="Heading2Char1">
    <w:name w:val="Heading 2 Char1"/>
    <w:basedOn w:val="DefaultParagraphFont"/>
    <w:uiPriority w:val="9"/>
    <w:semiHidden/>
    <w:rsid w:val="005541FD"/>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541FD"/>
    <w:rPr>
      <w:color w:val="954F72" w:themeColor="followedHyperlink"/>
      <w:u w:val="single"/>
    </w:rPr>
  </w:style>
  <w:style w:type="paragraph" w:styleId="Title">
    <w:name w:val="Title"/>
    <w:basedOn w:val="Normal"/>
    <w:next w:val="Normal"/>
    <w:link w:val="TitleChar"/>
    <w:qFormat/>
    <w:rsid w:val="005541FD"/>
    <w:pPr>
      <w:spacing w:after="0" w:line="240" w:lineRule="auto"/>
      <w:contextualSpacing/>
    </w:pPr>
    <w:rPr>
      <w:rFonts w:ascii="Arial" w:eastAsia="MS Gothic" w:hAnsi="Arial"/>
      <w:b/>
      <w:kern w:val="28"/>
      <w:sz w:val="32"/>
      <w:szCs w:val="52"/>
    </w:rPr>
  </w:style>
  <w:style w:type="character" w:customStyle="1" w:styleId="TitleChar1">
    <w:name w:val="Title Char1"/>
    <w:basedOn w:val="DefaultParagraphFont"/>
    <w:uiPriority w:val="10"/>
    <w:rsid w:val="005541FD"/>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5541FD"/>
    <w:rPr>
      <w:i/>
      <w:iCs/>
      <w:color w:val="404040" w:themeColor="text1" w:themeTint="BF"/>
    </w:rPr>
  </w:style>
  <w:style w:type="character" w:styleId="IntenseEmphasis">
    <w:name w:val="Intense Emphasis"/>
    <w:basedOn w:val="DefaultParagraphFont"/>
    <w:uiPriority w:val="21"/>
    <w:qFormat/>
    <w:rsid w:val="005541FD"/>
    <w:rPr>
      <w:i/>
      <w:iCs/>
      <w:color w:val="4472C4" w:themeColor="accent1"/>
    </w:rPr>
  </w:style>
  <w:style w:type="paragraph" w:styleId="Quote">
    <w:name w:val="Quote"/>
    <w:basedOn w:val="Normal"/>
    <w:next w:val="Normal"/>
    <w:link w:val="QuoteChar"/>
    <w:uiPriority w:val="29"/>
    <w:qFormat/>
    <w:rsid w:val="005541FD"/>
    <w:pPr>
      <w:spacing w:before="200"/>
      <w:ind w:left="864" w:right="864"/>
      <w:jc w:val="center"/>
    </w:pPr>
    <w:rPr>
      <w:rFonts w:eastAsia="Times New Roman"/>
      <w:i/>
      <w:iCs/>
      <w:color w:val="000000"/>
    </w:rPr>
  </w:style>
  <w:style w:type="character" w:customStyle="1" w:styleId="QuoteChar1">
    <w:name w:val="Quote Char1"/>
    <w:basedOn w:val="DefaultParagraphFont"/>
    <w:uiPriority w:val="29"/>
    <w:rsid w:val="005541FD"/>
    <w:rPr>
      <w:i/>
      <w:iCs/>
      <w:color w:val="404040" w:themeColor="text1" w:themeTint="BF"/>
    </w:rPr>
  </w:style>
  <w:style w:type="paragraph" w:styleId="IntenseQuote">
    <w:name w:val="Intense Quote"/>
    <w:basedOn w:val="Normal"/>
    <w:next w:val="Normal"/>
    <w:link w:val="IntenseQuoteChar"/>
    <w:uiPriority w:val="30"/>
    <w:qFormat/>
    <w:rsid w:val="005541FD"/>
    <w:pPr>
      <w:pBdr>
        <w:top w:val="single" w:sz="4" w:space="10" w:color="4472C4" w:themeColor="accent1"/>
        <w:bottom w:val="single" w:sz="4" w:space="10" w:color="4472C4" w:themeColor="accent1"/>
      </w:pBdr>
      <w:spacing w:before="360" w:after="360"/>
      <w:ind w:left="864" w:right="864"/>
      <w:jc w:val="center"/>
    </w:pPr>
    <w:rPr>
      <w:rFonts w:eastAsia="Times New Roman"/>
      <w:b/>
      <w:bCs/>
      <w:i/>
      <w:iCs/>
      <w:color w:val="4F81BD"/>
    </w:rPr>
  </w:style>
  <w:style w:type="character" w:customStyle="1" w:styleId="IntenseQuoteChar1">
    <w:name w:val="Intense Quote Char1"/>
    <w:basedOn w:val="DefaultParagraphFont"/>
    <w:uiPriority w:val="30"/>
    <w:rsid w:val="005541FD"/>
    <w:rPr>
      <w:i/>
      <w:iCs/>
      <w:color w:val="4472C4" w:themeColor="accent1"/>
    </w:rPr>
  </w:style>
  <w:style w:type="character" w:styleId="SubtleReference">
    <w:name w:val="Subtle Reference"/>
    <w:basedOn w:val="DefaultParagraphFont"/>
    <w:uiPriority w:val="31"/>
    <w:qFormat/>
    <w:rsid w:val="005541FD"/>
    <w:rPr>
      <w:smallCaps/>
      <w:color w:val="5A5A5A" w:themeColor="text1" w:themeTint="A5"/>
    </w:rPr>
  </w:style>
  <w:style w:type="paragraph" w:styleId="FootnoteText">
    <w:name w:val="footnote text"/>
    <w:basedOn w:val="Normal"/>
    <w:link w:val="FootnoteTextChar1"/>
    <w:uiPriority w:val="99"/>
    <w:semiHidden/>
    <w:unhideWhenUsed/>
    <w:rsid w:val="005541F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5541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95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B14C535-042D-4085-9C43-D777524AF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420EB7382B82D4B92E7A20B3CE37B24" ma:contentTypeVersion="" ma:contentTypeDescription="PDMS Document Site Content Type" ma:contentTypeScope="" ma:versionID="4c34b75463a4c3e8b72b1e6e45ec1496">
  <xsd:schema xmlns:xsd="http://www.w3.org/2001/XMLSchema" xmlns:xs="http://www.w3.org/2001/XMLSchema" xmlns:p="http://schemas.microsoft.com/office/2006/metadata/properties" xmlns:ns2="8B14C535-042D-4085-9C43-D777524AFD14" targetNamespace="http://schemas.microsoft.com/office/2006/metadata/properties" ma:root="true" ma:fieldsID="4a6d639f6f92a35fc8df0b1ab3b0ebb3" ns2:_="">
    <xsd:import namespace="8B14C535-042D-4085-9C43-D777524AFD1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4C535-042D-4085-9C43-D777524AFD1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86E44-9222-48DC-93F6-142B045D2306}">
  <ds:schemaRefs>
    <ds:schemaRef ds:uri="http://schemas.microsoft.com/office/2006/metadata/properties"/>
    <ds:schemaRef ds:uri="http://schemas.microsoft.com/office/infopath/2007/PartnerControls"/>
    <ds:schemaRef ds:uri="8B14C535-042D-4085-9C43-D777524AFD14"/>
  </ds:schemaRefs>
</ds:datastoreItem>
</file>

<file path=customXml/itemProps2.xml><?xml version="1.0" encoding="utf-8"?>
<ds:datastoreItem xmlns:ds="http://schemas.openxmlformats.org/officeDocument/2006/customXml" ds:itemID="{DDEF7B3E-8093-4724-A9D1-A65B530DC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4C535-042D-4085-9C43-D777524AF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3E95-9FA7-4242-A0E5-394CF34026A9}">
  <ds:schemaRefs>
    <ds:schemaRef ds:uri="http://schemas.openxmlformats.org/officeDocument/2006/bibliography"/>
  </ds:schemaRefs>
</ds:datastoreItem>
</file>

<file path=customXml/itemProps4.xml><?xml version="1.0" encoding="utf-8"?>
<ds:datastoreItem xmlns:ds="http://schemas.openxmlformats.org/officeDocument/2006/customXml" ds:itemID="{B64A8402-F52D-47C6-9847-200A505BC6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4442</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Lynne</dc:creator>
  <cp:keywords/>
  <dc:description/>
  <cp:lastModifiedBy>Diana</cp:lastModifiedBy>
  <cp:revision>5</cp:revision>
  <cp:lastPrinted>2023-11-29T01:12:00Z</cp:lastPrinted>
  <dcterms:created xsi:type="dcterms:W3CDTF">2025-02-06T01:26:00Z</dcterms:created>
  <dcterms:modified xsi:type="dcterms:W3CDTF">2025-02-06T03:32:00Z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0x010100266966F133664895A6EE3632470D45F500A420EB7382B82D4B92E7A20B3CE37B24</vt:lpwstr>
  </property>
</Properties>
</file>