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3FCB" w14:textId="6F0F39BA" w:rsidR="00315256" w:rsidRDefault="00315256" w:rsidP="00315256">
      <w:pPr>
        <w:pStyle w:val="CoverTitle"/>
        <w:spacing w:after="600"/>
        <w:jc w:val="center"/>
      </w:pPr>
      <w:r>
        <w:t>Explanatory Statement</w:t>
      </w:r>
    </w:p>
    <w:p w14:paraId="1AD081E1" w14:textId="4831CC1D" w:rsidR="001A2B0E" w:rsidRDefault="001A2B0E" w:rsidP="001A2B0E">
      <w:pPr>
        <w:pStyle w:val="CoverTitle"/>
        <w:spacing w:after="120"/>
        <w:jc w:val="center"/>
        <w:rPr>
          <w:i/>
          <w:sz w:val="36"/>
          <w:szCs w:val="36"/>
        </w:rPr>
      </w:pPr>
      <w:r w:rsidRPr="00347521">
        <w:rPr>
          <w:sz w:val="36"/>
          <w:szCs w:val="36"/>
        </w:rPr>
        <w:t xml:space="preserve">Accounting Standard </w:t>
      </w:r>
      <w:r w:rsidRPr="001502DF">
        <w:rPr>
          <w:sz w:val="36"/>
          <w:szCs w:val="36"/>
        </w:rPr>
        <w:t>AASB 202</w:t>
      </w:r>
      <w:r w:rsidR="00AF0C7A">
        <w:rPr>
          <w:sz w:val="36"/>
          <w:szCs w:val="36"/>
        </w:rPr>
        <w:t>5</w:t>
      </w:r>
      <w:r w:rsidRPr="001502DF">
        <w:rPr>
          <w:sz w:val="36"/>
          <w:szCs w:val="36"/>
        </w:rPr>
        <w:t>-</w:t>
      </w:r>
      <w:r w:rsidR="00AF0C7A">
        <w:rPr>
          <w:sz w:val="36"/>
          <w:szCs w:val="36"/>
        </w:rPr>
        <w:t>1</w:t>
      </w:r>
      <w:r>
        <w:rPr>
          <w:sz w:val="36"/>
          <w:szCs w:val="36"/>
        </w:rPr>
        <w:br/>
      </w:r>
      <w:r w:rsidRPr="004D1170">
        <w:rPr>
          <w:i/>
          <w:sz w:val="36"/>
          <w:szCs w:val="36"/>
        </w:rPr>
        <w:t xml:space="preserve">Amendments to Australian Accounting Standards – </w:t>
      </w:r>
      <w:r>
        <w:rPr>
          <w:i/>
          <w:sz w:val="36"/>
          <w:szCs w:val="36"/>
        </w:rPr>
        <w:br/>
      </w:r>
      <w:r w:rsidR="002E1F3F" w:rsidRPr="002E1F3F">
        <w:rPr>
          <w:i/>
          <w:sz w:val="36"/>
          <w:szCs w:val="36"/>
        </w:rPr>
        <w:t>Contracts Referencing Nature-dependent Electricity</w:t>
      </w:r>
    </w:p>
    <w:p w14:paraId="7D701C95" w14:textId="77777777" w:rsidR="00315256" w:rsidRPr="006776BD" w:rsidRDefault="00315256" w:rsidP="00315256">
      <w:pPr>
        <w:pStyle w:val="CoverSubtitle"/>
        <w:spacing w:after="3120"/>
        <w:rPr>
          <w:sz w:val="32"/>
          <w:szCs w:val="32"/>
        </w:rPr>
      </w:pPr>
    </w:p>
    <w:p w14:paraId="510585E0" w14:textId="48F3D704" w:rsidR="00315256" w:rsidRPr="00F62F5C" w:rsidRDefault="002E1F3F" w:rsidP="00A62773">
      <w:pPr>
        <w:pStyle w:val="CoverDate"/>
        <w:tabs>
          <w:tab w:val="left" w:pos="3794"/>
          <w:tab w:val="left" w:pos="6232"/>
        </w:tabs>
        <w:jc w:val="center"/>
        <w:rPr>
          <w:b/>
          <w:sz w:val="28"/>
          <w:szCs w:val="28"/>
        </w:rPr>
      </w:pPr>
      <w:r>
        <w:rPr>
          <w:b/>
          <w:sz w:val="28"/>
          <w:szCs w:val="28"/>
        </w:rPr>
        <w:t>February</w:t>
      </w:r>
      <w:r w:rsidR="00315256">
        <w:rPr>
          <w:b/>
          <w:sz w:val="28"/>
          <w:szCs w:val="28"/>
        </w:rPr>
        <w:t xml:space="preserve"> 202</w:t>
      </w:r>
      <w:r>
        <w:rPr>
          <w:b/>
          <w:sz w:val="28"/>
          <w:szCs w:val="28"/>
        </w:rPr>
        <w:t>5</w:t>
      </w:r>
    </w:p>
    <w:p w14:paraId="25C811DB" w14:textId="77777777" w:rsidR="00315256" w:rsidRDefault="00315256" w:rsidP="00315256"/>
    <w:p w14:paraId="7355ADDE" w14:textId="2B757275" w:rsidR="00973F7A" w:rsidRPr="00781837" w:rsidRDefault="00973F7A" w:rsidP="00973F7A">
      <w:pPr>
        <w:spacing w:before="5760" w:line="240" w:lineRule="auto"/>
      </w:pPr>
      <w:r>
        <w:rPr>
          <w:noProof/>
        </w:rPr>
        <w:drawing>
          <wp:inline distT="0" distB="0" distL="0" distR="0" wp14:anchorId="375D709F" wp14:editId="1D094EBA">
            <wp:extent cx="1571625" cy="1219200"/>
            <wp:effectExtent l="0" t="0" r="9525" b="0"/>
            <wp:docPr id="476742369" name="Picture 2" descr="Logo of the Australian Accounting Standards Board&#10;&#10;Australian crest, with text naming the Australian Government and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42369" name="Picture 2" descr="Logo of the Australian Accounting Standards Board&#10;&#10;Australian crest, with text naming the Australian Government and the Australian Accounting Standards Bo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625" cy="1219200"/>
                    </a:xfrm>
                    <a:prstGeom prst="rect">
                      <a:avLst/>
                    </a:prstGeom>
                    <a:noFill/>
                    <a:ln>
                      <a:noFill/>
                    </a:ln>
                  </pic:spPr>
                </pic:pic>
              </a:graphicData>
            </a:graphic>
          </wp:inline>
        </w:drawing>
      </w:r>
    </w:p>
    <w:p w14:paraId="38FC0520" w14:textId="77777777" w:rsidR="00973F7A" w:rsidRPr="00781837" w:rsidRDefault="00973F7A" w:rsidP="00973F7A">
      <w:pPr>
        <w:spacing w:line="240" w:lineRule="auto"/>
        <w:sectPr w:rsidR="00973F7A" w:rsidRPr="00781837" w:rsidSect="00973F7A">
          <w:pgSz w:w="11907" w:h="16840"/>
          <w:pgMar w:top="1134" w:right="1134" w:bottom="1134" w:left="1134" w:header="720" w:footer="720" w:gutter="0"/>
          <w:cols w:space="720"/>
        </w:sectPr>
      </w:pPr>
    </w:p>
    <w:p w14:paraId="1397696A" w14:textId="77777777" w:rsidR="00414BC3" w:rsidRDefault="00414BC3">
      <w:pPr>
        <w:pStyle w:val="Heading1"/>
      </w:pPr>
      <w:r>
        <w:lastRenderedPageBreak/>
        <w:t>EXPLANATORY STATEMENT</w:t>
      </w:r>
    </w:p>
    <w:p w14:paraId="1397696B" w14:textId="0BFDCC7D" w:rsidR="00FD4C0C" w:rsidRDefault="006B1B4A" w:rsidP="00FD4C0C">
      <w:pPr>
        <w:pStyle w:val="Heading2"/>
      </w:pPr>
      <w:r>
        <w:t>Standards Amended by</w:t>
      </w:r>
      <w:r w:rsidR="00FD4C0C">
        <w:t xml:space="preserve"> AASB </w:t>
      </w:r>
      <w:r w:rsidR="00E9679F">
        <w:t>202</w:t>
      </w:r>
      <w:r w:rsidR="002E1F3F">
        <w:t>5</w:t>
      </w:r>
      <w:r w:rsidR="00E9679F">
        <w:t>-</w:t>
      </w:r>
      <w:r w:rsidR="002E1F3F">
        <w:t>1</w:t>
      </w:r>
    </w:p>
    <w:p w14:paraId="4EB11FFB" w14:textId="77777777" w:rsidR="00EF5374" w:rsidRDefault="00EF5374" w:rsidP="00EF5374">
      <w:pPr>
        <w:pStyle w:val="NoNumPlain1"/>
      </w:pPr>
      <w:r>
        <w:t xml:space="preserve">This Standard makes amendments to AASB 7 </w:t>
      </w:r>
      <w:r w:rsidRPr="00711432">
        <w:rPr>
          <w:i/>
          <w:iCs/>
        </w:rPr>
        <w:t>Financial Instruments: Disclosures</w:t>
      </w:r>
      <w:r>
        <w:t xml:space="preserve"> (August 2015) and AASB 9</w:t>
      </w:r>
      <w:r w:rsidRPr="006960AE">
        <w:t xml:space="preserve"> </w:t>
      </w:r>
      <w:r w:rsidRPr="00711432">
        <w:rPr>
          <w:i/>
          <w:iCs/>
        </w:rPr>
        <w:t>Financial Instruments</w:t>
      </w:r>
      <w:r>
        <w:t xml:space="preserve"> (December 2014).</w:t>
      </w:r>
    </w:p>
    <w:p w14:paraId="48D1E3EF" w14:textId="27FAD4B1" w:rsidR="006A0323" w:rsidRDefault="006A0323" w:rsidP="00EF5374">
      <w:pPr>
        <w:pStyle w:val="NoNumPlain1"/>
      </w:pPr>
      <w:r>
        <w:t>These amendments arise from the issuance of International Financial Reporting Standard</w:t>
      </w:r>
      <w:r w:rsidRPr="00A71D7C">
        <w:rPr>
          <w:i/>
          <w:iCs/>
        </w:rPr>
        <w:t xml:space="preserve"> </w:t>
      </w:r>
      <w:r w:rsidR="00EA27BA" w:rsidRPr="00EA27BA">
        <w:rPr>
          <w:i/>
          <w:iCs/>
        </w:rPr>
        <w:t>Contracts Referencing Nature-dependent Electricity</w:t>
      </w:r>
      <w:r w:rsidR="00EA27BA" w:rsidRPr="00A71D7C">
        <w:rPr>
          <w:i/>
          <w:iCs/>
        </w:rPr>
        <w:t xml:space="preserve"> </w:t>
      </w:r>
      <w:r w:rsidR="0076613B">
        <w:t>(</w:t>
      </w:r>
      <w:r w:rsidRPr="00CA0B9B">
        <w:t>Amendments to IFRS 9 and IFRS 7</w:t>
      </w:r>
      <w:r w:rsidR="0076613B">
        <w:t>)</w:t>
      </w:r>
      <w:r>
        <w:t xml:space="preserve"> by the International Accounting Standards Board </w:t>
      </w:r>
      <w:r w:rsidR="00E57449">
        <w:t xml:space="preserve">(IASB) </w:t>
      </w:r>
      <w:r>
        <w:t xml:space="preserve">in </w:t>
      </w:r>
      <w:r w:rsidR="00EA27BA">
        <w:t>December</w:t>
      </w:r>
      <w:r>
        <w:t xml:space="preserve"> 2024</w:t>
      </w:r>
      <w:r w:rsidR="00B82DE7">
        <w:t>.</w:t>
      </w:r>
    </w:p>
    <w:p w14:paraId="13976970" w14:textId="1A8C94E1" w:rsidR="00FD4C0C" w:rsidRDefault="00FD4C0C" w:rsidP="00FD4C0C">
      <w:pPr>
        <w:pStyle w:val="Heading2"/>
      </w:pPr>
      <w:r>
        <w:t xml:space="preserve">Main Features of AASB </w:t>
      </w:r>
      <w:r w:rsidR="00E9679F">
        <w:t>202</w:t>
      </w:r>
      <w:r w:rsidR="0096595A">
        <w:t>5</w:t>
      </w:r>
      <w:r w:rsidR="00E9679F">
        <w:t>-</w:t>
      </w:r>
      <w:r w:rsidR="0096595A">
        <w:t>1</w:t>
      </w:r>
    </w:p>
    <w:p w14:paraId="6AC1BBFF" w14:textId="77777777" w:rsidR="006804CC" w:rsidRPr="00574242" w:rsidRDefault="006804CC" w:rsidP="006804CC">
      <w:pPr>
        <w:pStyle w:val="NoNumPlain1"/>
      </w:pPr>
      <w:r w:rsidRPr="00574242">
        <w:t>Nature-dependent electricity contracts help entities to secure their electricity supply from sources such as wind and solar power. The amount of electricity generated under these contracts can vary based on uncontrollable factors such as weather conditions.</w:t>
      </w:r>
    </w:p>
    <w:p w14:paraId="25561E20" w14:textId="77777777" w:rsidR="006804CC" w:rsidRPr="00574242" w:rsidRDefault="006804CC" w:rsidP="006804CC">
      <w:pPr>
        <w:pStyle w:val="NoNumPlain1"/>
      </w:pPr>
      <w:r w:rsidRPr="00574242">
        <w:t>This Standard amends AASB 7 and AASB 9 to allow entities to better reflect these contracts in the financial statements. The amendments:</w:t>
      </w:r>
    </w:p>
    <w:p w14:paraId="73CE6818" w14:textId="77777777" w:rsidR="006804CC" w:rsidRPr="00574242" w:rsidRDefault="006804CC" w:rsidP="0058035C">
      <w:pPr>
        <w:pStyle w:val="NoNumPlain1"/>
        <w:numPr>
          <w:ilvl w:val="0"/>
          <w:numId w:val="26"/>
        </w:numPr>
        <w:ind w:left="782" w:hanging="782"/>
      </w:pPr>
      <w:r w:rsidRPr="00574242">
        <w:t>clarify the application of the ‘own-use’ criteria to nature-dependent electricity contracts;</w:t>
      </w:r>
    </w:p>
    <w:p w14:paraId="507C62F2" w14:textId="77777777" w:rsidR="006804CC" w:rsidRPr="00574242" w:rsidRDefault="006804CC" w:rsidP="0058035C">
      <w:pPr>
        <w:pStyle w:val="NoNumPlain1"/>
        <w:numPr>
          <w:ilvl w:val="0"/>
          <w:numId w:val="26"/>
        </w:numPr>
        <w:ind w:left="782" w:hanging="782"/>
      </w:pPr>
      <w:r w:rsidRPr="00574242">
        <w:t>permit hedge accounting if these contracts are used as hedging instruments; and</w:t>
      </w:r>
    </w:p>
    <w:p w14:paraId="4EECAC10" w14:textId="77777777" w:rsidR="006804CC" w:rsidRPr="00574242" w:rsidRDefault="006804CC" w:rsidP="0058035C">
      <w:pPr>
        <w:pStyle w:val="NoNumPlain1"/>
        <w:numPr>
          <w:ilvl w:val="0"/>
          <w:numId w:val="26"/>
        </w:numPr>
        <w:ind w:left="782" w:hanging="782"/>
      </w:pPr>
      <w:r w:rsidRPr="00574242">
        <w:t>add new disclosure requirements to enable users of financial statements to better understand the effect of these contracts on an entity’s financial performance and cash flows.</w:t>
      </w:r>
    </w:p>
    <w:p w14:paraId="72B3C873" w14:textId="77777777" w:rsidR="0031196F" w:rsidRDefault="0031196F" w:rsidP="0031196F">
      <w:pPr>
        <w:pStyle w:val="Heading3"/>
      </w:pPr>
      <w:r>
        <w:t>Application Date</w:t>
      </w:r>
    </w:p>
    <w:p w14:paraId="761DDDC2" w14:textId="390EC040" w:rsidR="0031196F" w:rsidRDefault="0031196F" w:rsidP="0031196F">
      <w:pPr>
        <w:pStyle w:val="NoNumPlain1"/>
      </w:pPr>
      <w:r w:rsidRPr="002A6880">
        <w:t>This Standard applies to annual periods beginning on or after 1 January 202</w:t>
      </w:r>
      <w:r w:rsidR="00607362">
        <w:t>6</w:t>
      </w:r>
      <w:r w:rsidR="00FC2A1E">
        <w:t>, with earlier application permitted</w:t>
      </w:r>
      <w:r>
        <w:t>.</w:t>
      </w:r>
    </w:p>
    <w:p w14:paraId="4872E262" w14:textId="77777777" w:rsidR="0040215B" w:rsidRDefault="0040215B" w:rsidP="00CA0B9B">
      <w:pPr>
        <w:pStyle w:val="Heading3"/>
      </w:pPr>
      <w:r>
        <w:t xml:space="preserve">Marked-up Text </w:t>
      </w:r>
    </w:p>
    <w:p w14:paraId="742E39A0" w14:textId="76AE5F7F" w:rsidR="0040215B" w:rsidRPr="002A6880" w:rsidRDefault="0040215B" w:rsidP="0031196F">
      <w:pPr>
        <w:pStyle w:val="NoNumPlain1"/>
      </w:pPr>
      <w:r>
        <w:t>This Standard incorporates marked-up text to clearly identify the amendments to AASB 7 and AASB 9. All amendments are incorporated using clean text into the compilations of the pronouncements when they are prepared, based on the legal commencement date of the amendments.</w:t>
      </w:r>
    </w:p>
    <w:p w14:paraId="13976976" w14:textId="47CB03F5" w:rsidR="00EA0A87" w:rsidRPr="001D1FFA" w:rsidRDefault="00EA0A87" w:rsidP="00EA0A87">
      <w:pPr>
        <w:pStyle w:val="Heading2"/>
      </w:pPr>
      <w:r w:rsidRPr="001D1FFA">
        <w:t>Consultation Prior to Issuing this Standard</w:t>
      </w:r>
    </w:p>
    <w:p w14:paraId="6FBA0FA5" w14:textId="30CAD8C2" w:rsidR="004E66A0" w:rsidRDefault="00C22F8F" w:rsidP="008364C4">
      <w:pPr>
        <w:pStyle w:val="NoNumPlain1"/>
      </w:pPr>
      <w:r>
        <w:t>In May 2024,</w:t>
      </w:r>
      <w:r w:rsidR="006A075D">
        <w:t xml:space="preserve"> </w:t>
      </w:r>
      <w:r w:rsidR="004759DF">
        <w:t xml:space="preserve">the IASB </w:t>
      </w:r>
      <w:r w:rsidR="00B75464">
        <w:t xml:space="preserve">issued </w:t>
      </w:r>
      <w:r w:rsidR="00AB32B3">
        <w:t xml:space="preserve">Exposure Draft </w:t>
      </w:r>
      <w:r w:rsidR="00B75464">
        <w:t>ED/202</w:t>
      </w:r>
      <w:r w:rsidR="001B57F3">
        <w:t>4</w:t>
      </w:r>
      <w:r w:rsidR="00B75464">
        <w:t>/</w:t>
      </w:r>
      <w:r w:rsidR="001B57F3">
        <w:t>3</w:t>
      </w:r>
      <w:r w:rsidR="00B86745">
        <w:t xml:space="preserve"> </w:t>
      </w:r>
      <w:r w:rsidR="001D3634" w:rsidRPr="001D3634">
        <w:rPr>
          <w:i/>
          <w:iCs/>
        </w:rPr>
        <w:t>Contracts for Renewable Electricity</w:t>
      </w:r>
      <w:r w:rsidR="003619FE" w:rsidRPr="00E57449">
        <w:t>.</w:t>
      </w:r>
      <w:r w:rsidR="00B86745">
        <w:t xml:space="preserve"> The AASB issued the same proposals in Australia for </w:t>
      </w:r>
      <w:r w:rsidR="009E58CC">
        <w:t xml:space="preserve">public comment in </w:t>
      </w:r>
      <w:r w:rsidR="00E06545" w:rsidRPr="00E57449">
        <w:t>Exposure Draft ED 3</w:t>
      </w:r>
      <w:r w:rsidR="00C76A63">
        <w:t>30</w:t>
      </w:r>
      <w:r w:rsidR="00E53720" w:rsidRPr="00E57449">
        <w:t xml:space="preserve"> </w:t>
      </w:r>
      <w:r w:rsidR="00C76A63" w:rsidRPr="001D3634">
        <w:rPr>
          <w:i/>
          <w:iCs/>
        </w:rPr>
        <w:t>Contracts for Renewable Electricity</w:t>
      </w:r>
      <w:r w:rsidR="006A075D">
        <w:t>. C</w:t>
      </w:r>
      <w:r w:rsidR="00C04EB7" w:rsidRPr="00E57449">
        <w:t xml:space="preserve">omments </w:t>
      </w:r>
      <w:r w:rsidR="006A075D">
        <w:t xml:space="preserve">to the AASB were </w:t>
      </w:r>
      <w:r w:rsidR="00C04EB7" w:rsidRPr="00E57449">
        <w:t xml:space="preserve">due by </w:t>
      </w:r>
      <w:r w:rsidR="00C76A63">
        <w:t>21 June 2024</w:t>
      </w:r>
      <w:r w:rsidR="00345A43" w:rsidRPr="00E57449">
        <w:t>.</w:t>
      </w:r>
    </w:p>
    <w:p w14:paraId="523F96F4" w14:textId="69084465" w:rsidR="008541FE" w:rsidRDefault="001C67EF" w:rsidP="00CA0B9B">
      <w:pPr>
        <w:pStyle w:val="NoNumPlain1"/>
      </w:pPr>
      <w:r>
        <w:t>The AASB made a submission to the IASB on ED/202</w:t>
      </w:r>
      <w:r w:rsidR="00123208">
        <w:t>4</w:t>
      </w:r>
      <w:r>
        <w:t>/</w:t>
      </w:r>
      <w:r w:rsidR="00123208">
        <w:t>3</w:t>
      </w:r>
      <w:r>
        <w:t xml:space="preserve">. </w:t>
      </w:r>
      <w:r w:rsidR="00232752" w:rsidRPr="00CC7679">
        <w:t xml:space="preserve">The </w:t>
      </w:r>
      <w:r w:rsidR="00232752">
        <w:t xml:space="preserve">AASB’s submission </w:t>
      </w:r>
      <w:r w:rsidR="0024095F" w:rsidRPr="0024095F">
        <w:t xml:space="preserve">supported the proposals overall, with recommendations for further clarification, suggestions for illustrative examples of the proposed hedge accounting requirements, and postponement of the effective date by one more year beyond that suggested by the IASB. </w:t>
      </w:r>
      <w:r>
        <w:t xml:space="preserve">The AASB’s submission was informed by </w:t>
      </w:r>
      <w:r w:rsidR="001A1AC4">
        <w:t xml:space="preserve">feedback from </w:t>
      </w:r>
      <w:r w:rsidR="00576469" w:rsidRPr="00E57449">
        <w:t>targeted outreach activities</w:t>
      </w:r>
      <w:r w:rsidR="00F36B59">
        <w:t>,</w:t>
      </w:r>
      <w:r w:rsidR="001A1AC4">
        <w:t xml:space="preserve"> including consultation with the </w:t>
      </w:r>
      <w:r w:rsidR="00756255" w:rsidRPr="00756255">
        <w:t>AASB Financial Instruments Project Advisory Panel, the AASB User Advisory Committee</w:t>
      </w:r>
      <w:r w:rsidR="008F0909">
        <w:t>,</w:t>
      </w:r>
      <w:r w:rsidR="00756255" w:rsidRPr="00756255">
        <w:t xml:space="preserve"> financial statement preparers, auditors and professional bodies</w:t>
      </w:r>
      <w:r w:rsidR="00576469" w:rsidRPr="00E57449">
        <w:t xml:space="preserve">. </w:t>
      </w:r>
    </w:p>
    <w:p w14:paraId="7D626BDD" w14:textId="70EA4B10" w:rsidR="00B41BF1" w:rsidRPr="0026401B" w:rsidRDefault="00576469" w:rsidP="008364C4">
      <w:pPr>
        <w:pStyle w:val="NoNumPlain1"/>
      </w:pPr>
      <w:r w:rsidRPr="008D2382">
        <w:t xml:space="preserve">The IASB analysed the feedback it received on </w:t>
      </w:r>
      <w:r w:rsidR="00BE562F" w:rsidRPr="008D2382">
        <w:t>ED/202</w:t>
      </w:r>
      <w:r w:rsidR="0024095F" w:rsidRPr="008D2382">
        <w:t>4</w:t>
      </w:r>
      <w:r w:rsidR="00BE562F" w:rsidRPr="008D2382">
        <w:t>/</w:t>
      </w:r>
      <w:r w:rsidR="0024095F" w:rsidRPr="008D2382">
        <w:t>3</w:t>
      </w:r>
      <w:r w:rsidRPr="008D2382">
        <w:t xml:space="preserve"> and decided to finalise the amendments after making some </w:t>
      </w:r>
      <w:r w:rsidR="0090112C">
        <w:t>modifications</w:t>
      </w:r>
      <w:r w:rsidR="0079731E" w:rsidRPr="008D2382">
        <w:t xml:space="preserve">, which </w:t>
      </w:r>
      <w:r w:rsidR="00CF035B" w:rsidRPr="008D2382">
        <w:t xml:space="preserve">satisfactorily </w:t>
      </w:r>
      <w:r w:rsidR="0079731E" w:rsidRPr="008D2382">
        <w:t>addressed the AASB’s concern</w:t>
      </w:r>
      <w:r w:rsidR="009E0411" w:rsidRPr="008D2382">
        <w:t>s</w:t>
      </w:r>
      <w:r w:rsidRPr="008D2382">
        <w:t xml:space="preserve">. </w:t>
      </w:r>
      <w:r w:rsidR="00416638" w:rsidRPr="008D2382">
        <w:t xml:space="preserve">The </w:t>
      </w:r>
      <w:r w:rsidR="0090112C">
        <w:t>modifications</w:t>
      </w:r>
      <w:r w:rsidR="00416638" w:rsidRPr="008D2382">
        <w:t xml:space="preserve"> </w:t>
      </w:r>
      <w:r w:rsidR="005B39D3">
        <w:t xml:space="preserve">for the Standard </w:t>
      </w:r>
      <w:r w:rsidR="00416638" w:rsidRPr="008D2382">
        <w:t>included</w:t>
      </w:r>
      <w:r w:rsidR="004E079F" w:rsidRPr="008D2382">
        <w:t xml:space="preserve"> </w:t>
      </w:r>
      <w:r w:rsidR="008D2382" w:rsidRPr="008D2382">
        <w:t>wording changes to improve clarity, clarification of the proposed additional disclosures and postponing the effective date to 1 January 2026, with earlier application permitted</w:t>
      </w:r>
      <w:r w:rsidRPr="008D2382">
        <w:t>.</w:t>
      </w:r>
      <w:r w:rsidRPr="0026401B">
        <w:t xml:space="preserve"> </w:t>
      </w:r>
      <w:r w:rsidR="005B39D3">
        <w:t xml:space="preserve">The IASB also developed </w:t>
      </w:r>
      <w:r w:rsidR="005B39D3" w:rsidRPr="008D2382">
        <w:t xml:space="preserve">an illustrative example </w:t>
      </w:r>
      <w:r w:rsidR="005B39D3">
        <w:t xml:space="preserve">of </w:t>
      </w:r>
      <w:r w:rsidR="005B39D3" w:rsidRPr="008D2382">
        <w:t>applying the hedge accounting requirements</w:t>
      </w:r>
      <w:r w:rsidR="005B39D3">
        <w:t>.</w:t>
      </w:r>
    </w:p>
    <w:p w14:paraId="593940BD" w14:textId="6EE30347" w:rsidR="0094403C" w:rsidRDefault="00576469" w:rsidP="008364C4">
      <w:pPr>
        <w:pStyle w:val="NoNumPlain1"/>
      </w:pPr>
      <w:r>
        <w:t xml:space="preserve">The AASB considered and adopted the amendments made by the IASB to </w:t>
      </w:r>
      <w:r w:rsidR="00346C26">
        <w:t>IFRS</w:t>
      </w:r>
      <w:r w:rsidR="00B11B66">
        <w:t xml:space="preserve"> </w:t>
      </w:r>
      <w:r w:rsidR="006D49D7">
        <w:t xml:space="preserve">7 </w:t>
      </w:r>
      <w:r>
        <w:t>and IFRS</w:t>
      </w:r>
      <w:r w:rsidR="00B11B66">
        <w:t xml:space="preserve"> </w:t>
      </w:r>
      <w:r w:rsidR="006D49D7">
        <w:t>9</w:t>
      </w:r>
      <w:r>
        <w:t xml:space="preserve"> in finalising AASB</w:t>
      </w:r>
      <w:r w:rsidR="005A107B">
        <w:t> </w:t>
      </w:r>
      <w:r>
        <w:t>202</w:t>
      </w:r>
      <w:r w:rsidR="00446F08">
        <w:t>5</w:t>
      </w:r>
      <w:r w:rsidR="005A107B">
        <w:noBreakHyphen/>
      </w:r>
      <w:r w:rsidR="00446F08">
        <w:t>1</w:t>
      </w:r>
      <w:r>
        <w:t>. The AASB set an effective date of annual periods beginning on or after 1 January 202</w:t>
      </w:r>
      <w:r w:rsidR="008452A5">
        <w:t>6</w:t>
      </w:r>
      <w:r>
        <w:t>, with earlier application permitted</w:t>
      </w:r>
      <w:r w:rsidR="002C20ED">
        <w:t>,</w:t>
      </w:r>
      <w:r w:rsidR="00605434">
        <w:t xml:space="preserve"> the </w:t>
      </w:r>
      <w:r w:rsidR="002C20ED">
        <w:t xml:space="preserve">same as the </w:t>
      </w:r>
      <w:r w:rsidR="00605434">
        <w:t>IASB’s</w:t>
      </w:r>
      <w:r w:rsidR="002C20ED">
        <w:t xml:space="preserve"> effective date</w:t>
      </w:r>
      <w:r w:rsidR="00605434">
        <w:t>.</w:t>
      </w:r>
    </w:p>
    <w:p w14:paraId="78AF8A6A" w14:textId="56F59AEA" w:rsidR="00576469" w:rsidRDefault="00576469" w:rsidP="008364C4">
      <w:pPr>
        <w:pStyle w:val="NoNumPlain1"/>
      </w:pPr>
      <w:r>
        <w:t>A</w:t>
      </w:r>
      <w:r w:rsidDel="00605434">
        <w:t xml:space="preserve"> </w:t>
      </w:r>
      <w:r w:rsidR="00605434">
        <w:t xml:space="preserve">Policy Impact Analysis </w:t>
      </w:r>
      <w:r>
        <w:t>has not been prepared in connection with the issue of AASB 202</w:t>
      </w:r>
      <w:r w:rsidR="00446F08">
        <w:t>5</w:t>
      </w:r>
      <w:r>
        <w:t>-</w:t>
      </w:r>
      <w:r w:rsidR="00446F08">
        <w:t>1</w:t>
      </w:r>
      <w:r>
        <w:t xml:space="preserve"> as the amendments made do not have a substantial direct or indirect impact on business or competition</w:t>
      </w:r>
      <w:r w:rsidR="0085098F">
        <w:t>.</w:t>
      </w:r>
    </w:p>
    <w:p w14:paraId="0AE931A0" w14:textId="0A95AA02" w:rsidR="008E704E" w:rsidRDefault="008E704E" w:rsidP="008E704E">
      <w:pPr>
        <w:pStyle w:val="Heading2"/>
      </w:pPr>
      <w:r>
        <w:t xml:space="preserve">Legislative Features of </w:t>
      </w:r>
      <w:r w:rsidR="0054748E">
        <w:t>Accounting Standards</w:t>
      </w:r>
    </w:p>
    <w:p w14:paraId="5C28FC21" w14:textId="4DFB51E4" w:rsidR="008E704E" w:rsidRDefault="008E704E" w:rsidP="008E704E">
      <w:pPr>
        <w:pStyle w:val="Heading3"/>
      </w:pPr>
      <w:r>
        <w:t xml:space="preserve">Power to Make Amendments </w:t>
      </w:r>
    </w:p>
    <w:p w14:paraId="2B5D664A" w14:textId="602A2953" w:rsidR="008E704E" w:rsidRPr="007261ED" w:rsidRDefault="008E704E" w:rsidP="008E704E">
      <w:pPr>
        <w:pStyle w:val="NoNumPlain1"/>
      </w:pPr>
      <w:r w:rsidRPr="00E35D4F">
        <w:t xml:space="preserve">Under subsection 33(3) of the </w:t>
      </w:r>
      <w:r w:rsidRPr="00D66E0A">
        <w:rPr>
          <w:i/>
        </w:rPr>
        <w:t>Acts Interpretation Act 1901</w:t>
      </w:r>
      <w:r w:rsidRPr="00E35D4F">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w:t>
      </w:r>
      <w:r w:rsidRPr="00E35D4F">
        <w:lastRenderedPageBreak/>
        <w:t>rescind, revoke, amend, or vary any such instrument</w:t>
      </w:r>
      <w:r>
        <w:t xml:space="preserve">. Accordingly, the AASB has the power to amend the Accounting Standards that are made by the AASB as legislative instruments under the </w:t>
      </w:r>
      <w:r w:rsidRPr="00B93CE4">
        <w:rPr>
          <w:i/>
        </w:rPr>
        <w:t>Corporations Act 2001</w:t>
      </w:r>
      <w:r>
        <w:t>.</w:t>
      </w:r>
    </w:p>
    <w:p w14:paraId="241C4F8E" w14:textId="6107698C" w:rsidR="00FB4D41" w:rsidRPr="00C06546" w:rsidRDefault="00FB4D41" w:rsidP="00FB4D41">
      <w:pPr>
        <w:pStyle w:val="Heading3"/>
      </w:pPr>
      <w:r w:rsidRPr="00C06546">
        <w:t>References to Other AASB Standards</w:t>
      </w:r>
      <w:r>
        <w:t xml:space="preserve"> </w:t>
      </w:r>
    </w:p>
    <w:p w14:paraId="6D24B182" w14:textId="77777777" w:rsidR="00FB4D41" w:rsidRPr="00C06546" w:rsidRDefault="00FB4D41" w:rsidP="00FB4D41">
      <w:pPr>
        <w:pStyle w:val="NoNumPlain1"/>
      </w:pPr>
      <w:r w:rsidRPr="00C06546">
        <w:t xml:space="preserve">References in this Standard to the titles of other AASB Standards that are legislative instruments are to be construed as </w:t>
      </w:r>
      <w:r w:rsidRPr="006628B2">
        <w:t>references to those other Standards as originally made and as amended from time to time and incorporate provisions of those Standards as in force from time to time.</w:t>
      </w:r>
    </w:p>
    <w:p w14:paraId="33BAA789" w14:textId="65540AF3" w:rsidR="00FB4D41" w:rsidRPr="00C549FE" w:rsidRDefault="00FB4D41" w:rsidP="00FB4D41">
      <w:pPr>
        <w:pStyle w:val="Heading3"/>
      </w:pPr>
      <w:r>
        <w:t>Copyright</w:t>
      </w:r>
    </w:p>
    <w:p w14:paraId="1ABA0E69" w14:textId="4C802D1E" w:rsidR="00FB4D41" w:rsidRDefault="0054748E" w:rsidP="00FB4D41">
      <w:pPr>
        <w:pStyle w:val="NoNumPlain1"/>
      </w:pPr>
      <w:r>
        <w:t xml:space="preserve">This Standard, like </w:t>
      </w:r>
      <w:r w:rsidR="00FB4D41">
        <w:t>all Accounting Standards promulgated by the AASB, is published with Commonwealth of Australia copyright. Educational, commercial and other publishers are able to request the AASB for permission to reprint all or parts of this Standard, which is given without charge.</w:t>
      </w:r>
    </w:p>
    <w:p w14:paraId="78358CBB" w14:textId="65DB6A00" w:rsidR="00FB4D41" w:rsidRPr="00F5288D" w:rsidRDefault="0054748E" w:rsidP="0054748E">
      <w:pPr>
        <w:pStyle w:val="NoNumPlain1"/>
        <w:spacing w:line="240" w:lineRule="exact"/>
        <w:rPr>
          <w:rFonts w:cs="Arial"/>
          <w:b/>
          <w:bCs/>
          <w:iCs/>
          <w:sz w:val="24"/>
          <w:szCs w:val="24"/>
        </w:rPr>
      </w:pPr>
      <w:r w:rsidRPr="00C06546">
        <w:rPr>
          <w:rFonts w:cs="Arial"/>
          <w:b/>
          <w:sz w:val="24"/>
          <w:szCs w:val="24"/>
        </w:rPr>
        <w:t>Exemption from Sunsetting</w:t>
      </w:r>
    </w:p>
    <w:p w14:paraId="4C0E3ED7" w14:textId="00F6CED0" w:rsidR="007303BE" w:rsidRDefault="007303BE" w:rsidP="007303BE">
      <w:pPr>
        <w:pStyle w:val="NoNumPlain1"/>
      </w:pPr>
      <w:r>
        <w:t xml:space="preserve">Accounting Standards promulgated by the AASB that are legislative instruments are exempt from the sunsetting provisions of the </w:t>
      </w:r>
      <w:r w:rsidRPr="00813CFA">
        <w:rPr>
          <w:i/>
          <w:iCs/>
        </w:rPr>
        <w:t>Legislation Act 2003</w:t>
      </w:r>
      <w:r>
        <w:t xml:space="preserve"> through</w:t>
      </w:r>
      <w:r w:rsidRPr="0062766C">
        <w:t xml:space="preserve"> section 12 of the </w:t>
      </w:r>
      <w:r w:rsidRPr="0062766C">
        <w:rPr>
          <w:i/>
          <w:iCs/>
        </w:rPr>
        <w:t>Legislation (Exemption</w:t>
      </w:r>
      <w:r w:rsidR="00C34A0B">
        <w:rPr>
          <w:i/>
          <w:iCs/>
        </w:rPr>
        <w:t>s</w:t>
      </w:r>
      <w:r w:rsidRPr="0062766C">
        <w:rPr>
          <w:i/>
          <w:iCs/>
        </w:rPr>
        <w:t xml:space="preserve"> and Other Matters) Regulation 2015</w:t>
      </w:r>
      <w:r w:rsidRPr="0062766C">
        <w:t xml:space="preserve"> (Item 18(a)).</w:t>
      </w:r>
    </w:p>
    <w:p w14:paraId="598DA6DB" w14:textId="2FAF1088" w:rsidR="007303BE" w:rsidRDefault="007303BE" w:rsidP="007303BE">
      <w:pPr>
        <w:pStyle w:val="NoNumPlain1"/>
      </w:pPr>
      <w:r>
        <w:t xml:space="preserve">The AASB’s </w:t>
      </w:r>
      <w:r w:rsidR="002B2D41">
        <w:t xml:space="preserve">Australian Accounting </w:t>
      </w:r>
      <w:r w:rsidRPr="00735E30">
        <w:rPr>
          <w:lang w:eastAsia="en-AU"/>
        </w:rPr>
        <w:t xml:space="preserve">Standards </w:t>
      </w:r>
      <w:r>
        <w:rPr>
          <w:lang w:eastAsia="en-AU"/>
        </w:rPr>
        <w:t>incorporate</w:t>
      </w:r>
      <w:r w:rsidRPr="00735E30">
        <w:rPr>
          <w:lang w:eastAsia="en-AU"/>
        </w:rPr>
        <w:t xml:space="preserve"> Standards set by the International </w:t>
      </w:r>
      <w:r>
        <w:rPr>
          <w:lang w:eastAsia="en-AU"/>
        </w:rPr>
        <w:t>Accounting Standards Board in respect of publicly accountable for-profit entities</w:t>
      </w:r>
      <w:r w:rsidRPr="00735E30">
        <w:rPr>
          <w:lang w:eastAsia="en-AU"/>
        </w:rPr>
        <w:t xml:space="preserve">. </w:t>
      </w:r>
      <w:r w:rsidRPr="0062766C">
        <w:t xml:space="preserve">The AASB’s </w:t>
      </w:r>
      <w:r w:rsidR="00F82B71">
        <w:t xml:space="preserve">Accounting </w:t>
      </w:r>
      <w:r w:rsidRPr="0062766C">
        <w:t>Standards are exempt from sunsetting because a more stringent review process than sunsetting applies to the Standards. This review process ensures Australia’s A</w:t>
      </w:r>
      <w:r>
        <w:t>ccoun</w:t>
      </w:r>
      <w:r w:rsidRPr="0062766C">
        <w:t xml:space="preserve">ting Standards regime remains consistent with international Standards. Typically, the AASB Standards are revised at least once within a ten-year period, with </w:t>
      </w:r>
      <w:r>
        <w:t>most of the</w:t>
      </w:r>
      <w:r w:rsidRPr="0062766C">
        <w:t xml:space="preserve"> Standards subject to </w:t>
      </w:r>
      <w:r w:rsidR="00C34A0B">
        <w:t xml:space="preserve">much </w:t>
      </w:r>
      <w:r w:rsidR="00C34A0B" w:rsidRPr="0062766C">
        <w:t>more frequent</w:t>
      </w:r>
      <w:r w:rsidR="00C34A0B">
        <w:t xml:space="preserve"> </w:t>
      </w:r>
      <w:r w:rsidRPr="0062766C">
        <w:t xml:space="preserve">revisions. Each revision follows the stringent review process (which includes the opportunity for public comment) in order to remain consistent with international Standards. </w:t>
      </w:r>
      <w:r w:rsidR="00A22A15">
        <w:t>I</w:t>
      </w:r>
      <w:r w:rsidRPr="0062766C">
        <w:t xml:space="preserve">t is very unlikely that any AASB Standard would not have been amended (or else considered for amendment) within a ten-year period through these review processes. Therefore, </w:t>
      </w:r>
      <w:r>
        <w:t xml:space="preserve">if it applied, </w:t>
      </w:r>
      <w:r w:rsidRPr="0062766C">
        <w:t xml:space="preserve">a ten-year sunsetting regime would </w:t>
      </w:r>
      <w:r>
        <w:t xml:space="preserve">have very limited practical application to </w:t>
      </w:r>
      <w:r w:rsidRPr="0062766C">
        <w:t xml:space="preserve">AASB Standards. Parliamentary oversight is retained whenever a Standard is replaced or amended since the Standards are disallowable instruments and </w:t>
      </w:r>
      <w:r>
        <w:t xml:space="preserve">subject to the normal tabling and scrutiny process </w:t>
      </w:r>
      <w:r w:rsidRPr="0062766C">
        <w:t xml:space="preserve">as required by the </w:t>
      </w:r>
      <w:r w:rsidRPr="0062766C">
        <w:rPr>
          <w:i/>
          <w:iCs/>
        </w:rPr>
        <w:t>Legislation</w:t>
      </w:r>
      <w:r>
        <w:rPr>
          <w:i/>
          <w:iCs/>
        </w:rPr>
        <w:t xml:space="preserve"> </w:t>
      </w:r>
      <w:r w:rsidRPr="0062766C">
        <w:rPr>
          <w:i/>
          <w:iCs/>
        </w:rPr>
        <w:t>Act</w:t>
      </w:r>
      <w:r>
        <w:rPr>
          <w:i/>
          <w:iCs/>
        </w:rPr>
        <w:t xml:space="preserve"> </w:t>
      </w:r>
      <w:r w:rsidRPr="0062766C">
        <w:rPr>
          <w:i/>
          <w:iCs/>
        </w:rPr>
        <w:t>2003</w:t>
      </w:r>
      <w:r>
        <w:t>.</w:t>
      </w:r>
    </w:p>
    <w:p w14:paraId="1397697A" w14:textId="69475B4F" w:rsidR="00AD44F9" w:rsidRDefault="00CD0A54" w:rsidP="00485264">
      <w:pPr>
        <w:pStyle w:val="Heading2"/>
        <w:spacing w:before="720"/>
        <w:jc w:val="center"/>
      </w:pPr>
      <w:r>
        <w:t>Statement of Compatibility with Human Rights</w:t>
      </w:r>
    </w:p>
    <w:p w14:paraId="1397697B" w14:textId="77777777" w:rsidR="00E770E5" w:rsidRDefault="00E770E5" w:rsidP="00FB4D41">
      <w:pPr>
        <w:pStyle w:val="NoNumPlain1"/>
        <w:keepNext/>
        <w:jc w:val="center"/>
      </w:pPr>
      <w:r>
        <w:t xml:space="preserve">Prepared in accordance with Part </w:t>
      </w:r>
      <w:r w:rsidRPr="00E4135E">
        <w:t xml:space="preserve">3 of the </w:t>
      </w:r>
      <w:r>
        <w:br/>
      </w:r>
      <w:r w:rsidRPr="00E4135E">
        <w:rPr>
          <w:i/>
        </w:rPr>
        <w:t>Human Rights (Parliamentary Scrutiny) Act 2011</w:t>
      </w:r>
    </w:p>
    <w:p w14:paraId="1397697C" w14:textId="44D446E3" w:rsidR="00E770E5" w:rsidRPr="007C3C04" w:rsidRDefault="00A90A3D" w:rsidP="00A90A3D">
      <w:pPr>
        <w:pStyle w:val="Heading3"/>
        <w:spacing w:after="360"/>
        <w:jc w:val="center"/>
        <w:rPr>
          <w:i/>
          <w:iCs w:val="0"/>
        </w:rPr>
      </w:pPr>
      <w:r w:rsidRPr="00347521">
        <w:t xml:space="preserve">Accounting Standard AASB </w:t>
      </w:r>
      <w:r w:rsidR="00E9679F">
        <w:t>202</w:t>
      </w:r>
      <w:r w:rsidR="00446F08">
        <w:t>5</w:t>
      </w:r>
      <w:r w:rsidR="00E9679F">
        <w:t>-</w:t>
      </w:r>
      <w:r w:rsidR="00446F08">
        <w:t>1</w:t>
      </w:r>
      <w:r>
        <w:br/>
      </w:r>
      <w:r w:rsidR="007C3C04" w:rsidRPr="007C3C04">
        <w:rPr>
          <w:i/>
          <w:iCs w:val="0"/>
        </w:rPr>
        <w:t xml:space="preserve">Amendments to Australian Accounting Standards – </w:t>
      </w:r>
      <w:r w:rsidR="007C3C04" w:rsidRPr="007C3C04">
        <w:rPr>
          <w:i/>
          <w:iCs w:val="0"/>
        </w:rPr>
        <w:br/>
      </w:r>
      <w:r w:rsidR="001E5685" w:rsidRPr="001E5685">
        <w:rPr>
          <w:i/>
          <w:iCs w:val="0"/>
        </w:rPr>
        <w:t>Contracts Referencing Nature-dependent Electricity</w:t>
      </w:r>
    </w:p>
    <w:p w14:paraId="1397697D" w14:textId="77777777" w:rsidR="00A90A3D" w:rsidRDefault="00A90A3D" w:rsidP="00A90A3D">
      <w:pPr>
        <w:pStyle w:val="Heading3"/>
      </w:pPr>
      <w:r>
        <w:t>Overview of the Accounting Standard</w:t>
      </w:r>
    </w:p>
    <w:p w14:paraId="4D9E8D44" w14:textId="77777777" w:rsidR="00CA5B25" w:rsidRPr="00574242" w:rsidRDefault="00CA5B25" w:rsidP="00CA5B25">
      <w:pPr>
        <w:pStyle w:val="NoNumPlain1"/>
      </w:pPr>
      <w:r w:rsidRPr="00574242">
        <w:t>Nature-dependent electricity contracts help entities to secure their electricity supply from sources such as wind and solar power. The amount of electricity generated under these contracts can vary based on uncontrollable factors such as weather conditions.</w:t>
      </w:r>
    </w:p>
    <w:p w14:paraId="5354C044" w14:textId="67C26ACA" w:rsidR="006A7D38" w:rsidRPr="00574242" w:rsidRDefault="006A7D38" w:rsidP="006A7D38">
      <w:pPr>
        <w:pStyle w:val="NoNumPlain1"/>
      </w:pPr>
      <w:r w:rsidRPr="00574242">
        <w:t xml:space="preserve">This Standard amends AASB 7 and AASB 9 to allow entities to better reflect </w:t>
      </w:r>
      <w:r w:rsidR="00151F1F">
        <w:t>c</w:t>
      </w:r>
      <w:r w:rsidR="00151F1F" w:rsidRPr="00151F1F">
        <w:t xml:space="preserve">ontracts </w:t>
      </w:r>
      <w:r w:rsidR="00151F1F">
        <w:t>r</w:t>
      </w:r>
      <w:r w:rsidR="00151F1F" w:rsidRPr="00151F1F">
        <w:t xml:space="preserve">eferencing </w:t>
      </w:r>
      <w:r w:rsidR="00151F1F">
        <w:t>n</w:t>
      </w:r>
      <w:r w:rsidR="00151F1F" w:rsidRPr="00151F1F">
        <w:t xml:space="preserve">ature-dependent </w:t>
      </w:r>
      <w:r w:rsidR="00151F1F">
        <w:t>e</w:t>
      </w:r>
      <w:r w:rsidR="00151F1F" w:rsidRPr="00151F1F">
        <w:t xml:space="preserve">lectricity </w:t>
      </w:r>
      <w:r w:rsidRPr="00574242">
        <w:t>in the financial statements. The amendments:</w:t>
      </w:r>
    </w:p>
    <w:p w14:paraId="7560D9C0" w14:textId="77777777" w:rsidR="006A7D38" w:rsidRPr="00574242" w:rsidRDefault="006A7D38" w:rsidP="0058035C">
      <w:pPr>
        <w:pStyle w:val="NoNumPlain1"/>
        <w:numPr>
          <w:ilvl w:val="0"/>
          <w:numId w:val="35"/>
        </w:numPr>
        <w:ind w:left="782" w:hanging="782"/>
      </w:pPr>
      <w:r w:rsidRPr="00574242">
        <w:t>clarify the application of the ‘own-use’ criteria to nature-dependent electricity contracts;</w:t>
      </w:r>
    </w:p>
    <w:p w14:paraId="1F8E8DEB" w14:textId="77777777" w:rsidR="006A7D38" w:rsidRPr="00574242" w:rsidRDefault="006A7D38" w:rsidP="0058035C">
      <w:pPr>
        <w:pStyle w:val="NoNumPlain1"/>
        <w:numPr>
          <w:ilvl w:val="0"/>
          <w:numId w:val="35"/>
        </w:numPr>
        <w:ind w:left="782" w:hanging="782"/>
      </w:pPr>
      <w:r w:rsidRPr="00574242">
        <w:t>permit hedge accounting if these contracts are used as hedging instruments; and</w:t>
      </w:r>
    </w:p>
    <w:p w14:paraId="3AE72AE4" w14:textId="77777777" w:rsidR="006A7D38" w:rsidRPr="00574242" w:rsidRDefault="006A7D38" w:rsidP="0058035C">
      <w:pPr>
        <w:pStyle w:val="NoNumPlain1"/>
        <w:numPr>
          <w:ilvl w:val="0"/>
          <w:numId w:val="35"/>
        </w:numPr>
        <w:ind w:left="782" w:hanging="782"/>
      </w:pPr>
      <w:r w:rsidRPr="00574242">
        <w:t>add new disclosure requirements to enable users of financial statements to better understand the effect of these contracts on an entity’s financial performance and cash flows.</w:t>
      </w:r>
    </w:p>
    <w:p w14:paraId="1397697F" w14:textId="4A4A57DB" w:rsidR="00A90A3D" w:rsidRDefault="00A90A3D" w:rsidP="00A90A3D">
      <w:pPr>
        <w:pStyle w:val="Heading3"/>
      </w:pPr>
      <w:r>
        <w:t>Human Rights Implications</w:t>
      </w:r>
    </w:p>
    <w:p w14:paraId="13976980" w14:textId="0E9DF9DE" w:rsidR="00A90A3D" w:rsidRDefault="00F62F5C" w:rsidP="00C068D8">
      <w:pPr>
        <w:pStyle w:val="NoNumPlain1"/>
      </w:pPr>
      <w:r w:rsidRPr="00E4135E">
        <w:t xml:space="preserve">This </w:t>
      </w:r>
      <w:r>
        <w:t>Standard</w:t>
      </w:r>
      <w:r w:rsidRPr="00E4135E">
        <w:t xml:space="preserve"> </w:t>
      </w:r>
      <w:r>
        <w:t xml:space="preserve">is issued by the AASB in furtherance of the objective of facilitating the Australian economy. It </w:t>
      </w:r>
      <w:r w:rsidRPr="00E4135E">
        <w:t xml:space="preserve">does not </w:t>
      </w:r>
      <w:r>
        <w:t xml:space="preserve">diminish or limit </w:t>
      </w:r>
      <w:r w:rsidRPr="00E4135E">
        <w:t xml:space="preserve">any of the applicable </w:t>
      </w:r>
      <w:r>
        <w:t xml:space="preserve">human </w:t>
      </w:r>
      <w:r w:rsidRPr="00E4135E">
        <w:t>rights or freedoms</w:t>
      </w:r>
      <w:r>
        <w:t>, and thus does not raise any human rights issues</w:t>
      </w:r>
      <w:r w:rsidRPr="00E4135E">
        <w:t>.</w:t>
      </w:r>
    </w:p>
    <w:p w14:paraId="13976981" w14:textId="77777777" w:rsidR="00F62F5C" w:rsidRDefault="00F62F5C" w:rsidP="00F62F5C">
      <w:pPr>
        <w:pStyle w:val="Heading3"/>
      </w:pPr>
      <w:r>
        <w:t>Conclusion</w:t>
      </w:r>
    </w:p>
    <w:p w14:paraId="13976983" w14:textId="5F736634" w:rsidR="00F62F5C" w:rsidRDefault="00CD0A54" w:rsidP="00C068D8">
      <w:pPr>
        <w:pStyle w:val="NoNumPlain1"/>
      </w:pPr>
      <w:r w:rsidRPr="00E4135E">
        <w:t xml:space="preserve">This </w:t>
      </w:r>
      <w:r>
        <w:t>Standard</w:t>
      </w:r>
      <w:r w:rsidRPr="00E4135E">
        <w:t xml:space="preserve"> is compatible with the human rights and freedoms recognised or declared in the international instruments listed in section 3 of the </w:t>
      </w:r>
      <w:r w:rsidRPr="00E4135E">
        <w:rPr>
          <w:i/>
        </w:rPr>
        <w:t>Human Rights (Parliamentary Scrutiny) Act 2011</w:t>
      </w:r>
      <w:r w:rsidRPr="00E4135E">
        <w:t>.</w:t>
      </w:r>
    </w:p>
    <w:sectPr w:rsidR="00F62F5C" w:rsidSect="00B93CE4">
      <w:headerReference w:type="even" r:id="rId9"/>
      <w:footerReference w:type="default" r:id="rId10"/>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7A1D" w14:textId="77777777" w:rsidR="0069509F" w:rsidRDefault="0069509F">
      <w:r>
        <w:separator/>
      </w:r>
    </w:p>
  </w:endnote>
  <w:endnote w:type="continuationSeparator" w:id="0">
    <w:p w14:paraId="435BDAE5" w14:textId="77777777" w:rsidR="0069509F" w:rsidRDefault="0069509F">
      <w:r>
        <w:continuationSeparator/>
      </w:r>
    </w:p>
  </w:endnote>
  <w:endnote w:type="continuationNotice" w:id="1">
    <w:p w14:paraId="5507690D" w14:textId="77777777" w:rsidR="0069509F" w:rsidRDefault="006950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8B" w14:textId="352482FA" w:rsidR="006B1B4A" w:rsidRDefault="006B1B4A" w:rsidP="00B93CE4">
    <w:pPr>
      <w:pStyle w:val="Footer"/>
      <w:tabs>
        <w:tab w:val="clear" w:pos="3119"/>
        <w:tab w:val="clear" w:pos="6237"/>
        <w:tab w:val="center" w:pos="4820"/>
        <w:tab w:val="right" w:pos="9639"/>
      </w:tabs>
      <w:rPr>
        <w:b/>
      </w:rPr>
    </w:pPr>
    <w:r>
      <w:rPr>
        <w:b/>
      </w:rPr>
      <w:t>A</w:t>
    </w:r>
    <w:r w:rsidR="00C068D8">
      <w:rPr>
        <w:b/>
      </w:rPr>
      <w:t xml:space="preserve">ASB </w:t>
    </w:r>
    <w:r w:rsidR="00E9679F">
      <w:rPr>
        <w:b/>
      </w:rPr>
      <w:t>202</w:t>
    </w:r>
    <w:r w:rsidR="0096595A">
      <w:rPr>
        <w:b/>
      </w:rPr>
      <w:t>5</w:t>
    </w:r>
    <w:r w:rsidR="00E9679F">
      <w:rPr>
        <w:b/>
      </w:rPr>
      <w:t>-</w:t>
    </w:r>
    <w:r w:rsidR="0096595A">
      <w:rPr>
        <w:b/>
      </w:rPr>
      <w:t>1</w:t>
    </w:r>
    <w:r>
      <w:rPr>
        <w:b/>
      </w:rPr>
      <w:tab/>
    </w:r>
    <w:r>
      <w:fldChar w:fldCharType="begin"/>
    </w:r>
    <w:r>
      <w:instrText>PAGE</w:instrText>
    </w:r>
    <w:r>
      <w:fldChar w:fldCharType="separate"/>
    </w:r>
    <w:r w:rsidR="00AB2137">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0E8A0" w14:textId="77777777" w:rsidR="0069509F" w:rsidRDefault="0069509F">
      <w:r>
        <w:separator/>
      </w:r>
    </w:p>
  </w:footnote>
  <w:footnote w:type="continuationSeparator" w:id="0">
    <w:p w14:paraId="6834559A" w14:textId="77777777" w:rsidR="0069509F" w:rsidRDefault="0069509F">
      <w:r>
        <w:continuationSeparator/>
      </w:r>
    </w:p>
  </w:footnote>
  <w:footnote w:type="continuationNotice" w:id="1">
    <w:p w14:paraId="2CD31475" w14:textId="77777777" w:rsidR="0069509F" w:rsidRDefault="006950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7698A"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A247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566BE"/>
    <w:multiLevelType w:val="hybridMultilevel"/>
    <w:tmpl w:val="311A0510"/>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765F0"/>
    <w:multiLevelType w:val="hybridMultilevel"/>
    <w:tmpl w:val="D87C94CA"/>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96160D"/>
    <w:multiLevelType w:val="multilevel"/>
    <w:tmpl w:val="34B6B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2377B"/>
    <w:multiLevelType w:val="hybridMultilevel"/>
    <w:tmpl w:val="9C5AA59A"/>
    <w:lvl w:ilvl="0" w:tplc="9398D5D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293597"/>
    <w:multiLevelType w:val="hybridMultilevel"/>
    <w:tmpl w:val="6B3EA8EA"/>
    <w:lvl w:ilvl="0" w:tplc="95BA7EA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C50A4A"/>
    <w:multiLevelType w:val="hybridMultilevel"/>
    <w:tmpl w:val="3D88D832"/>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906F1A"/>
    <w:multiLevelType w:val="multilevel"/>
    <w:tmpl w:val="224C0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2494102"/>
    <w:multiLevelType w:val="hybridMultilevel"/>
    <w:tmpl w:val="F2180B6C"/>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3001DE6"/>
    <w:multiLevelType w:val="multilevel"/>
    <w:tmpl w:val="851A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593704"/>
    <w:multiLevelType w:val="hybridMultilevel"/>
    <w:tmpl w:val="8F0656EE"/>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13"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D308B"/>
    <w:multiLevelType w:val="multilevel"/>
    <w:tmpl w:val="229AD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A1279B"/>
    <w:multiLevelType w:val="multilevel"/>
    <w:tmpl w:val="7994A7A2"/>
    <w:styleLink w:val="NumPlainAlpha"/>
    <w:lvl w:ilvl="0">
      <w:start w:val="1"/>
      <w:numFmt w:val="lowerLetter"/>
      <w:lvlText w:val="(%1)"/>
      <w:lvlJc w:val="left"/>
      <w:pPr>
        <w:ind w:left="782" w:hanging="782"/>
      </w:pPr>
      <w:rPr>
        <w:rFonts w:hint="default"/>
      </w:rPr>
    </w:lvl>
    <w:lvl w:ilvl="1">
      <w:start w:val="1"/>
      <w:numFmt w:val="lowerRoman"/>
      <w:lvlText w:val="(%2)"/>
      <w:lvlJc w:val="left"/>
      <w:pPr>
        <w:ind w:left="1564" w:hanging="782"/>
      </w:pPr>
      <w:rPr>
        <w:rFonts w:hint="default"/>
      </w:rPr>
    </w:lvl>
    <w:lvl w:ilvl="2">
      <w:start w:val="1"/>
      <w:numFmt w:val="lowerRoman"/>
      <w:lvlText w:val="%3."/>
      <w:lvlJc w:val="right"/>
      <w:pPr>
        <w:tabs>
          <w:tab w:val="num" w:pos="2074"/>
        </w:tabs>
        <w:ind w:left="2346" w:hanging="782"/>
      </w:pPr>
      <w:rPr>
        <w:rFonts w:hint="default"/>
      </w:rPr>
    </w:lvl>
    <w:lvl w:ilvl="3">
      <w:start w:val="1"/>
      <w:numFmt w:val="decimal"/>
      <w:lvlText w:val="%4."/>
      <w:lvlJc w:val="left"/>
      <w:pPr>
        <w:tabs>
          <w:tab w:val="num" w:pos="2856"/>
        </w:tabs>
        <w:ind w:left="3128" w:hanging="782"/>
      </w:pPr>
      <w:rPr>
        <w:rFonts w:hint="default"/>
      </w:rPr>
    </w:lvl>
    <w:lvl w:ilvl="4">
      <w:start w:val="1"/>
      <w:numFmt w:val="lowerLetter"/>
      <w:lvlText w:val="%5."/>
      <w:lvlJc w:val="left"/>
      <w:pPr>
        <w:tabs>
          <w:tab w:val="num" w:pos="3638"/>
        </w:tabs>
        <w:ind w:left="3910" w:hanging="782"/>
      </w:pPr>
      <w:rPr>
        <w:rFonts w:hint="default"/>
      </w:rPr>
    </w:lvl>
    <w:lvl w:ilvl="5">
      <w:start w:val="1"/>
      <w:numFmt w:val="lowerRoman"/>
      <w:lvlText w:val="%6."/>
      <w:lvlJc w:val="right"/>
      <w:pPr>
        <w:tabs>
          <w:tab w:val="num" w:pos="4420"/>
        </w:tabs>
        <w:ind w:left="4692" w:hanging="782"/>
      </w:pPr>
      <w:rPr>
        <w:rFonts w:hint="default"/>
      </w:rPr>
    </w:lvl>
    <w:lvl w:ilvl="6">
      <w:start w:val="1"/>
      <w:numFmt w:val="decimal"/>
      <w:lvlText w:val="%7."/>
      <w:lvlJc w:val="left"/>
      <w:pPr>
        <w:tabs>
          <w:tab w:val="num" w:pos="5202"/>
        </w:tabs>
        <w:ind w:left="5474" w:hanging="782"/>
      </w:pPr>
      <w:rPr>
        <w:rFonts w:hint="default"/>
      </w:rPr>
    </w:lvl>
    <w:lvl w:ilvl="7">
      <w:start w:val="1"/>
      <w:numFmt w:val="lowerLetter"/>
      <w:lvlText w:val="%8."/>
      <w:lvlJc w:val="left"/>
      <w:pPr>
        <w:tabs>
          <w:tab w:val="num" w:pos="5984"/>
        </w:tabs>
        <w:ind w:left="6256" w:hanging="782"/>
      </w:pPr>
      <w:rPr>
        <w:rFonts w:hint="default"/>
      </w:rPr>
    </w:lvl>
    <w:lvl w:ilvl="8">
      <w:start w:val="1"/>
      <w:numFmt w:val="lowerRoman"/>
      <w:lvlText w:val="%9."/>
      <w:lvlJc w:val="right"/>
      <w:pPr>
        <w:tabs>
          <w:tab w:val="num" w:pos="6766"/>
        </w:tabs>
        <w:ind w:left="7038" w:hanging="782"/>
      </w:pPr>
      <w:rPr>
        <w:rFonts w:hint="default"/>
      </w:rPr>
    </w:lvl>
  </w:abstractNum>
  <w:abstractNum w:abstractNumId="16"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875F6"/>
    <w:multiLevelType w:val="hybridMultilevel"/>
    <w:tmpl w:val="F2180B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0193D"/>
    <w:multiLevelType w:val="hybridMultilevel"/>
    <w:tmpl w:val="F2180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746A79"/>
    <w:multiLevelType w:val="hybridMultilevel"/>
    <w:tmpl w:val="D87CA29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0812F3"/>
    <w:multiLevelType w:val="multilevel"/>
    <w:tmpl w:val="F55EB53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4" w15:restartNumberingAfterBreak="0">
    <w:nsid w:val="61542243"/>
    <w:multiLevelType w:val="multilevel"/>
    <w:tmpl w:val="91328F5C"/>
    <w:lvl w:ilvl="0">
      <w:start w:val="1"/>
      <w:numFmt w:val="decimal"/>
      <w:lvlText w:val="%1"/>
      <w:lvlJc w:val="left"/>
      <w:pPr>
        <w:tabs>
          <w:tab w:val="num" w:pos="510"/>
        </w:tabs>
        <w:ind w:left="510" w:hanging="510"/>
      </w:pPr>
      <w:rPr>
        <w:rFonts w:asciiTheme="minorHAnsi" w:hAnsiTheme="minorHAnsi" w:cstheme="minorHAnsi" w:hint="default"/>
      </w:rPr>
    </w:lvl>
    <w:lvl w:ilvl="1">
      <w:start w:val="1"/>
      <w:numFmt w:val="lowerLetter"/>
      <w:lvlText w:val="(%2)"/>
      <w:lvlJc w:val="left"/>
      <w:pPr>
        <w:tabs>
          <w:tab w:val="num" w:pos="1021"/>
        </w:tabs>
        <w:ind w:left="1021" w:hanging="511"/>
      </w:pPr>
      <w:rPr>
        <w:rFonts w:asciiTheme="minorHAnsi" w:hAnsiTheme="minorHAnsi" w:cstheme="minorHAnsi" w:hint="default"/>
      </w:rPr>
    </w:lvl>
    <w:lvl w:ilvl="2">
      <w:start w:val="1"/>
      <w:numFmt w:val="lowerRoman"/>
      <w:lvlText w:val="(%3)"/>
      <w:lvlJc w:val="left"/>
      <w:pPr>
        <w:tabs>
          <w:tab w:val="num" w:pos="1531"/>
        </w:tabs>
        <w:ind w:left="1531" w:hanging="510"/>
      </w:pPr>
      <w:rPr>
        <w:rFonts w:hint="default"/>
      </w:rPr>
    </w:lvl>
    <w:lvl w:ilvl="3">
      <w:start w:val="1"/>
      <w:numFmt w:val="upperLetter"/>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25" w15:restartNumberingAfterBreak="0">
    <w:nsid w:val="623D0D7B"/>
    <w:multiLevelType w:val="multilevel"/>
    <w:tmpl w:val="948416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542394"/>
    <w:multiLevelType w:val="hybridMultilevel"/>
    <w:tmpl w:val="436C0018"/>
    <w:lvl w:ilvl="0" w:tplc="95BA7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A60715"/>
    <w:multiLevelType w:val="hybridMultilevel"/>
    <w:tmpl w:val="D87CA296"/>
    <w:lvl w:ilvl="0" w:tplc="95BA7EA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4541B4E"/>
    <w:multiLevelType w:val="hybridMultilevel"/>
    <w:tmpl w:val="81CE3E48"/>
    <w:lvl w:ilvl="0" w:tplc="95BA7EAE">
      <w:start w:val="1"/>
      <w:numFmt w:val="lowerLetter"/>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74050A"/>
    <w:multiLevelType w:val="hybridMultilevel"/>
    <w:tmpl w:val="F2180B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6231815">
    <w:abstractNumId w:val="18"/>
  </w:num>
  <w:num w:numId="2" w16cid:durableId="1429426008">
    <w:abstractNumId w:val="27"/>
  </w:num>
  <w:num w:numId="3" w16cid:durableId="1559124823">
    <w:abstractNumId w:val="22"/>
  </w:num>
  <w:num w:numId="4" w16cid:durableId="142161562">
    <w:abstractNumId w:val="1"/>
  </w:num>
  <w:num w:numId="5" w16cid:durableId="458110039">
    <w:abstractNumId w:val="16"/>
  </w:num>
  <w:num w:numId="6" w16cid:durableId="750128220">
    <w:abstractNumId w:val="13"/>
  </w:num>
  <w:num w:numId="7" w16cid:durableId="511379662">
    <w:abstractNumId w:val="20"/>
  </w:num>
  <w:num w:numId="8" w16cid:durableId="372267131">
    <w:abstractNumId w:val="12"/>
  </w:num>
  <w:num w:numId="9" w16cid:durableId="970400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3818809">
    <w:abstractNumId w:val="0"/>
  </w:num>
  <w:num w:numId="11" w16cid:durableId="168638369">
    <w:abstractNumId w:val="24"/>
  </w:num>
  <w:num w:numId="12" w16cid:durableId="1696614698">
    <w:abstractNumId w:val="23"/>
  </w:num>
  <w:num w:numId="13" w16cid:durableId="1462574602">
    <w:abstractNumId w:val="23"/>
    <w:lvlOverride w:ilvl="0">
      <w:lvl w:ilvl="0">
        <w:start w:val="1"/>
        <w:numFmt w:val="decimal"/>
        <w:lvlText w:val="%1"/>
        <w:lvlJc w:val="left"/>
        <w:pPr>
          <w:ind w:left="709" w:hanging="709"/>
        </w:pPr>
        <w:rPr>
          <w:rFonts w:asciiTheme="minorHAnsi" w:hAnsiTheme="minorHAnsi" w:cstheme="minorHAnsi" w:hint="default"/>
        </w:rPr>
      </w:lvl>
    </w:lvlOverride>
    <w:lvlOverride w:ilvl="1">
      <w:lvl w:ilvl="1">
        <w:start w:val="1"/>
        <w:numFmt w:val="lowerLetter"/>
        <w:lvlText w:val="(%2)"/>
        <w:lvlJc w:val="left"/>
        <w:pPr>
          <w:ind w:left="1418" w:hanging="709"/>
        </w:pPr>
        <w:rPr>
          <w:rFonts w:asciiTheme="minorHAnsi" w:hAnsiTheme="minorHAnsi" w:cstheme="minorHAnsi" w:hint="default"/>
        </w:rPr>
      </w:lvl>
    </w:lvlOverride>
    <w:lvlOverride w:ilvl="2">
      <w:lvl w:ilvl="2">
        <w:start w:val="1"/>
        <w:numFmt w:val="lowerRoman"/>
        <w:lvlText w:val="(%3)"/>
        <w:lvlJc w:val="left"/>
        <w:pPr>
          <w:ind w:left="2127" w:hanging="709"/>
        </w:pPr>
        <w:rPr>
          <w:rFonts w:hint="default"/>
        </w:rPr>
      </w:lvl>
    </w:lvlOverride>
    <w:lvlOverride w:ilvl="3">
      <w:lvl w:ilvl="3">
        <w:start w:val="1"/>
        <w:numFmt w:val="upperLetter"/>
        <w:lvlText w:val="(%4)"/>
        <w:lvlJc w:val="left"/>
        <w:pPr>
          <w:ind w:left="2836" w:hanging="709"/>
        </w:pPr>
        <w:rPr>
          <w:rFonts w:hint="default"/>
        </w:rPr>
      </w:lvl>
    </w:lvlOverride>
    <w:lvlOverride w:ilvl="4">
      <w:lvl w:ilvl="4">
        <w:start w:val="1"/>
        <w:numFmt w:val="lowerLetter"/>
        <w:lvlText w:val="(%5)"/>
        <w:lvlJc w:val="left"/>
        <w:pPr>
          <w:ind w:left="3545" w:hanging="709"/>
        </w:pPr>
        <w:rPr>
          <w:rFonts w:hint="default"/>
        </w:rPr>
      </w:lvl>
    </w:lvlOverride>
    <w:lvlOverride w:ilvl="5">
      <w:lvl w:ilvl="5">
        <w:start w:val="1"/>
        <w:numFmt w:val="lowerRoman"/>
        <w:lvlText w:val="(%6)"/>
        <w:lvlJc w:val="left"/>
        <w:pPr>
          <w:ind w:left="4254" w:hanging="709"/>
        </w:pPr>
        <w:rPr>
          <w:rFonts w:hint="default"/>
        </w:rPr>
      </w:lvl>
    </w:lvlOverride>
    <w:lvlOverride w:ilvl="6">
      <w:lvl w:ilvl="6">
        <w:start w:val="1"/>
        <w:numFmt w:val="decimal"/>
        <w:lvlText w:val="%7."/>
        <w:lvlJc w:val="left"/>
        <w:pPr>
          <w:ind w:left="4963" w:hanging="709"/>
        </w:pPr>
        <w:rPr>
          <w:rFonts w:hint="default"/>
        </w:rPr>
      </w:lvl>
    </w:lvlOverride>
    <w:lvlOverride w:ilvl="7">
      <w:lvl w:ilvl="7">
        <w:start w:val="1"/>
        <w:numFmt w:val="lowerLetter"/>
        <w:lvlText w:val="%8."/>
        <w:lvlJc w:val="left"/>
        <w:pPr>
          <w:ind w:left="5672" w:hanging="709"/>
        </w:pPr>
        <w:rPr>
          <w:rFonts w:hint="default"/>
        </w:rPr>
      </w:lvl>
    </w:lvlOverride>
    <w:lvlOverride w:ilvl="8">
      <w:lvl w:ilvl="8">
        <w:start w:val="1"/>
        <w:numFmt w:val="lowerRoman"/>
        <w:lvlText w:val="%9."/>
        <w:lvlJc w:val="left"/>
        <w:pPr>
          <w:ind w:left="6381" w:hanging="709"/>
        </w:pPr>
        <w:rPr>
          <w:rFonts w:hint="default"/>
        </w:rPr>
      </w:lvl>
    </w:lvlOverride>
  </w:num>
  <w:num w:numId="14" w16cid:durableId="1563061224">
    <w:abstractNumId w:val="29"/>
  </w:num>
  <w:num w:numId="15" w16cid:durableId="239173273">
    <w:abstractNumId w:val="6"/>
  </w:num>
  <w:num w:numId="16" w16cid:durableId="647250156">
    <w:abstractNumId w:val="26"/>
  </w:num>
  <w:num w:numId="17" w16cid:durableId="740257289">
    <w:abstractNumId w:val="7"/>
  </w:num>
  <w:num w:numId="18" w16cid:durableId="1654673979">
    <w:abstractNumId w:val="28"/>
  </w:num>
  <w:num w:numId="19" w16cid:durableId="1017077237">
    <w:abstractNumId w:val="5"/>
  </w:num>
  <w:num w:numId="20" w16cid:durableId="1059590281">
    <w:abstractNumId w:val="3"/>
  </w:num>
  <w:num w:numId="21" w16cid:durableId="109471013">
    <w:abstractNumId w:val="2"/>
  </w:num>
  <w:num w:numId="22" w16cid:durableId="2054308717">
    <w:abstractNumId w:val="21"/>
  </w:num>
  <w:num w:numId="23" w16cid:durableId="17901465">
    <w:abstractNumId w:val="15"/>
  </w:num>
  <w:num w:numId="24" w16cid:durableId="8382319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9560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9934769">
    <w:abstractNumId w:val="9"/>
  </w:num>
  <w:num w:numId="27" w16cid:durableId="2023587795">
    <w:abstractNumId w:val="30"/>
  </w:num>
  <w:num w:numId="28" w16cid:durableId="35006025">
    <w:abstractNumId w:val="19"/>
  </w:num>
  <w:num w:numId="29" w16cid:durableId="576521129">
    <w:abstractNumId w:val="10"/>
  </w:num>
  <w:num w:numId="30" w16cid:durableId="1760911237">
    <w:abstractNumId w:val="8"/>
  </w:num>
  <w:num w:numId="31" w16cid:durableId="210265610">
    <w:abstractNumId w:val="14"/>
  </w:num>
  <w:num w:numId="32" w16cid:durableId="2043019639">
    <w:abstractNumId w:val="25"/>
  </w:num>
  <w:num w:numId="33" w16cid:durableId="936644785">
    <w:abstractNumId w:val="4"/>
  </w:num>
  <w:num w:numId="34" w16cid:durableId="561915099">
    <w:abstractNumId w:val="11"/>
  </w:num>
  <w:num w:numId="35" w16cid:durableId="7019076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0NTA2MDEwNTQzMrNQ0lEKTi0uzszPAykwMq4FADG9tL8tAAAA"/>
  </w:docVars>
  <w:rsids>
    <w:rsidRoot w:val="00D429C8"/>
    <w:rsid w:val="000018C8"/>
    <w:rsid w:val="00002AB8"/>
    <w:rsid w:val="00005371"/>
    <w:rsid w:val="0000582C"/>
    <w:rsid w:val="00005A5B"/>
    <w:rsid w:val="00006415"/>
    <w:rsid w:val="00007EF5"/>
    <w:rsid w:val="0001484E"/>
    <w:rsid w:val="000204A6"/>
    <w:rsid w:val="00021E7D"/>
    <w:rsid w:val="00021F54"/>
    <w:rsid w:val="00024D2A"/>
    <w:rsid w:val="000263DE"/>
    <w:rsid w:val="00026782"/>
    <w:rsid w:val="00031340"/>
    <w:rsid w:val="00031923"/>
    <w:rsid w:val="00031DBC"/>
    <w:rsid w:val="00032964"/>
    <w:rsid w:val="000340ED"/>
    <w:rsid w:val="00036AE7"/>
    <w:rsid w:val="00040513"/>
    <w:rsid w:val="000408F8"/>
    <w:rsid w:val="000422D0"/>
    <w:rsid w:val="0004439B"/>
    <w:rsid w:val="00045495"/>
    <w:rsid w:val="000512BD"/>
    <w:rsid w:val="00055755"/>
    <w:rsid w:val="00056DE8"/>
    <w:rsid w:val="000623C8"/>
    <w:rsid w:val="0006511D"/>
    <w:rsid w:val="00071FDC"/>
    <w:rsid w:val="000742AF"/>
    <w:rsid w:val="00075626"/>
    <w:rsid w:val="00080331"/>
    <w:rsid w:val="0008234F"/>
    <w:rsid w:val="0008242C"/>
    <w:rsid w:val="00082636"/>
    <w:rsid w:val="00082BF7"/>
    <w:rsid w:val="00085B62"/>
    <w:rsid w:val="0008680E"/>
    <w:rsid w:val="00090AD7"/>
    <w:rsid w:val="00090D77"/>
    <w:rsid w:val="000920D3"/>
    <w:rsid w:val="00092229"/>
    <w:rsid w:val="00092972"/>
    <w:rsid w:val="00093210"/>
    <w:rsid w:val="000936C7"/>
    <w:rsid w:val="00097A0A"/>
    <w:rsid w:val="000A1AB9"/>
    <w:rsid w:val="000A2A30"/>
    <w:rsid w:val="000A47AF"/>
    <w:rsid w:val="000A4C11"/>
    <w:rsid w:val="000A55AB"/>
    <w:rsid w:val="000A6732"/>
    <w:rsid w:val="000B07AF"/>
    <w:rsid w:val="000B7A39"/>
    <w:rsid w:val="000C7398"/>
    <w:rsid w:val="000D19CF"/>
    <w:rsid w:val="000D380C"/>
    <w:rsid w:val="000D41A4"/>
    <w:rsid w:val="000D428B"/>
    <w:rsid w:val="000D5A37"/>
    <w:rsid w:val="000E1311"/>
    <w:rsid w:val="000E6E09"/>
    <w:rsid w:val="000E7F81"/>
    <w:rsid w:val="000F281A"/>
    <w:rsid w:val="000F2911"/>
    <w:rsid w:val="000F4C2A"/>
    <w:rsid w:val="001019DD"/>
    <w:rsid w:val="00101AEC"/>
    <w:rsid w:val="0010290A"/>
    <w:rsid w:val="00104195"/>
    <w:rsid w:val="001107F1"/>
    <w:rsid w:val="00111680"/>
    <w:rsid w:val="001218DE"/>
    <w:rsid w:val="00121C54"/>
    <w:rsid w:val="00123208"/>
    <w:rsid w:val="00125554"/>
    <w:rsid w:val="00125833"/>
    <w:rsid w:val="00126540"/>
    <w:rsid w:val="00126FC1"/>
    <w:rsid w:val="00127125"/>
    <w:rsid w:val="0012730F"/>
    <w:rsid w:val="001311D0"/>
    <w:rsid w:val="00131465"/>
    <w:rsid w:val="00131C3F"/>
    <w:rsid w:val="0014176B"/>
    <w:rsid w:val="00141D3C"/>
    <w:rsid w:val="00143ED2"/>
    <w:rsid w:val="00144CC0"/>
    <w:rsid w:val="00145D0F"/>
    <w:rsid w:val="001502DF"/>
    <w:rsid w:val="00150682"/>
    <w:rsid w:val="00151F1F"/>
    <w:rsid w:val="0015670A"/>
    <w:rsid w:val="001639EB"/>
    <w:rsid w:val="00164A51"/>
    <w:rsid w:val="001739B6"/>
    <w:rsid w:val="00176AFE"/>
    <w:rsid w:val="00180091"/>
    <w:rsid w:val="001807DF"/>
    <w:rsid w:val="0018198F"/>
    <w:rsid w:val="00183A24"/>
    <w:rsid w:val="00184EAD"/>
    <w:rsid w:val="00185F4B"/>
    <w:rsid w:val="00190DF0"/>
    <w:rsid w:val="001934F4"/>
    <w:rsid w:val="00194D6C"/>
    <w:rsid w:val="00195D9C"/>
    <w:rsid w:val="001A1AC4"/>
    <w:rsid w:val="001A2B0E"/>
    <w:rsid w:val="001A3A3D"/>
    <w:rsid w:val="001A4178"/>
    <w:rsid w:val="001A5D6F"/>
    <w:rsid w:val="001B066A"/>
    <w:rsid w:val="001B14BE"/>
    <w:rsid w:val="001B18CB"/>
    <w:rsid w:val="001B490C"/>
    <w:rsid w:val="001B50B0"/>
    <w:rsid w:val="001B57F3"/>
    <w:rsid w:val="001B6F82"/>
    <w:rsid w:val="001B712B"/>
    <w:rsid w:val="001C510E"/>
    <w:rsid w:val="001C67EF"/>
    <w:rsid w:val="001C7286"/>
    <w:rsid w:val="001C7634"/>
    <w:rsid w:val="001D0117"/>
    <w:rsid w:val="001D11AD"/>
    <w:rsid w:val="001D1FFA"/>
    <w:rsid w:val="001D25AD"/>
    <w:rsid w:val="001D3634"/>
    <w:rsid w:val="001D54C1"/>
    <w:rsid w:val="001D69FD"/>
    <w:rsid w:val="001D7463"/>
    <w:rsid w:val="001D7DA0"/>
    <w:rsid w:val="001E0872"/>
    <w:rsid w:val="001E0EA2"/>
    <w:rsid w:val="001E26D3"/>
    <w:rsid w:val="001E2BEB"/>
    <w:rsid w:val="001E4107"/>
    <w:rsid w:val="001E50B3"/>
    <w:rsid w:val="001E5685"/>
    <w:rsid w:val="001E5C5D"/>
    <w:rsid w:val="001F3ED4"/>
    <w:rsid w:val="001F5FDA"/>
    <w:rsid w:val="001F62E0"/>
    <w:rsid w:val="001F648A"/>
    <w:rsid w:val="001F6C93"/>
    <w:rsid w:val="001F7111"/>
    <w:rsid w:val="00200047"/>
    <w:rsid w:val="0020218F"/>
    <w:rsid w:val="0020261B"/>
    <w:rsid w:val="00203B57"/>
    <w:rsid w:val="00205EE9"/>
    <w:rsid w:val="00206A47"/>
    <w:rsid w:val="00210668"/>
    <w:rsid w:val="00212B63"/>
    <w:rsid w:val="00213241"/>
    <w:rsid w:val="00214B06"/>
    <w:rsid w:val="00216D67"/>
    <w:rsid w:val="00220F1B"/>
    <w:rsid w:val="00223EED"/>
    <w:rsid w:val="00225101"/>
    <w:rsid w:val="00225C75"/>
    <w:rsid w:val="002266D7"/>
    <w:rsid w:val="00226895"/>
    <w:rsid w:val="00226D88"/>
    <w:rsid w:val="00227FB6"/>
    <w:rsid w:val="00230E6D"/>
    <w:rsid w:val="0023104C"/>
    <w:rsid w:val="00232752"/>
    <w:rsid w:val="00234DBE"/>
    <w:rsid w:val="00236896"/>
    <w:rsid w:val="0024095F"/>
    <w:rsid w:val="00242F40"/>
    <w:rsid w:val="00243728"/>
    <w:rsid w:val="00247FC3"/>
    <w:rsid w:val="002600A4"/>
    <w:rsid w:val="0026401B"/>
    <w:rsid w:val="002643DA"/>
    <w:rsid w:val="00266D81"/>
    <w:rsid w:val="00267D86"/>
    <w:rsid w:val="00272C26"/>
    <w:rsid w:val="00273574"/>
    <w:rsid w:val="00282A29"/>
    <w:rsid w:val="0028374D"/>
    <w:rsid w:val="00284D8D"/>
    <w:rsid w:val="002A46EC"/>
    <w:rsid w:val="002A4C26"/>
    <w:rsid w:val="002A6880"/>
    <w:rsid w:val="002B19C5"/>
    <w:rsid w:val="002B2D41"/>
    <w:rsid w:val="002B36F5"/>
    <w:rsid w:val="002C0FEE"/>
    <w:rsid w:val="002C20ED"/>
    <w:rsid w:val="002C3050"/>
    <w:rsid w:val="002D2DCF"/>
    <w:rsid w:val="002D4E3D"/>
    <w:rsid w:val="002D5998"/>
    <w:rsid w:val="002D6726"/>
    <w:rsid w:val="002D6D7A"/>
    <w:rsid w:val="002E1F3F"/>
    <w:rsid w:val="002E2390"/>
    <w:rsid w:val="002E6AE0"/>
    <w:rsid w:val="002F2310"/>
    <w:rsid w:val="002F2A7E"/>
    <w:rsid w:val="002F42FC"/>
    <w:rsid w:val="002F4837"/>
    <w:rsid w:val="002F49F8"/>
    <w:rsid w:val="002F64CA"/>
    <w:rsid w:val="002F6757"/>
    <w:rsid w:val="002F724F"/>
    <w:rsid w:val="002F74A2"/>
    <w:rsid w:val="00300AB3"/>
    <w:rsid w:val="0030160B"/>
    <w:rsid w:val="00302F7F"/>
    <w:rsid w:val="0031196F"/>
    <w:rsid w:val="00315256"/>
    <w:rsid w:val="0032467B"/>
    <w:rsid w:val="003276D9"/>
    <w:rsid w:val="0033233B"/>
    <w:rsid w:val="003329B8"/>
    <w:rsid w:val="003337B4"/>
    <w:rsid w:val="0033786B"/>
    <w:rsid w:val="0034440A"/>
    <w:rsid w:val="00345A43"/>
    <w:rsid w:val="00345AF4"/>
    <w:rsid w:val="0034635D"/>
    <w:rsid w:val="003469FC"/>
    <w:rsid w:val="00346C26"/>
    <w:rsid w:val="00347521"/>
    <w:rsid w:val="00352568"/>
    <w:rsid w:val="00352D10"/>
    <w:rsid w:val="0035690F"/>
    <w:rsid w:val="00357735"/>
    <w:rsid w:val="00357885"/>
    <w:rsid w:val="003619FE"/>
    <w:rsid w:val="00363BF5"/>
    <w:rsid w:val="00364161"/>
    <w:rsid w:val="003650AC"/>
    <w:rsid w:val="0037581A"/>
    <w:rsid w:val="003761D6"/>
    <w:rsid w:val="00377953"/>
    <w:rsid w:val="00384832"/>
    <w:rsid w:val="00384DE0"/>
    <w:rsid w:val="00385E62"/>
    <w:rsid w:val="003903BF"/>
    <w:rsid w:val="003910A0"/>
    <w:rsid w:val="0039164A"/>
    <w:rsid w:val="00391989"/>
    <w:rsid w:val="00391DC5"/>
    <w:rsid w:val="003959F6"/>
    <w:rsid w:val="00396BCD"/>
    <w:rsid w:val="003975D1"/>
    <w:rsid w:val="00397D98"/>
    <w:rsid w:val="003A09B8"/>
    <w:rsid w:val="003A1E87"/>
    <w:rsid w:val="003A2645"/>
    <w:rsid w:val="003A5EC1"/>
    <w:rsid w:val="003B4FF3"/>
    <w:rsid w:val="003C1874"/>
    <w:rsid w:val="003C33F5"/>
    <w:rsid w:val="003C701F"/>
    <w:rsid w:val="003C7139"/>
    <w:rsid w:val="003D052D"/>
    <w:rsid w:val="003D1F98"/>
    <w:rsid w:val="003D3301"/>
    <w:rsid w:val="003D70D2"/>
    <w:rsid w:val="003E05BE"/>
    <w:rsid w:val="003E145B"/>
    <w:rsid w:val="003E2886"/>
    <w:rsid w:val="003E5E16"/>
    <w:rsid w:val="003E7B0B"/>
    <w:rsid w:val="003F01EE"/>
    <w:rsid w:val="003F02D6"/>
    <w:rsid w:val="003F1B8F"/>
    <w:rsid w:val="003F27D8"/>
    <w:rsid w:val="003F2EA3"/>
    <w:rsid w:val="003F57A8"/>
    <w:rsid w:val="003F5B8A"/>
    <w:rsid w:val="00400192"/>
    <w:rsid w:val="00400F67"/>
    <w:rsid w:val="0040215B"/>
    <w:rsid w:val="00402FB3"/>
    <w:rsid w:val="0041172E"/>
    <w:rsid w:val="0041320B"/>
    <w:rsid w:val="00413230"/>
    <w:rsid w:val="00413838"/>
    <w:rsid w:val="00413F93"/>
    <w:rsid w:val="00414BC3"/>
    <w:rsid w:val="00416638"/>
    <w:rsid w:val="00416FE6"/>
    <w:rsid w:val="004179BF"/>
    <w:rsid w:val="004209B2"/>
    <w:rsid w:val="00432097"/>
    <w:rsid w:val="0043213F"/>
    <w:rsid w:val="00434707"/>
    <w:rsid w:val="00434740"/>
    <w:rsid w:val="00442527"/>
    <w:rsid w:val="00445C5B"/>
    <w:rsid w:val="00446F08"/>
    <w:rsid w:val="0044721A"/>
    <w:rsid w:val="00447827"/>
    <w:rsid w:val="00451C92"/>
    <w:rsid w:val="00451D6D"/>
    <w:rsid w:val="00457DCC"/>
    <w:rsid w:val="004605B1"/>
    <w:rsid w:val="004607FB"/>
    <w:rsid w:val="00462D2E"/>
    <w:rsid w:val="0046675A"/>
    <w:rsid w:val="00466C21"/>
    <w:rsid w:val="00467D03"/>
    <w:rsid w:val="00473FA6"/>
    <w:rsid w:val="004759DF"/>
    <w:rsid w:val="00476987"/>
    <w:rsid w:val="004772DF"/>
    <w:rsid w:val="0047780E"/>
    <w:rsid w:val="00484224"/>
    <w:rsid w:val="00485264"/>
    <w:rsid w:val="00493DD4"/>
    <w:rsid w:val="00494D93"/>
    <w:rsid w:val="004A0A36"/>
    <w:rsid w:val="004A25C5"/>
    <w:rsid w:val="004A4C97"/>
    <w:rsid w:val="004A6217"/>
    <w:rsid w:val="004A793F"/>
    <w:rsid w:val="004B136A"/>
    <w:rsid w:val="004B1D54"/>
    <w:rsid w:val="004C0714"/>
    <w:rsid w:val="004C1230"/>
    <w:rsid w:val="004C1746"/>
    <w:rsid w:val="004C290D"/>
    <w:rsid w:val="004C3B43"/>
    <w:rsid w:val="004C62D2"/>
    <w:rsid w:val="004D04AF"/>
    <w:rsid w:val="004D1170"/>
    <w:rsid w:val="004D1342"/>
    <w:rsid w:val="004D2BDB"/>
    <w:rsid w:val="004D4E0E"/>
    <w:rsid w:val="004D66D9"/>
    <w:rsid w:val="004E079F"/>
    <w:rsid w:val="004E598B"/>
    <w:rsid w:val="004E66A0"/>
    <w:rsid w:val="004E696F"/>
    <w:rsid w:val="004F063D"/>
    <w:rsid w:val="004F5926"/>
    <w:rsid w:val="005002D9"/>
    <w:rsid w:val="00506291"/>
    <w:rsid w:val="00512D58"/>
    <w:rsid w:val="00512F90"/>
    <w:rsid w:val="00514E90"/>
    <w:rsid w:val="00516BAB"/>
    <w:rsid w:val="00517220"/>
    <w:rsid w:val="00520E9E"/>
    <w:rsid w:val="005247BA"/>
    <w:rsid w:val="00526DA0"/>
    <w:rsid w:val="00532273"/>
    <w:rsid w:val="005324F0"/>
    <w:rsid w:val="005325B8"/>
    <w:rsid w:val="005327AA"/>
    <w:rsid w:val="0053377E"/>
    <w:rsid w:val="005352D8"/>
    <w:rsid w:val="00540A97"/>
    <w:rsid w:val="00540E70"/>
    <w:rsid w:val="00544968"/>
    <w:rsid w:val="00545801"/>
    <w:rsid w:val="0054748E"/>
    <w:rsid w:val="00550934"/>
    <w:rsid w:val="00551058"/>
    <w:rsid w:val="0055197A"/>
    <w:rsid w:val="00553133"/>
    <w:rsid w:val="00556F21"/>
    <w:rsid w:val="00557E5F"/>
    <w:rsid w:val="00565343"/>
    <w:rsid w:val="00565477"/>
    <w:rsid w:val="00565A4C"/>
    <w:rsid w:val="00570C59"/>
    <w:rsid w:val="00570F3D"/>
    <w:rsid w:val="0057408A"/>
    <w:rsid w:val="00576469"/>
    <w:rsid w:val="0058035C"/>
    <w:rsid w:val="005830A3"/>
    <w:rsid w:val="005845A2"/>
    <w:rsid w:val="005856F5"/>
    <w:rsid w:val="005874FB"/>
    <w:rsid w:val="00590D31"/>
    <w:rsid w:val="00592267"/>
    <w:rsid w:val="005943B5"/>
    <w:rsid w:val="00595452"/>
    <w:rsid w:val="00596B1D"/>
    <w:rsid w:val="00597161"/>
    <w:rsid w:val="005978CA"/>
    <w:rsid w:val="005A0715"/>
    <w:rsid w:val="005A107B"/>
    <w:rsid w:val="005A5A29"/>
    <w:rsid w:val="005A7D38"/>
    <w:rsid w:val="005B0AB4"/>
    <w:rsid w:val="005B238F"/>
    <w:rsid w:val="005B39D3"/>
    <w:rsid w:val="005B39FC"/>
    <w:rsid w:val="005B3B48"/>
    <w:rsid w:val="005B4EE7"/>
    <w:rsid w:val="005B5DB6"/>
    <w:rsid w:val="005B7BB7"/>
    <w:rsid w:val="005D0051"/>
    <w:rsid w:val="005D4684"/>
    <w:rsid w:val="005D5F81"/>
    <w:rsid w:val="005D6F87"/>
    <w:rsid w:val="005E2750"/>
    <w:rsid w:val="005E2BBE"/>
    <w:rsid w:val="005E4C0C"/>
    <w:rsid w:val="005F0581"/>
    <w:rsid w:val="005F1173"/>
    <w:rsid w:val="005F14BD"/>
    <w:rsid w:val="005F3AA4"/>
    <w:rsid w:val="005F4451"/>
    <w:rsid w:val="005F4CD1"/>
    <w:rsid w:val="005F75FF"/>
    <w:rsid w:val="005F7741"/>
    <w:rsid w:val="006018EA"/>
    <w:rsid w:val="0060325A"/>
    <w:rsid w:val="00604D58"/>
    <w:rsid w:val="00605434"/>
    <w:rsid w:val="00605E37"/>
    <w:rsid w:val="00607362"/>
    <w:rsid w:val="006104FA"/>
    <w:rsid w:val="00610D99"/>
    <w:rsid w:val="006149AF"/>
    <w:rsid w:val="0061517C"/>
    <w:rsid w:val="006163AE"/>
    <w:rsid w:val="00616B47"/>
    <w:rsid w:val="00620A91"/>
    <w:rsid w:val="00623B43"/>
    <w:rsid w:val="006249FD"/>
    <w:rsid w:val="00626AC2"/>
    <w:rsid w:val="0063194F"/>
    <w:rsid w:val="00632D20"/>
    <w:rsid w:val="00633C3D"/>
    <w:rsid w:val="00635FA2"/>
    <w:rsid w:val="0064180B"/>
    <w:rsid w:val="0064180C"/>
    <w:rsid w:val="00642978"/>
    <w:rsid w:val="00643AB0"/>
    <w:rsid w:val="00646823"/>
    <w:rsid w:val="00646FF6"/>
    <w:rsid w:val="006473CD"/>
    <w:rsid w:val="006575CF"/>
    <w:rsid w:val="00661038"/>
    <w:rsid w:val="006628B2"/>
    <w:rsid w:val="006638BF"/>
    <w:rsid w:val="00664EE6"/>
    <w:rsid w:val="00666164"/>
    <w:rsid w:val="00667DFB"/>
    <w:rsid w:val="0067073C"/>
    <w:rsid w:val="0067195B"/>
    <w:rsid w:val="00672100"/>
    <w:rsid w:val="00675CA0"/>
    <w:rsid w:val="006773A3"/>
    <w:rsid w:val="006776BD"/>
    <w:rsid w:val="00677EC0"/>
    <w:rsid w:val="006804CC"/>
    <w:rsid w:val="00684668"/>
    <w:rsid w:val="00685257"/>
    <w:rsid w:val="00686B7C"/>
    <w:rsid w:val="00692349"/>
    <w:rsid w:val="0069260A"/>
    <w:rsid w:val="0069509F"/>
    <w:rsid w:val="00696DAB"/>
    <w:rsid w:val="006A01D2"/>
    <w:rsid w:val="006A0323"/>
    <w:rsid w:val="006A075D"/>
    <w:rsid w:val="006A0C7C"/>
    <w:rsid w:val="006A2549"/>
    <w:rsid w:val="006A2A04"/>
    <w:rsid w:val="006A56D8"/>
    <w:rsid w:val="006A7D38"/>
    <w:rsid w:val="006B1B4A"/>
    <w:rsid w:val="006B1C9A"/>
    <w:rsid w:val="006B4CBF"/>
    <w:rsid w:val="006C13AD"/>
    <w:rsid w:val="006C34F1"/>
    <w:rsid w:val="006C39D1"/>
    <w:rsid w:val="006C5EB8"/>
    <w:rsid w:val="006C6010"/>
    <w:rsid w:val="006D4730"/>
    <w:rsid w:val="006D49D7"/>
    <w:rsid w:val="006D4CF4"/>
    <w:rsid w:val="006D5858"/>
    <w:rsid w:val="006D6B35"/>
    <w:rsid w:val="006E2C4E"/>
    <w:rsid w:val="006E776F"/>
    <w:rsid w:val="006F217C"/>
    <w:rsid w:val="006F2619"/>
    <w:rsid w:val="006F3F09"/>
    <w:rsid w:val="006F422A"/>
    <w:rsid w:val="006F46DE"/>
    <w:rsid w:val="006F593C"/>
    <w:rsid w:val="00700221"/>
    <w:rsid w:val="00700747"/>
    <w:rsid w:val="0070090E"/>
    <w:rsid w:val="007011E7"/>
    <w:rsid w:val="00701AD4"/>
    <w:rsid w:val="00703BE9"/>
    <w:rsid w:val="0070643A"/>
    <w:rsid w:val="00706D55"/>
    <w:rsid w:val="00711664"/>
    <w:rsid w:val="00717627"/>
    <w:rsid w:val="007178F3"/>
    <w:rsid w:val="00720919"/>
    <w:rsid w:val="00720A2E"/>
    <w:rsid w:val="00722CEF"/>
    <w:rsid w:val="00723064"/>
    <w:rsid w:val="007231BD"/>
    <w:rsid w:val="00725555"/>
    <w:rsid w:val="007261ED"/>
    <w:rsid w:val="007303BE"/>
    <w:rsid w:val="007314C1"/>
    <w:rsid w:val="00731975"/>
    <w:rsid w:val="007322D6"/>
    <w:rsid w:val="007328C0"/>
    <w:rsid w:val="00735E30"/>
    <w:rsid w:val="00741AD2"/>
    <w:rsid w:val="00743146"/>
    <w:rsid w:val="007501D5"/>
    <w:rsid w:val="00753A73"/>
    <w:rsid w:val="00753C86"/>
    <w:rsid w:val="007556D4"/>
    <w:rsid w:val="00755B4C"/>
    <w:rsid w:val="00755D8C"/>
    <w:rsid w:val="00756255"/>
    <w:rsid w:val="00757555"/>
    <w:rsid w:val="00761153"/>
    <w:rsid w:val="0076613B"/>
    <w:rsid w:val="00766192"/>
    <w:rsid w:val="007676C0"/>
    <w:rsid w:val="007729D8"/>
    <w:rsid w:val="00772FD5"/>
    <w:rsid w:val="00774277"/>
    <w:rsid w:val="00780F23"/>
    <w:rsid w:val="00781837"/>
    <w:rsid w:val="00781C08"/>
    <w:rsid w:val="00783BEC"/>
    <w:rsid w:val="00785522"/>
    <w:rsid w:val="00786A48"/>
    <w:rsid w:val="00787825"/>
    <w:rsid w:val="00791279"/>
    <w:rsid w:val="00791336"/>
    <w:rsid w:val="00793123"/>
    <w:rsid w:val="00794926"/>
    <w:rsid w:val="00794ACF"/>
    <w:rsid w:val="0079731E"/>
    <w:rsid w:val="007A487E"/>
    <w:rsid w:val="007B02E3"/>
    <w:rsid w:val="007B0899"/>
    <w:rsid w:val="007B09C5"/>
    <w:rsid w:val="007B3132"/>
    <w:rsid w:val="007B323F"/>
    <w:rsid w:val="007B4653"/>
    <w:rsid w:val="007B539D"/>
    <w:rsid w:val="007C13D0"/>
    <w:rsid w:val="007C1E39"/>
    <w:rsid w:val="007C1FC7"/>
    <w:rsid w:val="007C2A76"/>
    <w:rsid w:val="007C2B04"/>
    <w:rsid w:val="007C3C04"/>
    <w:rsid w:val="007C5692"/>
    <w:rsid w:val="007D1E4B"/>
    <w:rsid w:val="007D1EFC"/>
    <w:rsid w:val="007D22EA"/>
    <w:rsid w:val="007D3FB0"/>
    <w:rsid w:val="007D6D1B"/>
    <w:rsid w:val="007E15A3"/>
    <w:rsid w:val="007E3039"/>
    <w:rsid w:val="007E548A"/>
    <w:rsid w:val="007F4E20"/>
    <w:rsid w:val="007F5243"/>
    <w:rsid w:val="007F559F"/>
    <w:rsid w:val="00800647"/>
    <w:rsid w:val="0080181E"/>
    <w:rsid w:val="00802C2B"/>
    <w:rsid w:val="00805599"/>
    <w:rsid w:val="00813CFA"/>
    <w:rsid w:val="00822659"/>
    <w:rsid w:val="00823396"/>
    <w:rsid w:val="008261A7"/>
    <w:rsid w:val="0082668C"/>
    <w:rsid w:val="00826B09"/>
    <w:rsid w:val="00826FE1"/>
    <w:rsid w:val="008270EF"/>
    <w:rsid w:val="00830F6B"/>
    <w:rsid w:val="008343DD"/>
    <w:rsid w:val="00835C4B"/>
    <w:rsid w:val="008364C4"/>
    <w:rsid w:val="008377FF"/>
    <w:rsid w:val="00840DF9"/>
    <w:rsid w:val="00840E63"/>
    <w:rsid w:val="008412BD"/>
    <w:rsid w:val="00843BF6"/>
    <w:rsid w:val="008452A5"/>
    <w:rsid w:val="0084574B"/>
    <w:rsid w:val="00846DF4"/>
    <w:rsid w:val="0085098F"/>
    <w:rsid w:val="008509A0"/>
    <w:rsid w:val="008535B7"/>
    <w:rsid w:val="008541FE"/>
    <w:rsid w:val="00854BCD"/>
    <w:rsid w:val="00854DBE"/>
    <w:rsid w:val="00855064"/>
    <w:rsid w:val="00855B93"/>
    <w:rsid w:val="00857B51"/>
    <w:rsid w:val="00857D06"/>
    <w:rsid w:val="00861618"/>
    <w:rsid w:val="00861A3A"/>
    <w:rsid w:val="00866B9F"/>
    <w:rsid w:val="00870C00"/>
    <w:rsid w:val="00874677"/>
    <w:rsid w:val="00874B2D"/>
    <w:rsid w:val="00882101"/>
    <w:rsid w:val="008824C2"/>
    <w:rsid w:val="00891630"/>
    <w:rsid w:val="00891737"/>
    <w:rsid w:val="00891EE6"/>
    <w:rsid w:val="008953E7"/>
    <w:rsid w:val="00896AE0"/>
    <w:rsid w:val="008A367D"/>
    <w:rsid w:val="008A471F"/>
    <w:rsid w:val="008A6ADF"/>
    <w:rsid w:val="008B38D6"/>
    <w:rsid w:val="008B63BA"/>
    <w:rsid w:val="008B66C2"/>
    <w:rsid w:val="008C1BD9"/>
    <w:rsid w:val="008C1FEB"/>
    <w:rsid w:val="008C5B82"/>
    <w:rsid w:val="008C70DC"/>
    <w:rsid w:val="008C7E56"/>
    <w:rsid w:val="008D2382"/>
    <w:rsid w:val="008D23B6"/>
    <w:rsid w:val="008D3631"/>
    <w:rsid w:val="008D3E1A"/>
    <w:rsid w:val="008D4631"/>
    <w:rsid w:val="008E0FA7"/>
    <w:rsid w:val="008E4294"/>
    <w:rsid w:val="008E432A"/>
    <w:rsid w:val="008E4AEA"/>
    <w:rsid w:val="008E704E"/>
    <w:rsid w:val="008F0909"/>
    <w:rsid w:val="008F344A"/>
    <w:rsid w:val="008F53E7"/>
    <w:rsid w:val="008F635A"/>
    <w:rsid w:val="008F6E8E"/>
    <w:rsid w:val="008F73FD"/>
    <w:rsid w:val="0090112C"/>
    <w:rsid w:val="009012DA"/>
    <w:rsid w:val="009021D8"/>
    <w:rsid w:val="00902A7E"/>
    <w:rsid w:val="00905ED9"/>
    <w:rsid w:val="00906821"/>
    <w:rsid w:val="0090761D"/>
    <w:rsid w:val="00907DFB"/>
    <w:rsid w:val="00910814"/>
    <w:rsid w:val="00912BD6"/>
    <w:rsid w:val="00913B8E"/>
    <w:rsid w:val="009143FD"/>
    <w:rsid w:val="00916B64"/>
    <w:rsid w:val="00917770"/>
    <w:rsid w:val="009178BF"/>
    <w:rsid w:val="00920660"/>
    <w:rsid w:val="009243C9"/>
    <w:rsid w:val="00930915"/>
    <w:rsid w:val="009316D9"/>
    <w:rsid w:val="00931914"/>
    <w:rsid w:val="0093220C"/>
    <w:rsid w:val="00934282"/>
    <w:rsid w:val="00934970"/>
    <w:rsid w:val="00936AD7"/>
    <w:rsid w:val="0094403C"/>
    <w:rsid w:val="009476A5"/>
    <w:rsid w:val="00956812"/>
    <w:rsid w:val="00957D59"/>
    <w:rsid w:val="00960741"/>
    <w:rsid w:val="00961699"/>
    <w:rsid w:val="00963C4D"/>
    <w:rsid w:val="0096595A"/>
    <w:rsid w:val="009707EC"/>
    <w:rsid w:val="00970EDD"/>
    <w:rsid w:val="00972EC0"/>
    <w:rsid w:val="00973134"/>
    <w:rsid w:val="00973F7A"/>
    <w:rsid w:val="00975BB8"/>
    <w:rsid w:val="00975F5E"/>
    <w:rsid w:val="0097741F"/>
    <w:rsid w:val="00980393"/>
    <w:rsid w:val="009818F9"/>
    <w:rsid w:val="00981FFA"/>
    <w:rsid w:val="009839D3"/>
    <w:rsid w:val="00985250"/>
    <w:rsid w:val="009906D1"/>
    <w:rsid w:val="009929E0"/>
    <w:rsid w:val="009937A0"/>
    <w:rsid w:val="00995438"/>
    <w:rsid w:val="00997560"/>
    <w:rsid w:val="009A21B4"/>
    <w:rsid w:val="009A252B"/>
    <w:rsid w:val="009A280B"/>
    <w:rsid w:val="009B1B46"/>
    <w:rsid w:val="009B411C"/>
    <w:rsid w:val="009B6083"/>
    <w:rsid w:val="009C0E46"/>
    <w:rsid w:val="009C31A4"/>
    <w:rsid w:val="009C31B0"/>
    <w:rsid w:val="009C5C89"/>
    <w:rsid w:val="009C63F9"/>
    <w:rsid w:val="009D0A9C"/>
    <w:rsid w:val="009D1845"/>
    <w:rsid w:val="009D5CEF"/>
    <w:rsid w:val="009D60EF"/>
    <w:rsid w:val="009D6119"/>
    <w:rsid w:val="009D6572"/>
    <w:rsid w:val="009D74AC"/>
    <w:rsid w:val="009E0411"/>
    <w:rsid w:val="009E0B7F"/>
    <w:rsid w:val="009E0BD4"/>
    <w:rsid w:val="009E1B08"/>
    <w:rsid w:val="009E2AE6"/>
    <w:rsid w:val="009E451E"/>
    <w:rsid w:val="009E58CC"/>
    <w:rsid w:val="009E70AD"/>
    <w:rsid w:val="009F2CD1"/>
    <w:rsid w:val="009F7265"/>
    <w:rsid w:val="00A01404"/>
    <w:rsid w:val="00A019FC"/>
    <w:rsid w:val="00A02299"/>
    <w:rsid w:val="00A02953"/>
    <w:rsid w:val="00A02CA7"/>
    <w:rsid w:val="00A033D0"/>
    <w:rsid w:val="00A043F0"/>
    <w:rsid w:val="00A04C1F"/>
    <w:rsid w:val="00A07B58"/>
    <w:rsid w:val="00A108EA"/>
    <w:rsid w:val="00A12B2F"/>
    <w:rsid w:val="00A13412"/>
    <w:rsid w:val="00A1375F"/>
    <w:rsid w:val="00A14C37"/>
    <w:rsid w:val="00A22A15"/>
    <w:rsid w:val="00A2422B"/>
    <w:rsid w:val="00A24F6F"/>
    <w:rsid w:val="00A3145C"/>
    <w:rsid w:val="00A32245"/>
    <w:rsid w:val="00A33757"/>
    <w:rsid w:val="00A41043"/>
    <w:rsid w:val="00A41EF3"/>
    <w:rsid w:val="00A43C4F"/>
    <w:rsid w:val="00A45CA6"/>
    <w:rsid w:val="00A46379"/>
    <w:rsid w:val="00A467A0"/>
    <w:rsid w:val="00A479AE"/>
    <w:rsid w:val="00A531DE"/>
    <w:rsid w:val="00A548B3"/>
    <w:rsid w:val="00A56177"/>
    <w:rsid w:val="00A61CB2"/>
    <w:rsid w:val="00A61D81"/>
    <w:rsid w:val="00A62360"/>
    <w:rsid w:val="00A62773"/>
    <w:rsid w:val="00A63682"/>
    <w:rsid w:val="00A7200C"/>
    <w:rsid w:val="00A802A3"/>
    <w:rsid w:val="00A8344C"/>
    <w:rsid w:val="00A852FE"/>
    <w:rsid w:val="00A87B0F"/>
    <w:rsid w:val="00A90590"/>
    <w:rsid w:val="00A90A3D"/>
    <w:rsid w:val="00A92FFA"/>
    <w:rsid w:val="00A9484D"/>
    <w:rsid w:val="00A94F2A"/>
    <w:rsid w:val="00A97AA9"/>
    <w:rsid w:val="00A97B77"/>
    <w:rsid w:val="00A97E68"/>
    <w:rsid w:val="00AA0395"/>
    <w:rsid w:val="00AB0836"/>
    <w:rsid w:val="00AB18E2"/>
    <w:rsid w:val="00AB2137"/>
    <w:rsid w:val="00AB24D4"/>
    <w:rsid w:val="00AB32B3"/>
    <w:rsid w:val="00AB61AB"/>
    <w:rsid w:val="00AB7BA8"/>
    <w:rsid w:val="00AC2063"/>
    <w:rsid w:val="00AC2CA9"/>
    <w:rsid w:val="00AC32CE"/>
    <w:rsid w:val="00AD44F9"/>
    <w:rsid w:val="00AD5CC0"/>
    <w:rsid w:val="00AD73BA"/>
    <w:rsid w:val="00AE1F8A"/>
    <w:rsid w:val="00AE6CE3"/>
    <w:rsid w:val="00AF02A8"/>
    <w:rsid w:val="00AF0C7A"/>
    <w:rsid w:val="00AF3C4B"/>
    <w:rsid w:val="00AF61C3"/>
    <w:rsid w:val="00AF7057"/>
    <w:rsid w:val="00AF7557"/>
    <w:rsid w:val="00B00C1B"/>
    <w:rsid w:val="00B02951"/>
    <w:rsid w:val="00B06683"/>
    <w:rsid w:val="00B10AB1"/>
    <w:rsid w:val="00B11B66"/>
    <w:rsid w:val="00B127B5"/>
    <w:rsid w:val="00B12BD0"/>
    <w:rsid w:val="00B13409"/>
    <w:rsid w:val="00B2160A"/>
    <w:rsid w:val="00B223A3"/>
    <w:rsid w:val="00B238A4"/>
    <w:rsid w:val="00B259A2"/>
    <w:rsid w:val="00B27BDC"/>
    <w:rsid w:val="00B30BBA"/>
    <w:rsid w:val="00B36139"/>
    <w:rsid w:val="00B41BF1"/>
    <w:rsid w:val="00B44EFA"/>
    <w:rsid w:val="00B50A3C"/>
    <w:rsid w:val="00B5196B"/>
    <w:rsid w:val="00B51E2C"/>
    <w:rsid w:val="00B528E1"/>
    <w:rsid w:val="00B52A7B"/>
    <w:rsid w:val="00B53860"/>
    <w:rsid w:val="00B54797"/>
    <w:rsid w:val="00B57495"/>
    <w:rsid w:val="00B6492D"/>
    <w:rsid w:val="00B66CDA"/>
    <w:rsid w:val="00B67434"/>
    <w:rsid w:val="00B716EA"/>
    <w:rsid w:val="00B72216"/>
    <w:rsid w:val="00B75464"/>
    <w:rsid w:val="00B76085"/>
    <w:rsid w:val="00B805A9"/>
    <w:rsid w:val="00B80C6F"/>
    <w:rsid w:val="00B81972"/>
    <w:rsid w:val="00B82DE7"/>
    <w:rsid w:val="00B842DF"/>
    <w:rsid w:val="00B85DBC"/>
    <w:rsid w:val="00B86745"/>
    <w:rsid w:val="00B93CE4"/>
    <w:rsid w:val="00B942D8"/>
    <w:rsid w:val="00BA0C80"/>
    <w:rsid w:val="00BA1466"/>
    <w:rsid w:val="00BA44B8"/>
    <w:rsid w:val="00BA5153"/>
    <w:rsid w:val="00BB2459"/>
    <w:rsid w:val="00BB74CE"/>
    <w:rsid w:val="00BC5EBB"/>
    <w:rsid w:val="00BC7C01"/>
    <w:rsid w:val="00BD0B5B"/>
    <w:rsid w:val="00BD3F1A"/>
    <w:rsid w:val="00BD4984"/>
    <w:rsid w:val="00BD6F9A"/>
    <w:rsid w:val="00BE1DD0"/>
    <w:rsid w:val="00BE2C0C"/>
    <w:rsid w:val="00BE562F"/>
    <w:rsid w:val="00BE6290"/>
    <w:rsid w:val="00BE66D4"/>
    <w:rsid w:val="00BF2682"/>
    <w:rsid w:val="00BF542F"/>
    <w:rsid w:val="00C04EB7"/>
    <w:rsid w:val="00C05016"/>
    <w:rsid w:val="00C05354"/>
    <w:rsid w:val="00C06546"/>
    <w:rsid w:val="00C068D8"/>
    <w:rsid w:val="00C119CC"/>
    <w:rsid w:val="00C12265"/>
    <w:rsid w:val="00C1395D"/>
    <w:rsid w:val="00C14CCB"/>
    <w:rsid w:val="00C21F45"/>
    <w:rsid w:val="00C22F8F"/>
    <w:rsid w:val="00C2384B"/>
    <w:rsid w:val="00C23936"/>
    <w:rsid w:val="00C2436C"/>
    <w:rsid w:val="00C24940"/>
    <w:rsid w:val="00C313B4"/>
    <w:rsid w:val="00C32AEE"/>
    <w:rsid w:val="00C34A0B"/>
    <w:rsid w:val="00C35A20"/>
    <w:rsid w:val="00C36497"/>
    <w:rsid w:val="00C43F58"/>
    <w:rsid w:val="00C46B67"/>
    <w:rsid w:val="00C50B67"/>
    <w:rsid w:val="00C546C0"/>
    <w:rsid w:val="00C55425"/>
    <w:rsid w:val="00C55905"/>
    <w:rsid w:val="00C57E58"/>
    <w:rsid w:val="00C6133A"/>
    <w:rsid w:val="00C61FC6"/>
    <w:rsid w:val="00C61FC9"/>
    <w:rsid w:val="00C634BB"/>
    <w:rsid w:val="00C63734"/>
    <w:rsid w:val="00C661A8"/>
    <w:rsid w:val="00C717FF"/>
    <w:rsid w:val="00C742AA"/>
    <w:rsid w:val="00C744B3"/>
    <w:rsid w:val="00C74E91"/>
    <w:rsid w:val="00C758E7"/>
    <w:rsid w:val="00C76A63"/>
    <w:rsid w:val="00C77305"/>
    <w:rsid w:val="00C80CE0"/>
    <w:rsid w:val="00C813F4"/>
    <w:rsid w:val="00C82A8C"/>
    <w:rsid w:val="00C90760"/>
    <w:rsid w:val="00C92E61"/>
    <w:rsid w:val="00C93AFB"/>
    <w:rsid w:val="00CA0B9B"/>
    <w:rsid w:val="00CA1593"/>
    <w:rsid w:val="00CA20FA"/>
    <w:rsid w:val="00CA401C"/>
    <w:rsid w:val="00CA4618"/>
    <w:rsid w:val="00CA518E"/>
    <w:rsid w:val="00CA5B25"/>
    <w:rsid w:val="00CA601C"/>
    <w:rsid w:val="00CB49A1"/>
    <w:rsid w:val="00CB74B0"/>
    <w:rsid w:val="00CC252A"/>
    <w:rsid w:val="00CC546B"/>
    <w:rsid w:val="00CC7679"/>
    <w:rsid w:val="00CC779C"/>
    <w:rsid w:val="00CD0A54"/>
    <w:rsid w:val="00CD1AB2"/>
    <w:rsid w:val="00CD2281"/>
    <w:rsid w:val="00CD29EC"/>
    <w:rsid w:val="00CD50A4"/>
    <w:rsid w:val="00CE070C"/>
    <w:rsid w:val="00CF035B"/>
    <w:rsid w:val="00CF19C5"/>
    <w:rsid w:val="00CF25FC"/>
    <w:rsid w:val="00CF3D4E"/>
    <w:rsid w:val="00CF4D2F"/>
    <w:rsid w:val="00CF72F6"/>
    <w:rsid w:val="00D02AD3"/>
    <w:rsid w:val="00D03547"/>
    <w:rsid w:val="00D03A28"/>
    <w:rsid w:val="00D043CC"/>
    <w:rsid w:val="00D04F30"/>
    <w:rsid w:val="00D06196"/>
    <w:rsid w:val="00D070EC"/>
    <w:rsid w:val="00D0735E"/>
    <w:rsid w:val="00D07DD2"/>
    <w:rsid w:val="00D10418"/>
    <w:rsid w:val="00D11E24"/>
    <w:rsid w:val="00D15C0A"/>
    <w:rsid w:val="00D17CF4"/>
    <w:rsid w:val="00D2416F"/>
    <w:rsid w:val="00D2418C"/>
    <w:rsid w:val="00D24634"/>
    <w:rsid w:val="00D24B3E"/>
    <w:rsid w:val="00D27169"/>
    <w:rsid w:val="00D27E14"/>
    <w:rsid w:val="00D3041D"/>
    <w:rsid w:val="00D32242"/>
    <w:rsid w:val="00D33852"/>
    <w:rsid w:val="00D33B89"/>
    <w:rsid w:val="00D3405F"/>
    <w:rsid w:val="00D40502"/>
    <w:rsid w:val="00D429C8"/>
    <w:rsid w:val="00D43163"/>
    <w:rsid w:val="00D442ED"/>
    <w:rsid w:val="00D503A5"/>
    <w:rsid w:val="00D511B3"/>
    <w:rsid w:val="00D531C0"/>
    <w:rsid w:val="00D5323B"/>
    <w:rsid w:val="00D53492"/>
    <w:rsid w:val="00D5363A"/>
    <w:rsid w:val="00D61510"/>
    <w:rsid w:val="00D67C43"/>
    <w:rsid w:val="00D71916"/>
    <w:rsid w:val="00D71B35"/>
    <w:rsid w:val="00D72F19"/>
    <w:rsid w:val="00D74C19"/>
    <w:rsid w:val="00D81427"/>
    <w:rsid w:val="00D82053"/>
    <w:rsid w:val="00D842A9"/>
    <w:rsid w:val="00D850DE"/>
    <w:rsid w:val="00D86DAC"/>
    <w:rsid w:val="00D90528"/>
    <w:rsid w:val="00D924D9"/>
    <w:rsid w:val="00D930DE"/>
    <w:rsid w:val="00D948E2"/>
    <w:rsid w:val="00D96A9D"/>
    <w:rsid w:val="00DA2E07"/>
    <w:rsid w:val="00DA32D2"/>
    <w:rsid w:val="00DA4499"/>
    <w:rsid w:val="00DA505F"/>
    <w:rsid w:val="00DB5798"/>
    <w:rsid w:val="00DB620D"/>
    <w:rsid w:val="00DB7E1B"/>
    <w:rsid w:val="00DC2925"/>
    <w:rsid w:val="00DC30C9"/>
    <w:rsid w:val="00DC552A"/>
    <w:rsid w:val="00DD1167"/>
    <w:rsid w:val="00DD2F16"/>
    <w:rsid w:val="00DD3B65"/>
    <w:rsid w:val="00DD3FDF"/>
    <w:rsid w:val="00DD7166"/>
    <w:rsid w:val="00DD7EED"/>
    <w:rsid w:val="00DE2BF2"/>
    <w:rsid w:val="00DE2EAB"/>
    <w:rsid w:val="00DE78EE"/>
    <w:rsid w:val="00DF0AE3"/>
    <w:rsid w:val="00DF183B"/>
    <w:rsid w:val="00DF23D7"/>
    <w:rsid w:val="00E00D64"/>
    <w:rsid w:val="00E00E3E"/>
    <w:rsid w:val="00E030B5"/>
    <w:rsid w:val="00E04398"/>
    <w:rsid w:val="00E06545"/>
    <w:rsid w:val="00E076E9"/>
    <w:rsid w:val="00E079C1"/>
    <w:rsid w:val="00E113C4"/>
    <w:rsid w:val="00E11F07"/>
    <w:rsid w:val="00E12D6E"/>
    <w:rsid w:val="00E1658F"/>
    <w:rsid w:val="00E24278"/>
    <w:rsid w:val="00E265B5"/>
    <w:rsid w:val="00E2740C"/>
    <w:rsid w:val="00E2749C"/>
    <w:rsid w:val="00E30751"/>
    <w:rsid w:val="00E332B9"/>
    <w:rsid w:val="00E34411"/>
    <w:rsid w:val="00E401CE"/>
    <w:rsid w:val="00E417F3"/>
    <w:rsid w:val="00E41A44"/>
    <w:rsid w:val="00E41E4F"/>
    <w:rsid w:val="00E41F02"/>
    <w:rsid w:val="00E443CF"/>
    <w:rsid w:val="00E4487C"/>
    <w:rsid w:val="00E463EF"/>
    <w:rsid w:val="00E509D3"/>
    <w:rsid w:val="00E51209"/>
    <w:rsid w:val="00E53720"/>
    <w:rsid w:val="00E56A16"/>
    <w:rsid w:val="00E57449"/>
    <w:rsid w:val="00E574C8"/>
    <w:rsid w:val="00E626CE"/>
    <w:rsid w:val="00E70097"/>
    <w:rsid w:val="00E738B0"/>
    <w:rsid w:val="00E770E5"/>
    <w:rsid w:val="00E7777B"/>
    <w:rsid w:val="00E8259F"/>
    <w:rsid w:val="00E84132"/>
    <w:rsid w:val="00E90C7E"/>
    <w:rsid w:val="00E91605"/>
    <w:rsid w:val="00E928A7"/>
    <w:rsid w:val="00E938FD"/>
    <w:rsid w:val="00E9679F"/>
    <w:rsid w:val="00EA0A87"/>
    <w:rsid w:val="00EA0CF7"/>
    <w:rsid w:val="00EA27BA"/>
    <w:rsid w:val="00EA56FD"/>
    <w:rsid w:val="00EA6908"/>
    <w:rsid w:val="00EB1D2A"/>
    <w:rsid w:val="00EB406E"/>
    <w:rsid w:val="00EB7E6E"/>
    <w:rsid w:val="00EC1092"/>
    <w:rsid w:val="00EC3CE5"/>
    <w:rsid w:val="00ED03F7"/>
    <w:rsid w:val="00ED0613"/>
    <w:rsid w:val="00ED08B8"/>
    <w:rsid w:val="00ED5250"/>
    <w:rsid w:val="00ED792E"/>
    <w:rsid w:val="00EE1FA6"/>
    <w:rsid w:val="00EE5B3C"/>
    <w:rsid w:val="00EF1E68"/>
    <w:rsid w:val="00EF2F3D"/>
    <w:rsid w:val="00EF5374"/>
    <w:rsid w:val="00F0118A"/>
    <w:rsid w:val="00F0388A"/>
    <w:rsid w:val="00F038A3"/>
    <w:rsid w:val="00F041AA"/>
    <w:rsid w:val="00F04EBC"/>
    <w:rsid w:val="00F06B3F"/>
    <w:rsid w:val="00F06F0A"/>
    <w:rsid w:val="00F0766F"/>
    <w:rsid w:val="00F12B4A"/>
    <w:rsid w:val="00F12DF8"/>
    <w:rsid w:val="00F140D3"/>
    <w:rsid w:val="00F165E3"/>
    <w:rsid w:val="00F17C58"/>
    <w:rsid w:val="00F21B16"/>
    <w:rsid w:val="00F22BD6"/>
    <w:rsid w:val="00F23FEF"/>
    <w:rsid w:val="00F240F8"/>
    <w:rsid w:val="00F31F8A"/>
    <w:rsid w:val="00F33A28"/>
    <w:rsid w:val="00F3428C"/>
    <w:rsid w:val="00F34FE0"/>
    <w:rsid w:val="00F366AD"/>
    <w:rsid w:val="00F36B59"/>
    <w:rsid w:val="00F41E4A"/>
    <w:rsid w:val="00F52782"/>
    <w:rsid w:val="00F5288D"/>
    <w:rsid w:val="00F52CE1"/>
    <w:rsid w:val="00F61BCB"/>
    <w:rsid w:val="00F62F5C"/>
    <w:rsid w:val="00F63F3B"/>
    <w:rsid w:val="00F657DB"/>
    <w:rsid w:val="00F70FD4"/>
    <w:rsid w:val="00F71510"/>
    <w:rsid w:val="00F73E27"/>
    <w:rsid w:val="00F7512E"/>
    <w:rsid w:val="00F75D23"/>
    <w:rsid w:val="00F7789B"/>
    <w:rsid w:val="00F81864"/>
    <w:rsid w:val="00F81F26"/>
    <w:rsid w:val="00F8246A"/>
    <w:rsid w:val="00F82A0B"/>
    <w:rsid w:val="00F82B71"/>
    <w:rsid w:val="00F82FF2"/>
    <w:rsid w:val="00F8601B"/>
    <w:rsid w:val="00F86557"/>
    <w:rsid w:val="00F92FA7"/>
    <w:rsid w:val="00F93501"/>
    <w:rsid w:val="00F93520"/>
    <w:rsid w:val="00F945F4"/>
    <w:rsid w:val="00FA01BF"/>
    <w:rsid w:val="00FA30CB"/>
    <w:rsid w:val="00FA42FC"/>
    <w:rsid w:val="00FA45D2"/>
    <w:rsid w:val="00FA59D7"/>
    <w:rsid w:val="00FA6424"/>
    <w:rsid w:val="00FA7C5C"/>
    <w:rsid w:val="00FB0481"/>
    <w:rsid w:val="00FB0CFC"/>
    <w:rsid w:val="00FB158E"/>
    <w:rsid w:val="00FB3DED"/>
    <w:rsid w:val="00FB455A"/>
    <w:rsid w:val="00FB46AD"/>
    <w:rsid w:val="00FB4D41"/>
    <w:rsid w:val="00FB4E69"/>
    <w:rsid w:val="00FC2A1E"/>
    <w:rsid w:val="00FC571F"/>
    <w:rsid w:val="00FC6232"/>
    <w:rsid w:val="00FD1880"/>
    <w:rsid w:val="00FD377F"/>
    <w:rsid w:val="00FD4921"/>
    <w:rsid w:val="00FD4C0C"/>
    <w:rsid w:val="00FD7413"/>
    <w:rsid w:val="00FE69AF"/>
    <w:rsid w:val="00FF354C"/>
    <w:rsid w:val="00FF7346"/>
    <w:rsid w:val="00FF75F6"/>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3976965"/>
  <w15:docId w15:val="{957BE834-65D5-433F-9A16-10786E54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uiPriority w:val="1"/>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link w:val="Heading4Char"/>
    <w:uiPriority w:val="9"/>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styleId="ListBullet">
    <w:name w:val="List Bullet"/>
    <w:basedOn w:val="Normal"/>
    <w:rsid w:val="008E704E"/>
    <w:pPr>
      <w:numPr>
        <w:numId w:val="10"/>
      </w:numPr>
      <w:contextualSpacing/>
    </w:pPr>
  </w:style>
  <w:style w:type="paragraph" w:styleId="Revision">
    <w:name w:val="Revision"/>
    <w:hidden/>
    <w:uiPriority w:val="99"/>
    <w:semiHidden/>
    <w:rsid w:val="00413838"/>
    <w:rPr>
      <w:lang w:eastAsia="en-US"/>
    </w:rPr>
  </w:style>
  <w:style w:type="character" w:styleId="CommentReference">
    <w:name w:val="annotation reference"/>
    <w:basedOn w:val="DefaultParagraphFont"/>
    <w:semiHidden/>
    <w:unhideWhenUsed/>
    <w:rsid w:val="00620A91"/>
    <w:rPr>
      <w:sz w:val="16"/>
      <w:szCs w:val="16"/>
    </w:rPr>
  </w:style>
  <w:style w:type="paragraph" w:styleId="CommentText">
    <w:name w:val="annotation text"/>
    <w:basedOn w:val="Normal"/>
    <w:link w:val="CommentTextChar"/>
    <w:unhideWhenUsed/>
    <w:rsid w:val="00620A91"/>
    <w:pPr>
      <w:spacing w:line="240" w:lineRule="auto"/>
    </w:pPr>
  </w:style>
  <w:style w:type="character" w:customStyle="1" w:styleId="CommentTextChar">
    <w:name w:val="Comment Text Char"/>
    <w:basedOn w:val="DefaultParagraphFont"/>
    <w:link w:val="CommentText"/>
    <w:rsid w:val="00620A91"/>
    <w:rPr>
      <w:lang w:eastAsia="en-US"/>
    </w:rPr>
  </w:style>
  <w:style w:type="paragraph" w:styleId="CommentSubject">
    <w:name w:val="annotation subject"/>
    <w:basedOn w:val="CommentText"/>
    <w:next w:val="CommentText"/>
    <w:link w:val="CommentSubjectChar"/>
    <w:semiHidden/>
    <w:unhideWhenUsed/>
    <w:rsid w:val="00620A91"/>
    <w:rPr>
      <w:b/>
      <w:bCs/>
    </w:rPr>
  </w:style>
  <w:style w:type="character" w:customStyle="1" w:styleId="CommentSubjectChar">
    <w:name w:val="Comment Subject Char"/>
    <w:basedOn w:val="CommentTextChar"/>
    <w:link w:val="CommentSubject"/>
    <w:semiHidden/>
    <w:rsid w:val="00620A91"/>
    <w:rPr>
      <w:b/>
      <w:bCs/>
      <w:lang w:eastAsia="en-US"/>
    </w:rPr>
  </w:style>
  <w:style w:type="numbering" w:customStyle="1" w:styleId="AASBNumbers">
    <w:name w:val="AASB Numbers"/>
    <w:uiPriority w:val="99"/>
    <w:rsid w:val="00722CEF"/>
    <w:pPr>
      <w:numPr>
        <w:numId w:val="12"/>
      </w:numPr>
    </w:pPr>
  </w:style>
  <w:style w:type="character" w:styleId="Mention">
    <w:name w:val="Mention"/>
    <w:basedOn w:val="DefaultParagraphFont"/>
    <w:uiPriority w:val="99"/>
    <w:unhideWhenUsed/>
    <w:rsid w:val="0046675A"/>
    <w:rPr>
      <w:color w:val="2B579A"/>
      <w:shd w:val="clear" w:color="auto" w:fill="E1DFDD"/>
    </w:rPr>
  </w:style>
  <w:style w:type="character" w:customStyle="1" w:styleId="Heading3Char">
    <w:name w:val="Heading 3 Char"/>
    <w:basedOn w:val="DefaultParagraphFont"/>
    <w:link w:val="Heading3"/>
    <w:rsid w:val="004D1342"/>
    <w:rPr>
      <w:rFonts w:cs="Arial"/>
      <w:b/>
      <w:bCs/>
      <w:iCs/>
      <w:sz w:val="24"/>
      <w:szCs w:val="26"/>
      <w:lang w:eastAsia="en-US"/>
    </w:rPr>
  </w:style>
  <w:style w:type="numbering" w:customStyle="1" w:styleId="NumPlainAlpha">
    <w:name w:val="NumPlainAlpha"/>
    <w:uiPriority w:val="99"/>
    <w:rsid w:val="00315256"/>
    <w:pPr>
      <w:numPr>
        <w:numId w:val="23"/>
      </w:numPr>
    </w:pPr>
  </w:style>
  <w:style w:type="paragraph" w:styleId="BodyText0">
    <w:name w:val="Body Text"/>
    <w:basedOn w:val="Normal"/>
    <w:link w:val="BodyTextChar"/>
    <w:uiPriority w:val="1"/>
    <w:unhideWhenUsed/>
    <w:qFormat/>
    <w:rsid w:val="007D3FB0"/>
    <w:pPr>
      <w:widowControl w:val="0"/>
      <w:autoSpaceDE w:val="0"/>
      <w:autoSpaceDN w:val="0"/>
      <w:spacing w:line="240" w:lineRule="auto"/>
    </w:pPr>
    <w:rPr>
      <w:rFonts w:eastAsia="Times New Roman"/>
      <w:sz w:val="24"/>
      <w:szCs w:val="24"/>
      <w:lang w:val="en-US"/>
    </w:rPr>
  </w:style>
  <w:style w:type="character" w:customStyle="1" w:styleId="BodyTextChar">
    <w:name w:val="Body Text Char"/>
    <w:basedOn w:val="DefaultParagraphFont"/>
    <w:link w:val="BodyText0"/>
    <w:uiPriority w:val="1"/>
    <w:rsid w:val="007D3FB0"/>
    <w:rPr>
      <w:rFonts w:eastAsia="Times New Roman"/>
      <w:sz w:val="24"/>
      <w:szCs w:val="24"/>
      <w:lang w:val="en-US" w:eastAsia="en-US"/>
    </w:rPr>
  </w:style>
  <w:style w:type="character" w:customStyle="1" w:styleId="Heading4Char">
    <w:name w:val="Heading 4 Char"/>
    <w:aliases w:val="sd Char"/>
    <w:basedOn w:val="DefaultParagraphFont"/>
    <w:link w:val="Heading4"/>
    <w:uiPriority w:val="9"/>
    <w:rsid w:val="000512BD"/>
    <w:rPr>
      <w:rFonts w:cs="Arial"/>
      <w:b/>
      <w:iCs/>
      <w:szCs w:val="28"/>
      <w:lang w:eastAsia="en-US"/>
    </w:rPr>
  </w:style>
  <w:style w:type="paragraph" w:styleId="NormalWeb">
    <w:name w:val="Normal (Web)"/>
    <w:basedOn w:val="Normal"/>
    <w:uiPriority w:val="99"/>
    <w:semiHidden/>
    <w:unhideWhenUsed/>
    <w:rsid w:val="000512BD"/>
    <w:pPr>
      <w:spacing w:before="100" w:beforeAutospacing="1" w:after="100" w:afterAutospacing="1" w:line="240" w:lineRule="auto"/>
    </w:pPr>
    <w:rPr>
      <w:rFonts w:eastAsia="Times New Roman"/>
      <w:sz w:val="24"/>
      <w:szCs w:val="24"/>
      <w:lang w:eastAsia="zh-CN"/>
    </w:rPr>
  </w:style>
  <w:style w:type="character" w:styleId="Emphasis">
    <w:name w:val="Emphasis"/>
    <w:basedOn w:val="DefaultParagraphFont"/>
    <w:uiPriority w:val="20"/>
    <w:qFormat/>
    <w:rsid w:val="00646FF6"/>
    <w:rPr>
      <w:i/>
      <w:iCs/>
    </w:rPr>
  </w:style>
  <w:style w:type="character" w:styleId="Strong">
    <w:name w:val="Strong"/>
    <w:basedOn w:val="DefaultParagraphFont"/>
    <w:uiPriority w:val="22"/>
    <w:qFormat/>
    <w:rsid w:val="00646F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5472">
      <w:bodyDiv w:val="1"/>
      <w:marLeft w:val="0"/>
      <w:marRight w:val="0"/>
      <w:marTop w:val="0"/>
      <w:marBottom w:val="0"/>
      <w:divBdr>
        <w:top w:val="none" w:sz="0" w:space="0" w:color="auto"/>
        <w:left w:val="none" w:sz="0" w:space="0" w:color="auto"/>
        <w:bottom w:val="none" w:sz="0" w:space="0" w:color="auto"/>
        <w:right w:val="none" w:sz="0" w:space="0" w:color="auto"/>
      </w:divBdr>
    </w:div>
    <w:div w:id="1291787802">
      <w:bodyDiv w:val="1"/>
      <w:marLeft w:val="0"/>
      <w:marRight w:val="0"/>
      <w:marTop w:val="0"/>
      <w:marBottom w:val="0"/>
      <w:divBdr>
        <w:top w:val="none" w:sz="0" w:space="0" w:color="auto"/>
        <w:left w:val="none" w:sz="0" w:space="0" w:color="auto"/>
        <w:bottom w:val="none" w:sz="0" w:space="0" w:color="auto"/>
        <w:right w:val="none" w:sz="0" w:space="0" w:color="auto"/>
      </w:divBdr>
    </w:div>
    <w:div w:id="1378777651">
      <w:bodyDiv w:val="1"/>
      <w:marLeft w:val="0"/>
      <w:marRight w:val="0"/>
      <w:marTop w:val="0"/>
      <w:marBottom w:val="0"/>
      <w:divBdr>
        <w:top w:val="none" w:sz="0" w:space="0" w:color="auto"/>
        <w:left w:val="none" w:sz="0" w:space="0" w:color="auto"/>
        <w:bottom w:val="none" w:sz="0" w:space="0" w:color="auto"/>
        <w:right w:val="none" w:sz="0" w:space="0" w:color="auto"/>
      </w:divBdr>
    </w:div>
    <w:div w:id="1517117246">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00057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64F4-007F-4935-82B4-CF1A1904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1165</Words>
  <Characters>6845</Characters>
  <Application>Microsoft Office Word</Application>
  <DocSecurity>0</DocSecurity>
  <Lines>104</Lines>
  <Paragraphs>46</Paragraphs>
  <ScaleCrop>false</ScaleCrop>
  <HeadingPairs>
    <vt:vector size="2" baseType="variant">
      <vt:variant>
        <vt:lpstr>Title</vt:lpstr>
      </vt:variant>
      <vt:variant>
        <vt:i4>1</vt:i4>
      </vt:variant>
    </vt:vector>
  </HeadingPairs>
  <TitlesOfParts>
    <vt:vector size="1" baseType="lpstr">
      <vt:lpstr>AASB2025-1_ES_02-25</vt:lpstr>
    </vt:vector>
  </TitlesOfParts>
  <Company>AASB</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AASB2025-1_ES_02-25</dc:title>
  <dc:subject/>
  <dc:creator>.</dc:creator>
  <cp:keywords/>
  <cp:lastModifiedBy>Lan Lu</cp:lastModifiedBy>
  <cp:revision>5</cp:revision>
  <cp:lastPrinted>2022-12-20T05:14:00Z</cp:lastPrinted>
  <dcterms:created xsi:type="dcterms:W3CDTF">2025-02-07T02:21:00Z</dcterms:created>
  <dcterms:modified xsi:type="dcterms:W3CDTF">2025-02-07T02:24:00Z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20a29cc7462c711a1c479223b925182f567477df3063fe802a5b0e783598031d</vt:lpwstr>
  </property>
  <property fmtid="{D5CDD505-2E9C-101B-9397-08002B2CF9AE}" pid="3" name="SecurityClassification">
    <vt:lpwstr>Official</vt:lpwstr>
  </property>
</Properties>
</file>