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879A" w14:textId="77777777" w:rsidR="005E317F" w:rsidRPr="005173FD" w:rsidRDefault="005E317F" w:rsidP="005E317F">
      <w:pPr>
        <w:rPr>
          <w:sz w:val="28"/>
        </w:rPr>
      </w:pPr>
      <w:r w:rsidRPr="005173FD">
        <w:rPr>
          <w:noProof/>
          <w:lang w:eastAsia="en-AU"/>
        </w:rPr>
        <w:drawing>
          <wp:inline distT="0" distB="0" distL="0" distR="0" wp14:anchorId="39A5D49C" wp14:editId="27F0A97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FE40" w14:textId="77777777" w:rsidR="005E317F" w:rsidRPr="005173FD" w:rsidRDefault="005E317F" w:rsidP="005E317F">
      <w:pPr>
        <w:rPr>
          <w:sz w:val="19"/>
        </w:rPr>
      </w:pPr>
      <w:bookmarkStart w:id="0" w:name="_Hlk182216694"/>
    </w:p>
    <w:p w14:paraId="32E7DF40" w14:textId="3559AE6E" w:rsidR="005E317F" w:rsidRPr="005173FD" w:rsidRDefault="000B68D8" w:rsidP="005E317F">
      <w:pPr>
        <w:pStyle w:val="ShortT"/>
      </w:pPr>
      <w:r w:rsidRPr="005173FD">
        <w:t>Higher Education Support (Other Grants)</w:t>
      </w:r>
      <w:r w:rsidR="005E317F" w:rsidRPr="005173FD">
        <w:t xml:space="preserve"> Amendment (</w:t>
      </w:r>
      <w:r w:rsidRPr="005173FD">
        <w:t>Disability Support Programs</w:t>
      </w:r>
      <w:r w:rsidR="005E317F" w:rsidRPr="005173FD">
        <w:t xml:space="preserve">) </w:t>
      </w:r>
      <w:r w:rsidRPr="005173FD">
        <w:t>Guidelines</w:t>
      </w:r>
      <w:r w:rsidR="005E317F" w:rsidRPr="005173FD">
        <w:t xml:space="preserve"> </w:t>
      </w:r>
      <w:r w:rsidRPr="005173FD">
        <w:t>202</w:t>
      </w:r>
      <w:r w:rsidR="00567CE4">
        <w:t>5</w:t>
      </w:r>
    </w:p>
    <w:bookmarkEnd w:id="0"/>
    <w:p w14:paraId="046C79CA" w14:textId="2ED0BD8E" w:rsidR="005E317F" w:rsidRPr="005173FD" w:rsidRDefault="005E317F" w:rsidP="005E317F">
      <w:pPr>
        <w:pStyle w:val="SignCoverPageStart"/>
        <w:spacing w:before="240"/>
        <w:ind w:right="91"/>
        <w:rPr>
          <w:szCs w:val="22"/>
        </w:rPr>
      </w:pPr>
      <w:r w:rsidRPr="005173FD">
        <w:rPr>
          <w:szCs w:val="22"/>
        </w:rPr>
        <w:t xml:space="preserve">I, </w:t>
      </w:r>
      <w:r w:rsidR="000B68D8" w:rsidRPr="005173FD">
        <w:rPr>
          <w:szCs w:val="22"/>
        </w:rPr>
        <w:t>Jason Clare</w:t>
      </w:r>
      <w:r w:rsidRPr="005173FD">
        <w:rPr>
          <w:szCs w:val="22"/>
        </w:rPr>
        <w:t xml:space="preserve">, </w:t>
      </w:r>
      <w:r w:rsidR="000B68D8" w:rsidRPr="005173FD">
        <w:rPr>
          <w:szCs w:val="22"/>
        </w:rPr>
        <w:t>Minister for Education</w:t>
      </w:r>
      <w:r w:rsidRPr="005173FD">
        <w:rPr>
          <w:szCs w:val="22"/>
        </w:rPr>
        <w:t xml:space="preserve">, make the following </w:t>
      </w:r>
      <w:r w:rsidR="000B68D8" w:rsidRPr="005173FD">
        <w:rPr>
          <w:szCs w:val="22"/>
        </w:rPr>
        <w:t>guidelines</w:t>
      </w:r>
      <w:r w:rsidRPr="005173FD">
        <w:rPr>
          <w:szCs w:val="22"/>
        </w:rPr>
        <w:t>.</w:t>
      </w:r>
    </w:p>
    <w:p w14:paraId="5088DE33" w14:textId="74FFD674" w:rsidR="005E317F" w:rsidRPr="005173F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173FD">
        <w:rPr>
          <w:szCs w:val="22"/>
        </w:rPr>
        <w:t>Dated</w:t>
      </w:r>
      <w:r w:rsidRPr="005173FD">
        <w:rPr>
          <w:szCs w:val="22"/>
        </w:rPr>
        <w:tab/>
      </w:r>
      <w:r w:rsidRPr="005173FD">
        <w:rPr>
          <w:szCs w:val="22"/>
        </w:rPr>
        <w:tab/>
      </w:r>
      <w:r w:rsidR="00F05A2D">
        <w:rPr>
          <w:szCs w:val="22"/>
        </w:rPr>
        <w:t>10 February 2025</w:t>
      </w:r>
      <w:r w:rsidRPr="005173FD">
        <w:rPr>
          <w:szCs w:val="22"/>
        </w:rPr>
        <w:tab/>
      </w:r>
      <w:r w:rsidRPr="005173FD">
        <w:rPr>
          <w:szCs w:val="22"/>
        </w:rPr>
        <w:tab/>
      </w:r>
    </w:p>
    <w:p w14:paraId="2DC11DA0" w14:textId="33979296" w:rsidR="005E317F" w:rsidRPr="005173FD" w:rsidRDefault="000B68D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173FD">
        <w:rPr>
          <w:szCs w:val="22"/>
        </w:rPr>
        <w:t>Jason Clare</w:t>
      </w:r>
      <w:r w:rsidR="005E317F" w:rsidRPr="005173FD">
        <w:rPr>
          <w:szCs w:val="22"/>
        </w:rPr>
        <w:t xml:space="preserve"> </w:t>
      </w:r>
    </w:p>
    <w:p w14:paraId="649A4775" w14:textId="160BF931" w:rsidR="005E317F" w:rsidRPr="005173FD" w:rsidRDefault="000B68D8" w:rsidP="005E317F">
      <w:pPr>
        <w:pStyle w:val="SignCoverPageEnd"/>
        <w:ind w:right="91"/>
        <w:rPr>
          <w:sz w:val="22"/>
        </w:rPr>
      </w:pPr>
      <w:r w:rsidRPr="005173FD">
        <w:rPr>
          <w:sz w:val="22"/>
        </w:rPr>
        <w:t>Minister for Education</w:t>
      </w:r>
    </w:p>
    <w:p w14:paraId="0DB44686" w14:textId="77777777" w:rsidR="00B20990" w:rsidRPr="005173FD" w:rsidRDefault="00B20990" w:rsidP="00B20990"/>
    <w:p w14:paraId="58022F30" w14:textId="77777777" w:rsidR="00B20990" w:rsidRPr="005173FD" w:rsidRDefault="00B20990" w:rsidP="00B20990">
      <w:pPr>
        <w:sectPr w:rsidR="00B20990" w:rsidRPr="005173FD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D91A3A" w14:textId="77777777" w:rsidR="00B20990" w:rsidRPr="005173FD" w:rsidRDefault="00B20990" w:rsidP="00B20990">
      <w:pPr>
        <w:outlineLvl w:val="0"/>
        <w:rPr>
          <w:sz w:val="36"/>
        </w:rPr>
      </w:pPr>
      <w:r w:rsidRPr="005173FD">
        <w:rPr>
          <w:sz w:val="36"/>
        </w:rPr>
        <w:lastRenderedPageBreak/>
        <w:t>Contents</w:t>
      </w:r>
    </w:p>
    <w:bookmarkStart w:id="1" w:name="BKCheck15B_2"/>
    <w:bookmarkEnd w:id="1"/>
    <w:p w14:paraId="4A14D884" w14:textId="0DE4576A" w:rsidR="000A6D65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173FD">
        <w:fldChar w:fldCharType="begin"/>
      </w:r>
      <w:r w:rsidRPr="005173FD">
        <w:instrText xml:space="preserve"> TOC \o "1-9" </w:instrText>
      </w:r>
      <w:r w:rsidRPr="005173FD">
        <w:fldChar w:fldCharType="separate"/>
      </w:r>
      <w:r w:rsidR="000A6D65">
        <w:rPr>
          <w:noProof/>
        </w:rPr>
        <w:t>1  Name</w:t>
      </w:r>
      <w:r w:rsidR="000A6D65">
        <w:rPr>
          <w:noProof/>
        </w:rPr>
        <w:tab/>
      </w:r>
      <w:r w:rsidR="000A6D65">
        <w:rPr>
          <w:noProof/>
        </w:rPr>
        <w:fldChar w:fldCharType="begin"/>
      </w:r>
      <w:r w:rsidR="000A6D65">
        <w:rPr>
          <w:noProof/>
        </w:rPr>
        <w:instrText xml:space="preserve"> PAGEREF _Toc186799987 \h </w:instrText>
      </w:r>
      <w:r w:rsidR="000A6D65">
        <w:rPr>
          <w:noProof/>
        </w:rPr>
      </w:r>
      <w:r w:rsidR="000A6D65">
        <w:rPr>
          <w:noProof/>
        </w:rPr>
        <w:fldChar w:fldCharType="separate"/>
      </w:r>
      <w:r w:rsidR="000A6D65">
        <w:rPr>
          <w:noProof/>
        </w:rPr>
        <w:t>1</w:t>
      </w:r>
      <w:r w:rsidR="000A6D65">
        <w:rPr>
          <w:noProof/>
        </w:rPr>
        <w:fldChar w:fldCharType="end"/>
      </w:r>
    </w:p>
    <w:p w14:paraId="1CC32B7A" w14:textId="241041DF" w:rsidR="000A6D65" w:rsidRDefault="000A6D6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_Toc186799988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67B3E7" w14:textId="20B15D9B" w:rsidR="000A6D65" w:rsidRDefault="000A6D6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_Toc186799989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6D4A75" w14:textId="3B212D89" w:rsidR="000A6D65" w:rsidRDefault="000A6D6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_Toc186799990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CE446C" w14:textId="64ECB788" w:rsidR="000A6D65" w:rsidRDefault="000A6D6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_Toc186799991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239582" w14:textId="33336996" w:rsidR="000A6D65" w:rsidRDefault="000A6D6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Higher Education Support (Other Grants) Guidelines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_Toc186799992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62B97DC" w14:textId="63E167BC" w:rsidR="000A6D65" w:rsidRDefault="000A6D65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3—Capacity Building Fund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_Toc186799993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6DA186" w14:textId="51BC11EF" w:rsidR="000A6D65" w:rsidRDefault="000A6D6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45A  Program objectives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_Toc186799994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5DA59EA" w14:textId="60178634" w:rsidR="000A6D65" w:rsidRDefault="000A6D6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45B  Specified bodies corporate and extra conditions of eligibility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_Toc186799995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4B81D62" w14:textId="089EFBC4" w:rsidR="000A6D65" w:rsidRDefault="000A6D6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45C  Grants to be made in respect of a project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_Toc186799996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64BF4FE" w14:textId="249DD805" w:rsidR="000A6D65" w:rsidRDefault="000A6D6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45D  Method by which the amount of grants under the program are determined and applicable conditions of grant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_Toc186799997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6510846" w14:textId="23957031" w:rsidR="00B20990" w:rsidRPr="005173FD" w:rsidRDefault="00B20990" w:rsidP="005E317F">
      <w:r w:rsidRPr="005173FD">
        <w:rPr>
          <w:rFonts w:cs="Times New Roman"/>
          <w:sz w:val="20"/>
        </w:rPr>
        <w:fldChar w:fldCharType="end"/>
      </w:r>
    </w:p>
    <w:p w14:paraId="1DB76BC7" w14:textId="77777777" w:rsidR="00B20990" w:rsidRPr="005173FD" w:rsidRDefault="00B20990" w:rsidP="00B20990"/>
    <w:p w14:paraId="20AE7EFF" w14:textId="77777777" w:rsidR="00B20990" w:rsidRPr="005173FD" w:rsidRDefault="00B20990" w:rsidP="00B20990">
      <w:pPr>
        <w:sectPr w:rsidR="00B20990" w:rsidRPr="005173FD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4ABDF9" w14:textId="77777777" w:rsidR="005E317F" w:rsidRPr="005173FD" w:rsidRDefault="005E317F" w:rsidP="005E317F">
      <w:pPr>
        <w:pStyle w:val="ActHead5"/>
      </w:pPr>
      <w:bookmarkStart w:id="2" w:name="_Toc186799987"/>
      <w:r w:rsidRPr="005173FD">
        <w:rPr>
          <w:rStyle w:val="CharSectno"/>
        </w:rPr>
        <w:lastRenderedPageBreak/>
        <w:t>1</w:t>
      </w:r>
      <w:r w:rsidRPr="005173FD">
        <w:t xml:space="preserve">  Name</w:t>
      </w:r>
      <w:bookmarkEnd w:id="2"/>
    </w:p>
    <w:p w14:paraId="0B66E249" w14:textId="60EF03CE" w:rsidR="005E317F" w:rsidRPr="005173FD" w:rsidRDefault="005E317F" w:rsidP="005E317F">
      <w:pPr>
        <w:pStyle w:val="subsection"/>
      </w:pPr>
      <w:r w:rsidRPr="005173FD">
        <w:tab/>
      </w:r>
      <w:r w:rsidRPr="005173FD">
        <w:tab/>
        <w:t xml:space="preserve">This instrument is the </w:t>
      </w:r>
      <w:bookmarkStart w:id="3" w:name="BKCheck15B_3"/>
      <w:bookmarkEnd w:id="3"/>
      <w:r w:rsidR="000B68D8" w:rsidRPr="005173FD">
        <w:rPr>
          <w:i/>
        </w:rPr>
        <w:t>Higher Education Support (Other Grants) Amendment (Disability Support Programs) Guidelines 202</w:t>
      </w:r>
      <w:r w:rsidR="00567CE4">
        <w:rPr>
          <w:i/>
        </w:rPr>
        <w:t>5</w:t>
      </w:r>
      <w:r w:rsidRPr="005173FD">
        <w:t>.</w:t>
      </w:r>
    </w:p>
    <w:p w14:paraId="0503C26C" w14:textId="77777777" w:rsidR="005E317F" w:rsidRPr="005173FD" w:rsidRDefault="005E317F" w:rsidP="005E317F">
      <w:pPr>
        <w:pStyle w:val="ActHead5"/>
      </w:pPr>
      <w:bookmarkStart w:id="4" w:name="_Toc186799988"/>
      <w:r w:rsidRPr="005173FD">
        <w:rPr>
          <w:rStyle w:val="CharSectno"/>
        </w:rPr>
        <w:t>2</w:t>
      </w:r>
      <w:r w:rsidRPr="005173FD">
        <w:t xml:space="preserve">  Commencement</w:t>
      </w:r>
      <w:bookmarkEnd w:id="4"/>
    </w:p>
    <w:p w14:paraId="7C4649AD" w14:textId="13CD6A59" w:rsidR="005E317F" w:rsidRPr="005173FD" w:rsidRDefault="005E317F" w:rsidP="005E317F">
      <w:pPr>
        <w:pStyle w:val="subsection"/>
      </w:pPr>
      <w:r w:rsidRPr="005173FD">
        <w:tab/>
      </w:r>
      <w:r w:rsidRPr="005173FD">
        <w:tab/>
        <w:t xml:space="preserve">This instrument commences </w:t>
      </w:r>
      <w:r w:rsidR="000B68D8" w:rsidRPr="005173FD">
        <w:t>the day after this instrument is registered</w:t>
      </w:r>
      <w:r w:rsidRPr="005173FD">
        <w:t>.</w:t>
      </w:r>
    </w:p>
    <w:p w14:paraId="2F8564A4" w14:textId="77777777" w:rsidR="005E317F" w:rsidRPr="005173FD" w:rsidRDefault="005E317F" w:rsidP="005E317F">
      <w:pPr>
        <w:pStyle w:val="ActHead5"/>
      </w:pPr>
      <w:bookmarkStart w:id="5" w:name="_Toc186799989"/>
      <w:r w:rsidRPr="005173FD">
        <w:rPr>
          <w:rStyle w:val="CharSectno"/>
        </w:rPr>
        <w:t>3</w:t>
      </w:r>
      <w:r w:rsidRPr="005173FD">
        <w:t xml:space="preserve">  Authority</w:t>
      </w:r>
      <w:bookmarkEnd w:id="5"/>
    </w:p>
    <w:p w14:paraId="2B72A58C" w14:textId="29D0FEF0" w:rsidR="005E317F" w:rsidRPr="005173FD" w:rsidRDefault="005E317F" w:rsidP="005E317F">
      <w:pPr>
        <w:pStyle w:val="subsection"/>
      </w:pPr>
      <w:r w:rsidRPr="005173FD">
        <w:tab/>
      </w:r>
      <w:r w:rsidRPr="005173FD">
        <w:tab/>
        <w:t xml:space="preserve">This instrument is made under </w:t>
      </w:r>
      <w:r w:rsidR="000B68D8" w:rsidRPr="005173FD">
        <w:t xml:space="preserve">section 238-10 of the </w:t>
      </w:r>
      <w:r w:rsidR="000B68D8" w:rsidRPr="005173FD">
        <w:rPr>
          <w:i/>
          <w:iCs/>
        </w:rPr>
        <w:t>Higher Education Support Act 2003</w:t>
      </w:r>
      <w:r w:rsidRPr="005173FD">
        <w:t>.</w:t>
      </w:r>
    </w:p>
    <w:p w14:paraId="6845A7A6" w14:textId="77777777" w:rsidR="005E317F" w:rsidRPr="005173FD" w:rsidRDefault="005E317F" w:rsidP="005E317F">
      <w:pPr>
        <w:pStyle w:val="ActHead5"/>
      </w:pPr>
      <w:bookmarkStart w:id="6" w:name="_Toc186799990"/>
      <w:r w:rsidRPr="005173FD">
        <w:t>4  Schedules</w:t>
      </w:r>
      <w:bookmarkEnd w:id="6"/>
    </w:p>
    <w:p w14:paraId="533D898F" w14:textId="77777777" w:rsidR="005E317F" w:rsidRPr="005173FD" w:rsidRDefault="005E317F" w:rsidP="005E317F">
      <w:pPr>
        <w:pStyle w:val="subsection"/>
      </w:pPr>
      <w:r w:rsidRPr="005173FD">
        <w:tab/>
      </w:r>
      <w:r w:rsidRPr="005173F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AD30F42" w14:textId="77777777" w:rsidR="005E317F" w:rsidRPr="005173FD" w:rsidRDefault="005E317F" w:rsidP="005E317F">
      <w:pPr>
        <w:pStyle w:val="ActHead6"/>
        <w:pageBreakBefore/>
      </w:pPr>
      <w:bookmarkStart w:id="7" w:name="_Toc186799991"/>
      <w:r w:rsidRPr="005173FD">
        <w:rPr>
          <w:rStyle w:val="CharAmSchNo"/>
        </w:rPr>
        <w:lastRenderedPageBreak/>
        <w:t>Schedule 1</w:t>
      </w:r>
      <w:r w:rsidRPr="005173FD">
        <w:t>—</w:t>
      </w:r>
      <w:r w:rsidRPr="005173FD">
        <w:rPr>
          <w:rStyle w:val="CharAmSchText"/>
        </w:rPr>
        <w:t>Amendments</w:t>
      </w:r>
      <w:bookmarkEnd w:id="7"/>
    </w:p>
    <w:p w14:paraId="0DFD4ECA" w14:textId="500B563E" w:rsidR="005E317F" w:rsidRPr="005173FD" w:rsidRDefault="000B68D8" w:rsidP="005E317F">
      <w:pPr>
        <w:pStyle w:val="ActHead9"/>
      </w:pPr>
      <w:bookmarkStart w:id="8" w:name="_Toc186799992"/>
      <w:r w:rsidRPr="005173FD">
        <w:t>Higher Education Support (Other Grants) Guidelines 2022</w:t>
      </w:r>
      <w:bookmarkEnd w:id="8"/>
    </w:p>
    <w:p w14:paraId="49C45FF1" w14:textId="4CEBDDAC" w:rsidR="005E317F" w:rsidRPr="005173FD" w:rsidRDefault="005E317F" w:rsidP="00143FB6">
      <w:pPr>
        <w:pStyle w:val="ItemHead"/>
        <w:outlineLvl w:val="4"/>
      </w:pPr>
      <w:r w:rsidRPr="005173FD">
        <w:t xml:space="preserve">1  </w:t>
      </w:r>
      <w:r w:rsidR="00FF1E7A" w:rsidRPr="005173FD">
        <w:t>Section 4</w:t>
      </w:r>
    </w:p>
    <w:p w14:paraId="0DA1821C" w14:textId="14E9D48B" w:rsidR="005E317F" w:rsidRPr="005173FD" w:rsidRDefault="004605DE" w:rsidP="005E317F">
      <w:pPr>
        <w:pStyle w:val="Item"/>
      </w:pPr>
      <w:r w:rsidRPr="005173FD">
        <w:t>Insert:</w:t>
      </w:r>
    </w:p>
    <w:p w14:paraId="43C35122" w14:textId="4DDA2672" w:rsidR="001421F4" w:rsidRPr="005173FD" w:rsidRDefault="001421F4" w:rsidP="004605DE">
      <w:pPr>
        <w:pStyle w:val="definition0"/>
        <w:spacing w:before="180" w:beforeAutospacing="0" w:after="0" w:afterAutospacing="0"/>
        <w:ind w:left="1134"/>
        <w:rPr>
          <w:b/>
          <w:bCs/>
          <w:i/>
          <w:iCs/>
          <w:color w:val="000000"/>
          <w:sz w:val="22"/>
          <w:szCs w:val="22"/>
        </w:rPr>
      </w:pPr>
      <w:r w:rsidRPr="005173FD">
        <w:rPr>
          <w:b/>
          <w:bCs/>
          <w:i/>
          <w:iCs/>
          <w:color w:val="000000"/>
          <w:sz w:val="22"/>
          <w:szCs w:val="22"/>
        </w:rPr>
        <w:t xml:space="preserve">CAST </w:t>
      </w:r>
      <w:r w:rsidRPr="00E7111F">
        <w:rPr>
          <w:color w:val="000000"/>
          <w:sz w:val="22"/>
          <w:szCs w:val="22"/>
        </w:rPr>
        <w:t xml:space="preserve">means </w:t>
      </w:r>
      <w:r w:rsidR="00B3107A" w:rsidRPr="00E7111F">
        <w:rPr>
          <w:color w:val="000000"/>
          <w:sz w:val="22"/>
          <w:szCs w:val="22"/>
        </w:rPr>
        <w:t>the nonprofit education</w:t>
      </w:r>
      <w:r w:rsidR="00333732">
        <w:rPr>
          <w:color w:val="000000"/>
          <w:sz w:val="22"/>
          <w:szCs w:val="22"/>
        </w:rPr>
        <w:t>,</w:t>
      </w:r>
      <w:r w:rsidR="00B3107A" w:rsidRPr="00E7111F">
        <w:rPr>
          <w:color w:val="000000"/>
          <w:sz w:val="22"/>
          <w:szCs w:val="22"/>
        </w:rPr>
        <w:t xml:space="preserve"> research and development organi</w:t>
      </w:r>
      <w:r w:rsidR="00B3107A" w:rsidRPr="005173FD">
        <w:rPr>
          <w:color w:val="000000"/>
          <w:sz w:val="22"/>
          <w:szCs w:val="22"/>
        </w:rPr>
        <w:t>s</w:t>
      </w:r>
      <w:r w:rsidR="00B3107A" w:rsidRPr="00E7111F">
        <w:rPr>
          <w:color w:val="000000"/>
          <w:sz w:val="22"/>
          <w:szCs w:val="22"/>
        </w:rPr>
        <w:t xml:space="preserve">ation that created </w:t>
      </w:r>
      <w:r w:rsidR="00B3107A" w:rsidRPr="005173FD">
        <w:rPr>
          <w:color w:val="000000"/>
          <w:sz w:val="22"/>
          <w:szCs w:val="22"/>
        </w:rPr>
        <w:t>Universal Design for Learning and the UDL Guidelines 3.0 whose website can be found at</w:t>
      </w:r>
      <w:r w:rsidR="002F5190" w:rsidRPr="005173FD">
        <w:t xml:space="preserve"> </w:t>
      </w:r>
      <w:r w:rsidR="002F5190" w:rsidRPr="005173FD">
        <w:rPr>
          <w:color w:val="000000"/>
          <w:sz w:val="22"/>
          <w:szCs w:val="22"/>
        </w:rPr>
        <w:t>https://www.cast.org/.</w:t>
      </w:r>
    </w:p>
    <w:p w14:paraId="1A73E2B1" w14:textId="6F1AFEC0" w:rsidR="004605DE" w:rsidRPr="005173FD" w:rsidRDefault="004605DE" w:rsidP="004605DE">
      <w:pPr>
        <w:pStyle w:val="definition0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 w:rsidRPr="005173FD">
        <w:rPr>
          <w:b/>
          <w:bCs/>
          <w:i/>
          <w:iCs/>
          <w:color w:val="000000"/>
          <w:sz w:val="22"/>
          <w:szCs w:val="22"/>
        </w:rPr>
        <w:t>Universal Design for Learning</w:t>
      </w:r>
      <w:r w:rsidRPr="005173FD">
        <w:rPr>
          <w:color w:val="000000"/>
          <w:sz w:val="22"/>
          <w:szCs w:val="22"/>
        </w:rPr>
        <w:t> </w:t>
      </w:r>
      <w:r w:rsidR="00F40829" w:rsidRPr="005173FD">
        <w:rPr>
          <w:color w:val="000000"/>
          <w:sz w:val="22"/>
          <w:szCs w:val="22"/>
        </w:rPr>
        <w:t xml:space="preserve">means the </w:t>
      </w:r>
      <w:r w:rsidR="000E2CD2" w:rsidRPr="005173FD">
        <w:rPr>
          <w:color w:val="000000"/>
          <w:sz w:val="22"/>
          <w:szCs w:val="22"/>
        </w:rPr>
        <w:t>educational</w:t>
      </w:r>
      <w:r w:rsidR="00AE3C96" w:rsidRPr="005173FD">
        <w:rPr>
          <w:color w:val="000000"/>
          <w:sz w:val="22"/>
          <w:szCs w:val="22"/>
        </w:rPr>
        <w:t xml:space="preserve"> framework </w:t>
      </w:r>
      <w:r w:rsidR="00C51D05" w:rsidRPr="005173FD">
        <w:rPr>
          <w:color w:val="000000"/>
          <w:sz w:val="22"/>
          <w:szCs w:val="22"/>
        </w:rPr>
        <w:t>developed</w:t>
      </w:r>
      <w:r w:rsidR="00AE3C96" w:rsidRPr="005173FD">
        <w:rPr>
          <w:color w:val="000000"/>
          <w:sz w:val="22"/>
          <w:szCs w:val="22"/>
        </w:rPr>
        <w:t xml:space="preserve"> by CAST </w:t>
      </w:r>
      <w:r w:rsidR="000E2CD2" w:rsidRPr="005173FD">
        <w:rPr>
          <w:color w:val="000000"/>
          <w:sz w:val="22"/>
          <w:szCs w:val="22"/>
        </w:rPr>
        <w:t>to guide learning goals, material, methods and assessments based on learner diversity,</w:t>
      </w:r>
      <w:r w:rsidR="00B86D5F" w:rsidRPr="005173FD">
        <w:rPr>
          <w:color w:val="000000"/>
          <w:sz w:val="22"/>
          <w:szCs w:val="22"/>
        </w:rPr>
        <w:t xml:space="preserve"> supported by the UDL Guidelines. </w:t>
      </w:r>
    </w:p>
    <w:p w14:paraId="10638EAA" w14:textId="64E8D7B9" w:rsidR="002F5190" w:rsidRPr="00AB5877" w:rsidRDefault="00883E09" w:rsidP="004605DE">
      <w:pPr>
        <w:pStyle w:val="definition0"/>
        <w:spacing w:before="180" w:beforeAutospacing="0" w:after="0" w:afterAutospacing="0"/>
        <w:ind w:left="1134"/>
        <w:rPr>
          <w:i/>
          <w:iCs/>
          <w:color w:val="000000"/>
          <w:sz w:val="22"/>
          <w:szCs w:val="22"/>
        </w:rPr>
      </w:pPr>
      <w:r w:rsidRPr="00AB5877">
        <w:rPr>
          <w:b/>
          <w:bCs/>
          <w:i/>
          <w:iCs/>
          <w:color w:val="000000"/>
          <w:sz w:val="22"/>
          <w:szCs w:val="22"/>
        </w:rPr>
        <w:t>UDL Guidelines</w:t>
      </w:r>
      <w:r w:rsidR="0014101F" w:rsidRPr="00AB5877">
        <w:rPr>
          <w:b/>
          <w:bCs/>
          <w:i/>
          <w:iCs/>
          <w:color w:val="000000"/>
          <w:sz w:val="22"/>
          <w:szCs w:val="22"/>
        </w:rPr>
        <w:t xml:space="preserve"> 3.0</w:t>
      </w:r>
      <w:r w:rsidR="004605DE" w:rsidRPr="00AB5877">
        <w:rPr>
          <w:b/>
          <w:bCs/>
          <w:i/>
          <w:iCs/>
          <w:color w:val="000000"/>
          <w:sz w:val="22"/>
          <w:szCs w:val="22"/>
        </w:rPr>
        <w:t> </w:t>
      </w:r>
      <w:r w:rsidR="004605DE" w:rsidRPr="00AB5877">
        <w:rPr>
          <w:color w:val="000000"/>
          <w:sz w:val="22"/>
          <w:szCs w:val="22"/>
        </w:rPr>
        <w:t xml:space="preserve">means the </w:t>
      </w:r>
      <w:r w:rsidR="00C51D05" w:rsidRPr="00AB5877">
        <w:rPr>
          <w:color w:val="000000"/>
          <w:sz w:val="22"/>
          <w:szCs w:val="22"/>
        </w:rPr>
        <w:t>tool used in the implementation of the Universal Design for Learning framework developed by CAST</w:t>
      </w:r>
      <w:r w:rsidR="00174BEB" w:rsidRPr="00AB5877">
        <w:rPr>
          <w:color w:val="000000"/>
          <w:sz w:val="22"/>
          <w:szCs w:val="22"/>
        </w:rPr>
        <w:t>,</w:t>
      </w:r>
      <w:r w:rsidR="00D63D7E" w:rsidRPr="00AB5877">
        <w:rPr>
          <w:color w:val="000000"/>
          <w:sz w:val="22"/>
          <w:szCs w:val="22"/>
        </w:rPr>
        <w:t xml:space="preserve"> which offer</w:t>
      </w:r>
      <w:r w:rsidR="00174BEB" w:rsidRPr="00AB5877">
        <w:rPr>
          <w:color w:val="000000"/>
          <w:sz w:val="22"/>
          <w:szCs w:val="22"/>
        </w:rPr>
        <w:t>s</w:t>
      </w:r>
      <w:r w:rsidR="00D63D7E" w:rsidRPr="00AB5877">
        <w:rPr>
          <w:color w:val="000000"/>
          <w:sz w:val="22"/>
          <w:szCs w:val="22"/>
        </w:rPr>
        <w:t xml:space="preserve"> concrete suggestions to support educators and </w:t>
      </w:r>
      <w:r w:rsidR="00174BEB" w:rsidRPr="00AB5877">
        <w:rPr>
          <w:color w:val="000000"/>
          <w:sz w:val="22"/>
          <w:szCs w:val="22"/>
        </w:rPr>
        <w:t>facilitators</w:t>
      </w:r>
      <w:r w:rsidR="00D63D7E" w:rsidRPr="00AB5877">
        <w:rPr>
          <w:color w:val="000000"/>
          <w:sz w:val="22"/>
          <w:szCs w:val="22"/>
        </w:rPr>
        <w:t xml:space="preserve"> to apply the UDL framework</w:t>
      </w:r>
      <w:r w:rsidR="00B576E6" w:rsidRPr="00AB5877">
        <w:rPr>
          <w:color w:val="000000"/>
          <w:sz w:val="22"/>
          <w:szCs w:val="22"/>
        </w:rPr>
        <w:t xml:space="preserve">, as in force at the commencement of the </w:t>
      </w:r>
      <w:r w:rsidR="00B576E6" w:rsidRPr="00AB5877">
        <w:rPr>
          <w:i/>
          <w:iCs/>
          <w:color w:val="000000"/>
          <w:sz w:val="22"/>
          <w:szCs w:val="22"/>
        </w:rPr>
        <w:t>Higher Education Support (Other Grants) Amendment (Disability Support Programs) Guidelines 202</w:t>
      </w:r>
      <w:r w:rsidR="00333732">
        <w:rPr>
          <w:i/>
          <w:iCs/>
          <w:color w:val="000000"/>
          <w:sz w:val="22"/>
          <w:szCs w:val="22"/>
        </w:rPr>
        <w:t>5</w:t>
      </w:r>
      <w:r w:rsidR="00B576E6" w:rsidRPr="00AB5877">
        <w:rPr>
          <w:i/>
          <w:iCs/>
          <w:color w:val="000000"/>
          <w:sz w:val="22"/>
          <w:szCs w:val="22"/>
        </w:rPr>
        <w:t>.</w:t>
      </w:r>
    </w:p>
    <w:p w14:paraId="265E9159" w14:textId="55855949" w:rsidR="00F34467" w:rsidRPr="00E7111F" w:rsidRDefault="00337697" w:rsidP="00E7111F">
      <w:pPr>
        <w:pStyle w:val="subsection"/>
        <w:keepNext/>
        <w:ind w:left="1854" w:hanging="720"/>
        <w:rPr>
          <w:rFonts w:cs="Arial"/>
          <w:sz w:val="20"/>
        </w:rPr>
      </w:pPr>
      <w:r w:rsidRPr="00E7111F">
        <w:rPr>
          <w:sz w:val="20"/>
        </w:rPr>
        <w:t>Note:</w:t>
      </w:r>
      <w:r w:rsidRPr="00E7111F">
        <w:rPr>
          <w:sz w:val="20"/>
        </w:rPr>
        <w:tab/>
        <w:t xml:space="preserve">The UDL Guidelines as in force at the time the </w:t>
      </w:r>
      <w:r w:rsidRPr="00E7111F">
        <w:rPr>
          <w:i/>
          <w:iCs/>
          <w:sz w:val="20"/>
        </w:rPr>
        <w:t>Higher Education Support (Other Grants) Amendment (Disability Support Programs) Guidelines 202</w:t>
      </w:r>
      <w:r w:rsidR="00333732">
        <w:rPr>
          <w:i/>
          <w:iCs/>
          <w:sz w:val="20"/>
        </w:rPr>
        <w:t>5</w:t>
      </w:r>
      <w:r w:rsidRPr="00E7111F">
        <w:rPr>
          <w:sz w:val="20"/>
        </w:rPr>
        <w:t xml:space="preserve"> commenced can be viewed on the CAST website at </w:t>
      </w:r>
      <w:r w:rsidR="001938B9" w:rsidRPr="00E7111F">
        <w:rPr>
          <w:sz w:val="20"/>
        </w:rPr>
        <w:t>https://udlguidelines.cast.org/more/downloads/</w:t>
      </w:r>
      <w:r w:rsidR="004F2C8D">
        <w:rPr>
          <w:sz w:val="20"/>
        </w:rPr>
        <w:t>.</w:t>
      </w:r>
    </w:p>
    <w:p w14:paraId="044B12D9" w14:textId="5B1E50E2" w:rsidR="00FF1E7A" w:rsidRPr="005173FD" w:rsidRDefault="000F051B" w:rsidP="00E7111F">
      <w:pPr>
        <w:pStyle w:val="ItemHead"/>
        <w:outlineLvl w:val="4"/>
      </w:pPr>
      <w:r>
        <w:t>2</w:t>
      </w:r>
      <w:r w:rsidR="00FF1E7A" w:rsidRPr="005173FD">
        <w:t xml:space="preserve">  Subsection 39(1)</w:t>
      </w:r>
    </w:p>
    <w:p w14:paraId="4F1ECD9F" w14:textId="77777777" w:rsidR="00FF1E7A" w:rsidRPr="005173FD" w:rsidRDefault="00FF1E7A" w:rsidP="00FF1E7A">
      <w:pPr>
        <w:pStyle w:val="Item"/>
      </w:pPr>
      <w:r w:rsidRPr="005173FD">
        <w:t>Repeal the subsection, substitute:</w:t>
      </w:r>
    </w:p>
    <w:p w14:paraId="39E8E564" w14:textId="0A7A48D3" w:rsidR="00FF1E7A" w:rsidRPr="005173FD" w:rsidRDefault="00FF1E7A" w:rsidP="00AE1A38">
      <w:pPr>
        <w:pStyle w:val="subsection"/>
        <w:keepNext/>
      </w:pPr>
      <w:r w:rsidRPr="005173FD">
        <w:tab/>
        <w:t>(1)</w:t>
      </w:r>
      <w:r w:rsidRPr="005173FD">
        <w:tab/>
      </w:r>
      <w:r w:rsidRPr="005173FD">
        <w:rPr>
          <w:rFonts w:cs="Arial"/>
        </w:rPr>
        <w:t>The total amounts available for the three Disability Support Programs (the Disability Support Fund, the Australian Disability Clearinghouse on Education and Training, and the Capacity Building Fund) for 2025</w:t>
      </w:r>
      <w:r w:rsidR="003E4E80" w:rsidRPr="009E0588">
        <w:rPr>
          <w:rFonts w:cs="Arial"/>
        </w:rPr>
        <w:t>, 2026</w:t>
      </w:r>
      <w:r w:rsidRPr="005173FD">
        <w:rPr>
          <w:rFonts w:cs="Arial"/>
        </w:rPr>
        <w:t xml:space="preserve"> and future years are: </w:t>
      </w:r>
    </w:p>
    <w:p w14:paraId="5ADDC2E9" w14:textId="10487855" w:rsidR="00FF1E7A" w:rsidRPr="005173FD" w:rsidRDefault="00FF1E7A" w:rsidP="00203F1E">
      <w:pPr>
        <w:pStyle w:val="paragraph"/>
        <w:rPr>
          <w:rFonts w:cs="Arial"/>
        </w:rPr>
      </w:pPr>
      <w:r w:rsidRPr="005173FD">
        <w:tab/>
      </w:r>
      <w:r w:rsidRPr="005173FD">
        <w:rPr>
          <w:rFonts w:cs="Arial"/>
        </w:rPr>
        <w:t>(</w:t>
      </w:r>
      <w:r w:rsidR="00407B2A">
        <w:rPr>
          <w:rFonts w:cs="Arial"/>
        </w:rPr>
        <w:t>a</w:t>
      </w:r>
      <w:r w:rsidRPr="005173FD">
        <w:rPr>
          <w:rFonts w:cs="Arial"/>
        </w:rPr>
        <w:t>)</w:t>
      </w:r>
      <w:r w:rsidRPr="005173FD">
        <w:tab/>
      </w:r>
      <w:r w:rsidRPr="005173FD">
        <w:rPr>
          <w:rFonts w:cs="Arial"/>
        </w:rPr>
        <w:t>for 202</w:t>
      </w:r>
      <w:r w:rsidR="00141044">
        <w:rPr>
          <w:rFonts w:cs="Arial"/>
        </w:rPr>
        <w:t>5</w:t>
      </w:r>
      <w:r w:rsidRPr="005173FD">
        <w:rPr>
          <w:rFonts w:cs="Arial"/>
        </w:rPr>
        <w:t>, $</w:t>
      </w:r>
      <w:r w:rsidR="008B2892" w:rsidRPr="008B2892">
        <w:rPr>
          <w:rFonts w:cs="Arial"/>
        </w:rPr>
        <w:t>53,</w:t>
      </w:r>
      <w:r w:rsidR="00A61D60">
        <w:rPr>
          <w:rFonts w:cs="Arial"/>
        </w:rPr>
        <w:t>905</w:t>
      </w:r>
      <w:r w:rsidR="008B2892" w:rsidRPr="008B2892">
        <w:rPr>
          <w:rFonts w:cs="Arial"/>
        </w:rPr>
        <w:t>,</w:t>
      </w:r>
      <w:r w:rsidR="00A61D60">
        <w:rPr>
          <w:rFonts w:cs="Arial"/>
        </w:rPr>
        <w:t>928</w:t>
      </w:r>
      <w:r w:rsidRPr="005173FD">
        <w:rPr>
          <w:rFonts w:cs="Arial"/>
        </w:rPr>
        <w:t xml:space="preserve">; </w:t>
      </w:r>
    </w:p>
    <w:p w14:paraId="08C91EB9" w14:textId="43FCFBCD" w:rsidR="0069533F" w:rsidRPr="005173FD" w:rsidRDefault="00FF1E7A" w:rsidP="0069533F">
      <w:pPr>
        <w:pStyle w:val="paragraph"/>
        <w:rPr>
          <w:rFonts w:cs="Arial"/>
        </w:rPr>
      </w:pPr>
      <w:r w:rsidRPr="005173FD">
        <w:rPr>
          <w:rFonts w:cs="Arial"/>
        </w:rPr>
        <w:tab/>
        <w:t>(</w:t>
      </w:r>
      <w:r w:rsidR="00203F1E">
        <w:rPr>
          <w:rFonts w:cs="Arial"/>
        </w:rPr>
        <w:t>b</w:t>
      </w:r>
      <w:r w:rsidRPr="005173FD">
        <w:rPr>
          <w:rFonts w:cs="Arial"/>
        </w:rPr>
        <w:t>)</w:t>
      </w:r>
      <w:r w:rsidRPr="005173FD">
        <w:rPr>
          <w:rFonts w:cs="Arial"/>
        </w:rPr>
        <w:tab/>
      </w:r>
      <w:r w:rsidR="00102ED6" w:rsidRPr="00E7111F">
        <w:rPr>
          <w:rFonts w:cs="Arial"/>
        </w:rPr>
        <w:t>for 202</w:t>
      </w:r>
      <w:r w:rsidR="00141044">
        <w:rPr>
          <w:rFonts w:cs="Arial"/>
        </w:rPr>
        <w:t>6</w:t>
      </w:r>
      <w:r w:rsidR="00102ED6" w:rsidRPr="00E7111F">
        <w:rPr>
          <w:rFonts w:cs="Arial"/>
        </w:rPr>
        <w:t xml:space="preserve">, </w:t>
      </w:r>
      <w:r w:rsidR="0069533F" w:rsidRPr="005173FD">
        <w:rPr>
          <w:rFonts w:cs="Arial"/>
        </w:rPr>
        <w:t xml:space="preserve">the amount that is determined by multiplying </w:t>
      </w:r>
      <w:r w:rsidR="000B4A7E" w:rsidRPr="00E7111F">
        <w:rPr>
          <w:rFonts w:cs="Arial"/>
        </w:rPr>
        <w:t>$</w:t>
      </w:r>
      <w:r w:rsidR="00203F1E" w:rsidRPr="00203F1E">
        <w:rPr>
          <w:rFonts w:cs="Arial"/>
        </w:rPr>
        <w:t>53</w:t>
      </w:r>
      <w:r w:rsidR="00141044">
        <w:rPr>
          <w:rFonts w:cs="Arial"/>
        </w:rPr>
        <w:t>,490</w:t>
      </w:r>
      <w:r w:rsidR="00203F1E" w:rsidRPr="00203F1E">
        <w:rPr>
          <w:rFonts w:cs="Arial"/>
        </w:rPr>
        <w:t>,</w:t>
      </w:r>
      <w:r w:rsidR="00141044">
        <w:rPr>
          <w:rFonts w:cs="Arial"/>
        </w:rPr>
        <w:t>3</w:t>
      </w:r>
      <w:r w:rsidR="00203F1E" w:rsidRPr="00203F1E">
        <w:rPr>
          <w:rFonts w:cs="Arial"/>
        </w:rPr>
        <w:t>28</w:t>
      </w:r>
      <w:r w:rsidR="00203F1E">
        <w:rPr>
          <w:rFonts w:cs="Arial"/>
        </w:rPr>
        <w:t xml:space="preserve"> </w:t>
      </w:r>
      <w:r w:rsidR="0069533F" w:rsidRPr="005173FD">
        <w:rPr>
          <w:rFonts w:cs="Arial"/>
        </w:rPr>
        <w:t>with the indexation factor (within the meaning of subsection 198-15(1) of the Act) for 202</w:t>
      </w:r>
      <w:r w:rsidR="000F051B">
        <w:rPr>
          <w:rFonts w:cs="Arial"/>
        </w:rPr>
        <w:t>6</w:t>
      </w:r>
      <w:r w:rsidR="0069533F" w:rsidRPr="005173FD">
        <w:rPr>
          <w:rFonts w:cs="Arial"/>
        </w:rPr>
        <w:t xml:space="preserve"> (the </w:t>
      </w:r>
      <w:r w:rsidR="0069533F" w:rsidRPr="005173FD">
        <w:rPr>
          <w:rFonts w:cs="Arial"/>
          <w:b/>
          <w:bCs/>
          <w:i/>
          <w:iCs/>
        </w:rPr>
        <w:t>202</w:t>
      </w:r>
      <w:r w:rsidR="000F051B">
        <w:rPr>
          <w:rFonts w:cs="Arial"/>
          <w:b/>
          <w:bCs/>
          <w:i/>
          <w:iCs/>
        </w:rPr>
        <w:t>6</w:t>
      </w:r>
      <w:r w:rsidR="0069533F" w:rsidRPr="005173FD">
        <w:rPr>
          <w:rFonts w:cs="Arial"/>
          <w:b/>
          <w:bCs/>
          <w:i/>
          <w:iCs/>
        </w:rPr>
        <w:t xml:space="preserve"> DSP Grants Total</w:t>
      </w:r>
      <w:r w:rsidR="0069533F" w:rsidRPr="005173FD">
        <w:rPr>
          <w:rFonts w:cs="Arial"/>
        </w:rPr>
        <w:t>); and</w:t>
      </w:r>
    </w:p>
    <w:p w14:paraId="1CAED5E5" w14:textId="5B54C1C3" w:rsidR="00FF1E7A" w:rsidRPr="005173FD" w:rsidRDefault="0069533F" w:rsidP="00E7111F">
      <w:pPr>
        <w:pStyle w:val="paragraph"/>
        <w:rPr>
          <w:rFonts w:cs="Arial"/>
        </w:rPr>
      </w:pPr>
      <w:r w:rsidRPr="005173FD">
        <w:rPr>
          <w:rFonts w:cs="Arial"/>
        </w:rPr>
        <w:tab/>
        <w:t>(</w:t>
      </w:r>
      <w:r w:rsidR="00203F1E">
        <w:rPr>
          <w:rFonts w:cs="Arial"/>
        </w:rPr>
        <w:t>c</w:t>
      </w:r>
      <w:r w:rsidRPr="005173FD">
        <w:rPr>
          <w:rFonts w:cs="Arial"/>
        </w:rPr>
        <w:t>)</w:t>
      </w:r>
      <w:r w:rsidRPr="005173FD">
        <w:rPr>
          <w:rFonts w:cs="Arial"/>
        </w:rPr>
        <w:tab/>
        <w:t>for all future years, the 202</w:t>
      </w:r>
      <w:r w:rsidR="000F051B">
        <w:rPr>
          <w:rFonts w:cs="Arial"/>
        </w:rPr>
        <w:t>6</w:t>
      </w:r>
      <w:r w:rsidRPr="005173FD">
        <w:rPr>
          <w:rFonts w:cs="Arial"/>
        </w:rPr>
        <w:t xml:space="preserve"> DSP Grants </w:t>
      </w:r>
      <w:r w:rsidR="00074A5B" w:rsidRPr="009E0588">
        <w:rPr>
          <w:rFonts w:cs="Arial"/>
        </w:rPr>
        <w:t>T</w:t>
      </w:r>
      <w:r w:rsidRPr="009E0588">
        <w:rPr>
          <w:rFonts w:cs="Arial"/>
        </w:rPr>
        <w:t>otal</w:t>
      </w:r>
      <w:r w:rsidRPr="005173FD">
        <w:rPr>
          <w:rFonts w:cs="Arial"/>
        </w:rPr>
        <w:t xml:space="preserve"> as indexed under section 40.</w:t>
      </w:r>
    </w:p>
    <w:p w14:paraId="080932AF" w14:textId="5D9A2AF5" w:rsidR="005E317F" w:rsidRPr="005173FD" w:rsidRDefault="00647AC0" w:rsidP="00E7111F">
      <w:pPr>
        <w:pStyle w:val="ItemHead"/>
        <w:outlineLvl w:val="4"/>
      </w:pPr>
      <w:r>
        <w:t>3</w:t>
      </w:r>
      <w:r w:rsidR="005E317F" w:rsidRPr="005173FD">
        <w:t xml:space="preserve">  </w:t>
      </w:r>
      <w:r w:rsidR="00F34467" w:rsidRPr="005173FD">
        <w:t>Subsection 39(2)</w:t>
      </w:r>
    </w:p>
    <w:p w14:paraId="63EA1420" w14:textId="52768E1D" w:rsidR="005E317F" w:rsidRPr="005173FD" w:rsidRDefault="00333C50" w:rsidP="005E317F">
      <w:pPr>
        <w:pStyle w:val="Item"/>
      </w:pPr>
      <w:r w:rsidRPr="005173FD">
        <w:t xml:space="preserve">Repeal </w:t>
      </w:r>
      <w:r w:rsidR="00F34467" w:rsidRPr="005173FD">
        <w:t>the subsection, substitute:</w:t>
      </w:r>
    </w:p>
    <w:p w14:paraId="26C37DC2" w14:textId="101EAC62" w:rsidR="00F34467" w:rsidRPr="005173FD" w:rsidRDefault="00F34467" w:rsidP="00AE1A38">
      <w:pPr>
        <w:pStyle w:val="subsection"/>
        <w:keepNext/>
      </w:pPr>
      <w:r w:rsidRPr="005173FD">
        <w:tab/>
        <w:t>(2)</w:t>
      </w:r>
      <w:r w:rsidRPr="005173FD">
        <w:tab/>
      </w:r>
      <w:r w:rsidRPr="005173FD">
        <w:rPr>
          <w:rFonts w:cs="Arial"/>
          <w:szCs w:val="22"/>
        </w:rPr>
        <w:t xml:space="preserve">The total amount of funding available for the Disability Support Fund (the </w:t>
      </w:r>
      <w:r w:rsidRPr="005173FD">
        <w:rPr>
          <w:rFonts w:cs="Arial"/>
          <w:b/>
          <w:bCs/>
          <w:i/>
          <w:iCs/>
          <w:szCs w:val="22"/>
        </w:rPr>
        <w:t>DSF yearly total</w:t>
      </w:r>
      <w:r w:rsidRPr="005173FD">
        <w:rPr>
          <w:rFonts w:cs="Arial"/>
          <w:szCs w:val="22"/>
        </w:rPr>
        <w:t xml:space="preserve">) is: </w:t>
      </w:r>
    </w:p>
    <w:p w14:paraId="34BC304D" w14:textId="7E6EE007" w:rsidR="00F34467" w:rsidRPr="005173FD" w:rsidRDefault="00F34467" w:rsidP="00F34467">
      <w:pPr>
        <w:pStyle w:val="paragraph"/>
        <w:rPr>
          <w:rFonts w:cs="Arial"/>
          <w:szCs w:val="22"/>
        </w:rPr>
      </w:pPr>
      <w:r w:rsidRPr="005173FD">
        <w:rPr>
          <w:rFonts w:cs="Arial"/>
          <w:szCs w:val="22"/>
        </w:rPr>
        <w:tab/>
        <w:t>(</w:t>
      </w:r>
      <w:r w:rsidR="00D919AE">
        <w:rPr>
          <w:rFonts w:cs="Arial"/>
          <w:szCs w:val="22"/>
        </w:rPr>
        <w:t>a</w:t>
      </w:r>
      <w:r w:rsidRPr="005173FD">
        <w:rPr>
          <w:rFonts w:cs="Arial"/>
          <w:szCs w:val="22"/>
        </w:rPr>
        <w:t>)</w:t>
      </w:r>
      <w:r w:rsidRPr="005173FD">
        <w:rPr>
          <w:rFonts w:cs="Arial"/>
          <w:szCs w:val="22"/>
        </w:rPr>
        <w:tab/>
        <w:t>for 202</w:t>
      </w:r>
      <w:r w:rsidR="00B65DB2">
        <w:rPr>
          <w:rFonts w:cs="Arial"/>
          <w:szCs w:val="22"/>
        </w:rPr>
        <w:t>5</w:t>
      </w:r>
      <w:r w:rsidRPr="005173FD">
        <w:rPr>
          <w:rFonts w:cs="Arial"/>
          <w:szCs w:val="22"/>
        </w:rPr>
        <w:t>, the amount in paragraph (1)(</w:t>
      </w:r>
      <w:r w:rsidR="00757E16">
        <w:rPr>
          <w:rFonts w:cs="Arial"/>
          <w:szCs w:val="22"/>
        </w:rPr>
        <w:t>a</w:t>
      </w:r>
      <w:r w:rsidRPr="005173FD">
        <w:rPr>
          <w:rFonts w:cs="Arial"/>
          <w:szCs w:val="22"/>
        </w:rPr>
        <w:t xml:space="preserve">), less the </w:t>
      </w:r>
      <w:r w:rsidR="00D919AE" w:rsidRPr="00D919AE">
        <w:rPr>
          <w:rFonts w:cs="Arial"/>
          <w:szCs w:val="22"/>
        </w:rPr>
        <w:t xml:space="preserve">amount allocated to the Australian Disability Clearinghouse on Education and Training under section 45 (the </w:t>
      </w:r>
      <w:r w:rsidR="00D919AE" w:rsidRPr="00D919AE">
        <w:rPr>
          <w:rFonts w:cs="Arial"/>
          <w:b/>
          <w:bCs/>
          <w:i/>
          <w:iCs/>
          <w:szCs w:val="22"/>
        </w:rPr>
        <w:t>ADCET amount</w:t>
      </w:r>
      <w:r w:rsidR="00D919AE" w:rsidRPr="00D919AE">
        <w:rPr>
          <w:rFonts w:cs="Arial"/>
          <w:i/>
          <w:iCs/>
          <w:szCs w:val="22"/>
        </w:rPr>
        <w:t>)</w:t>
      </w:r>
      <w:r w:rsidR="002B10B3" w:rsidRPr="002B10B3">
        <w:rPr>
          <w:rFonts w:cs="Arial"/>
          <w:szCs w:val="22"/>
        </w:rPr>
        <w:t xml:space="preserve"> </w:t>
      </w:r>
      <w:r w:rsidR="002B10B3" w:rsidRPr="005173FD">
        <w:rPr>
          <w:rFonts w:cs="Arial"/>
          <w:szCs w:val="22"/>
        </w:rPr>
        <w:t>and the</w:t>
      </w:r>
      <w:r w:rsidR="002B10B3" w:rsidRPr="0019560F">
        <w:rPr>
          <w:rFonts w:cs="Arial"/>
          <w:szCs w:val="22"/>
        </w:rPr>
        <w:t xml:space="preserve"> amount allocated to the Capacity Building Fund under section 45D (the </w:t>
      </w:r>
      <w:r w:rsidR="002B10B3" w:rsidRPr="0019560F">
        <w:rPr>
          <w:rFonts w:cs="Arial"/>
          <w:b/>
          <w:bCs/>
          <w:i/>
          <w:iCs/>
          <w:szCs w:val="22"/>
        </w:rPr>
        <w:t>CBF amount</w:t>
      </w:r>
      <w:r w:rsidR="002B10B3" w:rsidRPr="0019560F">
        <w:rPr>
          <w:rFonts w:cs="Arial"/>
          <w:szCs w:val="22"/>
        </w:rPr>
        <w:t>)</w:t>
      </w:r>
      <w:r w:rsidR="00D919AE">
        <w:rPr>
          <w:rFonts w:cs="Arial"/>
          <w:i/>
          <w:iCs/>
          <w:szCs w:val="22"/>
        </w:rPr>
        <w:t xml:space="preserve"> </w:t>
      </w:r>
      <w:r w:rsidRPr="005173FD">
        <w:rPr>
          <w:rFonts w:cs="Arial"/>
          <w:szCs w:val="22"/>
        </w:rPr>
        <w:t>for that year;</w:t>
      </w:r>
    </w:p>
    <w:p w14:paraId="7D7880D3" w14:textId="61C71DA3" w:rsidR="009C3F58" w:rsidRPr="005173FD" w:rsidRDefault="00F34467" w:rsidP="00203D95">
      <w:pPr>
        <w:pStyle w:val="paragraph"/>
        <w:rPr>
          <w:rFonts w:cs="Arial"/>
          <w:szCs w:val="22"/>
        </w:rPr>
      </w:pPr>
      <w:r w:rsidRPr="005173FD">
        <w:rPr>
          <w:rFonts w:cs="Arial"/>
          <w:szCs w:val="22"/>
        </w:rPr>
        <w:tab/>
        <w:t>(</w:t>
      </w:r>
      <w:r w:rsidR="00D919AE">
        <w:rPr>
          <w:rFonts w:cs="Arial"/>
          <w:szCs w:val="22"/>
        </w:rPr>
        <w:t>b</w:t>
      </w:r>
      <w:r w:rsidRPr="005173FD">
        <w:rPr>
          <w:rFonts w:cs="Arial"/>
          <w:szCs w:val="22"/>
        </w:rPr>
        <w:t>)</w:t>
      </w:r>
      <w:r w:rsidRPr="005173FD">
        <w:rPr>
          <w:rFonts w:cs="Arial"/>
          <w:szCs w:val="22"/>
        </w:rPr>
        <w:tab/>
        <w:t>for 202</w:t>
      </w:r>
      <w:r w:rsidR="002B10B3">
        <w:rPr>
          <w:rFonts w:cs="Arial"/>
          <w:szCs w:val="22"/>
        </w:rPr>
        <w:t>6</w:t>
      </w:r>
      <w:r w:rsidRPr="005173FD">
        <w:rPr>
          <w:rFonts w:cs="Arial"/>
          <w:szCs w:val="22"/>
        </w:rPr>
        <w:t>, the amount in paragraph (1)(</w:t>
      </w:r>
      <w:r w:rsidR="00203D95">
        <w:rPr>
          <w:rFonts w:cs="Arial"/>
          <w:szCs w:val="22"/>
        </w:rPr>
        <w:t>b</w:t>
      </w:r>
      <w:r w:rsidRPr="005173FD">
        <w:rPr>
          <w:rFonts w:cs="Arial"/>
          <w:szCs w:val="22"/>
        </w:rPr>
        <w:t xml:space="preserve">), less the ADCET </w:t>
      </w:r>
      <w:r w:rsidR="000265D7" w:rsidRPr="005173FD">
        <w:rPr>
          <w:rFonts w:cs="Arial"/>
          <w:szCs w:val="22"/>
        </w:rPr>
        <w:t xml:space="preserve">amount </w:t>
      </w:r>
      <w:r w:rsidRPr="005173FD">
        <w:rPr>
          <w:rFonts w:cs="Arial"/>
          <w:szCs w:val="22"/>
        </w:rPr>
        <w:t>and</w:t>
      </w:r>
      <w:r w:rsidR="000265D7" w:rsidRPr="005173FD">
        <w:rPr>
          <w:rFonts w:cs="Arial"/>
          <w:szCs w:val="22"/>
        </w:rPr>
        <w:t xml:space="preserve"> </w:t>
      </w:r>
      <w:r w:rsidR="0019560F" w:rsidRPr="0019560F">
        <w:rPr>
          <w:rFonts w:cs="Arial"/>
          <w:szCs w:val="22"/>
        </w:rPr>
        <w:t xml:space="preserve">the </w:t>
      </w:r>
      <w:r w:rsidR="0019560F" w:rsidRPr="002D199B">
        <w:rPr>
          <w:rFonts w:cs="Arial"/>
          <w:szCs w:val="22"/>
        </w:rPr>
        <w:t>CBF amount</w:t>
      </w:r>
      <w:r w:rsidR="007118C5">
        <w:rPr>
          <w:rFonts w:cs="Arial"/>
          <w:szCs w:val="22"/>
        </w:rPr>
        <w:t xml:space="preserve"> </w:t>
      </w:r>
      <w:r w:rsidRPr="005173FD">
        <w:rPr>
          <w:rFonts w:cs="Arial"/>
          <w:szCs w:val="22"/>
        </w:rPr>
        <w:t xml:space="preserve">for that year; </w:t>
      </w:r>
    </w:p>
    <w:p w14:paraId="393F007C" w14:textId="2EC8D0CE" w:rsidR="00F34467" w:rsidRPr="005173FD" w:rsidRDefault="00F34467" w:rsidP="00F34467">
      <w:pPr>
        <w:pStyle w:val="paragraph"/>
        <w:rPr>
          <w:rFonts w:cs="Arial"/>
          <w:szCs w:val="22"/>
        </w:rPr>
      </w:pPr>
      <w:r w:rsidRPr="005173FD">
        <w:rPr>
          <w:rFonts w:cs="Arial"/>
          <w:szCs w:val="22"/>
        </w:rPr>
        <w:lastRenderedPageBreak/>
        <w:tab/>
        <w:t>(</w:t>
      </w:r>
      <w:r w:rsidR="00203D95">
        <w:rPr>
          <w:rFonts w:cs="Arial"/>
          <w:szCs w:val="22"/>
        </w:rPr>
        <w:t>c</w:t>
      </w:r>
      <w:r w:rsidRPr="005173FD">
        <w:rPr>
          <w:rFonts w:cs="Arial"/>
          <w:szCs w:val="22"/>
        </w:rPr>
        <w:t>)</w:t>
      </w:r>
      <w:r w:rsidRPr="005173FD">
        <w:rPr>
          <w:rFonts w:cs="Arial"/>
          <w:szCs w:val="22"/>
        </w:rPr>
        <w:tab/>
        <w:t xml:space="preserve">for all future years, the </w:t>
      </w:r>
      <w:r w:rsidRPr="009E0588">
        <w:rPr>
          <w:rFonts w:cs="Arial"/>
          <w:szCs w:val="22"/>
        </w:rPr>
        <w:t>202</w:t>
      </w:r>
      <w:r w:rsidR="002B10B3">
        <w:rPr>
          <w:rFonts w:cs="Arial"/>
          <w:szCs w:val="22"/>
        </w:rPr>
        <w:t>6</w:t>
      </w:r>
      <w:r w:rsidRPr="005173FD">
        <w:rPr>
          <w:rFonts w:cs="Arial"/>
          <w:szCs w:val="22"/>
        </w:rPr>
        <w:t xml:space="preserve"> DSP Grants Total, as indexed, less the ADCET</w:t>
      </w:r>
      <w:r w:rsidR="000265D7" w:rsidRPr="005173FD">
        <w:rPr>
          <w:rFonts w:cs="Arial"/>
          <w:szCs w:val="22"/>
        </w:rPr>
        <w:t xml:space="preserve"> amount</w:t>
      </w:r>
      <w:r w:rsidRPr="005173FD">
        <w:rPr>
          <w:rFonts w:cs="Arial"/>
          <w:szCs w:val="22"/>
        </w:rPr>
        <w:t xml:space="preserve"> and </w:t>
      </w:r>
      <w:r w:rsidR="000265D7" w:rsidRPr="005173FD">
        <w:rPr>
          <w:rFonts w:cs="Arial"/>
          <w:szCs w:val="22"/>
        </w:rPr>
        <w:t xml:space="preserve">the </w:t>
      </w:r>
      <w:r w:rsidRPr="005173FD">
        <w:rPr>
          <w:rFonts w:cs="Arial"/>
          <w:szCs w:val="22"/>
        </w:rPr>
        <w:t xml:space="preserve">CBF amount for that year. </w:t>
      </w:r>
    </w:p>
    <w:p w14:paraId="504DF39C" w14:textId="68FF3976" w:rsidR="00C37376" w:rsidRPr="005173FD" w:rsidRDefault="00647AC0" w:rsidP="00E7111F">
      <w:pPr>
        <w:pStyle w:val="ItemHead"/>
        <w:outlineLvl w:val="4"/>
      </w:pPr>
      <w:r>
        <w:t>4</w:t>
      </w:r>
      <w:r w:rsidR="00C37376" w:rsidRPr="005173FD">
        <w:t xml:space="preserve">  </w:t>
      </w:r>
      <w:r w:rsidR="00C83161" w:rsidRPr="00E7111F">
        <w:t>Paragraph</w:t>
      </w:r>
      <w:r w:rsidR="00C37376" w:rsidRPr="005173FD">
        <w:t xml:space="preserve"> 39(5)</w:t>
      </w:r>
      <w:r w:rsidR="00C83161" w:rsidRPr="00E7111F">
        <w:t>(a)</w:t>
      </w:r>
    </w:p>
    <w:p w14:paraId="3E38737F" w14:textId="07F74DAA" w:rsidR="00C37376" w:rsidRPr="009E0588" w:rsidRDefault="00377F64" w:rsidP="00E7111F">
      <w:pPr>
        <w:pStyle w:val="Item"/>
      </w:pPr>
      <w:r w:rsidRPr="00E7111F">
        <w:t xml:space="preserve">Omit </w:t>
      </w:r>
      <w:r w:rsidR="00C83161" w:rsidRPr="00E7111F">
        <w:t>“$10,631 in 2023”, substitute “$5,000 in 202</w:t>
      </w:r>
      <w:r w:rsidR="00A37A55">
        <w:t>4</w:t>
      </w:r>
      <w:r w:rsidR="00C83161" w:rsidRPr="00E7111F">
        <w:t>”</w:t>
      </w:r>
      <w:r w:rsidR="005F6816" w:rsidRPr="009E0588">
        <w:t>.</w:t>
      </w:r>
    </w:p>
    <w:p w14:paraId="26130471" w14:textId="224C60C6" w:rsidR="005E317F" w:rsidRPr="005173FD" w:rsidRDefault="00647AC0" w:rsidP="00E7111F">
      <w:pPr>
        <w:pStyle w:val="ItemHead"/>
        <w:outlineLvl w:val="4"/>
      </w:pPr>
      <w:r>
        <w:t>5</w:t>
      </w:r>
      <w:r w:rsidR="005E317F" w:rsidRPr="009E0588">
        <w:t xml:space="preserve">  </w:t>
      </w:r>
      <w:r w:rsidR="000E6881" w:rsidRPr="009E0588">
        <w:t>After subsection 3</w:t>
      </w:r>
      <w:r w:rsidR="00124075" w:rsidRPr="009E0588">
        <w:t>9</w:t>
      </w:r>
      <w:r w:rsidR="000E6881" w:rsidRPr="009E0588">
        <w:t>(</w:t>
      </w:r>
      <w:r w:rsidR="00AE78B3" w:rsidRPr="009E0588">
        <w:t>5</w:t>
      </w:r>
      <w:r w:rsidR="000E6881" w:rsidRPr="009E0588">
        <w:t>)</w:t>
      </w:r>
    </w:p>
    <w:p w14:paraId="429E1D58" w14:textId="640C7137" w:rsidR="005E317F" w:rsidRPr="005173FD" w:rsidRDefault="000E6881" w:rsidP="005E317F">
      <w:pPr>
        <w:pStyle w:val="Item"/>
      </w:pPr>
      <w:r w:rsidRPr="005173FD">
        <w:t>Insert:</w:t>
      </w:r>
    </w:p>
    <w:p w14:paraId="51E92A0A" w14:textId="3EA7FBCF" w:rsidR="00AE78B3" w:rsidRPr="005173FD" w:rsidRDefault="00AE78B3" w:rsidP="00AE78B3">
      <w:pPr>
        <w:pStyle w:val="subsection"/>
      </w:pPr>
      <w:r w:rsidRPr="005173FD">
        <w:tab/>
        <w:t>(5A)</w:t>
      </w:r>
      <w:r w:rsidRPr="005173FD">
        <w:tab/>
        <w:t>For the purposes of paragraph (5)(b), a claim for educational support and equipment</w:t>
      </w:r>
      <w:r w:rsidR="00C72CA8" w:rsidRPr="005173FD">
        <w:t xml:space="preserve"> does not </w:t>
      </w:r>
      <w:r w:rsidR="00B806B1" w:rsidRPr="005173FD">
        <w:t xml:space="preserve">include </w:t>
      </w:r>
      <w:r w:rsidR="00C72CA8" w:rsidRPr="005173FD">
        <w:t xml:space="preserve">a claim </w:t>
      </w:r>
      <w:r w:rsidR="00DE32CA" w:rsidRPr="005173FD">
        <w:t>for</w:t>
      </w:r>
      <w:r w:rsidR="00C72CA8" w:rsidRPr="005173FD">
        <w:t xml:space="preserve"> </w:t>
      </w:r>
      <w:r w:rsidR="007B633F" w:rsidRPr="005173FD">
        <w:t>amounts spent by the provider that ha</w:t>
      </w:r>
      <w:r w:rsidR="0028374D" w:rsidRPr="005173FD">
        <w:t>ve</w:t>
      </w:r>
      <w:r w:rsidR="007B633F" w:rsidRPr="005173FD">
        <w:t xml:space="preserve"> been sourced from grant amounts received under Part 3 of this instrument.</w:t>
      </w:r>
    </w:p>
    <w:p w14:paraId="4417FDE2" w14:textId="67295DE6" w:rsidR="0058388E" w:rsidRPr="00F91C56" w:rsidRDefault="00647AC0" w:rsidP="0058388E">
      <w:pPr>
        <w:pStyle w:val="ItemHead"/>
        <w:outlineLvl w:val="4"/>
      </w:pPr>
      <w:r>
        <w:t>6</w:t>
      </w:r>
      <w:r w:rsidR="0058388E" w:rsidRPr="00F91C56">
        <w:t xml:space="preserve">  Section 40</w:t>
      </w:r>
    </w:p>
    <w:p w14:paraId="39C6987F" w14:textId="356B33B9" w:rsidR="0058388E" w:rsidRDefault="00ED4622" w:rsidP="00E7111F">
      <w:pPr>
        <w:pStyle w:val="Item"/>
      </w:pPr>
      <w:r w:rsidRPr="00F91C56">
        <w:t>Omit “</w:t>
      </w:r>
      <w:r w:rsidR="009134C9" w:rsidRPr="00F91C56">
        <w:t>39(1)(d)</w:t>
      </w:r>
      <w:r w:rsidRPr="00F91C56">
        <w:t>”, substitute</w:t>
      </w:r>
      <w:r w:rsidR="009134C9" w:rsidRPr="00F91C56">
        <w:t xml:space="preserve"> “39(1)(</w:t>
      </w:r>
      <w:r w:rsidR="001779FB">
        <w:t>c</w:t>
      </w:r>
      <w:r w:rsidR="009134C9" w:rsidRPr="00F91C56">
        <w:t>)”.</w:t>
      </w:r>
    </w:p>
    <w:p w14:paraId="266B1752" w14:textId="390435D1" w:rsidR="005257E7" w:rsidRPr="005173FD" w:rsidRDefault="00647AC0" w:rsidP="00E7111F">
      <w:pPr>
        <w:pStyle w:val="ItemHead"/>
        <w:outlineLvl w:val="4"/>
      </w:pPr>
      <w:r>
        <w:t>7</w:t>
      </w:r>
      <w:r w:rsidR="005257E7" w:rsidRPr="005173FD">
        <w:t xml:space="preserve">  Subsection 41(2)</w:t>
      </w:r>
    </w:p>
    <w:p w14:paraId="0A8A7D79" w14:textId="77777777" w:rsidR="008F478B" w:rsidRPr="005173FD" w:rsidRDefault="008F478B" w:rsidP="008F478B">
      <w:pPr>
        <w:pStyle w:val="Item"/>
      </w:pPr>
      <w:r w:rsidRPr="005173FD">
        <w:t>Repeal the subsection, substitute:</w:t>
      </w:r>
    </w:p>
    <w:p w14:paraId="7DFC45C6" w14:textId="4E3E64D7" w:rsidR="008F478B" w:rsidRPr="005173FD" w:rsidRDefault="008F478B" w:rsidP="008F478B">
      <w:pPr>
        <w:pStyle w:val="subsection"/>
        <w:keepNext/>
        <w:rPr>
          <w:rFonts w:cs="Arial"/>
          <w:szCs w:val="22"/>
        </w:rPr>
      </w:pPr>
      <w:r w:rsidRPr="005173FD">
        <w:tab/>
        <w:t>(2)</w:t>
      </w:r>
      <w:r w:rsidRPr="005173FD">
        <w:tab/>
      </w:r>
      <w:r w:rsidR="00994F46" w:rsidRPr="005173FD">
        <w:rPr>
          <w:rFonts w:cs="Arial"/>
          <w:szCs w:val="22"/>
        </w:rPr>
        <w:t>Grant amounts under this program may only be spent</w:t>
      </w:r>
      <w:r w:rsidR="004F4123" w:rsidRPr="005173FD">
        <w:rPr>
          <w:rFonts w:cs="Arial"/>
          <w:szCs w:val="22"/>
        </w:rPr>
        <w:t>:</w:t>
      </w:r>
    </w:p>
    <w:p w14:paraId="520DAD52" w14:textId="06A09872" w:rsidR="008F478B" w:rsidRPr="005173FD" w:rsidRDefault="008F478B" w:rsidP="008F478B">
      <w:pPr>
        <w:pStyle w:val="paragraph"/>
        <w:rPr>
          <w:rFonts w:cs="Arial"/>
        </w:rPr>
      </w:pPr>
      <w:r w:rsidRPr="005173FD">
        <w:rPr>
          <w:rFonts w:cs="Arial"/>
        </w:rPr>
        <w:t xml:space="preserve"> </w:t>
      </w:r>
      <w:r w:rsidRPr="005173FD">
        <w:tab/>
        <w:t>(a)</w:t>
      </w:r>
      <w:r w:rsidRPr="005173FD">
        <w:tab/>
      </w:r>
      <w:r w:rsidR="00482511" w:rsidRPr="005173FD">
        <w:rPr>
          <w:rFonts w:cs="Arial"/>
        </w:rPr>
        <w:t>on activities aimed at attracting and supporting students with disability to participate in higher education</w:t>
      </w:r>
      <w:r w:rsidRPr="005173FD">
        <w:rPr>
          <w:rFonts w:cs="Arial"/>
        </w:rPr>
        <w:t xml:space="preserve">; </w:t>
      </w:r>
    </w:p>
    <w:p w14:paraId="71BF0E4F" w14:textId="00B18C5E" w:rsidR="008F478B" w:rsidRPr="005173FD" w:rsidRDefault="008F478B" w:rsidP="008F478B">
      <w:pPr>
        <w:pStyle w:val="paragraph"/>
        <w:rPr>
          <w:rFonts w:cs="Arial"/>
          <w:szCs w:val="22"/>
        </w:rPr>
      </w:pPr>
      <w:r w:rsidRPr="005173FD">
        <w:rPr>
          <w:rFonts w:cs="Arial"/>
          <w:szCs w:val="22"/>
        </w:rPr>
        <w:tab/>
        <w:t>(b)</w:t>
      </w:r>
      <w:r w:rsidRPr="005173FD">
        <w:rPr>
          <w:rFonts w:cs="Arial"/>
          <w:szCs w:val="22"/>
        </w:rPr>
        <w:tab/>
      </w:r>
      <w:r w:rsidR="00620791" w:rsidRPr="005173FD">
        <w:rPr>
          <w:rFonts w:cs="Arial"/>
          <w:szCs w:val="22"/>
        </w:rPr>
        <w:t>on educational support and equipment for students with disability</w:t>
      </w:r>
      <w:r w:rsidRPr="005173FD">
        <w:rPr>
          <w:rFonts w:cs="Arial"/>
          <w:szCs w:val="22"/>
        </w:rPr>
        <w:t>;</w:t>
      </w:r>
    </w:p>
    <w:p w14:paraId="4994DFA4" w14:textId="5D2953BC" w:rsidR="008F478B" w:rsidRPr="005173FD" w:rsidRDefault="008F478B" w:rsidP="008F478B">
      <w:pPr>
        <w:pStyle w:val="paragraph"/>
        <w:rPr>
          <w:rFonts w:cs="Arial"/>
          <w:szCs w:val="22"/>
        </w:rPr>
      </w:pPr>
      <w:r w:rsidRPr="005173FD">
        <w:rPr>
          <w:rFonts w:cs="Arial"/>
          <w:szCs w:val="22"/>
        </w:rPr>
        <w:tab/>
        <w:t>(c)</w:t>
      </w:r>
      <w:r w:rsidRPr="005173FD">
        <w:rPr>
          <w:rFonts w:cs="Arial"/>
          <w:szCs w:val="22"/>
        </w:rPr>
        <w:tab/>
      </w:r>
      <w:r w:rsidR="00D4012B" w:rsidRPr="005173FD">
        <w:rPr>
          <w:rFonts w:cs="Arial"/>
          <w:szCs w:val="22"/>
        </w:rPr>
        <w:t>for the purpose of making modifications to course content, teaching materials and delivery methods to better meet the needs of students with disability</w:t>
      </w:r>
      <w:r w:rsidR="003E1685" w:rsidRPr="005173FD">
        <w:rPr>
          <w:rFonts w:cs="Arial"/>
          <w:szCs w:val="22"/>
        </w:rPr>
        <w:t xml:space="preserve">, which may include </w:t>
      </w:r>
      <w:r w:rsidR="00D4012B" w:rsidRPr="005173FD">
        <w:rPr>
          <w:rFonts w:cs="Arial"/>
          <w:szCs w:val="22"/>
        </w:rPr>
        <w:t>implementation of</w:t>
      </w:r>
      <w:r w:rsidR="00993190">
        <w:rPr>
          <w:rFonts w:cs="Arial"/>
          <w:szCs w:val="22"/>
        </w:rPr>
        <w:t xml:space="preserve"> </w:t>
      </w:r>
      <w:r w:rsidR="00D4012B" w:rsidRPr="005173FD">
        <w:rPr>
          <w:rFonts w:cs="Arial"/>
          <w:szCs w:val="22"/>
        </w:rPr>
        <w:t>Universal Design for Learnin</w:t>
      </w:r>
      <w:r w:rsidR="006C5BDF" w:rsidRPr="005173FD">
        <w:rPr>
          <w:rFonts w:cs="Arial"/>
          <w:szCs w:val="22"/>
        </w:rPr>
        <w:t xml:space="preserve">g </w:t>
      </w:r>
      <w:r w:rsidR="003E1685" w:rsidRPr="005173FD">
        <w:rPr>
          <w:rFonts w:cs="Arial"/>
          <w:szCs w:val="22"/>
        </w:rPr>
        <w:t xml:space="preserve">in accordance with the UDL Guidelines 3.0 </w:t>
      </w:r>
      <w:r w:rsidR="007026D1" w:rsidRPr="005173FD">
        <w:rPr>
          <w:rFonts w:cs="Arial"/>
          <w:szCs w:val="22"/>
        </w:rPr>
        <w:t>created</w:t>
      </w:r>
      <w:r w:rsidR="003E1685" w:rsidRPr="005173FD">
        <w:rPr>
          <w:rFonts w:cs="Arial"/>
          <w:szCs w:val="22"/>
        </w:rPr>
        <w:t xml:space="preserve"> by CAST</w:t>
      </w:r>
      <w:r w:rsidR="00C032C3" w:rsidRPr="005173FD">
        <w:rPr>
          <w:rFonts w:cs="Arial"/>
          <w:szCs w:val="22"/>
        </w:rPr>
        <w:t xml:space="preserve">; </w:t>
      </w:r>
    </w:p>
    <w:p w14:paraId="6F5462A1" w14:textId="4EA2FE6B" w:rsidR="008F478B" w:rsidRPr="005173FD" w:rsidRDefault="008F478B" w:rsidP="008F478B">
      <w:pPr>
        <w:pStyle w:val="paragraph"/>
        <w:rPr>
          <w:rFonts w:cs="Arial"/>
          <w:szCs w:val="22"/>
        </w:rPr>
      </w:pPr>
      <w:r w:rsidRPr="005173FD">
        <w:rPr>
          <w:rFonts w:cs="Arial"/>
          <w:szCs w:val="22"/>
        </w:rPr>
        <w:tab/>
        <w:t>(d)</w:t>
      </w:r>
      <w:r w:rsidRPr="005173FD">
        <w:rPr>
          <w:rFonts w:cs="Arial"/>
          <w:szCs w:val="22"/>
        </w:rPr>
        <w:tab/>
      </w:r>
      <w:r w:rsidR="00923EAB" w:rsidRPr="005173FD">
        <w:rPr>
          <w:rFonts w:cs="Arial"/>
          <w:szCs w:val="22"/>
        </w:rPr>
        <w:t>to train staff to support students with disability</w:t>
      </w:r>
      <w:r w:rsidR="005D15B4" w:rsidRPr="005173FD">
        <w:rPr>
          <w:rFonts w:cs="Arial"/>
          <w:szCs w:val="22"/>
        </w:rPr>
        <w:t>;</w:t>
      </w:r>
    </w:p>
    <w:p w14:paraId="73FC28CD" w14:textId="50F2F6CA" w:rsidR="00060BC0" w:rsidRPr="005173FD" w:rsidRDefault="00705B52" w:rsidP="00060BC0">
      <w:pPr>
        <w:pStyle w:val="paragraph"/>
        <w:rPr>
          <w:rFonts w:cs="Arial"/>
          <w:szCs w:val="22"/>
        </w:rPr>
      </w:pPr>
      <w:r w:rsidRPr="005173FD">
        <w:tab/>
      </w:r>
      <w:r w:rsidR="00665E2D" w:rsidRPr="005173FD">
        <w:rPr>
          <w:rFonts w:cs="Arial"/>
          <w:szCs w:val="22"/>
        </w:rPr>
        <w:t>(e)</w:t>
      </w:r>
      <w:r w:rsidR="00665E2D" w:rsidRPr="005173FD">
        <w:rPr>
          <w:rFonts w:cs="Arial"/>
          <w:szCs w:val="22"/>
        </w:rPr>
        <w:tab/>
        <w:t xml:space="preserve">on salaries for those staff whose only duties involve supporting students with disability; </w:t>
      </w:r>
      <w:r w:rsidR="001029C7">
        <w:rPr>
          <w:rFonts w:cs="Arial"/>
          <w:szCs w:val="22"/>
        </w:rPr>
        <w:t>and</w:t>
      </w:r>
    </w:p>
    <w:p w14:paraId="21ADEC30" w14:textId="0584DB8E" w:rsidR="00705B52" w:rsidRPr="001029C7" w:rsidRDefault="00355445" w:rsidP="001029C7">
      <w:pPr>
        <w:pStyle w:val="paragraph"/>
      </w:pPr>
      <w:r w:rsidRPr="005173FD">
        <w:rPr>
          <w:rFonts w:cs="Arial"/>
          <w:szCs w:val="22"/>
        </w:rPr>
        <w:tab/>
        <w:t>(</w:t>
      </w:r>
      <w:r w:rsidR="00833664" w:rsidRPr="005173FD">
        <w:rPr>
          <w:rFonts w:cs="Arial"/>
          <w:szCs w:val="22"/>
        </w:rPr>
        <w:t>f</w:t>
      </w:r>
      <w:r w:rsidRPr="005173FD">
        <w:rPr>
          <w:rFonts w:cs="Arial"/>
          <w:szCs w:val="22"/>
        </w:rPr>
        <w:t>)</w:t>
      </w:r>
      <w:r w:rsidRPr="005173FD">
        <w:rPr>
          <w:rFonts w:cs="Arial"/>
          <w:szCs w:val="22"/>
        </w:rPr>
        <w:tab/>
      </w:r>
      <w:r w:rsidR="00AD4966" w:rsidRPr="005173FD">
        <w:rPr>
          <w:rFonts w:cs="Arial"/>
          <w:szCs w:val="22"/>
        </w:rPr>
        <w:t>on the purchase of information and communication technology licences in bulk to support students with disabilit</w:t>
      </w:r>
      <w:r w:rsidR="00AD4966" w:rsidRPr="001029C7">
        <w:rPr>
          <w:rFonts w:cs="Arial"/>
          <w:szCs w:val="22"/>
        </w:rPr>
        <w:t>y</w:t>
      </w:r>
      <w:r w:rsidR="009F06F7" w:rsidRPr="006E6DB9">
        <w:rPr>
          <w:rFonts w:cs="Arial"/>
          <w:i/>
          <w:iCs/>
          <w:szCs w:val="22"/>
        </w:rPr>
        <w:t>.</w:t>
      </w:r>
    </w:p>
    <w:p w14:paraId="46D89EF2" w14:textId="71917707" w:rsidR="005E317F" w:rsidRPr="005173FD" w:rsidRDefault="00647AC0" w:rsidP="00E7111F">
      <w:pPr>
        <w:pStyle w:val="ItemHead"/>
        <w:outlineLvl w:val="4"/>
      </w:pPr>
      <w:r w:rsidRPr="001029C7">
        <w:t>8</w:t>
      </w:r>
      <w:r w:rsidR="005E317F" w:rsidRPr="001029C7">
        <w:t xml:space="preserve">  </w:t>
      </w:r>
      <w:r w:rsidR="00A64713" w:rsidRPr="001029C7">
        <w:t>After section 45</w:t>
      </w:r>
    </w:p>
    <w:p w14:paraId="3642A6B1" w14:textId="6AD610EC" w:rsidR="005E317F" w:rsidRPr="005173FD" w:rsidRDefault="00A64713" w:rsidP="00A64713">
      <w:pPr>
        <w:pStyle w:val="Item"/>
      </w:pPr>
      <w:r w:rsidRPr="005173FD">
        <w:t>Insert:</w:t>
      </w:r>
    </w:p>
    <w:p w14:paraId="6B73F577" w14:textId="1ED48109" w:rsidR="00A64713" w:rsidRPr="005173FD" w:rsidRDefault="00A64713" w:rsidP="00A64713">
      <w:pPr>
        <w:pStyle w:val="ActHead3"/>
        <w:keepLines w:val="0"/>
      </w:pPr>
      <w:bookmarkStart w:id="9" w:name="_Toc153897160"/>
      <w:bookmarkStart w:id="10" w:name="_Toc186799993"/>
      <w:r w:rsidRPr="005173FD">
        <w:rPr>
          <w:rStyle w:val="CharDivNo"/>
        </w:rPr>
        <w:t>Division 3</w:t>
      </w:r>
      <w:r w:rsidRPr="005173FD">
        <w:t>—</w:t>
      </w:r>
      <w:bookmarkEnd w:id="9"/>
      <w:r w:rsidRPr="005173FD">
        <w:rPr>
          <w:rStyle w:val="CharDivText"/>
        </w:rPr>
        <w:t>Capacity Building Fund</w:t>
      </w:r>
      <w:bookmarkEnd w:id="10"/>
    </w:p>
    <w:p w14:paraId="5A9CD349" w14:textId="1670449E" w:rsidR="00A64713" w:rsidRPr="005173FD" w:rsidRDefault="00A64713" w:rsidP="00A64713">
      <w:pPr>
        <w:pStyle w:val="ActHead5"/>
        <w:keepLines w:val="0"/>
      </w:pPr>
      <w:bookmarkStart w:id="11" w:name="_Toc153897161"/>
      <w:bookmarkStart w:id="12" w:name="_Toc186799994"/>
      <w:r w:rsidRPr="005173FD">
        <w:t>45A  Program objectives</w:t>
      </w:r>
      <w:bookmarkEnd w:id="11"/>
      <w:bookmarkEnd w:id="12"/>
    </w:p>
    <w:p w14:paraId="4D627781" w14:textId="1823B37F" w:rsidR="00A64713" w:rsidRPr="005173FD" w:rsidRDefault="00A64713" w:rsidP="00A64713">
      <w:pPr>
        <w:pStyle w:val="subsection"/>
        <w:keepNext/>
        <w:rPr>
          <w:rStyle w:val="CharDivText"/>
        </w:rPr>
      </w:pPr>
      <w:r w:rsidRPr="005173FD">
        <w:tab/>
        <w:t>(1)</w:t>
      </w:r>
      <w:r w:rsidRPr="005173FD">
        <w:tab/>
        <w:t xml:space="preserve">The </w:t>
      </w:r>
      <w:r w:rsidRPr="005173FD">
        <w:rPr>
          <w:rStyle w:val="CharDivText"/>
        </w:rPr>
        <w:t xml:space="preserve">Capacity Building Fund is specified as a program for the purposes of promoting equality of opportunity in higher education, under item 1 of the table in subsection 41-10(1) of the Act. </w:t>
      </w:r>
    </w:p>
    <w:p w14:paraId="31913F6E" w14:textId="3DE706C4" w:rsidR="00A64713" w:rsidRPr="005173FD" w:rsidRDefault="00A64713" w:rsidP="00A64713">
      <w:pPr>
        <w:pStyle w:val="subsection"/>
        <w:keepNext/>
      </w:pPr>
      <w:r w:rsidRPr="005173FD">
        <w:tab/>
        <w:t>(2)</w:t>
      </w:r>
      <w:r w:rsidRPr="005173FD">
        <w:tab/>
        <w:t xml:space="preserve">The objective of the Capacity Building Fund is to promote equality of opportunity in higher education by providing grant funding to a higher education provider to provide capacity building support to other higher education providers to assist those providers with strengthening their internal skills, abilities, </w:t>
      </w:r>
      <w:r w:rsidRPr="005173FD">
        <w:lastRenderedPageBreak/>
        <w:t>processes and resources to support students with disability to access, participate and succeed in higher education.</w:t>
      </w:r>
    </w:p>
    <w:p w14:paraId="162AFD47" w14:textId="7DE1ACD2" w:rsidR="00B5331B" w:rsidRPr="005173FD" w:rsidRDefault="00B5331B" w:rsidP="00B5331B">
      <w:pPr>
        <w:pStyle w:val="ActHead5"/>
        <w:keepLines w:val="0"/>
      </w:pPr>
      <w:bookmarkStart w:id="13" w:name="_Toc155965620"/>
      <w:bookmarkStart w:id="14" w:name="_Toc186799995"/>
      <w:r w:rsidRPr="005173FD">
        <w:t>45B  Specified bodies corporate and extra conditions of eligibility</w:t>
      </w:r>
      <w:bookmarkEnd w:id="13"/>
      <w:bookmarkEnd w:id="14"/>
    </w:p>
    <w:p w14:paraId="5E4CD198" w14:textId="62FB69E3" w:rsidR="00B5331B" w:rsidRPr="005173FD" w:rsidRDefault="00B5331B" w:rsidP="00B5331B">
      <w:pPr>
        <w:pStyle w:val="subsection"/>
        <w:keepNext/>
      </w:pPr>
      <w:r w:rsidRPr="005173FD">
        <w:tab/>
      </w:r>
      <w:r w:rsidRPr="005173FD">
        <w:tab/>
        <w:t xml:space="preserve">There are no specified bodies corporate or extra conditions of eligibility for the </w:t>
      </w:r>
      <w:r w:rsidR="00783F5B" w:rsidRPr="005173FD">
        <w:t>Capacity Building Fund</w:t>
      </w:r>
      <w:r w:rsidRPr="005173FD">
        <w:t>.</w:t>
      </w:r>
    </w:p>
    <w:p w14:paraId="24D3BDEC" w14:textId="209A41C8" w:rsidR="00B5331B" w:rsidRPr="005173FD" w:rsidRDefault="00B5331B" w:rsidP="00B5331B">
      <w:pPr>
        <w:pStyle w:val="notetext"/>
        <w:rPr>
          <w:snapToGrid w:val="0"/>
          <w:lang w:eastAsia="en-US"/>
        </w:rPr>
      </w:pPr>
      <w:r w:rsidRPr="005173FD">
        <w:rPr>
          <w:snapToGrid w:val="0"/>
          <w:lang w:eastAsia="en-US"/>
        </w:rPr>
        <w:t>Note:</w:t>
      </w:r>
      <w:r w:rsidRPr="005173FD">
        <w:rPr>
          <w:snapToGrid w:val="0"/>
          <w:lang w:eastAsia="en-US"/>
        </w:rPr>
        <w:tab/>
        <w:t>Under section 41-10 of the Act, Table A providers are eligible for grants made for the purpose of promoting equality of opportunity in higher education.</w:t>
      </w:r>
    </w:p>
    <w:p w14:paraId="66A145E0" w14:textId="1C58CF69" w:rsidR="00B5331B" w:rsidRPr="005173FD" w:rsidRDefault="00B5331B" w:rsidP="00B5331B">
      <w:pPr>
        <w:pStyle w:val="ActHead5"/>
        <w:keepLines w:val="0"/>
      </w:pPr>
      <w:bookmarkStart w:id="15" w:name="_Toc186799996"/>
      <w:r w:rsidRPr="005173FD">
        <w:t>45</w:t>
      </w:r>
      <w:r w:rsidR="00F3751B" w:rsidRPr="005173FD">
        <w:t>C</w:t>
      </w:r>
      <w:r w:rsidRPr="005173FD">
        <w:t xml:space="preserve">  </w:t>
      </w:r>
      <w:r w:rsidR="008A2658" w:rsidRPr="005173FD">
        <w:t>Grants to be made in respect of a project</w:t>
      </w:r>
      <w:bookmarkEnd w:id="15"/>
    </w:p>
    <w:p w14:paraId="1060D30D" w14:textId="28ED304D" w:rsidR="00B5331B" w:rsidRPr="005173FD" w:rsidRDefault="00B5331B" w:rsidP="00B5331B">
      <w:pPr>
        <w:pStyle w:val="subsection"/>
        <w:keepNext/>
      </w:pPr>
      <w:r w:rsidRPr="005173FD">
        <w:tab/>
      </w:r>
      <w:r w:rsidRPr="005173FD">
        <w:tab/>
      </w:r>
      <w:r w:rsidR="008A2658" w:rsidRPr="005173FD">
        <w:t>Grants under this program are in respect of a project.</w:t>
      </w:r>
    </w:p>
    <w:p w14:paraId="7D18BF8F" w14:textId="2EB44419" w:rsidR="008A2658" w:rsidRPr="005173FD" w:rsidRDefault="008A2658" w:rsidP="008A2658">
      <w:pPr>
        <w:pStyle w:val="ActHead5"/>
        <w:keepLines w:val="0"/>
      </w:pPr>
      <w:bookmarkStart w:id="16" w:name="_Toc186799997"/>
      <w:r w:rsidRPr="005173FD">
        <w:t>45</w:t>
      </w:r>
      <w:r w:rsidR="00F3751B" w:rsidRPr="005173FD">
        <w:t>D</w:t>
      </w:r>
      <w:r w:rsidRPr="005173FD">
        <w:t xml:space="preserve">  Method by which the amount of grants under the program are determined and applicable conditions of grant</w:t>
      </w:r>
      <w:bookmarkEnd w:id="16"/>
    </w:p>
    <w:p w14:paraId="3979BB20" w14:textId="70A630AA" w:rsidR="008A2658" w:rsidRPr="005173FD" w:rsidRDefault="008A2658" w:rsidP="008A2658">
      <w:pPr>
        <w:pStyle w:val="subsection"/>
        <w:keepNext/>
      </w:pPr>
      <w:r w:rsidRPr="005173FD">
        <w:tab/>
        <w:t>(1)</w:t>
      </w:r>
      <w:r w:rsidRPr="005173FD">
        <w:tab/>
        <w:t xml:space="preserve">A grant under this program will be made </w:t>
      </w:r>
      <w:r w:rsidR="00C4565A" w:rsidRPr="005173FD">
        <w:t xml:space="preserve">to </w:t>
      </w:r>
      <w:r w:rsidRPr="005173FD">
        <w:t>a specific provider chosen to deliver the capacity building support described in subsection 45A(1).</w:t>
      </w:r>
    </w:p>
    <w:p w14:paraId="2C56AD41" w14:textId="0DCF5967" w:rsidR="008A2658" w:rsidRPr="00835034" w:rsidRDefault="008A2658" w:rsidP="008A2658">
      <w:pPr>
        <w:pStyle w:val="subsection"/>
        <w:keepNext/>
      </w:pPr>
      <w:r w:rsidRPr="005173FD">
        <w:tab/>
        <w:t>(2)</w:t>
      </w:r>
      <w:r w:rsidRPr="005173FD">
        <w:tab/>
        <w:t>The Minister will determine conditions that apply to grant funds under this program, and the grant amount, under paragraphs 41-25(1)(c) and 41-30(b) of the Act.</w:t>
      </w:r>
    </w:p>
    <w:sectPr w:rsidR="008A2658" w:rsidRPr="00835034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415E2" w14:textId="77777777" w:rsidR="004E0E35" w:rsidRDefault="004E0E35" w:rsidP="0048364F">
      <w:pPr>
        <w:spacing w:line="240" w:lineRule="auto"/>
      </w:pPr>
      <w:r>
        <w:separator/>
      </w:r>
    </w:p>
  </w:endnote>
  <w:endnote w:type="continuationSeparator" w:id="0">
    <w:p w14:paraId="661FA5DF" w14:textId="77777777" w:rsidR="004E0E35" w:rsidRDefault="004E0E3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1A4F37B" w14:textId="77777777" w:rsidTr="0001176A">
      <w:tc>
        <w:tcPr>
          <w:tcW w:w="5000" w:type="pct"/>
        </w:tcPr>
        <w:p w14:paraId="175DB993" w14:textId="77777777" w:rsidR="009278C1" w:rsidRDefault="009278C1" w:rsidP="0001176A">
          <w:pPr>
            <w:rPr>
              <w:sz w:val="18"/>
            </w:rPr>
          </w:pPr>
        </w:p>
      </w:tc>
    </w:tr>
  </w:tbl>
  <w:p w14:paraId="301D563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9014A4A" w14:textId="77777777" w:rsidTr="00C160A1">
      <w:tc>
        <w:tcPr>
          <w:tcW w:w="5000" w:type="pct"/>
        </w:tcPr>
        <w:p w14:paraId="1A8FC83B" w14:textId="77777777" w:rsidR="00B20990" w:rsidRDefault="00B20990" w:rsidP="007946FE">
          <w:pPr>
            <w:rPr>
              <w:sz w:val="18"/>
            </w:rPr>
          </w:pPr>
        </w:p>
      </w:tc>
    </w:tr>
  </w:tbl>
  <w:p w14:paraId="618BBDF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BD8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65A0188" w14:textId="77777777" w:rsidTr="00C160A1">
      <w:tc>
        <w:tcPr>
          <w:tcW w:w="5000" w:type="pct"/>
        </w:tcPr>
        <w:p w14:paraId="36A58131" w14:textId="77777777" w:rsidR="00B20990" w:rsidRDefault="00B20990" w:rsidP="00465764">
          <w:pPr>
            <w:rPr>
              <w:sz w:val="18"/>
            </w:rPr>
          </w:pPr>
        </w:p>
      </w:tc>
    </w:tr>
  </w:tbl>
  <w:p w14:paraId="45F971E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0C77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D0B090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9102B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A20E77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68D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B5D802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CA66CA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B67153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7A2EB9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CE5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89C20F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81FC5B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F19556" w14:textId="673476E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05A2D">
            <w:rPr>
              <w:i/>
              <w:noProof/>
              <w:sz w:val="18"/>
            </w:rPr>
            <w:t>Higher Education Support (Other Grants) Amendment (Disability Support Programs) Guidelines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FAEE7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D2B966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AA026B" w14:textId="77777777" w:rsidR="00B20990" w:rsidRDefault="00B20990" w:rsidP="007946FE">
          <w:pPr>
            <w:rPr>
              <w:sz w:val="18"/>
            </w:rPr>
          </w:pPr>
        </w:p>
      </w:tc>
    </w:tr>
  </w:tbl>
  <w:p w14:paraId="5C364EA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FA21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2A0AE4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7B3D7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F15BD6" w14:textId="722DB10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05A2D">
            <w:rPr>
              <w:i/>
              <w:noProof/>
              <w:sz w:val="18"/>
            </w:rPr>
            <w:t>Higher Education Support (Other Grants) Amendment (Disability Support Programs) Guidelines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5D12A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044F9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4B13D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12363A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64A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D4A1FA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21C33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4AF470" w14:textId="10F87D6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05A2D">
            <w:rPr>
              <w:i/>
              <w:noProof/>
              <w:sz w:val="18"/>
            </w:rPr>
            <w:t>Higher Education Support (Other Grants) Amendment (Disability Support Programs) Guidelines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90564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13D48B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AC54C7" w14:textId="77777777" w:rsidR="00EE57E8" w:rsidRDefault="00EE57E8" w:rsidP="00EE57E8">
          <w:pPr>
            <w:rPr>
              <w:sz w:val="18"/>
            </w:rPr>
          </w:pPr>
        </w:p>
      </w:tc>
    </w:tr>
  </w:tbl>
  <w:p w14:paraId="671B2FA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CE8A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F9ED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4689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1D0D2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68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8ED12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83E70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0AD46A" w14:textId="2FEA7D5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B68D8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05A2D">
            <w:rPr>
              <w:i/>
              <w:noProof/>
              <w:sz w:val="18"/>
            </w:rPr>
            <w:t>12/2/2025 10:09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42255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A8C0" w14:textId="77777777" w:rsidR="004E0E35" w:rsidRDefault="004E0E35" w:rsidP="0048364F">
      <w:pPr>
        <w:spacing w:line="240" w:lineRule="auto"/>
      </w:pPr>
      <w:r>
        <w:separator/>
      </w:r>
    </w:p>
  </w:footnote>
  <w:footnote w:type="continuationSeparator" w:id="0">
    <w:p w14:paraId="5BD64A12" w14:textId="77777777" w:rsidR="004E0E35" w:rsidRDefault="004E0E3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0847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D7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016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D15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363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D2A1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BD5C" w14:textId="77777777" w:rsidR="00EE57E8" w:rsidRPr="00A961C4" w:rsidRDefault="00EE57E8" w:rsidP="0048364F">
    <w:pPr>
      <w:rPr>
        <w:b/>
        <w:sz w:val="20"/>
      </w:rPr>
    </w:pPr>
  </w:p>
  <w:p w14:paraId="7428290B" w14:textId="77777777" w:rsidR="00EE57E8" w:rsidRPr="00A961C4" w:rsidRDefault="00EE57E8" w:rsidP="0048364F">
    <w:pPr>
      <w:rPr>
        <w:b/>
        <w:sz w:val="20"/>
      </w:rPr>
    </w:pPr>
  </w:p>
  <w:p w14:paraId="43BB74C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8D19D" w14:textId="77777777" w:rsidR="00EE57E8" w:rsidRPr="00A961C4" w:rsidRDefault="00EE57E8" w:rsidP="0048364F">
    <w:pPr>
      <w:jc w:val="right"/>
      <w:rPr>
        <w:sz w:val="20"/>
      </w:rPr>
    </w:pPr>
  </w:p>
  <w:p w14:paraId="727E1EF7" w14:textId="77777777" w:rsidR="00EE57E8" w:rsidRPr="00A961C4" w:rsidRDefault="00EE57E8" w:rsidP="0048364F">
    <w:pPr>
      <w:jc w:val="right"/>
      <w:rPr>
        <w:b/>
        <w:sz w:val="20"/>
      </w:rPr>
    </w:pPr>
  </w:p>
  <w:p w14:paraId="6B76ED0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DF240C9"/>
    <w:multiLevelType w:val="hybridMultilevel"/>
    <w:tmpl w:val="240AE33C"/>
    <w:lvl w:ilvl="0" w:tplc="07DE3F1C">
      <w:start w:val="1"/>
      <w:numFmt w:val="decimal"/>
      <w:lvlText w:val="%1)"/>
      <w:lvlJc w:val="left"/>
      <w:pPr>
        <w:ind w:left="1620" w:hanging="360"/>
      </w:pPr>
    </w:lvl>
    <w:lvl w:ilvl="1" w:tplc="9656F0D6">
      <w:start w:val="1"/>
      <w:numFmt w:val="decimal"/>
      <w:lvlText w:val="%2)"/>
      <w:lvlJc w:val="left"/>
      <w:pPr>
        <w:ind w:left="1620" w:hanging="360"/>
      </w:pPr>
    </w:lvl>
    <w:lvl w:ilvl="2" w:tplc="E04C5896">
      <w:start w:val="1"/>
      <w:numFmt w:val="decimal"/>
      <w:lvlText w:val="%3)"/>
      <w:lvlJc w:val="left"/>
      <w:pPr>
        <w:ind w:left="1620" w:hanging="360"/>
      </w:pPr>
    </w:lvl>
    <w:lvl w:ilvl="3" w:tplc="E5AA6746">
      <w:start w:val="1"/>
      <w:numFmt w:val="decimal"/>
      <w:lvlText w:val="%4)"/>
      <w:lvlJc w:val="left"/>
      <w:pPr>
        <w:ind w:left="1620" w:hanging="360"/>
      </w:pPr>
    </w:lvl>
    <w:lvl w:ilvl="4" w:tplc="69FECE72">
      <w:start w:val="1"/>
      <w:numFmt w:val="decimal"/>
      <w:lvlText w:val="%5)"/>
      <w:lvlJc w:val="left"/>
      <w:pPr>
        <w:ind w:left="1620" w:hanging="360"/>
      </w:pPr>
    </w:lvl>
    <w:lvl w:ilvl="5" w:tplc="6DE0BA7E">
      <w:start w:val="1"/>
      <w:numFmt w:val="decimal"/>
      <w:lvlText w:val="%6)"/>
      <w:lvlJc w:val="left"/>
      <w:pPr>
        <w:ind w:left="1620" w:hanging="360"/>
      </w:pPr>
    </w:lvl>
    <w:lvl w:ilvl="6" w:tplc="19DA208E">
      <w:start w:val="1"/>
      <w:numFmt w:val="decimal"/>
      <w:lvlText w:val="%7)"/>
      <w:lvlJc w:val="left"/>
      <w:pPr>
        <w:ind w:left="1620" w:hanging="360"/>
      </w:pPr>
    </w:lvl>
    <w:lvl w:ilvl="7" w:tplc="41D87F7E">
      <w:start w:val="1"/>
      <w:numFmt w:val="decimal"/>
      <w:lvlText w:val="%8)"/>
      <w:lvlJc w:val="left"/>
      <w:pPr>
        <w:ind w:left="1620" w:hanging="360"/>
      </w:pPr>
    </w:lvl>
    <w:lvl w:ilvl="8" w:tplc="9734424C">
      <w:start w:val="1"/>
      <w:numFmt w:val="decimal"/>
      <w:lvlText w:val="%9)"/>
      <w:lvlJc w:val="left"/>
      <w:pPr>
        <w:ind w:left="1620" w:hanging="360"/>
      </w:pPr>
    </w:lvl>
  </w:abstractNum>
  <w:abstractNum w:abstractNumId="14" w15:restartNumberingAfterBreak="0">
    <w:nsid w:val="5A3F657B"/>
    <w:multiLevelType w:val="hybridMultilevel"/>
    <w:tmpl w:val="B67A1AFE"/>
    <w:lvl w:ilvl="0" w:tplc="C29EACB0">
      <w:start w:val="1"/>
      <w:numFmt w:val="decimal"/>
      <w:lvlText w:val="%1)"/>
      <w:lvlJc w:val="left"/>
      <w:pPr>
        <w:ind w:left="1620" w:hanging="360"/>
      </w:pPr>
    </w:lvl>
    <w:lvl w:ilvl="1" w:tplc="6C4C2D76">
      <w:start w:val="1"/>
      <w:numFmt w:val="decimal"/>
      <w:lvlText w:val="%2)"/>
      <w:lvlJc w:val="left"/>
      <w:pPr>
        <w:ind w:left="1620" w:hanging="360"/>
      </w:pPr>
    </w:lvl>
    <w:lvl w:ilvl="2" w:tplc="919478A0">
      <w:start w:val="1"/>
      <w:numFmt w:val="decimal"/>
      <w:lvlText w:val="%3)"/>
      <w:lvlJc w:val="left"/>
      <w:pPr>
        <w:ind w:left="1620" w:hanging="360"/>
      </w:pPr>
    </w:lvl>
    <w:lvl w:ilvl="3" w:tplc="2C1A24C4">
      <w:start w:val="1"/>
      <w:numFmt w:val="decimal"/>
      <w:lvlText w:val="%4)"/>
      <w:lvlJc w:val="left"/>
      <w:pPr>
        <w:ind w:left="1620" w:hanging="360"/>
      </w:pPr>
    </w:lvl>
    <w:lvl w:ilvl="4" w:tplc="D4BE397E">
      <w:start w:val="1"/>
      <w:numFmt w:val="decimal"/>
      <w:lvlText w:val="%5)"/>
      <w:lvlJc w:val="left"/>
      <w:pPr>
        <w:ind w:left="1620" w:hanging="360"/>
      </w:pPr>
    </w:lvl>
    <w:lvl w:ilvl="5" w:tplc="277E63EE">
      <w:start w:val="1"/>
      <w:numFmt w:val="decimal"/>
      <w:lvlText w:val="%6)"/>
      <w:lvlJc w:val="left"/>
      <w:pPr>
        <w:ind w:left="1620" w:hanging="360"/>
      </w:pPr>
    </w:lvl>
    <w:lvl w:ilvl="6" w:tplc="1E7E1746">
      <w:start w:val="1"/>
      <w:numFmt w:val="decimal"/>
      <w:lvlText w:val="%7)"/>
      <w:lvlJc w:val="left"/>
      <w:pPr>
        <w:ind w:left="1620" w:hanging="360"/>
      </w:pPr>
    </w:lvl>
    <w:lvl w:ilvl="7" w:tplc="29C4A3AE">
      <w:start w:val="1"/>
      <w:numFmt w:val="decimal"/>
      <w:lvlText w:val="%8)"/>
      <w:lvlJc w:val="left"/>
      <w:pPr>
        <w:ind w:left="1620" w:hanging="360"/>
      </w:pPr>
    </w:lvl>
    <w:lvl w:ilvl="8" w:tplc="DF3C8BC4">
      <w:start w:val="1"/>
      <w:numFmt w:val="decimal"/>
      <w:lvlText w:val="%9)"/>
      <w:lvlJc w:val="left"/>
      <w:pPr>
        <w:ind w:left="1620" w:hanging="360"/>
      </w:pPr>
    </w:lvl>
  </w:abstractNum>
  <w:abstractNum w:abstractNumId="15" w15:restartNumberingAfterBreak="0">
    <w:nsid w:val="63AC1A9F"/>
    <w:multiLevelType w:val="hybridMultilevel"/>
    <w:tmpl w:val="09987A54"/>
    <w:lvl w:ilvl="0" w:tplc="56EE4992">
      <w:start w:val="1"/>
      <w:numFmt w:val="decimal"/>
      <w:lvlText w:val="%1)"/>
      <w:lvlJc w:val="left"/>
      <w:pPr>
        <w:ind w:left="1620" w:hanging="360"/>
      </w:pPr>
    </w:lvl>
    <w:lvl w:ilvl="1" w:tplc="CF9E87B2">
      <w:start w:val="1"/>
      <w:numFmt w:val="decimal"/>
      <w:lvlText w:val="%2)"/>
      <w:lvlJc w:val="left"/>
      <w:pPr>
        <w:ind w:left="1620" w:hanging="360"/>
      </w:pPr>
    </w:lvl>
    <w:lvl w:ilvl="2" w:tplc="4C607B0C">
      <w:start w:val="1"/>
      <w:numFmt w:val="decimal"/>
      <w:lvlText w:val="%3)"/>
      <w:lvlJc w:val="left"/>
      <w:pPr>
        <w:ind w:left="1620" w:hanging="360"/>
      </w:pPr>
    </w:lvl>
    <w:lvl w:ilvl="3" w:tplc="E9B66F80">
      <w:start w:val="1"/>
      <w:numFmt w:val="decimal"/>
      <w:lvlText w:val="%4)"/>
      <w:lvlJc w:val="left"/>
      <w:pPr>
        <w:ind w:left="1620" w:hanging="360"/>
      </w:pPr>
    </w:lvl>
    <w:lvl w:ilvl="4" w:tplc="FF5E5AAC">
      <w:start w:val="1"/>
      <w:numFmt w:val="decimal"/>
      <w:lvlText w:val="%5)"/>
      <w:lvlJc w:val="left"/>
      <w:pPr>
        <w:ind w:left="1620" w:hanging="360"/>
      </w:pPr>
    </w:lvl>
    <w:lvl w:ilvl="5" w:tplc="0AE6875C">
      <w:start w:val="1"/>
      <w:numFmt w:val="decimal"/>
      <w:lvlText w:val="%6)"/>
      <w:lvlJc w:val="left"/>
      <w:pPr>
        <w:ind w:left="1620" w:hanging="360"/>
      </w:pPr>
    </w:lvl>
    <w:lvl w:ilvl="6" w:tplc="7D86F178">
      <w:start w:val="1"/>
      <w:numFmt w:val="decimal"/>
      <w:lvlText w:val="%7)"/>
      <w:lvlJc w:val="left"/>
      <w:pPr>
        <w:ind w:left="1620" w:hanging="360"/>
      </w:pPr>
    </w:lvl>
    <w:lvl w:ilvl="7" w:tplc="4AA055D0">
      <w:start w:val="1"/>
      <w:numFmt w:val="decimal"/>
      <w:lvlText w:val="%8)"/>
      <w:lvlJc w:val="left"/>
      <w:pPr>
        <w:ind w:left="1620" w:hanging="360"/>
      </w:pPr>
    </w:lvl>
    <w:lvl w:ilvl="8" w:tplc="7F50AF62">
      <w:start w:val="1"/>
      <w:numFmt w:val="decimal"/>
      <w:lvlText w:val="%9)"/>
      <w:lvlJc w:val="left"/>
      <w:pPr>
        <w:ind w:left="1620" w:hanging="360"/>
      </w:pPr>
    </w:lvl>
  </w:abstractNum>
  <w:num w:numId="1" w16cid:durableId="160313204">
    <w:abstractNumId w:val="9"/>
  </w:num>
  <w:num w:numId="2" w16cid:durableId="1954820834">
    <w:abstractNumId w:val="7"/>
  </w:num>
  <w:num w:numId="3" w16cid:durableId="914390321">
    <w:abstractNumId w:val="6"/>
  </w:num>
  <w:num w:numId="4" w16cid:durableId="1878345567">
    <w:abstractNumId w:val="5"/>
  </w:num>
  <w:num w:numId="5" w16cid:durableId="746266381">
    <w:abstractNumId w:val="4"/>
  </w:num>
  <w:num w:numId="6" w16cid:durableId="67115803">
    <w:abstractNumId w:val="8"/>
  </w:num>
  <w:num w:numId="7" w16cid:durableId="315454602">
    <w:abstractNumId w:val="3"/>
  </w:num>
  <w:num w:numId="8" w16cid:durableId="833106762">
    <w:abstractNumId w:val="2"/>
  </w:num>
  <w:num w:numId="9" w16cid:durableId="346298434">
    <w:abstractNumId w:val="1"/>
  </w:num>
  <w:num w:numId="10" w16cid:durableId="182792950">
    <w:abstractNumId w:val="0"/>
  </w:num>
  <w:num w:numId="11" w16cid:durableId="901208841">
    <w:abstractNumId w:val="12"/>
  </w:num>
  <w:num w:numId="12" w16cid:durableId="2065063384">
    <w:abstractNumId w:val="10"/>
  </w:num>
  <w:num w:numId="13" w16cid:durableId="2141485406">
    <w:abstractNumId w:val="11"/>
  </w:num>
  <w:num w:numId="14" w16cid:durableId="1546066757">
    <w:abstractNumId w:val="15"/>
  </w:num>
  <w:num w:numId="15" w16cid:durableId="1560019693">
    <w:abstractNumId w:val="13"/>
  </w:num>
  <w:num w:numId="16" w16cid:durableId="804617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D8"/>
    <w:rsid w:val="00000263"/>
    <w:rsid w:val="000113BC"/>
    <w:rsid w:val="000136AF"/>
    <w:rsid w:val="0002193E"/>
    <w:rsid w:val="000265D7"/>
    <w:rsid w:val="0004044E"/>
    <w:rsid w:val="0004293D"/>
    <w:rsid w:val="00050CB4"/>
    <w:rsid w:val="0005120E"/>
    <w:rsid w:val="0005216C"/>
    <w:rsid w:val="00054577"/>
    <w:rsid w:val="00060BC0"/>
    <w:rsid w:val="000614BF"/>
    <w:rsid w:val="000627F8"/>
    <w:rsid w:val="00062D09"/>
    <w:rsid w:val="00065F4A"/>
    <w:rsid w:val="0007169C"/>
    <w:rsid w:val="000742A8"/>
    <w:rsid w:val="00074A5B"/>
    <w:rsid w:val="00077593"/>
    <w:rsid w:val="00080D85"/>
    <w:rsid w:val="00083F48"/>
    <w:rsid w:val="00086112"/>
    <w:rsid w:val="00086724"/>
    <w:rsid w:val="000A0D95"/>
    <w:rsid w:val="000A479A"/>
    <w:rsid w:val="000A6D65"/>
    <w:rsid w:val="000A7DF9"/>
    <w:rsid w:val="000B4A7E"/>
    <w:rsid w:val="000B5F11"/>
    <w:rsid w:val="000B68D8"/>
    <w:rsid w:val="000C62A1"/>
    <w:rsid w:val="000D05EF"/>
    <w:rsid w:val="000D3FB9"/>
    <w:rsid w:val="000D5485"/>
    <w:rsid w:val="000E2CD2"/>
    <w:rsid w:val="000E598E"/>
    <w:rsid w:val="000E5A3D"/>
    <w:rsid w:val="000E6881"/>
    <w:rsid w:val="000F051B"/>
    <w:rsid w:val="000F0ADA"/>
    <w:rsid w:val="000F21C1"/>
    <w:rsid w:val="001029C7"/>
    <w:rsid w:val="00102ED6"/>
    <w:rsid w:val="0010745C"/>
    <w:rsid w:val="001122FF"/>
    <w:rsid w:val="00124075"/>
    <w:rsid w:val="0014101F"/>
    <w:rsid w:val="00141044"/>
    <w:rsid w:val="001421F4"/>
    <w:rsid w:val="00143FB6"/>
    <w:rsid w:val="00150C08"/>
    <w:rsid w:val="00154A45"/>
    <w:rsid w:val="00160BD7"/>
    <w:rsid w:val="001643C9"/>
    <w:rsid w:val="00165568"/>
    <w:rsid w:val="00166082"/>
    <w:rsid w:val="00166C2F"/>
    <w:rsid w:val="001716C9"/>
    <w:rsid w:val="00174BEB"/>
    <w:rsid w:val="001779FB"/>
    <w:rsid w:val="00184261"/>
    <w:rsid w:val="00193461"/>
    <w:rsid w:val="001938B9"/>
    <w:rsid w:val="001939E1"/>
    <w:rsid w:val="0019452E"/>
    <w:rsid w:val="00195382"/>
    <w:rsid w:val="0019560F"/>
    <w:rsid w:val="001A3B9F"/>
    <w:rsid w:val="001A5520"/>
    <w:rsid w:val="001A65C0"/>
    <w:rsid w:val="001B7A5D"/>
    <w:rsid w:val="001C2EAE"/>
    <w:rsid w:val="001C69C4"/>
    <w:rsid w:val="001E0A8D"/>
    <w:rsid w:val="001E3590"/>
    <w:rsid w:val="001E7407"/>
    <w:rsid w:val="001F1A46"/>
    <w:rsid w:val="00200B0D"/>
    <w:rsid w:val="00201D27"/>
    <w:rsid w:val="00203D95"/>
    <w:rsid w:val="00203F1E"/>
    <w:rsid w:val="0021153A"/>
    <w:rsid w:val="00213539"/>
    <w:rsid w:val="002245A6"/>
    <w:rsid w:val="002302EA"/>
    <w:rsid w:val="002333D3"/>
    <w:rsid w:val="00237614"/>
    <w:rsid w:val="00237AD1"/>
    <w:rsid w:val="00240749"/>
    <w:rsid w:val="002468D7"/>
    <w:rsid w:val="00247E97"/>
    <w:rsid w:val="00253700"/>
    <w:rsid w:val="00256C81"/>
    <w:rsid w:val="002610BD"/>
    <w:rsid w:val="00263796"/>
    <w:rsid w:val="002743D7"/>
    <w:rsid w:val="0028374D"/>
    <w:rsid w:val="002851D7"/>
    <w:rsid w:val="00285CDD"/>
    <w:rsid w:val="00291167"/>
    <w:rsid w:val="0029489E"/>
    <w:rsid w:val="00297ECB"/>
    <w:rsid w:val="002B10B3"/>
    <w:rsid w:val="002C152A"/>
    <w:rsid w:val="002C623B"/>
    <w:rsid w:val="002D043A"/>
    <w:rsid w:val="002D199B"/>
    <w:rsid w:val="002E08A9"/>
    <w:rsid w:val="002E7241"/>
    <w:rsid w:val="002F5190"/>
    <w:rsid w:val="003006C0"/>
    <w:rsid w:val="0031713F"/>
    <w:rsid w:val="003222D1"/>
    <w:rsid w:val="0032750F"/>
    <w:rsid w:val="00333732"/>
    <w:rsid w:val="00333C50"/>
    <w:rsid w:val="00337697"/>
    <w:rsid w:val="003415D3"/>
    <w:rsid w:val="003442F6"/>
    <w:rsid w:val="00346335"/>
    <w:rsid w:val="00352B0F"/>
    <w:rsid w:val="00354502"/>
    <w:rsid w:val="00355445"/>
    <w:rsid w:val="003561B0"/>
    <w:rsid w:val="00366B9B"/>
    <w:rsid w:val="00377F64"/>
    <w:rsid w:val="0038743B"/>
    <w:rsid w:val="003902AE"/>
    <w:rsid w:val="00393EB1"/>
    <w:rsid w:val="00397893"/>
    <w:rsid w:val="003A15AC"/>
    <w:rsid w:val="003B0627"/>
    <w:rsid w:val="003B0D00"/>
    <w:rsid w:val="003C5F2B"/>
    <w:rsid w:val="003C7D35"/>
    <w:rsid w:val="003D0BFE"/>
    <w:rsid w:val="003D4755"/>
    <w:rsid w:val="003D5700"/>
    <w:rsid w:val="003E11EA"/>
    <w:rsid w:val="003E1685"/>
    <w:rsid w:val="003E4E80"/>
    <w:rsid w:val="003F6F52"/>
    <w:rsid w:val="004022CA"/>
    <w:rsid w:val="00407B2A"/>
    <w:rsid w:val="004116CD"/>
    <w:rsid w:val="00414ADE"/>
    <w:rsid w:val="00424CA9"/>
    <w:rsid w:val="004257BB"/>
    <w:rsid w:val="0044115E"/>
    <w:rsid w:val="0044291A"/>
    <w:rsid w:val="00446A8D"/>
    <w:rsid w:val="004600B0"/>
    <w:rsid w:val="00460499"/>
    <w:rsid w:val="004605DE"/>
    <w:rsid w:val="00460FBA"/>
    <w:rsid w:val="00474835"/>
    <w:rsid w:val="004819C7"/>
    <w:rsid w:val="00482511"/>
    <w:rsid w:val="0048364F"/>
    <w:rsid w:val="004877FC"/>
    <w:rsid w:val="00490F2E"/>
    <w:rsid w:val="004962B2"/>
    <w:rsid w:val="00496F97"/>
    <w:rsid w:val="004A53EA"/>
    <w:rsid w:val="004A7C9A"/>
    <w:rsid w:val="004B35E7"/>
    <w:rsid w:val="004B7D0F"/>
    <w:rsid w:val="004D7126"/>
    <w:rsid w:val="004E0E35"/>
    <w:rsid w:val="004E1058"/>
    <w:rsid w:val="004F1FAC"/>
    <w:rsid w:val="004F2C8D"/>
    <w:rsid w:val="004F4123"/>
    <w:rsid w:val="004F676E"/>
    <w:rsid w:val="004F71C0"/>
    <w:rsid w:val="00500A6F"/>
    <w:rsid w:val="0050723C"/>
    <w:rsid w:val="00516B8D"/>
    <w:rsid w:val="005173FD"/>
    <w:rsid w:val="005257E7"/>
    <w:rsid w:val="0052756C"/>
    <w:rsid w:val="00527E5E"/>
    <w:rsid w:val="00530230"/>
    <w:rsid w:val="00530CC9"/>
    <w:rsid w:val="00531464"/>
    <w:rsid w:val="00531B46"/>
    <w:rsid w:val="00537FBC"/>
    <w:rsid w:val="00541D73"/>
    <w:rsid w:val="00543469"/>
    <w:rsid w:val="00546FA3"/>
    <w:rsid w:val="00550DA1"/>
    <w:rsid w:val="00554EE0"/>
    <w:rsid w:val="00557C7A"/>
    <w:rsid w:val="00562285"/>
    <w:rsid w:val="00562A58"/>
    <w:rsid w:val="0056541A"/>
    <w:rsid w:val="00567CE4"/>
    <w:rsid w:val="00581211"/>
    <w:rsid w:val="0058132B"/>
    <w:rsid w:val="0058388E"/>
    <w:rsid w:val="00584811"/>
    <w:rsid w:val="00590609"/>
    <w:rsid w:val="00593AA6"/>
    <w:rsid w:val="00594161"/>
    <w:rsid w:val="00594749"/>
    <w:rsid w:val="00594956"/>
    <w:rsid w:val="005B1555"/>
    <w:rsid w:val="005B4067"/>
    <w:rsid w:val="005C0165"/>
    <w:rsid w:val="005C3059"/>
    <w:rsid w:val="005C3F41"/>
    <w:rsid w:val="005C4EF0"/>
    <w:rsid w:val="005D15B4"/>
    <w:rsid w:val="005D2503"/>
    <w:rsid w:val="005D5EA1"/>
    <w:rsid w:val="005D6C26"/>
    <w:rsid w:val="005E098C"/>
    <w:rsid w:val="005E1F8D"/>
    <w:rsid w:val="005E317F"/>
    <w:rsid w:val="005E3B52"/>
    <w:rsid w:val="005E5667"/>
    <w:rsid w:val="005E61D3"/>
    <w:rsid w:val="005E6EC8"/>
    <w:rsid w:val="005F6816"/>
    <w:rsid w:val="00600219"/>
    <w:rsid w:val="006065DA"/>
    <w:rsid w:val="00606AA4"/>
    <w:rsid w:val="00611816"/>
    <w:rsid w:val="00620791"/>
    <w:rsid w:val="00624046"/>
    <w:rsid w:val="00624983"/>
    <w:rsid w:val="006328AB"/>
    <w:rsid w:val="00640402"/>
    <w:rsid w:val="00640F78"/>
    <w:rsid w:val="00644F05"/>
    <w:rsid w:val="00647AC0"/>
    <w:rsid w:val="00650FB4"/>
    <w:rsid w:val="00655D6A"/>
    <w:rsid w:val="00656A15"/>
    <w:rsid w:val="00656DE9"/>
    <w:rsid w:val="00657C73"/>
    <w:rsid w:val="00665E2D"/>
    <w:rsid w:val="00666615"/>
    <w:rsid w:val="00672876"/>
    <w:rsid w:val="00677CC2"/>
    <w:rsid w:val="00685F42"/>
    <w:rsid w:val="0069207B"/>
    <w:rsid w:val="0069533F"/>
    <w:rsid w:val="006A304E"/>
    <w:rsid w:val="006B7006"/>
    <w:rsid w:val="006C5BDF"/>
    <w:rsid w:val="006C7F8C"/>
    <w:rsid w:val="006D7AB9"/>
    <w:rsid w:val="006E6DB9"/>
    <w:rsid w:val="00700B2C"/>
    <w:rsid w:val="007026D1"/>
    <w:rsid w:val="00705B52"/>
    <w:rsid w:val="007118C5"/>
    <w:rsid w:val="00713084"/>
    <w:rsid w:val="00717463"/>
    <w:rsid w:val="00720E7F"/>
    <w:rsid w:val="00720FC2"/>
    <w:rsid w:val="00722E89"/>
    <w:rsid w:val="00731E00"/>
    <w:rsid w:val="00732B8C"/>
    <w:rsid w:val="007339C7"/>
    <w:rsid w:val="00736E51"/>
    <w:rsid w:val="007440B7"/>
    <w:rsid w:val="00747993"/>
    <w:rsid w:val="007577CE"/>
    <w:rsid w:val="00757E16"/>
    <w:rsid w:val="007634AD"/>
    <w:rsid w:val="00766203"/>
    <w:rsid w:val="00770655"/>
    <w:rsid w:val="007715C9"/>
    <w:rsid w:val="00774EDD"/>
    <w:rsid w:val="0077510B"/>
    <w:rsid w:val="007757EC"/>
    <w:rsid w:val="00783F5B"/>
    <w:rsid w:val="00792269"/>
    <w:rsid w:val="007A6863"/>
    <w:rsid w:val="007B633F"/>
    <w:rsid w:val="007C3FE9"/>
    <w:rsid w:val="007C78B4"/>
    <w:rsid w:val="007D135C"/>
    <w:rsid w:val="007D6450"/>
    <w:rsid w:val="007E32B6"/>
    <w:rsid w:val="007E486B"/>
    <w:rsid w:val="007E7D4A"/>
    <w:rsid w:val="007F138A"/>
    <w:rsid w:val="007F48ED"/>
    <w:rsid w:val="007F5E3F"/>
    <w:rsid w:val="00812B22"/>
    <w:rsid w:val="00812F45"/>
    <w:rsid w:val="008157BE"/>
    <w:rsid w:val="00822F65"/>
    <w:rsid w:val="008329C4"/>
    <w:rsid w:val="00833664"/>
    <w:rsid w:val="00836FE9"/>
    <w:rsid w:val="0084172C"/>
    <w:rsid w:val="00846BDB"/>
    <w:rsid w:val="00847E11"/>
    <w:rsid w:val="0085175E"/>
    <w:rsid w:val="00856A31"/>
    <w:rsid w:val="008608A4"/>
    <w:rsid w:val="0086306E"/>
    <w:rsid w:val="008653F6"/>
    <w:rsid w:val="008669B6"/>
    <w:rsid w:val="008754D0"/>
    <w:rsid w:val="00877C69"/>
    <w:rsid w:val="00877D48"/>
    <w:rsid w:val="008806BD"/>
    <w:rsid w:val="0088345B"/>
    <w:rsid w:val="00883E09"/>
    <w:rsid w:val="00885020"/>
    <w:rsid w:val="0089353B"/>
    <w:rsid w:val="00895FCF"/>
    <w:rsid w:val="008A16A5"/>
    <w:rsid w:val="008A260A"/>
    <w:rsid w:val="008A2658"/>
    <w:rsid w:val="008A2896"/>
    <w:rsid w:val="008A3DA6"/>
    <w:rsid w:val="008A5C57"/>
    <w:rsid w:val="008B2892"/>
    <w:rsid w:val="008C0629"/>
    <w:rsid w:val="008D0EE0"/>
    <w:rsid w:val="008D7A27"/>
    <w:rsid w:val="008E31ED"/>
    <w:rsid w:val="008E4702"/>
    <w:rsid w:val="008E5F1B"/>
    <w:rsid w:val="008E69AA"/>
    <w:rsid w:val="008F21C4"/>
    <w:rsid w:val="008F2B63"/>
    <w:rsid w:val="008F478B"/>
    <w:rsid w:val="008F4F1C"/>
    <w:rsid w:val="008F53B1"/>
    <w:rsid w:val="009069AD"/>
    <w:rsid w:val="00910E64"/>
    <w:rsid w:val="009134C9"/>
    <w:rsid w:val="00922764"/>
    <w:rsid w:val="00923EAB"/>
    <w:rsid w:val="009278C1"/>
    <w:rsid w:val="0093181B"/>
    <w:rsid w:val="00932377"/>
    <w:rsid w:val="009346E3"/>
    <w:rsid w:val="0094523D"/>
    <w:rsid w:val="00976A63"/>
    <w:rsid w:val="00983F6E"/>
    <w:rsid w:val="0098402E"/>
    <w:rsid w:val="00991D9A"/>
    <w:rsid w:val="00993190"/>
    <w:rsid w:val="00994F46"/>
    <w:rsid w:val="009A5168"/>
    <w:rsid w:val="009B2490"/>
    <w:rsid w:val="009B4358"/>
    <w:rsid w:val="009B50E5"/>
    <w:rsid w:val="009C3431"/>
    <w:rsid w:val="009C3F58"/>
    <w:rsid w:val="009C5989"/>
    <w:rsid w:val="009C6A32"/>
    <w:rsid w:val="009D08DA"/>
    <w:rsid w:val="009D4220"/>
    <w:rsid w:val="009E0588"/>
    <w:rsid w:val="009E20DD"/>
    <w:rsid w:val="009F06F7"/>
    <w:rsid w:val="00A06860"/>
    <w:rsid w:val="00A136F5"/>
    <w:rsid w:val="00A231E2"/>
    <w:rsid w:val="00A2550D"/>
    <w:rsid w:val="00A34C6C"/>
    <w:rsid w:val="00A379BB"/>
    <w:rsid w:val="00A37A55"/>
    <w:rsid w:val="00A4169B"/>
    <w:rsid w:val="00A50D55"/>
    <w:rsid w:val="00A52FDA"/>
    <w:rsid w:val="00A61D60"/>
    <w:rsid w:val="00A64713"/>
    <w:rsid w:val="00A64912"/>
    <w:rsid w:val="00A70A74"/>
    <w:rsid w:val="00A71519"/>
    <w:rsid w:val="00A7325B"/>
    <w:rsid w:val="00A86DFC"/>
    <w:rsid w:val="00A9178D"/>
    <w:rsid w:val="00A9231A"/>
    <w:rsid w:val="00A95BC7"/>
    <w:rsid w:val="00AA0343"/>
    <w:rsid w:val="00AA78CE"/>
    <w:rsid w:val="00AA7B26"/>
    <w:rsid w:val="00AB5877"/>
    <w:rsid w:val="00AC767C"/>
    <w:rsid w:val="00AD3467"/>
    <w:rsid w:val="00AD4966"/>
    <w:rsid w:val="00AD5641"/>
    <w:rsid w:val="00AD56C8"/>
    <w:rsid w:val="00AD6CE1"/>
    <w:rsid w:val="00AE1A38"/>
    <w:rsid w:val="00AE3C96"/>
    <w:rsid w:val="00AE78B3"/>
    <w:rsid w:val="00AF33DB"/>
    <w:rsid w:val="00B032D8"/>
    <w:rsid w:val="00B037FE"/>
    <w:rsid w:val="00B05D72"/>
    <w:rsid w:val="00B20990"/>
    <w:rsid w:val="00B23FAF"/>
    <w:rsid w:val="00B3107A"/>
    <w:rsid w:val="00B33B3C"/>
    <w:rsid w:val="00B37F5B"/>
    <w:rsid w:val="00B40D74"/>
    <w:rsid w:val="00B42649"/>
    <w:rsid w:val="00B46467"/>
    <w:rsid w:val="00B46B91"/>
    <w:rsid w:val="00B52663"/>
    <w:rsid w:val="00B5331B"/>
    <w:rsid w:val="00B56DCB"/>
    <w:rsid w:val="00B576E6"/>
    <w:rsid w:val="00B61728"/>
    <w:rsid w:val="00B65DB2"/>
    <w:rsid w:val="00B66D75"/>
    <w:rsid w:val="00B71FA5"/>
    <w:rsid w:val="00B770D2"/>
    <w:rsid w:val="00B8059B"/>
    <w:rsid w:val="00B806B1"/>
    <w:rsid w:val="00B86D5F"/>
    <w:rsid w:val="00B92B99"/>
    <w:rsid w:val="00B93516"/>
    <w:rsid w:val="00B94FFE"/>
    <w:rsid w:val="00B96776"/>
    <w:rsid w:val="00B973E5"/>
    <w:rsid w:val="00BA47A3"/>
    <w:rsid w:val="00BA5026"/>
    <w:rsid w:val="00BA7A79"/>
    <w:rsid w:val="00BA7B5B"/>
    <w:rsid w:val="00BB6E79"/>
    <w:rsid w:val="00BE42C5"/>
    <w:rsid w:val="00BE711A"/>
    <w:rsid w:val="00BE719A"/>
    <w:rsid w:val="00BE720A"/>
    <w:rsid w:val="00BF0723"/>
    <w:rsid w:val="00BF6650"/>
    <w:rsid w:val="00BF7CA9"/>
    <w:rsid w:val="00C032C3"/>
    <w:rsid w:val="00C067E5"/>
    <w:rsid w:val="00C164CA"/>
    <w:rsid w:val="00C26051"/>
    <w:rsid w:val="00C30DA6"/>
    <w:rsid w:val="00C34307"/>
    <w:rsid w:val="00C37376"/>
    <w:rsid w:val="00C42BF8"/>
    <w:rsid w:val="00C4565A"/>
    <w:rsid w:val="00C460AE"/>
    <w:rsid w:val="00C50043"/>
    <w:rsid w:val="00C5015F"/>
    <w:rsid w:val="00C50A0F"/>
    <w:rsid w:val="00C50F4A"/>
    <w:rsid w:val="00C51D05"/>
    <w:rsid w:val="00C57FB5"/>
    <w:rsid w:val="00C72CA8"/>
    <w:rsid w:val="00C72D10"/>
    <w:rsid w:val="00C7573B"/>
    <w:rsid w:val="00C76CF3"/>
    <w:rsid w:val="00C808F1"/>
    <w:rsid w:val="00C83161"/>
    <w:rsid w:val="00C93205"/>
    <w:rsid w:val="00C945DC"/>
    <w:rsid w:val="00CA1DCD"/>
    <w:rsid w:val="00CA7844"/>
    <w:rsid w:val="00CB0287"/>
    <w:rsid w:val="00CB206D"/>
    <w:rsid w:val="00CB58EF"/>
    <w:rsid w:val="00CB5EFF"/>
    <w:rsid w:val="00CC17E9"/>
    <w:rsid w:val="00CE0095"/>
    <w:rsid w:val="00CE0A93"/>
    <w:rsid w:val="00CE0D77"/>
    <w:rsid w:val="00CF0BB2"/>
    <w:rsid w:val="00CF6D31"/>
    <w:rsid w:val="00D1226F"/>
    <w:rsid w:val="00D12B0D"/>
    <w:rsid w:val="00D13441"/>
    <w:rsid w:val="00D243A3"/>
    <w:rsid w:val="00D33440"/>
    <w:rsid w:val="00D34ADB"/>
    <w:rsid w:val="00D4012B"/>
    <w:rsid w:val="00D47F19"/>
    <w:rsid w:val="00D52EFE"/>
    <w:rsid w:val="00D56A0D"/>
    <w:rsid w:val="00D63D7E"/>
    <w:rsid w:val="00D63EF6"/>
    <w:rsid w:val="00D644A9"/>
    <w:rsid w:val="00D66518"/>
    <w:rsid w:val="00D70DFB"/>
    <w:rsid w:val="00D71EEA"/>
    <w:rsid w:val="00D735CD"/>
    <w:rsid w:val="00D766DF"/>
    <w:rsid w:val="00D80458"/>
    <w:rsid w:val="00D83745"/>
    <w:rsid w:val="00D90841"/>
    <w:rsid w:val="00D919AE"/>
    <w:rsid w:val="00D956F1"/>
    <w:rsid w:val="00DA2439"/>
    <w:rsid w:val="00DA5896"/>
    <w:rsid w:val="00DA6F05"/>
    <w:rsid w:val="00DB181D"/>
    <w:rsid w:val="00DB3C2C"/>
    <w:rsid w:val="00DB6488"/>
    <w:rsid w:val="00DB64FC"/>
    <w:rsid w:val="00DC6B1F"/>
    <w:rsid w:val="00DD185C"/>
    <w:rsid w:val="00DE149E"/>
    <w:rsid w:val="00DE32CA"/>
    <w:rsid w:val="00DE55B6"/>
    <w:rsid w:val="00DF69D4"/>
    <w:rsid w:val="00E034DB"/>
    <w:rsid w:val="00E05704"/>
    <w:rsid w:val="00E12F1A"/>
    <w:rsid w:val="00E13922"/>
    <w:rsid w:val="00E218E5"/>
    <w:rsid w:val="00E21F9B"/>
    <w:rsid w:val="00E22935"/>
    <w:rsid w:val="00E3756A"/>
    <w:rsid w:val="00E54292"/>
    <w:rsid w:val="00E60191"/>
    <w:rsid w:val="00E707A3"/>
    <w:rsid w:val="00E7111F"/>
    <w:rsid w:val="00E71339"/>
    <w:rsid w:val="00E73635"/>
    <w:rsid w:val="00E74DC7"/>
    <w:rsid w:val="00E87699"/>
    <w:rsid w:val="00E90CE8"/>
    <w:rsid w:val="00E92E27"/>
    <w:rsid w:val="00E93434"/>
    <w:rsid w:val="00E9586B"/>
    <w:rsid w:val="00E95DD1"/>
    <w:rsid w:val="00E97334"/>
    <w:rsid w:val="00E974B9"/>
    <w:rsid w:val="00E97A57"/>
    <w:rsid w:val="00EA35F1"/>
    <w:rsid w:val="00EA79CE"/>
    <w:rsid w:val="00EB3A99"/>
    <w:rsid w:val="00EB420F"/>
    <w:rsid w:val="00EB45C1"/>
    <w:rsid w:val="00EB65F8"/>
    <w:rsid w:val="00EC1BAD"/>
    <w:rsid w:val="00EC75DB"/>
    <w:rsid w:val="00ED4622"/>
    <w:rsid w:val="00ED4928"/>
    <w:rsid w:val="00ED6FC5"/>
    <w:rsid w:val="00EE3FFE"/>
    <w:rsid w:val="00EE57E8"/>
    <w:rsid w:val="00EE6190"/>
    <w:rsid w:val="00EF2E3A"/>
    <w:rsid w:val="00EF6402"/>
    <w:rsid w:val="00EF7484"/>
    <w:rsid w:val="00F02AD5"/>
    <w:rsid w:val="00F047E2"/>
    <w:rsid w:val="00F04D57"/>
    <w:rsid w:val="00F05A2D"/>
    <w:rsid w:val="00F078DC"/>
    <w:rsid w:val="00F13E86"/>
    <w:rsid w:val="00F20B52"/>
    <w:rsid w:val="00F32FCB"/>
    <w:rsid w:val="00F33523"/>
    <w:rsid w:val="00F34467"/>
    <w:rsid w:val="00F3751B"/>
    <w:rsid w:val="00F40829"/>
    <w:rsid w:val="00F428EE"/>
    <w:rsid w:val="00F639C3"/>
    <w:rsid w:val="00F677A9"/>
    <w:rsid w:val="00F7390F"/>
    <w:rsid w:val="00F8121C"/>
    <w:rsid w:val="00F82970"/>
    <w:rsid w:val="00F84CF5"/>
    <w:rsid w:val="00F8612E"/>
    <w:rsid w:val="00F91C56"/>
    <w:rsid w:val="00F94583"/>
    <w:rsid w:val="00FA420B"/>
    <w:rsid w:val="00FB6AEE"/>
    <w:rsid w:val="00FC3EAC"/>
    <w:rsid w:val="00FE5E99"/>
    <w:rsid w:val="00FF1E7A"/>
    <w:rsid w:val="00FF39DE"/>
    <w:rsid w:val="00FF4CB5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853F4"/>
  <w15:docId w15:val="{A86A913E-A471-400D-AE6D-A624C7B2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F34467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F3446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1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DC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D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DCD"/>
    <w:rPr>
      <w:b/>
      <w:bCs/>
    </w:rPr>
  </w:style>
  <w:style w:type="character" w:customStyle="1" w:styleId="ActHead5Char">
    <w:name w:val="ActHead 5 Char"/>
    <w:aliases w:val="s Char"/>
    <w:basedOn w:val="DefaultParagraphFont"/>
    <w:link w:val="ActHead5"/>
    <w:rsid w:val="00A64713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331B"/>
    <w:rPr>
      <w:rFonts w:eastAsia="Times New Roman" w:cs="Times New Roman"/>
      <w:sz w:val="18"/>
      <w:lang w:eastAsia="en-AU"/>
    </w:rPr>
  </w:style>
  <w:style w:type="paragraph" w:customStyle="1" w:styleId="definition0">
    <w:name w:val="definition"/>
    <w:basedOn w:val="Normal"/>
    <w:rsid w:val="004605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4ED384C-304E-4858-B689-6566CFEF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F793FBF701834F933206889F7D452B" ma:contentTypeVersion="" ma:contentTypeDescription="PDMS Document Site Content Type" ma:contentTypeScope="" ma:versionID="6ba368cd83ae25e53d18f4cdaecc6eba">
  <xsd:schema xmlns:xsd="http://www.w3.org/2001/XMLSchema" xmlns:xs="http://www.w3.org/2001/XMLSchema" xmlns:p="http://schemas.microsoft.com/office/2006/metadata/properties" xmlns:ns2="F4ED384C-304E-4858-B689-6566CFEFBB79" targetNamespace="http://schemas.microsoft.com/office/2006/metadata/properties" ma:root="true" ma:fieldsID="ebec7c03894acfae500470f3163a2f61" ns2:_="">
    <xsd:import namespace="F4ED384C-304E-4858-B689-6566CFEFBB7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384C-304E-4858-B689-6566CFEFBB7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192AC-D644-499D-B1F8-5B6C1D863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200CD-D440-45E7-93D9-5927A3AE5DAA}">
  <ds:schemaRefs>
    <ds:schemaRef ds:uri="F4ED384C-304E-4858-B689-6566CFEFBB79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415577-0F33-4639-8837-240B65A2B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384C-304E-4858-B689-6566CFEF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KRISHNAPPA,Varsha</cp:lastModifiedBy>
  <cp:revision>3</cp:revision>
  <dcterms:created xsi:type="dcterms:W3CDTF">2025-02-11T23:06:00Z</dcterms:created>
  <dcterms:modified xsi:type="dcterms:W3CDTF">2025-02-11T23:30:00Z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2024-01-12T04:29:12Z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20c1e75d-f47e-4480-9b06-c5c89a509fb8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0x010100266966F133664895A6EE3632470D45F500AAF793FBF701834F933206889F7D452B</vt:lpwstr>
  </property>
</Properties>
</file>