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851088" w:rsidRDefault="00FC6D88" w:rsidP="00E2168B">
      <w:pPr>
        <w:spacing w:before="280" w:after="240"/>
        <w:rPr>
          <w:b/>
          <w:sz w:val="32"/>
          <w:szCs w:val="32"/>
        </w:rPr>
      </w:pPr>
      <w:r w:rsidRPr="00851088">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851088" w:rsidRDefault="00955175" w:rsidP="00955175">
      <w:pPr>
        <w:pStyle w:val="LI-Title"/>
        <w:pBdr>
          <w:top w:val="none" w:sz="0" w:space="0" w:color="auto"/>
        </w:pBdr>
        <w:jc w:val="center"/>
      </w:pPr>
    </w:p>
    <w:p w14:paraId="5B8D4084" w14:textId="77777777" w:rsidR="00955175" w:rsidRPr="00851088" w:rsidRDefault="00955175" w:rsidP="00955175">
      <w:pPr>
        <w:pStyle w:val="LI-Title"/>
        <w:pBdr>
          <w:top w:val="none" w:sz="0" w:space="0" w:color="auto"/>
        </w:pBdr>
        <w:jc w:val="center"/>
      </w:pPr>
      <w:r w:rsidRPr="00851088">
        <w:t>Explanatory Statement</w:t>
      </w:r>
    </w:p>
    <w:p w14:paraId="54F0DD85" w14:textId="77777777" w:rsidR="00955175" w:rsidRPr="00851088" w:rsidRDefault="00955175" w:rsidP="00955175">
      <w:pPr>
        <w:rPr>
          <w:lang w:eastAsia="en-AU"/>
        </w:rPr>
      </w:pPr>
    </w:p>
    <w:p w14:paraId="376F21CA" w14:textId="47D95107" w:rsidR="00C4170B" w:rsidRPr="00851088" w:rsidRDefault="00EC112D" w:rsidP="00C4170B">
      <w:pPr>
        <w:jc w:val="center"/>
        <w:rPr>
          <w:b/>
          <w:i/>
          <w:sz w:val="28"/>
          <w:szCs w:val="28"/>
          <w:lang w:eastAsia="en-AU"/>
        </w:rPr>
      </w:pPr>
      <w:r w:rsidRPr="00851088">
        <w:rPr>
          <w:b/>
          <w:i/>
          <w:sz w:val="28"/>
          <w:szCs w:val="28"/>
          <w:lang w:eastAsia="en-AU"/>
        </w:rPr>
        <w:t>ASIC CS Services Rules 2025</w:t>
      </w:r>
    </w:p>
    <w:p w14:paraId="3D70207E" w14:textId="2B33B559" w:rsidR="00863657" w:rsidRPr="00851088" w:rsidRDefault="00F800C9" w:rsidP="00F800C9">
      <w:pPr>
        <w:pStyle w:val="LI-BodyTextParaa"/>
        <w:ind w:left="0" w:firstLine="0"/>
      </w:pPr>
      <w:bookmarkStart w:id="0" w:name="BK_S3P1L1C1"/>
      <w:bookmarkEnd w:id="0"/>
      <w:r w:rsidRPr="00851088">
        <w:t xml:space="preserve">This is the Explanatory Statement for </w:t>
      </w:r>
      <w:r w:rsidR="00EC112D" w:rsidRPr="00851088">
        <w:t>ASIC CS Services Rules 2025</w:t>
      </w:r>
      <w:r w:rsidR="009D1CA5" w:rsidRPr="00851088">
        <w:t xml:space="preserve"> (the </w:t>
      </w:r>
      <w:r w:rsidR="009D1CA5" w:rsidRPr="00851088">
        <w:rPr>
          <w:b/>
          <w:bCs/>
          <w:i/>
          <w:iCs/>
        </w:rPr>
        <w:t>CS Services Rules</w:t>
      </w:r>
      <w:r w:rsidR="00283729" w:rsidRPr="00851088">
        <w:rPr>
          <w:i/>
          <w:iCs/>
        </w:rPr>
        <w:t>,</w:t>
      </w:r>
      <w:r w:rsidR="00283729" w:rsidRPr="00851088">
        <w:rPr>
          <w:b/>
          <w:bCs/>
          <w:i/>
          <w:iCs/>
        </w:rPr>
        <w:t xml:space="preserve"> </w:t>
      </w:r>
      <w:r w:rsidR="00283729" w:rsidRPr="00851088">
        <w:t xml:space="preserve">or the </w:t>
      </w:r>
      <w:r w:rsidR="00283729" w:rsidRPr="00851088">
        <w:rPr>
          <w:b/>
          <w:bCs/>
          <w:i/>
          <w:iCs/>
        </w:rPr>
        <w:t>instrument</w:t>
      </w:r>
      <w:r w:rsidR="00283729" w:rsidRPr="00851088">
        <w:t>)</w:t>
      </w:r>
      <w:r w:rsidR="000E0B7D" w:rsidRPr="00851088">
        <w:t>.</w:t>
      </w:r>
    </w:p>
    <w:p w14:paraId="119B6103" w14:textId="77777777" w:rsidR="00F800C9" w:rsidRPr="00851088" w:rsidRDefault="00863657" w:rsidP="00F800C9">
      <w:pPr>
        <w:pStyle w:val="LI-BodyTextParaa"/>
        <w:ind w:left="0" w:firstLine="0"/>
      </w:pPr>
      <w:r w:rsidRPr="00851088">
        <w:t>Th</w:t>
      </w:r>
      <w:r w:rsidR="00F800C9" w:rsidRPr="00851088">
        <w:t>e</w:t>
      </w:r>
      <w:r w:rsidRPr="00851088">
        <w:t xml:space="preserve"> </w:t>
      </w:r>
      <w:r w:rsidR="00F800C9" w:rsidRPr="00851088">
        <w:t>Explanatory Statement is approved by the Australian Securities and Investments Commission (</w:t>
      </w:r>
      <w:r w:rsidR="00F800C9" w:rsidRPr="00851088">
        <w:rPr>
          <w:b/>
          <w:i/>
        </w:rPr>
        <w:t>ASIC</w:t>
      </w:r>
      <w:r w:rsidR="00F800C9" w:rsidRPr="00851088">
        <w:t>).</w:t>
      </w:r>
    </w:p>
    <w:p w14:paraId="10E55E66" w14:textId="77777777" w:rsidR="00F800C9" w:rsidRPr="00851088" w:rsidRDefault="005D1FEA" w:rsidP="006D6079">
      <w:pPr>
        <w:pStyle w:val="LI-BodyTextNumbered"/>
        <w:keepNext/>
        <w:ind w:left="0" w:firstLine="0"/>
        <w:rPr>
          <w:b/>
        </w:rPr>
      </w:pPr>
      <w:r w:rsidRPr="00851088">
        <w:rPr>
          <w:b/>
        </w:rPr>
        <w:t>Summary</w:t>
      </w:r>
    </w:p>
    <w:p w14:paraId="7CB6EA95" w14:textId="76CDD44E" w:rsidR="00887B7A" w:rsidRPr="00851088" w:rsidRDefault="00F61047" w:rsidP="00887B7A">
      <w:pPr>
        <w:pStyle w:val="LI-BodyTextParaa"/>
        <w:ind w:left="567"/>
      </w:pPr>
      <w:r w:rsidRPr="00851088">
        <w:t>1</w:t>
      </w:r>
      <w:r w:rsidR="00D939A4" w:rsidRPr="00851088">
        <w:t>.</w:t>
      </w:r>
      <w:r w:rsidR="00D939A4" w:rsidRPr="00851088">
        <w:tab/>
      </w:r>
      <w:r w:rsidR="003E3CEF" w:rsidRPr="00851088">
        <w:t>The</w:t>
      </w:r>
      <w:r w:rsidR="00E50FE5" w:rsidRPr="00851088">
        <w:t xml:space="preserve"> CS Services Rules</w:t>
      </w:r>
      <w:r w:rsidR="003E3CEF" w:rsidRPr="00851088">
        <w:t xml:space="preserve"> </w:t>
      </w:r>
      <w:r w:rsidR="000B3AD5" w:rsidRPr="00851088">
        <w:t>made</w:t>
      </w:r>
      <w:r w:rsidR="00053466" w:rsidRPr="00851088">
        <w:t xml:space="preserve"> under section 828A of the </w:t>
      </w:r>
      <w:r w:rsidR="00053466" w:rsidRPr="00851088">
        <w:rPr>
          <w:i/>
          <w:iCs/>
        </w:rPr>
        <w:t xml:space="preserve">Corporations Act 2001 </w:t>
      </w:r>
      <w:r w:rsidR="00053466" w:rsidRPr="00851088">
        <w:t xml:space="preserve">(the </w:t>
      </w:r>
      <w:r w:rsidR="00053466" w:rsidRPr="00851088">
        <w:rPr>
          <w:b/>
          <w:i/>
        </w:rPr>
        <w:t>Act</w:t>
      </w:r>
      <w:r w:rsidR="00053466" w:rsidRPr="00851088">
        <w:t xml:space="preserve">) </w:t>
      </w:r>
      <w:r w:rsidR="003E3CEF" w:rsidRPr="00851088">
        <w:t xml:space="preserve">impose requirements dealing with the activities, conduct and governance arrangements of </w:t>
      </w:r>
      <w:r w:rsidR="00D80212" w:rsidRPr="00851088">
        <w:t xml:space="preserve">providers of </w:t>
      </w:r>
      <w:r w:rsidR="003E3CEF" w:rsidRPr="00851088">
        <w:t xml:space="preserve">cash equity </w:t>
      </w:r>
      <w:r w:rsidR="0073340E" w:rsidRPr="00851088">
        <w:t>clearing and settlement (</w:t>
      </w:r>
      <w:r w:rsidR="003E3CEF" w:rsidRPr="00851088">
        <w:rPr>
          <w:b/>
          <w:bCs/>
          <w:i/>
          <w:iCs/>
        </w:rPr>
        <w:t>CS</w:t>
      </w:r>
      <w:r w:rsidR="0073340E" w:rsidRPr="00851088">
        <w:t>)</w:t>
      </w:r>
      <w:r w:rsidR="003E3CEF" w:rsidRPr="00851088">
        <w:t xml:space="preserve"> services. </w:t>
      </w:r>
      <w:r w:rsidR="00CF3558" w:rsidRPr="00851088">
        <w:t xml:space="preserve">The </w:t>
      </w:r>
      <w:r w:rsidR="00DD4194" w:rsidRPr="00851088">
        <w:t>CS Services Rules</w:t>
      </w:r>
      <w:r w:rsidR="00CF3558" w:rsidRPr="00851088">
        <w:t xml:space="preserve"> are intended to</w:t>
      </w:r>
      <w:r w:rsidR="00887B7A" w:rsidRPr="00851088">
        <w:t xml:space="preserve"> establish formalised and clear obligations to</w:t>
      </w:r>
      <w:r w:rsidR="00CF3558" w:rsidRPr="00851088">
        <w:t xml:space="preserve"> promote competitive outcomes in the provision of cash equity CS services, where the ASX group is the monopoly provider of cash equity CS services. </w:t>
      </w:r>
      <w:r w:rsidR="005D72D4" w:rsidRPr="00851088">
        <w:t xml:space="preserve">The </w:t>
      </w:r>
      <w:r w:rsidR="00DD4194" w:rsidRPr="00851088">
        <w:t>CS Services Rules</w:t>
      </w:r>
      <w:r w:rsidR="005D72D4" w:rsidRPr="00851088">
        <w:t xml:space="preserve"> are made in relation to cash equity CS services </w:t>
      </w:r>
      <w:r w:rsidR="0069456D" w:rsidRPr="00851088">
        <w:t xml:space="preserve">as </w:t>
      </w:r>
      <w:r w:rsidR="002D70FB" w:rsidRPr="00851088">
        <w:t>deter</w:t>
      </w:r>
      <w:r w:rsidR="008E306A" w:rsidRPr="00851088">
        <w:t>mined</w:t>
      </w:r>
      <w:r w:rsidR="00F1241E" w:rsidRPr="00851088">
        <w:t xml:space="preserve"> </w:t>
      </w:r>
      <w:r w:rsidR="00136F23" w:rsidRPr="00851088">
        <w:t>by the Minister</w:t>
      </w:r>
      <w:r w:rsidR="005D72D4" w:rsidRPr="00851088">
        <w:t xml:space="preserve"> under the </w:t>
      </w:r>
      <w:r w:rsidR="00BA1447" w:rsidRPr="00851088">
        <w:rPr>
          <w:i/>
          <w:iCs/>
        </w:rPr>
        <w:t>Corporations and Competition (CS Services) Instrument 2024</w:t>
      </w:r>
      <w:r w:rsidR="00BA1447" w:rsidRPr="00851088">
        <w:rPr>
          <w:i/>
        </w:rPr>
        <w:t xml:space="preserve"> </w:t>
      </w:r>
      <w:r w:rsidR="00BA1447" w:rsidRPr="00851088">
        <w:t>(</w:t>
      </w:r>
      <w:r w:rsidR="00BA1447" w:rsidRPr="00851088">
        <w:rPr>
          <w:b/>
          <w:bCs/>
          <w:i/>
          <w:iCs/>
        </w:rPr>
        <w:t>Ministerial Determination</w:t>
      </w:r>
      <w:r w:rsidR="00BA1447" w:rsidRPr="00851088">
        <w:t>)</w:t>
      </w:r>
      <w:r w:rsidR="009E0FC1" w:rsidRPr="00851088">
        <w:t>.</w:t>
      </w:r>
      <w:r w:rsidR="00BA1447" w:rsidRPr="00851088">
        <w:t xml:space="preserve"> </w:t>
      </w:r>
    </w:p>
    <w:p w14:paraId="2186D1BD" w14:textId="239E7031" w:rsidR="00CF3558" w:rsidRPr="00851088" w:rsidRDefault="00F61047" w:rsidP="00D939A4">
      <w:pPr>
        <w:pStyle w:val="LI-BodyTextParaa"/>
        <w:ind w:left="567"/>
      </w:pPr>
      <w:r w:rsidRPr="00851088">
        <w:t>2</w:t>
      </w:r>
      <w:r w:rsidR="00CF3558" w:rsidRPr="00851088">
        <w:t>.</w:t>
      </w:r>
      <w:r w:rsidR="00CF3558" w:rsidRPr="00851088">
        <w:tab/>
        <w:t xml:space="preserve">The </w:t>
      </w:r>
      <w:r w:rsidR="00F84BAB" w:rsidRPr="00851088">
        <w:t xml:space="preserve">CS Services </w:t>
      </w:r>
      <w:r w:rsidR="00CF3558" w:rsidRPr="00851088">
        <w:t>Rules address the following key areas:</w:t>
      </w:r>
    </w:p>
    <w:p w14:paraId="19A3069E" w14:textId="0A7B1209" w:rsidR="0040220F" w:rsidRPr="00851088" w:rsidRDefault="00CF3558" w:rsidP="0040220F">
      <w:pPr>
        <w:pStyle w:val="LI-BodyTextParaa"/>
        <w:ind w:left="567"/>
      </w:pPr>
      <w:r w:rsidRPr="00851088">
        <w:tab/>
        <w:t xml:space="preserve">(a) </w:t>
      </w:r>
      <w:r w:rsidR="0040220F" w:rsidRPr="00851088">
        <w:t>governance frameworks with mechanisms for users to provide input into strategy setting, operational arrangements, and system design;</w:t>
      </w:r>
    </w:p>
    <w:p w14:paraId="651AC255" w14:textId="4AAA95CB" w:rsidR="0040220F" w:rsidRPr="00851088" w:rsidRDefault="0040220F" w:rsidP="0040220F">
      <w:pPr>
        <w:pStyle w:val="LI-BodyTextParaa"/>
        <w:ind w:left="567" w:firstLine="0"/>
      </w:pPr>
      <w:r w:rsidRPr="00851088">
        <w:t>(b) transparent, non-discriminatory, fair and reasonable pricing arrangements;</w:t>
      </w:r>
    </w:p>
    <w:p w14:paraId="298F3BEE" w14:textId="0D4167B6" w:rsidR="0040220F" w:rsidRPr="00851088" w:rsidRDefault="0040220F" w:rsidP="0040220F">
      <w:pPr>
        <w:pStyle w:val="LI-BodyTextParaa"/>
        <w:ind w:left="567" w:firstLine="0"/>
      </w:pPr>
      <w:r w:rsidRPr="00851088">
        <w:t>(c) access to services on commercial, transparent and non-discriminatory terms;</w:t>
      </w:r>
    </w:p>
    <w:p w14:paraId="08DFC60A" w14:textId="1EB44ABE" w:rsidR="0040220F" w:rsidRPr="00851088" w:rsidRDefault="0040220F" w:rsidP="0040220F">
      <w:pPr>
        <w:pStyle w:val="LI-BodyTextParaa"/>
        <w:ind w:left="567" w:firstLine="0"/>
      </w:pPr>
      <w:r w:rsidRPr="00851088">
        <w:t xml:space="preserve">(d) core information technology systems used to provide </w:t>
      </w:r>
      <w:r w:rsidR="003D7A89" w:rsidRPr="00851088">
        <w:t xml:space="preserve">cash equity </w:t>
      </w:r>
      <w:r w:rsidRPr="00851088">
        <w:t xml:space="preserve">CS services to facilitate foundational technical interoperability with users’ systems </w:t>
      </w:r>
      <w:r w:rsidR="006D26A3" w:rsidRPr="00851088">
        <w:t>that do</w:t>
      </w:r>
      <w:r w:rsidRPr="00851088">
        <w:t xml:space="preserve"> not raise barriers to entry;</w:t>
      </w:r>
    </w:p>
    <w:p w14:paraId="1BDD2F5D" w14:textId="4714D67D" w:rsidR="0040220F" w:rsidRPr="00851088" w:rsidRDefault="0040220F" w:rsidP="0040220F">
      <w:pPr>
        <w:pStyle w:val="LI-BodyTextParaa"/>
        <w:ind w:left="567" w:firstLine="0"/>
      </w:pPr>
      <w:r w:rsidRPr="00851088">
        <w:t xml:space="preserve">(e) publication of </w:t>
      </w:r>
      <w:r w:rsidR="003D7A89" w:rsidRPr="00851088">
        <w:t>an</w:t>
      </w:r>
      <w:r w:rsidR="00326F54" w:rsidRPr="00851088">
        <w:t xml:space="preserve"> </w:t>
      </w:r>
      <w:r w:rsidRPr="00851088">
        <w:t xml:space="preserve">international pricing comparison report and a cost allocation model report; </w:t>
      </w:r>
    </w:p>
    <w:p w14:paraId="1D670316" w14:textId="275A6616" w:rsidR="0040220F" w:rsidRPr="00851088" w:rsidRDefault="0040220F" w:rsidP="0040220F">
      <w:pPr>
        <w:pStyle w:val="LI-BodyTextParaa"/>
        <w:ind w:left="567" w:firstLine="0"/>
      </w:pPr>
      <w:r w:rsidRPr="00851088">
        <w:t xml:space="preserve">(f) publication of audited management accounts for </w:t>
      </w:r>
      <w:r w:rsidR="00F067AF" w:rsidRPr="00851088">
        <w:t xml:space="preserve">cash equity </w:t>
      </w:r>
      <w:r w:rsidRPr="00851088">
        <w:t>CS services;</w:t>
      </w:r>
    </w:p>
    <w:p w14:paraId="14361D7B" w14:textId="3E3F774D" w:rsidR="0040220F" w:rsidRPr="00851088" w:rsidRDefault="0040220F" w:rsidP="0040220F">
      <w:pPr>
        <w:pStyle w:val="LI-BodyTextParaa"/>
        <w:ind w:left="567" w:firstLine="0"/>
      </w:pPr>
      <w:r w:rsidRPr="00851088">
        <w:t>(g) arrangements for management of intragroup conflicts of interest; and</w:t>
      </w:r>
    </w:p>
    <w:p w14:paraId="2947E4B3" w14:textId="0AFF4AC2" w:rsidR="0040220F" w:rsidRPr="00851088" w:rsidRDefault="0040220F" w:rsidP="0040220F">
      <w:pPr>
        <w:pStyle w:val="LI-BodyTextParaa"/>
        <w:ind w:left="567" w:firstLine="0"/>
      </w:pPr>
      <w:r w:rsidRPr="00851088">
        <w:lastRenderedPageBreak/>
        <w:t>(h) independent assurance that changes to core systems do not result in barriers to access for unaffiliated entities, including in relation to interoperability</w:t>
      </w:r>
      <w:r w:rsidR="00F82D7B" w:rsidRPr="00851088">
        <w:t>.</w:t>
      </w:r>
    </w:p>
    <w:p w14:paraId="7A145085" w14:textId="7F136203" w:rsidR="00F82D7B" w:rsidRPr="00851088" w:rsidRDefault="00F61047" w:rsidP="00F61047">
      <w:pPr>
        <w:pStyle w:val="LI-BodyTextParaa"/>
        <w:ind w:left="567"/>
      </w:pPr>
      <w:r w:rsidRPr="00851088">
        <w:t>3</w:t>
      </w:r>
      <w:r w:rsidR="00F82D7B" w:rsidRPr="00851088">
        <w:t>.</w:t>
      </w:r>
      <w:r w:rsidR="00F82D7B" w:rsidRPr="00851088">
        <w:tab/>
        <w:t xml:space="preserve">Unless otherwise indicated, capitalised terms in this Explanatory Statement have the same meaning as in the CS Services Rules. </w:t>
      </w:r>
    </w:p>
    <w:p w14:paraId="59A63C44" w14:textId="77777777" w:rsidR="005D1FEA" w:rsidRPr="00851088" w:rsidRDefault="005D1FEA" w:rsidP="006D6079">
      <w:pPr>
        <w:pStyle w:val="LI-BodyTextNumbered"/>
        <w:keepNext/>
        <w:ind w:left="0" w:firstLine="0"/>
        <w:rPr>
          <w:b/>
        </w:rPr>
      </w:pPr>
      <w:r w:rsidRPr="00851088">
        <w:rPr>
          <w:b/>
        </w:rPr>
        <w:t>Purpose of the instrument</w:t>
      </w:r>
    </w:p>
    <w:p w14:paraId="2967311B" w14:textId="76DE7726" w:rsidR="003E3CEF" w:rsidRPr="00851088" w:rsidRDefault="003E3CEF" w:rsidP="005D1FEA">
      <w:pPr>
        <w:pStyle w:val="LI-BodyTextParaa"/>
        <w:ind w:left="567"/>
      </w:pPr>
      <w:r w:rsidRPr="00851088">
        <w:rPr>
          <w:i/>
          <w:iCs/>
        </w:rPr>
        <w:t>Background</w:t>
      </w:r>
    </w:p>
    <w:p w14:paraId="1891DCF9" w14:textId="6850755A" w:rsidR="00E16AB4" w:rsidRPr="00851088" w:rsidRDefault="00F61047" w:rsidP="00E16AB4">
      <w:pPr>
        <w:pStyle w:val="LI-BodyTextParaa"/>
        <w:ind w:left="567"/>
      </w:pPr>
      <w:r w:rsidRPr="00851088">
        <w:t>4</w:t>
      </w:r>
      <w:r w:rsidR="00E16AB4" w:rsidRPr="00851088">
        <w:t>.</w:t>
      </w:r>
      <w:r w:rsidR="00E16AB4" w:rsidRPr="00851088">
        <w:tab/>
      </w:r>
      <w:r w:rsidR="005A69F1" w:rsidRPr="00851088">
        <w:t xml:space="preserve">The </w:t>
      </w:r>
      <w:r w:rsidR="00C507BB" w:rsidRPr="00851088">
        <w:t>Act</w:t>
      </w:r>
      <w:r w:rsidR="005A69F1" w:rsidRPr="00851088">
        <w:t xml:space="preserve"> does not prohibit more than one </w:t>
      </w:r>
      <w:r w:rsidR="0046312F" w:rsidRPr="00851088">
        <w:t xml:space="preserve">licensed </w:t>
      </w:r>
      <w:r w:rsidR="00F73A56" w:rsidRPr="00851088">
        <w:t>CS</w:t>
      </w:r>
      <w:r w:rsidR="005A69F1" w:rsidRPr="00851088">
        <w:t xml:space="preserve"> facility to handle the clearing and settlement of transactions executed on the one financial market or different financial markets. However, the current market structure is a monopoly where ASX (through its subsidiaries ASX Clear Pty Ltd and ASX Settlement Pty Ltd) is the sole provider of cash equity CS services</w:t>
      </w:r>
      <w:r w:rsidR="00E16AB4" w:rsidRPr="00851088">
        <w:t xml:space="preserve">. </w:t>
      </w:r>
    </w:p>
    <w:p w14:paraId="28888173" w14:textId="4280372A" w:rsidR="008E694A" w:rsidRPr="00851088" w:rsidRDefault="00F61047" w:rsidP="008E694A">
      <w:pPr>
        <w:pStyle w:val="LI-BodyTextParaa"/>
        <w:ind w:left="567"/>
      </w:pPr>
      <w:r w:rsidRPr="00851088">
        <w:t>5</w:t>
      </w:r>
      <w:r w:rsidR="00F03BB5" w:rsidRPr="00851088">
        <w:t>.</w:t>
      </w:r>
      <w:r w:rsidR="005D1FEA" w:rsidRPr="00851088">
        <w:tab/>
      </w:r>
      <w:r w:rsidR="008E694A" w:rsidRPr="00851088">
        <w:t xml:space="preserve">In </w:t>
      </w:r>
      <w:r w:rsidR="0062148B" w:rsidRPr="00851088">
        <w:t xml:space="preserve">June </w:t>
      </w:r>
      <w:r w:rsidR="008E694A" w:rsidRPr="00851088">
        <w:t xml:space="preserve">2012, the </w:t>
      </w:r>
      <w:r w:rsidR="007D01C7" w:rsidRPr="00851088">
        <w:t>Council of Financial Regulator</w:t>
      </w:r>
      <w:r w:rsidR="00D9142E" w:rsidRPr="00851088">
        <w:t>s</w:t>
      </w:r>
      <w:r w:rsidR="007D01C7" w:rsidRPr="00851088">
        <w:t xml:space="preserve"> (</w:t>
      </w:r>
      <w:r w:rsidR="008E694A" w:rsidRPr="00851088">
        <w:rPr>
          <w:b/>
          <w:i/>
        </w:rPr>
        <w:t>CFR</w:t>
      </w:r>
      <w:r w:rsidR="007D01C7" w:rsidRPr="00851088">
        <w:t>)</w:t>
      </w:r>
      <w:r w:rsidR="008E694A" w:rsidRPr="00851088">
        <w:t xml:space="preserve"> </w:t>
      </w:r>
      <w:r w:rsidR="009F2BCD" w:rsidRPr="00851088">
        <w:t xml:space="preserve">published a discussion paper </w:t>
      </w:r>
      <w:r w:rsidR="00987254" w:rsidRPr="00851088">
        <w:t>examining</w:t>
      </w:r>
      <w:r w:rsidR="008E694A" w:rsidRPr="00851088">
        <w:t xml:space="preserve"> competition in the clearing</w:t>
      </w:r>
      <w:r w:rsidR="00555C66" w:rsidRPr="00851088">
        <w:t xml:space="preserve"> and settlement of </w:t>
      </w:r>
      <w:r w:rsidR="0052566B" w:rsidRPr="00851088">
        <w:t>Australian cash equit</w:t>
      </w:r>
      <w:r w:rsidR="00AC0993" w:rsidRPr="00851088">
        <w:t>ies</w:t>
      </w:r>
      <w:r w:rsidR="00EE21FE" w:rsidRPr="00851088">
        <w:t>.</w:t>
      </w:r>
      <w:r w:rsidR="00C346D6" w:rsidRPr="00851088">
        <w:rPr>
          <w:rStyle w:val="FootnoteReference"/>
        </w:rPr>
        <w:footnoteReference w:id="2"/>
      </w:r>
      <w:r w:rsidR="00EE21FE" w:rsidRPr="00851088">
        <w:t xml:space="preserve"> </w:t>
      </w:r>
      <w:r w:rsidR="00CF5E57" w:rsidRPr="00851088">
        <w:t>In the resulting conclusions report</w:t>
      </w:r>
      <w:r w:rsidR="008E694A" w:rsidRPr="00851088">
        <w:t>,</w:t>
      </w:r>
      <w:r w:rsidR="00260666" w:rsidRPr="00851088">
        <w:rPr>
          <w:rStyle w:val="FootnoteReference"/>
        </w:rPr>
        <w:footnoteReference w:id="3"/>
      </w:r>
      <w:r w:rsidR="008E694A" w:rsidRPr="00851088">
        <w:t xml:space="preserve"> </w:t>
      </w:r>
      <w:r w:rsidR="00BB691A" w:rsidRPr="00851088">
        <w:t xml:space="preserve">the </w:t>
      </w:r>
      <w:r w:rsidR="008E694A" w:rsidRPr="00851088">
        <w:t>CFR recommended that a decision on any licence application from a competing cash equity central counterparty (</w:t>
      </w:r>
      <w:r w:rsidR="008E694A" w:rsidRPr="00851088">
        <w:rPr>
          <w:b/>
          <w:i/>
        </w:rPr>
        <w:t>CCP</w:t>
      </w:r>
      <w:r w:rsidR="008E694A" w:rsidRPr="00851088">
        <w:t xml:space="preserve">) be deferred for two years, due to potential costs and complexities associated with the introduction of a competing CCP and ongoing market conditions. It was concluded that </w:t>
      </w:r>
      <w:r w:rsidR="00BB691A" w:rsidRPr="00851088">
        <w:t xml:space="preserve">the </w:t>
      </w:r>
      <w:r w:rsidR="008E694A" w:rsidRPr="00851088">
        <w:t xml:space="preserve">CFR would need to undertake further consideration and analysis to ensure a smooth transition to a potential multi-CCP environment. In the meantime, ASX was encouraged to develop </w:t>
      </w:r>
      <w:r w:rsidR="007A32C8" w:rsidRPr="00851088">
        <w:t>the</w:t>
      </w:r>
      <w:r w:rsidR="008E694A" w:rsidRPr="00851088">
        <w:t xml:space="preserve"> Code of Practice for the Clearing and Settlement of Cash Equities in Australia (the </w:t>
      </w:r>
      <w:r w:rsidR="008E694A" w:rsidRPr="00851088">
        <w:rPr>
          <w:b/>
          <w:i/>
        </w:rPr>
        <w:t>Code</w:t>
      </w:r>
      <w:r w:rsidR="008E694A" w:rsidRPr="00851088">
        <w:t xml:space="preserve">). The </w:t>
      </w:r>
      <w:r w:rsidR="005A4202" w:rsidRPr="00851088">
        <w:t>g</w:t>
      </w:r>
      <w:r w:rsidR="008E694A" w:rsidRPr="00851088">
        <w:t xml:space="preserve">overnment endorsed </w:t>
      </w:r>
      <w:r w:rsidR="00BB691A" w:rsidRPr="00851088">
        <w:t xml:space="preserve">the </w:t>
      </w:r>
      <w:r w:rsidR="008E694A" w:rsidRPr="00851088">
        <w:t>recommendations in February 2013</w:t>
      </w:r>
      <w:r w:rsidR="00C346D6" w:rsidRPr="00851088">
        <w:rPr>
          <w:rStyle w:val="FootnoteReference"/>
        </w:rPr>
        <w:footnoteReference w:id="4"/>
      </w:r>
      <w:r w:rsidR="008E694A" w:rsidRPr="00851088">
        <w:t xml:space="preserve"> and ASX published the Code in August 2013.</w:t>
      </w:r>
    </w:p>
    <w:p w14:paraId="268FB628" w14:textId="0A019974" w:rsidR="008E694A" w:rsidRPr="00851088" w:rsidRDefault="00F61047" w:rsidP="008E694A">
      <w:pPr>
        <w:pStyle w:val="LI-BodyTextParaa"/>
        <w:ind w:left="567"/>
      </w:pPr>
      <w:r w:rsidRPr="00851088">
        <w:t>6</w:t>
      </w:r>
      <w:r w:rsidR="008E694A" w:rsidRPr="00851088">
        <w:t>.</w:t>
      </w:r>
      <w:r w:rsidR="008E694A" w:rsidRPr="00851088">
        <w:tab/>
        <w:t xml:space="preserve">At the request of the government, the CFR undertook the 2015 review of competition in clearing </w:t>
      </w:r>
      <w:r w:rsidR="00F7007F" w:rsidRPr="00851088">
        <w:t xml:space="preserve">Australian </w:t>
      </w:r>
      <w:r w:rsidR="008E694A" w:rsidRPr="00851088">
        <w:t>cash equities (</w:t>
      </w:r>
      <w:r w:rsidR="008E694A" w:rsidRPr="00851088">
        <w:rPr>
          <w:b/>
          <w:bCs/>
          <w:i/>
          <w:iCs/>
        </w:rPr>
        <w:t>2015 review</w:t>
      </w:r>
      <w:r w:rsidR="008E694A" w:rsidRPr="00851088">
        <w:t>).</w:t>
      </w:r>
      <w:r w:rsidR="004F7397" w:rsidRPr="00851088">
        <w:rPr>
          <w:rStyle w:val="FootnoteReference"/>
        </w:rPr>
        <w:footnoteReference w:id="5"/>
      </w:r>
      <w:r w:rsidR="008E694A" w:rsidRPr="00851088">
        <w:t xml:space="preserve"> The CFR found that the legislative settings for CS facilities in the Australian cash equity market, while reflecting an openness to competition, lacked mechanisms to facilitate competitive outcomes. The 2015 review also noted that the regulators lacked sufficient powers to effectively deal with industry concerns about ASX’s interaction with, and provision of services to, users of its CS services. To address this regulatory gap, the CFR recommended legislative reforms to give the relevant regulators </w:t>
      </w:r>
      <w:proofErr w:type="gramStart"/>
      <w:r w:rsidR="008E694A" w:rsidRPr="00851088">
        <w:t>rule-making</w:t>
      </w:r>
      <w:proofErr w:type="gramEnd"/>
      <w:r w:rsidR="008E694A" w:rsidRPr="00851088">
        <w:t xml:space="preserve"> and arbitration powers to facilitate safe and effective competition in clearing and/or settlement, and to deal with the </w:t>
      </w:r>
      <w:r w:rsidR="008E694A" w:rsidRPr="00851088">
        <w:lastRenderedPageBreak/>
        <w:t>continued monopoly provision of cash equity CS services until competition emerged.</w:t>
      </w:r>
    </w:p>
    <w:p w14:paraId="724BDC25" w14:textId="084E6CE1" w:rsidR="008E694A" w:rsidRPr="00851088" w:rsidRDefault="00F61047" w:rsidP="008E694A">
      <w:pPr>
        <w:pStyle w:val="LI-BodyTextParaa"/>
        <w:ind w:left="567"/>
      </w:pPr>
      <w:r w:rsidRPr="00851088">
        <w:t>7</w:t>
      </w:r>
      <w:r w:rsidR="008E694A" w:rsidRPr="00851088">
        <w:t>.</w:t>
      </w:r>
      <w:r w:rsidR="008E694A" w:rsidRPr="00851088">
        <w:tab/>
        <w:t>In March 2016, the Treasurer released the CFR’s advice to Government, accepted the CFR’s recommendations and endorsed a policy stance of openness to competition in clearing and settlement for cash equities. This included proposals to implement legislative changes to:</w:t>
      </w:r>
    </w:p>
    <w:p w14:paraId="63495972" w14:textId="7A99251D" w:rsidR="008E694A" w:rsidRPr="00851088" w:rsidRDefault="008E694A" w:rsidP="008E694A">
      <w:pPr>
        <w:pStyle w:val="LI-BodyTextParaa"/>
        <w:ind w:left="567" w:firstLine="0"/>
      </w:pPr>
      <w:r w:rsidRPr="00851088">
        <w:t>(a) allow ASIC to impose requirements on ASX’s cash equity CS facilities, including rule-making powers for ASIC in respect of CS facilities; and</w:t>
      </w:r>
    </w:p>
    <w:p w14:paraId="0FF95ABC" w14:textId="173B9657" w:rsidR="008E694A" w:rsidRPr="00851088" w:rsidRDefault="008E694A" w:rsidP="008E694A">
      <w:pPr>
        <w:pStyle w:val="LI-BodyTextParaa"/>
        <w:ind w:left="567" w:firstLine="0"/>
      </w:pPr>
      <w:r w:rsidRPr="00851088">
        <w:t xml:space="preserve">(b) grant the </w:t>
      </w:r>
      <w:r w:rsidR="004A4C32" w:rsidRPr="00851088">
        <w:t>Australian Competition and Consumer Commission (</w:t>
      </w:r>
      <w:r w:rsidRPr="00851088">
        <w:rPr>
          <w:b/>
          <w:i/>
        </w:rPr>
        <w:t>ACCC</w:t>
      </w:r>
      <w:r w:rsidR="004A4C32" w:rsidRPr="00851088">
        <w:t>)</w:t>
      </w:r>
      <w:r w:rsidRPr="00851088">
        <w:t xml:space="preserve"> an arbitration power to provide for recourse in disputes about the terms of access to ASX’s cash equity </w:t>
      </w:r>
      <w:r w:rsidR="00C50E34" w:rsidRPr="00851088">
        <w:t xml:space="preserve">CS </w:t>
      </w:r>
      <w:r w:rsidRPr="00851088">
        <w:t xml:space="preserve">services. </w:t>
      </w:r>
    </w:p>
    <w:p w14:paraId="6C1A9C7C" w14:textId="30468685" w:rsidR="008E694A" w:rsidRPr="00851088" w:rsidRDefault="00F61047" w:rsidP="008E694A">
      <w:pPr>
        <w:pStyle w:val="LI-BodyTextParaa"/>
        <w:ind w:left="567"/>
      </w:pPr>
      <w:r w:rsidRPr="00851088">
        <w:t>8</w:t>
      </w:r>
      <w:r w:rsidR="008E694A" w:rsidRPr="00851088">
        <w:t>.</w:t>
      </w:r>
      <w:r w:rsidR="008E694A" w:rsidRPr="00851088">
        <w:tab/>
        <w:t>Following further stakeholder consultation in 2017, the CFR produced several policy statements including:</w:t>
      </w:r>
    </w:p>
    <w:p w14:paraId="53F2381B" w14:textId="078AA77D" w:rsidR="008E694A" w:rsidRPr="00851088" w:rsidRDefault="008E694A" w:rsidP="008E694A">
      <w:pPr>
        <w:pStyle w:val="LI-BodyTextParaa"/>
        <w:ind w:left="567" w:firstLine="0"/>
      </w:pPr>
      <w:r w:rsidRPr="00851088">
        <w:t>(a) the Regulatory Expectations for Conduct in Operating Cash Equity Clearing and Settlement Services in Australia</w:t>
      </w:r>
      <w:r w:rsidR="00D63664" w:rsidRPr="00851088">
        <w:rPr>
          <w:rStyle w:val="FootnoteReference"/>
        </w:rPr>
        <w:footnoteReference w:id="6"/>
      </w:r>
      <w:r w:rsidRPr="00851088">
        <w:t xml:space="preserve"> (</w:t>
      </w:r>
      <w:r w:rsidRPr="00851088">
        <w:rPr>
          <w:b/>
          <w:bCs/>
          <w:i/>
          <w:iCs/>
        </w:rPr>
        <w:t>Regulatory Expectations</w:t>
      </w:r>
      <w:r w:rsidRPr="00851088">
        <w:t>) – intended to operate until such time as a committed competitor emerged; and</w:t>
      </w:r>
    </w:p>
    <w:p w14:paraId="5962D771" w14:textId="710299B6" w:rsidR="005D1FEA" w:rsidRPr="00851088" w:rsidRDefault="008E694A" w:rsidP="00E17BA6">
      <w:pPr>
        <w:pStyle w:val="LI-BodyTextParaa"/>
        <w:ind w:left="567" w:firstLine="0"/>
      </w:pPr>
      <w:r w:rsidRPr="00851088">
        <w:t>(b)</w:t>
      </w:r>
      <w:r w:rsidR="00E17BA6" w:rsidRPr="00851088">
        <w:t xml:space="preserve"> </w:t>
      </w:r>
      <w:r w:rsidRPr="00851088">
        <w:t>the Minimum Conditions (for cash equity clearing</w:t>
      </w:r>
      <w:r w:rsidR="00D63664" w:rsidRPr="00851088">
        <w:rPr>
          <w:rStyle w:val="FootnoteReference"/>
        </w:rPr>
        <w:footnoteReference w:id="7"/>
      </w:r>
      <w:r w:rsidRPr="00851088">
        <w:t xml:space="preserve"> and settlement</w:t>
      </w:r>
      <w:r w:rsidR="00D63664" w:rsidRPr="00851088">
        <w:rPr>
          <w:rStyle w:val="FootnoteReference"/>
        </w:rPr>
        <w:footnoteReference w:id="8"/>
      </w:r>
      <w:r w:rsidRPr="00851088">
        <w:t xml:space="preserve">) (together, the </w:t>
      </w:r>
      <w:r w:rsidRPr="00851088">
        <w:rPr>
          <w:b/>
          <w:bCs/>
          <w:i/>
          <w:iCs/>
        </w:rPr>
        <w:t>Minimum Conditions</w:t>
      </w:r>
      <w:r w:rsidRPr="00851088">
        <w:t>) – intended to provide an environment for safe and effective competition should a committed competitor emerge.</w:t>
      </w:r>
    </w:p>
    <w:p w14:paraId="50EC1850" w14:textId="461CA382" w:rsidR="00C507BB" w:rsidRPr="00851088" w:rsidRDefault="00F61047" w:rsidP="00542432">
      <w:pPr>
        <w:pStyle w:val="LI-BodyTextParaa"/>
        <w:ind w:left="567"/>
      </w:pPr>
      <w:r w:rsidRPr="00851088">
        <w:rPr>
          <w:bCs/>
        </w:rPr>
        <w:t>9.</w:t>
      </w:r>
      <w:r w:rsidR="00F5383F" w:rsidRPr="00851088">
        <w:rPr>
          <w:bCs/>
        </w:rPr>
        <w:t xml:space="preserve"> </w:t>
      </w:r>
      <w:r w:rsidR="00F5383F" w:rsidRPr="00851088">
        <w:rPr>
          <w:bCs/>
        </w:rPr>
        <w:tab/>
      </w:r>
      <w:r w:rsidR="003751A3" w:rsidRPr="00851088">
        <w:t>ASIC was granted rule-making powers under Part 7.3A of the Act by Part 1 of Schedule 3 of the</w:t>
      </w:r>
      <w:r w:rsidR="00F5383F" w:rsidRPr="00851088">
        <w:t xml:space="preserve"> </w:t>
      </w:r>
      <w:r w:rsidR="003751A3" w:rsidRPr="00851088">
        <w:rPr>
          <w:i/>
          <w:iCs/>
        </w:rPr>
        <w:t>Treasury Laws Amendment (2023 Measures No. 3) Bill 2023</w:t>
      </w:r>
      <w:r w:rsidR="003751A3" w:rsidRPr="00851088">
        <w:t>. These rule-making powers enable ASIC t</w:t>
      </w:r>
      <w:r w:rsidR="00C507BB" w:rsidRPr="00851088">
        <w:t xml:space="preserve">o make rules that deal with the activities, conduct or governance of CS facility licensees, and </w:t>
      </w:r>
      <w:r w:rsidR="00D535E1" w:rsidRPr="00851088">
        <w:t>associated</w:t>
      </w:r>
      <w:r w:rsidR="00C507BB" w:rsidRPr="00851088">
        <w:t xml:space="preserve"> entities, in relation to CS services. ASIC can only impose requirements for CS services that are of a type covered by a determination made by the Minister under section 828B of </w:t>
      </w:r>
      <w:r w:rsidRPr="00851088">
        <w:t>the Act</w:t>
      </w:r>
      <w:r w:rsidR="00C507BB" w:rsidRPr="00851088">
        <w:t xml:space="preserve">. </w:t>
      </w:r>
      <w:r w:rsidR="00AC7E06" w:rsidRPr="00851088">
        <w:t xml:space="preserve">The </w:t>
      </w:r>
      <w:r w:rsidR="004814FC" w:rsidRPr="00851088">
        <w:t xml:space="preserve">Ministerial </w:t>
      </w:r>
      <w:proofErr w:type="gramStart"/>
      <w:r w:rsidR="004814FC" w:rsidRPr="00851088">
        <w:t>Determination</w:t>
      </w:r>
      <w:proofErr w:type="gramEnd"/>
      <w:r w:rsidR="004814FC" w:rsidRPr="00851088">
        <w:t xml:space="preserve"> </w:t>
      </w:r>
      <w:r w:rsidR="002D7217" w:rsidRPr="00851088">
        <w:t>which was made under section 828B</w:t>
      </w:r>
      <w:r w:rsidR="00EB2BD7" w:rsidRPr="00851088">
        <w:t>,</w:t>
      </w:r>
      <w:r w:rsidR="002D7217" w:rsidRPr="00851088">
        <w:t xml:space="preserve"> </w:t>
      </w:r>
      <w:r w:rsidR="00AC7E06" w:rsidRPr="00851088">
        <w:t xml:space="preserve">determines cash equities as the class of CS services in relation to which ASIC may impose CS services rules. </w:t>
      </w:r>
    </w:p>
    <w:p w14:paraId="3BB50A63" w14:textId="43B12291" w:rsidR="00B845BB" w:rsidRPr="00851088" w:rsidRDefault="00F61047" w:rsidP="005D1FEA">
      <w:pPr>
        <w:pStyle w:val="LI-BodyTextParaa"/>
        <w:ind w:left="567"/>
      </w:pPr>
      <w:r w:rsidRPr="00851088">
        <w:rPr>
          <w:bCs/>
        </w:rPr>
        <w:t>10</w:t>
      </w:r>
      <w:r w:rsidR="00D26047" w:rsidRPr="00851088">
        <w:rPr>
          <w:bCs/>
        </w:rPr>
        <w:t xml:space="preserve">. </w:t>
      </w:r>
      <w:r w:rsidR="00D26047" w:rsidRPr="00851088">
        <w:rPr>
          <w:bCs/>
        </w:rPr>
        <w:tab/>
      </w:r>
      <w:r w:rsidR="001E2AC7" w:rsidRPr="00851088">
        <w:t>The CS Services Rules</w:t>
      </w:r>
      <w:r w:rsidR="00E17BA6" w:rsidRPr="00851088">
        <w:t xml:space="preserve"> </w:t>
      </w:r>
      <w:r w:rsidR="00DC5D14" w:rsidRPr="00851088">
        <w:t>impose</w:t>
      </w:r>
      <w:r w:rsidR="00E17BA6" w:rsidRPr="00851088">
        <w:t xml:space="preserve"> </w:t>
      </w:r>
      <w:r w:rsidR="00782780" w:rsidRPr="00851088">
        <w:t>obligations in line with</w:t>
      </w:r>
      <w:r w:rsidR="004F462B" w:rsidRPr="00851088">
        <w:t xml:space="preserve"> </w:t>
      </w:r>
      <w:r w:rsidR="00E17BA6" w:rsidRPr="00851088">
        <w:t>the principles-based</w:t>
      </w:r>
      <w:r w:rsidR="003E3CEF" w:rsidRPr="00851088">
        <w:t xml:space="preserve"> </w:t>
      </w:r>
      <w:r w:rsidR="006C530E" w:rsidRPr="00851088">
        <w:t>requirements</w:t>
      </w:r>
      <w:r w:rsidR="003E3CEF" w:rsidRPr="00851088">
        <w:t xml:space="preserve"> set out in the Regulatory Expectations </w:t>
      </w:r>
      <w:r w:rsidR="008E694A" w:rsidRPr="00851088">
        <w:t xml:space="preserve">and </w:t>
      </w:r>
      <w:r w:rsidR="00E17BA6" w:rsidRPr="00851088">
        <w:t>in some limited instances expands on these statements.</w:t>
      </w:r>
      <w:r w:rsidR="00DA18D4" w:rsidRPr="00851088">
        <w:t xml:space="preserve"> </w:t>
      </w:r>
    </w:p>
    <w:p w14:paraId="00F1CD89" w14:textId="108BE8C0" w:rsidR="005D72D4" w:rsidRPr="00851088" w:rsidRDefault="005D72D4" w:rsidP="005D1FEA">
      <w:pPr>
        <w:pStyle w:val="LI-BodyTextParaa"/>
        <w:ind w:left="567"/>
        <w:rPr>
          <w:i/>
          <w:iCs/>
        </w:rPr>
      </w:pPr>
      <w:r w:rsidRPr="00851088">
        <w:rPr>
          <w:i/>
          <w:iCs/>
        </w:rPr>
        <w:t>Alignment with ACCC’s arbitration arrangements</w:t>
      </w:r>
    </w:p>
    <w:p w14:paraId="02519355" w14:textId="6483E70B" w:rsidR="005D72D4" w:rsidRPr="00851088" w:rsidRDefault="00023425" w:rsidP="001B2155">
      <w:pPr>
        <w:pStyle w:val="LI-BodyTextParaa"/>
        <w:ind w:left="567"/>
      </w:pPr>
      <w:r w:rsidRPr="00851088">
        <w:lastRenderedPageBreak/>
        <w:t>11</w:t>
      </w:r>
      <w:r w:rsidR="001B2155" w:rsidRPr="00851088">
        <w:t>.</w:t>
      </w:r>
      <w:r w:rsidR="001B2155" w:rsidRPr="00851088">
        <w:tab/>
      </w:r>
      <w:r w:rsidR="005D72D4" w:rsidRPr="00851088">
        <w:t xml:space="preserve">The ACCC </w:t>
      </w:r>
      <w:r w:rsidR="00963E85" w:rsidRPr="00851088">
        <w:t xml:space="preserve">has the power to conduct binding </w:t>
      </w:r>
      <w:r w:rsidR="009B17B6" w:rsidRPr="00851088">
        <w:t>arbitration</w:t>
      </w:r>
      <w:r w:rsidR="00A14AF9" w:rsidRPr="00851088">
        <w:t xml:space="preserve"> of </w:t>
      </w:r>
      <w:r w:rsidR="005D72D4" w:rsidRPr="00851088">
        <w:t xml:space="preserve">access disputes about </w:t>
      </w:r>
      <w:r w:rsidR="00A14AF9" w:rsidRPr="00851088">
        <w:t>the terms of access to CS</w:t>
      </w:r>
      <w:r w:rsidR="005D72D4" w:rsidRPr="00851088">
        <w:t xml:space="preserve"> services that have been declared by the Minister.</w:t>
      </w:r>
      <w:r w:rsidR="009F0D31" w:rsidRPr="00851088">
        <w:t xml:space="preserve"> </w:t>
      </w:r>
      <w:r w:rsidR="0009366F" w:rsidRPr="00851088">
        <w:t xml:space="preserve">The CS services that have been declared by the Minister for the purposes of the ACCC’s arbitration power </w:t>
      </w:r>
      <w:r w:rsidR="003B23D4" w:rsidRPr="00851088">
        <w:t xml:space="preserve">are currently aligned with the </w:t>
      </w:r>
      <w:r w:rsidR="00254565" w:rsidRPr="00851088">
        <w:t>determined CS services for the purposes of ASIC’s rulemaking power.</w:t>
      </w:r>
    </w:p>
    <w:p w14:paraId="432D6E3A" w14:textId="7EB5D2E0" w:rsidR="00F36E1F" w:rsidRPr="00851088" w:rsidRDefault="00023425" w:rsidP="001B2155">
      <w:pPr>
        <w:pStyle w:val="LI-BodyTextParaa"/>
        <w:ind w:left="567"/>
      </w:pPr>
      <w:r w:rsidRPr="00851088">
        <w:t>12</w:t>
      </w:r>
      <w:r w:rsidR="001B2155" w:rsidRPr="00851088">
        <w:t>.</w:t>
      </w:r>
      <w:r w:rsidR="001B2155" w:rsidRPr="00851088">
        <w:tab/>
      </w:r>
      <w:r w:rsidR="00615A6E" w:rsidRPr="00851088">
        <w:t xml:space="preserve">We have worked closely with the ACCC </w:t>
      </w:r>
      <w:r w:rsidR="000A6BDB" w:rsidRPr="00851088">
        <w:t xml:space="preserve">on the </w:t>
      </w:r>
      <w:r w:rsidR="00D178FE" w:rsidRPr="00851088">
        <w:t>CS Services Rules</w:t>
      </w:r>
      <w:r w:rsidR="008B0D5D" w:rsidRPr="00851088">
        <w:t>.</w:t>
      </w:r>
      <w:r w:rsidR="008B0D5D" w:rsidRPr="00851088" w:rsidDel="008B0D5D">
        <w:t xml:space="preserve"> </w:t>
      </w:r>
    </w:p>
    <w:p w14:paraId="60FF3222" w14:textId="4A76D714" w:rsidR="005955B3" w:rsidRPr="00851088" w:rsidRDefault="005955B3" w:rsidP="005D1FEA">
      <w:pPr>
        <w:pStyle w:val="LI-BodyTextParaa"/>
        <w:ind w:left="567"/>
        <w:rPr>
          <w:i/>
          <w:iCs/>
        </w:rPr>
      </w:pPr>
      <w:r w:rsidRPr="00851088">
        <w:rPr>
          <w:i/>
          <w:iCs/>
        </w:rPr>
        <w:t>Alignment with the ASIC Act</w:t>
      </w:r>
    </w:p>
    <w:p w14:paraId="64E7BA70" w14:textId="255AF80A" w:rsidR="005955B3" w:rsidRPr="00851088" w:rsidRDefault="00023425" w:rsidP="005D1FEA">
      <w:pPr>
        <w:pStyle w:val="LI-BodyTextParaa"/>
        <w:ind w:left="567"/>
      </w:pPr>
      <w:r w:rsidRPr="00851088">
        <w:t>13</w:t>
      </w:r>
      <w:r w:rsidR="005955B3" w:rsidRPr="00851088">
        <w:t>.</w:t>
      </w:r>
      <w:r w:rsidR="005955B3" w:rsidRPr="00851088">
        <w:tab/>
        <w:t xml:space="preserve">The </w:t>
      </w:r>
      <w:r w:rsidR="00741B33" w:rsidRPr="00851088">
        <w:t>CS Services Rules</w:t>
      </w:r>
      <w:r w:rsidR="005955B3" w:rsidRPr="00851088">
        <w:t xml:space="preserve"> are consistent with ASIC’s regulatory responsibilities under the </w:t>
      </w:r>
      <w:r w:rsidR="005955B3" w:rsidRPr="00851088">
        <w:rPr>
          <w:i/>
          <w:iCs/>
        </w:rPr>
        <w:t>Australian Securities and Investments Commission Act 2001</w:t>
      </w:r>
      <w:r w:rsidR="005955B3" w:rsidRPr="00851088">
        <w:t xml:space="preserve"> to:</w:t>
      </w:r>
    </w:p>
    <w:p w14:paraId="1BACE145" w14:textId="77777777" w:rsidR="005955B3" w:rsidRPr="00851088" w:rsidRDefault="005955B3" w:rsidP="005955B3">
      <w:pPr>
        <w:pStyle w:val="LI-BodyTextParaa"/>
        <w:ind w:left="567"/>
      </w:pPr>
      <w:r w:rsidRPr="00851088">
        <w:tab/>
        <w:t>(a) consider the effects that the performance of its functions and the exercise of its powers will have on competition in the financial system;</w:t>
      </w:r>
    </w:p>
    <w:p w14:paraId="4C1B0FC4" w14:textId="0FF12538" w:rsidR="005955B3" w:rsidRPr="00851088" w:rsidRDefault="005955B3" w:rsidP="005955B3">
      <w:pPr>
        <w:pStyle w:val="LI-BodyTextParaa"/>
        <w:ind w:left="567" w:firstLine="0"/>
      </w:pPr>
      <w:r w:rsidRPr="00851088">
        <w:t>(b) maintain, facilitate and improve the performance of the financial system and the entities within that system in the interests of commercial certainty, reducing business costs, and the efficiency and development of the economy; and</w:t>
      </w:r>
    </w:p>
    <w:p w14:paraId="701FB6D7" w14:textId="45335029" w:rsidR="005955B3" w:rsidRPr="00851088" w:rsidRDefault="005955B3" w:rsidP="005955B3">
      <w:pPr>
        <w:pStyle w:val="LI-BodyTextParaa"/>
        <w:ind w:left="567"/>
      </w:pPr>
      <w:r w:rsidRPr="00851088">
        <w:tab/>
        <w:t xml:space="preserve">(c) promote the confident and informed participation of investors and consumers in the financial system. </w:t>
      </w:r>
    </w:p>
    <w:p w14:paraId="3FEFE29E" w14:textId="77777777" w:rsidR="009A3F74" w:rsidRPr="00851088" w:rsidRDefault="009A3F74" w:rsidP="006D6079">
      <w:pPr>
        <w:pStyle w:val="LI-BodyTextNumbered"/>
        <w:keepNext/>
        <w:ind w:left="0" w:firstLine="0"/>
        <w:rPr>
          <w:b/>
        </w:rPr>
      </w:pPr>
      <w:bookmarkStart w:id="1" w:name="_Hlk534291624"/>
      <w:r w:rsidRPr="00851088">
        <w:rPr>
          <w:b/>
        </w:rPr>
        <w:t>Consultation</w:t>
      </w:r>
    </w:p>
    <w:p w14:paraId="70D595B2" w14:textId="4DFE0167" w:rsidR="009A3F74" w:rsidRPr="00851088" w:rsidRDefault="00023425" w:rsidP="009A3F74">
      <w:pPr>
        <w:pStyle w:val="LI-BodyTextParaa"/>
        <w:ind w:left="567"/>
      </w:pPr>
      <w:r w:rsidRPr="00851088">
        <w:t>14</w:t>
      </w:r>
      <w:r w:rsidR="009A3F74" w:rsidRPr="00851088">
        <w:t>.</w:t>
      </w:r>
      <w:r w:rsidR="009A3F74" w:rsidRPr="00851088">
        <w:tab/>
      </w:r>
      <w:r w:rsidR="00E158B6" w:rsidRPr="00851088">
        <w:t xml:space="preserve">We have consulted publicly with industry in Consultation Paper 379 </w:t>
      </w:r>
      <w:r w:rsidR="00E158B6" w:rsidRPr="00851088">
        <w:rPr>
          <w:i/>
          <w:iCs/>
        </w:rPr>
        <w:t xml:space="preserve">ASIC CS Services Rules </w:t>
      </w:r>
      <w:r w:rsidR="00E158B6" w:rsidRPr="00851088">
        <w:t>(</w:t>
      </w:r>
      <w:r w:rsidR="00E158B6" w:rsidRPr="00851088">
        <w:rPr>
          <w:b/>
          <w:i/>
        </w:rPr>
        <w:t>CP 379</w:t>
      </w:r>
      <w:r w:rsidR="00E158B6" w:rsidRPr="00851088">
        <w:t xml:space="preserve">). We sought feedback on proposed </w:t>
      </w:r>
      <w:r w:rsidR="00DC79E2" w:rsidRPr="00851088">
        <w:t>r</w:t>
      </w:r>
      <w:r w:rsidR="00E158B6" w:rsidRPr="00851088">
        <w:t>ules, as well as the financial, compliance competition and other impacts of the proposals.</w:t>
      </w:r>
    </w:p>
    <w:p w14:paraId="1412A16C" w14:textId="04D966B9" w:rsidR="00E158B6" w:rsidRPr="00851088" w:rsidRDefault="00023425" w:rsidP="009A3F74">
      <w:pPr>
        <w:pStyle w:val="LI-BodyTextParaa"/>
        <w:ind w:left="567"/>
      </w:pPr>
      <w:r w:rsidRPr="00851088">
        <w:t>15</w:t>
      </w:r>
      <w:r w:rsidR="00E158B6" w:rsidRPr="00851088">
        <w:t>.</w:t>
      </w:r>
      <w:r w:rsidR="00E158B6" w:rsidRPr="00851088">
        <w:tab/>
        <w:t xml:space="preserve">We received 9 written submissions to CP 379 from stakeholders including a market participant, </w:t>
      </w:r>
      <w:r w:rsidR="00CD1E61" w:rsidRPr="00851088">
        <w:t xml:space="preserve">a </w:t>
      </w:r>
      <w:r w:rsidR="00E158B6" w:rsidRPr="00851088">
        <w:t xml:space="preserve">share registry, </w:t>
      </w:r>
      <w:r w:rsidR="00CD1E61" w:rsidRPr="00851088">
        <w:t xml:space="preserve">a </w:t>
      </w:r>
      <w:r w:rsidR="00E158B6" w:rsidRPr="00851088">
        <w:t xml:space="preserve">software provider, industry associations and operators of financial market infrastructures. We also received one supplementary submission following the consultation period, in response to a request for further detail from ASIC. The submissions were broadly supportive of the </w:t>
      </w:r>
      <w:r w:rsidR="00D178FE" w:rsidRPr="00851088">
        <w:t xml:space="preserve">CS Services </w:t>
      </w:r>
      <w:r w:rsidR="00E158B6" w:rsidRPr="00851088">
        <w:t xml:space="preserve">Rules and recognised the importance of promoting competitive outcomes for cash equity CS services in the absence of competition. </w:t>
      </w:r>
    </w:p>
    <w:p w14:paraId="0FCCAB79" w14:textId="5A4B3C56" w:rsidR="009A1F3E" w:rsidRPr="00851088" w:rsidRDefault="00023425" w:rsidP="009A3F74">
      <w:pPr>
        <w:pStyle w:val="LI-BodyTextParaa"/>
        <w:ind w:left="567"/>
      </w:pPr>
      <w:r w:rsidRPr="00851088">
        <w:t>16</w:t>
      </w:r>
      <w:r w:rsidR="00E158B6" w:rsidRPr="00851088">
        <w:t>.</w:t>
      </w:r>
      <w:r w:rsidR="00C23D1E" w:rsidRPr="00851088">
        <w:tab/>
        <w:t>Following the formal consultation process, we engaged in further bilateral consultation with several stakeholders to seek further clarity on their submissions. We also consulted further with the R</w:t>
      </w:r>
      <w:r w:rsidR="00C330BB" w:rsidRPr="00851088">
        <w:t>eserve Bank of Australia (</w:t>
      </w:r>
      <w:r w:rsidR="00C330BB" w:rsidRPr="00851088">
        <w:rPr>
          <w:b/>
          <w:bCs/>
          <w:i/>
          <w:iCs/>
        </w:rPr>
        <w:t>RBA</w:t>
      </w:r>
      <w:r w:rsidR="00C330BB" w:rsidRPr="00851088">
        <w:t xml:space="preserve">) </w:t>
      </w:r>
      <w:r w:rsidR="00C23D1E" w:rsidRPr="00851088">
        <w:t xml:space="preserve">and </w:t>
      </w:r>
      <w:r w:rsidR="00C330BB" w:rsidRPr="00851088">
        <w:t>the ACCC</w:t>
      </w:r>
      <w:r w:rsidR="00C23D1E" w:rsidRPr="00851088">
        <w:t xml:space="preserve"> on changes to the </w:t>
      </w:r>
      <w:r w:rsidR="00D178FE" w:rsidRPr="00851088">
        <w:t>CS Services Rules</w:t>
      </w:r>
      <w:r w:rsidR="00C23D1E" w:rsidRPr="00851088">
        <w:t xml:space="preserve"> arising from consultation feedback.</w:t>
      </w:r>
    </w:p>
    <w:p w14:paraId="46F2AE74" w14:textId="297642F7" w:rsidR="009A1F3E" w:rsidRPr="00851088" w:rsidRDefault="00023425" w:rsidP="009A3F74">
      <w:pPr>
        <w:pStyle w:val="LI-BodyTextParaa"/>
        <w:ind w:left="567"/>
      </w:pPr>
      <w:r w:rsidRPr="00851088">
        <w:t>17</w:t>
      </w:r>
      <w:r w:rsidR="009A1F3E" w:rsidRPr="00851088">
        <w:t>.</w:t>
      </w:r>
      <w:r w:rsidR="009A1F3E" w:rsidRPr="00851088">
        <w:tab/>
      </w:r>
      <w:r w:rsidR="003C7D74" w:rsidRPr="00851088">
        <w:t>We amended the CS Services Rules, where appropriate, to reflect feedback received</w:t>
      </w:r>
      <w:r w:rsidR="002836E3" w:rsidRPr="00851088">
        <w:t>.</w:t>
      </w:r>
      <w:r w:rsidR="007E5604" w:rsidRPr="00851088">
        <w:t xml:space="preserve"> These changes are outlined </w:t>
      </w:r>
      <w:r w:rsidR="00FD14CC" w:rsidRPr="00851088">
        <w:t xml:space="preserve">in </w:t>
      </w:r>
      <w:r w:rsidR="00FD14CC" w:rsidRPr="00851088">
        <w:rPr>
          <w:i/>
          <w:iCs/>
        </w:rPr>
        <w:t xml:space="preserve">Response to submissions on CP 379 ASIC CS Services Rules </w:t>
      </w:r>
      <w:r w:rsidR="00FD14CC" w:rsidRPr="00851088">
        <w:t>(REP 808)</w:t>
      </w:r>
      <w:r w:rsidR="007E5604" w:rsidRPr="00851088">
        <w:t xml:space="preserve"> that sets out ASIC’s response to consultation.</w:t>
      </w:r>
    </w:p>
    <w:p w14:paraId="76F4851B" w14:textId="406164F6" w:rsidR="007C4B8E" w:rsidRPr="00851088" w:rsidRDefault="007C4B8E" w:rsidP="009A3F74">
      <w:pPr>
        <w:pStyle w:val="LI-BodyTextParaa"/>
        <w:ind w:left="567"/>
        <w:rPr>
          <w:u w:val="single"/>
        </w:rPr>
      </w:pPr>
      <w:r w:rsidRPr="00851088">
        <w:rPr>
          <w:u w:val="single"/>
        </w:rPr>
        <w:t>Other consultation</w:t>
      </w:r>
    </w:p>
    <w:p w14:paraId="6C77437A" w14:textId="70DEAF5F" w:rsidR="007C4B8E" w:rsidRPr="00851088" w:rsidRDefault="00023425" w:rsidP="009A3F74">
      <w:pPr>
        <w:pStyle w:val="LI-BodyTextParaa"/>
        <w:ind w:left="567"/>
        <w:rPr>
          <w:bCs/>
        </w:rPr>
      </w:pPr>
      <w:r w:rsidRPr="00851088">
        <w:lastRenderedPageBreak/>
        <w:t>18</w:t>
      </w:r>
      <w:r w:rsidR="007C4B8E" w:rsidRPr="00851088">
        <w:t>.</w:t>
      </w:r>
      <w:r w:rsidR="007C4B8E" w:rsidRPr="00851088">
        <w:tab/>
        <w:t xml:space="preserve">ASIC has consulted with the </w:t>
      </w:r>
      <w:r w:rsidR="00C330BB" w:rsidRPr="00851088">
        <w:t>RBA and ACCC</w:t>
      </w:r>
      <w:r w:rsidR="007C4B8E" w:rsidRPr="00851088">
        <w:t xml:space="preserve"> in accordance with the requirements of section 828J of the </w:t>
      </w:r>
      <w:r w:rsidR="00FE253F" w:rsidRPr="00851088">
        <w:t>Act</w:t>
      </w:r>
      <w:r w:rsidR="007C4B8E" w:rsidRPr="00851088">
        <w:t xml:space="preserve">. </w:t>
      </w:r>
    </w:p>
    <w:p w14:paraId="15289F6C" w14:textId="319A90E3" w:rsidR="00941158" w:rsidRPr="00851088" w:rsidRDefault="005D1FEA" w:rsidP="006D6079">
      <w:pPr>
        <w:pStyle w:val="LI-BodyTextNumbered"/>
        <w:keepNext/>
        <w:ind w:left="0" w:firstLine="0"/>
        <w:rPr>
          <w:b/>
        </w:rPr>
      </w:pPr>
      <w:r w:rsidRPr="00851088">
        <w:rPr>
          <w:b/>
        </w:rPr>
        <w:t>Operation of the instrument</w:t>
      </w:r>
    </w:p>
    <w:p w14:paraId="108F13D2" w14:textId="3207C2EC" w:rsidR="00C64821" w:rsidRPr="00851088" w:rsidRDefault="00C64821" w:rsidP="006D6079">
      <w:pPr>
        <w:pStyle w:val="LI-BodyTextNumbered"/>
        <w:keepNext/>
        <w:ind w:left="0" w:firstLine="0"/>
        <w:rPr>
          <w:bCs/>
          <w:u w:val="single"/>
        </w:rPr>
      </w:pPr>
      <w:r w:rsidRPr="00851088">
        <w:rPr>
          <w:bCs/>
          <w:u w:val="single"/>
        </w:rPr>
        <w:t>Chapter 1: Introduction</w:t>
      </w:r>
    </w:p>
    <w:p w14:paraId="64A66020" w14:textId="309AA2C4" w:rsidR="00C64821" w:rsidRPr="00851088" w:rsidRDefault="00C64821" w:rsidP="006D6079">
      <w:pPr>
        <w:pStyle w:val="LI-BodyTextNumbered"/>
        <w:keepNext/>
        <w:ind w:left="0" w:firstLine="0"/>
        <w:rPr>
          <w:bCs/>
        </w:rPr>
      </w:pPr>
      <w:r w:rsidRPr="00851088">
        <w:rPr>
          <w:bCs/>
          <w:u w:val="single"/>
        </w:rPr>
        <w:t>Part 1.1 Preliminary</w:t>
      </w:r>
    </w:p>
    <w:p w14:paraId="53252B01" w14:textId="304EAEF3" w:rsidR="008F191C" w:rsidRPr="00851088" w:rsidRDefault="00023425" w:rsidP="005D1FEA">
      <w:pPr>
        <w:pStyle w:val="LI-BodyTextParaa"/>
        <w:ind w:left="567"/>
      </w:pPr>
      <w:r w:rsidRPr="00851088">
        <w:t>19</w:t>
      </w:r>
      <w:r w:rsidR="005D1FEA" w:rsidRPr="00851088">
        <w:t>.</w:t>
      </w:r>
      <w:r w:rsidR="005D1FEA" w:rsidRPr="00851088">
        <w:tab/>
      </w:r>
      <w:r w:rsidR="008F191C" w:rsidRPr="00851088">
        <w:t xml:space="preserve">Rule 1.1.1 provides that ASIC makes the instrument under subsection 828A(1) of the Act. </w:t>
      </w:r>
      <w:r w:rsidR="003F3112" w:rsidRPr="00851088">
        <w:t>Subs</w:t>
      </w:r>
      <w:r w:rsidR="008F191C" w:rsidRPr="00851088">
        <w:t>ection 828A(1) empowers ASIC to make CS services rules that deal with the activities, conduct or governance of CS facility licensees, and associated entities of CS facility licensees, in relation to CS services and incidental matters.</w:t>
      </w:r>
    </w:p>
    <w:p w14:paraId="13B82ADB" w14:textId="0791B728" w:rsidR="007873E2" w:rsidRPr="00851088" w:rsidRDefault="00023425" w:rsidP="005D1FEA">
      <w:pPr>
        <w:pStyle w:val="LI-BodyTextParaa"/>
        <w:ind w:left="567"/>
        <w:rPr>
          <w:iCs/>
        </w:rPr>
      </w:pPr>
      <w:r w:rsidRPr="00851088">
        <w:rPr>
          <w:iCs/>
        </w:rPr>
        <w:t>20</w:t>
      </w:r>
      <w:r w:rsidR="00EB4B03" w:rsidRPr="00851088">
        <w:rPr>
          <w:iCs/>
        </w:rPr>
        <w:t>.</w:t>
      </w:r>
      <w:r w:rsidR="007873E2" w:rsidRPr="00851088">
        <w:rPr>
          <w:iCs/>
        </w:rPr>
        <w:t xml:space="preserve"> </w:t>
      </w:r>
      <w:r w:rsidR="00EB4B03" w:rsidRPr="00851088">
        <w:rPr>
          <w:iCs/>
        </w:rPr>
        <w:tab/>
      </w:r>
      <w:r w:rsidR="008F191C" w:rsidRPr="00851088">
        <w:rPr>
          <w:iCs/>
        </w:rPr>
        <w:t xml:space="preserve">Rule 1.1.2 provides that the instrument is the </w:t>
      </w:r>
      <w:r w:rsidR="008F191C" w:rsidRPr="00851088">
        <w:rPr>
          <w:i/>
        </w:rPr>
        <w:t>ASIC CS Services Rules 2025</w:t>
      </w:r>
      <w:r w:rsidR="008F191C" w:rsidRPr="00851088">
        <w:rPr>
          <w:iCs/>
        </w:rPr>
        <w:t>.</w:t>
      </w:r>
    </w:p>
    <w:p w14:paraId="35AFCA91" w14:textId="1DAA2225" w:rsidR="00D20A4B" w:rsidRPr="00851088" w:rsidRDefault="005A0EA1" w:rsidP="005D1FEA">
      <w:pPr>
        <w:pStyle w:val="LI-BodyTextParaa"/>
        <w:ind w:left="567"/>
      </w:pPr>
      <w:r w:rsidRPr="00851088">
        <w:t>21</w:t>
      </w:r>
      <w:r w:rsidR="00474B52" w:rsidRPr="00851088">
        <w:t>.</w:t>
      </w:r>
      <w:r w:rsidR="00474B52" w:rsidRPr="00851088">
        <w:tab/>
      </w:r>
      <w:r w:rsidR="00376E50" w:rsidRPr="00851088">
        <w:rPr>
          <w:iCs/>
        </w:rPr>
        <w:t>Rule 1.1.3 provides that the instrument commences three months after the day this instrument is registered on the Federal Register of Legislation.</w:t>
      </w:r>
    </w:p>
    <w:p w14:paraId="33FAEDAD" w14:textId="20F0ADE8" w:rsidR="00474B52" w:rsidRPr="00851088" w:rsidRDefault="005A0EA1" w:rsidP="005D1FEA">
      <w:pPr>
        <w:pStyle w:val="LI-BodyTextParaa"/>
        <w:ind w:left="567"/>
      </w:pPr>
      <w:r w:rsidRPr="00851088">
        <w:t>22</w:t>
      </w:r>
      <w:r w:rsidR="00474B52" w:rsidRPr="00851088">
        <w:t>.</w:t>
      </w:r>
      <w:r w:rsidR="00474B52" w:rsidRPr="00851088">
        <w:tab/>
      </w:r>
      <w:r w:rsidR="009D698C" w:rsidRPr="00851088">
        <w:t xml:space="preserve">Rule 1.1.4 provides that a CS </w:t>
      </w:r>
      <w:r w:rsidR="00416238" w:rsidRPr="00851088">
        <w:t>S</w:t>
      </w:r>
      <w:r w:rsidR="00B97B69" w:rsidRPr="00851088">
        <w:t xml:space="preserve">ervice </w:t>
      </w:r>
      <w:r w:rsidR="00416238" w:rsidRPr="00851088">
        <w:t>P</w:t>
      </w:r>
      <w:r w:rsidR="00B97B69" w:rsidRPr="00851088">
        <w:t xml:space="preserve">rovider does not have to comply with Rules 2.1.3 and 2.4.4 until six months after the day the instrument is registered on the Federal Register of Legislation. </w:t>
      </w:r>
    </w:p>
    <w:p w14:paraId="2B4ED324" w14:textId="7AFD29F0" w:rsidR="009D1CA5" w:rsidRPr="00851088" w:rsidRDefault="005A0EA1" w:rsidP="005D1FEA">
      <w:pPr>
        <w:pStyle w:val="LI-BodyTextParaa"/>
        <w:ind w:left="567"/>
      </w:pPr>
      <w:r w:rsidRPr="00851088">
        <w:t>23</w:t>
      </w:r>
      <w:r w:rsidR="009D1CA5" w:rsidRPr="00851088">
        <w:t>.</w:t>
      </w:r>
      <w:r w:rsidR="009D1CA5" w:rsidRPr="00851088">
        <w:tab/>
        <w:t xml:space="preserve">Rule 1.1.5 provides that the maximum </w:t>
      </w:r>
      <w:r w:rsidR="00283729" w:rsidRPr="00851088">
        <w:t>pecuniary</w:t>
      </w:r>
      <w:r w:rsidR="009D1CA5" w:rsidRPr="00851088">
        <w:t xml:space="preserve"> penalty payable for a contravention of a provision of </w:t>
      </w:r>
      <w:r w:rsidR="00283729" w:rsidRPr="00851088">
        <w:t xml:space="preserve">a provision of the </w:t>
      </w:r>
      <w:r w:rsidR="000E0B7D" w:rsidRPr="00851088">
        <w:t>CS Services Rules is an amount determined by the Court under section 1317G of the Act.</w:t>
      </w:r>
    </w:p>
    <w:p w14:paraId="0E8E8402" w14:textId="5B82B0C6" w:rsidR="00C967D8" w:rsidRPr="00851088" w:rsidRDefault="00C967D8" w:rsidP="005D1FEA">
      <w:pPr>
        <w:pStyle w:val="LI-BodyTextParaa"/>
        <w:ind w:left="567"/>
        <w:rPr>
          <w:u w:val="single"/>
        </w:rPr>
      </w:pPr>
      <w:r w:rsidRPr="00851088">
        <w:rPr>
          <w:u w:val="single"/>
        </w:rPr>
        <w:t>Part 1.2 Interpretation</w:t>
      </w:r>
    </w:p>
    <w:p w14:paraId="725670A9" w14:textId="54FB8008" w:rsidR="00C967D8" w:rsidRPr="00851088" w:rsidRDefault="005A0EA1" w:rsidP="005D1FEA">
      <w:pPr>
        <w:pStyle w:val="LI-BodyTextParaa"/>
        <w:ind w:left="567"/>
      </w:pPr>
      <w:r w:rsidRPr="00851088">
        <w:t>24</w:t>
      </w:r>
      <w:r w:rsidR="00C967D8" w:rsidRPr="00851088">
        <w:t>.</w:t>
      </w:r>
      <w:r w:rsidR="00C967D8" w:rsidRPr="00851088">
        <w:tab/>
        <w:t>Rule 1.2.1 provides that words and expressions defined in the Act will, unless otherwise defined or specified in the CS Services Rules or the contrary intention appears, have the same meaning in the CS Services Rules. For convenience, some words and expressions defined in the Act are cross-referenced in Rule 1.2.2.</w:t>
      </w:r>
    </w:p>
    <w:p w14:paraId="3BE75FF5" w14:textId="7AD3299F" w:rsidR="002169E5" w:rsidRPr="00851088" w:rsidRDefault="005A0EA1" w:rsidP="005D1FEA">
      <w:pPr>
        <w:pStyle w:val="LI-BodyTextParaa"/>
        <w:ind w:left="567"/>
      </w:pPr>
      <w:r w:rsidRPr="00851088">
        <w:t>25</w:t>
      </w:r>
      <w:r w:rsidR="002169E5" w:rsidRPr="00851088">
        <w:t>.</w:t>
      </w:r>
      <w:r w:rsidR="002169E5" w:rsidRPr="00851088">
        <w:tab/>
        <w:t>Rule 1.2.2 provides definitions for terms used in the CS Services Rules. This includes, but is not limited to the following terms:</w:t>
      </w:r>
    </w:p>
    <w:p w14:paraId="54606473" w14:textId="35D07AF2" w:rsidR="00800121" w:rsidRPr="00851088" w:rsidRDefault="00800121" w:rsidP="005D1FEA">
      <w:pPr>
        <w:pStyle w:val="LI-BodyTextParaa"/>
        <w:ind w:left="567"/>
      </w:pPr>
      <w:r w:rsidRPr="00851088">
        <w:tab/>
      </w:r>
      <w:r w:rsidRPr="00851088">
        <w:rPr>
          <w:b/>
          <w:bCs/>
          <w:i/>
          <w:iCs/>
        </w:rPr>
        <w:t>“Associated Entity”</w:t>
      </w:r>
      <w:r w:rsidR="001C61A1" w:rsidRPr="00851088">
        <w:rPr>
          <w:b/>
          <w:bCs/>
          <w:i/>
          <w:iCs/>
        </w:rPr>
        <w:t xml:space="preserve"> </w:t>
      </w:r>
      <w:r w:rsidR="001C61A1" w:rsidRPr="00851088">
        <w:t>which</w:t>
      </w:r>
      <w:r w:rsidR="0073208D" w:rsidRPr="00851088">
        <w:t xml:space="preserve"> (per section 50AAA of the Act)</w:t>
      </w:r>
      <w:r w:rsidR="001C61A1" w:rsidRPr="00851088">
        <w:t xml:space="preserve"> means an entity (the associate) which is an associated entity of another entity (the principal) if:</w:t>
      </w:r>
    </w:p>
    <w:p w14:paraId="53FEC5A9" w14:textId="0C9A5100" w:rsidR="001C61A1" w:rsidRPr="00851088" w:rsidRDefault="001C61A1" w:rsidP="001C61A1">
      <w:pPr>
        <w:pStyle w:val="LI-BodyTextParaa"/>
        <w:numPr>
          <w:ilvl w:val="0"/>
          <w:numId w:val="38"/>
        </w:numPr>
      </w:pPr>
      <w:r w:rsidRPr="00851088">
        <w:t>the associate and the principal are related bodies corporate; or</w:t>
      </w:r>
    </w:p>
    <w:p w14:paraId="29FEF772" w14:textId="48F185B8" w:rsidR="001C61A1" w:rsidRPr="00851088" w:rsidRDefault="001C61A1" w:rsidP="001C61A1">
      <w:pPr>
        <w:pStyle w:val="LI-BodyTextParaa"/>
        <w:numPr>
          <w:ilvl w:val="0"/>
          <w:numId w:val="38"/>
        </w:numPr>
      </w:pPr>
      <w:r w:rsidRPr="00851088">
        <w:t>the principal controls the associate; or</w:t>
      </w:r>
    </w:p>
    <w:p w14:paraId="0CA725CB" w14:textId="2DE00234" w:rsidR="001C61A1" w:rsidRPr="00851088" w:rsidRDefault="001C61A1" w:rsidP="001C61A1">
      <w:pPr>
        <w:pStyle w:val="LI-BodyTextParaa"/>
        <w:numPr>
          <w:ilvl w:val="0"/>
          <w:numId w:val="38"/>
        </w:numPr>
      </w:pPr>
      <w:r w:rsidRPr="00851088">
        <w:t xml:space="preserve">the associate controls the </w:t>
      </w:r>
      <w:proofErr w:type="gramStart"/>
      <w:r w:rsidRPr="00851088">
        <w:t>principal</w:t>
      </w:r>
      <w:proofErr w:type="gramEnd"/>
      <w:r w:rsidRPr="00851088">
        <w:t xml:space="preserve"> and the operations, resources or affairs of the principal are material to the associated; or</w:t>
      </w:r>
    </w:p>
    <w:p w14:paraId="25F30DC2" w14:textId="35A245DF" w:rsidR="001C61A1" w:rsidRPr="00851088" w:rsidRDefault="001C61A1" w:rsidP="001C61A1">
      <w:pPr>
        <w:pStyle w:val="LI-BodyTextParaa"/>
        <w:numPr>
          <w:ilvl w:val="0"/>
          <w:numId w:val="38"/>
        </w:numPr>
      </w:pPr>
      <w:r w:rsidRPr="00851088">
        <w:t>the associate</w:t>
      </w:r>
      <w:r w:rsidR="00FB6D3E" w:rsidRPr="00851088">
        <w:t xml:space="preserve"> </w:t>
      </w:r>
      <w:r w:rsidRPr="00851088">
        <w:t>has a qualifying investment (as set out in subsection 50AAA(8) of the Act) in the principal and the associate has significant influence over the principal and the interest is material to the associated; or</w:t>
      </w:r>
    </w:p>
    <w:p w14:paraId="547443F4" w14:textId="710FE619" w:rsidR="001C61A1" w:rsidRPr="00851088" w:rsidRDefault="001C61A1" w:rsidP="001C61A1">
      <w:pPr>
        <w:pStyle w:val="LI-BodyTextParaa"/>
        <w:numPr>
          <w:ilvl w:val="0"/>
          <w:numId w:val="38"/>
        </w:numPr>
      </w:pPr>
      <w:r w:rsidRPr="00851088">
        <w:lastRenderedPageBreak/>
        <w:t>the principal has a qualifying investment (as set out in subsection 50AAA(8) of the Act) in the associate and the principal has significant influence over the associate and the interest is material to the principal; or</w:t>
      </w:r>
    </w:p>
    <w:p w14:paraId="44F9A8FF" w14:textId="2C6E72C1" w:rsidR="001C61A1" w:rsidRPr="00851088" w:rsidRDefault="001C61A1" w:rsidP="00062B8A">
      <w:pPr>
        <w:pStyle w:val="LI-BodyTextParaa"/>
        <w:numPr>
          <w:ilvl w:val="0"/>
          <w:numId w:val="38"/>
        </w:numPr>
      </w:pPr>
      <w:r w:rsidRPr="00851088">
        <w:t xml:space="preserve">an entity (the third entity) controls both the principal and the associate and the operations, resources or affairs of the principal and the associate are both material to the third entity. </w:t>
      </w:r>
    </w:p>
    <w:p w14:paraId="11607A98" w14:textId="3563AD4D" w:rsidR="00941158" w:rsidRPr="00851088" w:rsidRDefault="002169E5" w:rsidP="005D1FEA">
      <w:pPr>
        <w:pStyle w:val="LI-BodyTextParaa"/>
        <w:ind w:left="567"/>
      </w:pPr>
      <w:r w:rsidRPr="00851088">
        <w:tab/>
      </w:r>
      <w:r w:rsidRPr="00851088">
        <w:rPr>
          <w:b/>
          <w:bCs/>
          <w:i/>
          <w:iCs/>
        </w:rPr>
        <w:t>“</w:t>
      </w:r>
      <w:r w:rsidR="00954417" w:rsidRPr="00851088">
        <w:rPr>
          <w:b/>
          <w:bCs/>
          <w:i/>
          <w:iCs/>
        </w:rPr>
        <w:t>Core System</w:t>
      </w:r>
      <w:r w:rsidR="00941158" w:rsidRPr="00851088">
        <w:rPr>
          <w:b/>
          <w:bCs/>
          <w:i/>
          <w:iCs/>
        </w:rPr>
        <w:t>”</w:t>
      </w:r>
      <w:r w:rsidR="00941158" w:rsidRPr="00851088">
        <w:t xml:space="preserve"> which means an information technology system that is used to provide a Covered Service. </w:t>
      </w:r>
      <w:r w:rsidR="00047DA2" w:rsidRPr="00851088">
        <w:t>T</w:t>
      </w:r>
      <w:r w:rsidR="00941158" w:rsidRPr="00851088">
        <w:t xml:space="preserve">his definition </w:t>
      </w:r>
      <w:r w:rsidR="00B55105" w:rsidRPr="00851088">
        <w:t xml:space="preserve">does not extend to all </w:t>
      </w:r>
      <w:r w:rsidR="00137E59" w:rsidRPr="00851088">
        <w:t xml:space="preserve">information technology systems used by CS Service Providers, only those that are </w:t>
      </w:r>
      <w:r w:rsidR="006834D5" w:rsidRPr="00851088">
        <w:t xml:space="preserve">used to provide Covered Services. </w:t>
      </w:r>
      <w:r w:rsidR="00D37908" w:rsidRPr="00851088">
        <w:t xml:space="preserve">For example, the definition </w:t>
      </w:r>
      <w:r w:rsidR="000172D7" w:rsidRPr="00851088">
        <w:t>does not capture systems that are used to cal</w:t>
      </w:r>
      <w:r w:rsidR="00567CFF" w:rsidRPr="00851088">
        <w:t xml:space="preserve">culate fees </w:t>
      </w:r>
      <w:r w:rsidR="00697737" w:rsidRPr="00851088">
        <w:t>for</w:t>
      </w:r>
      <w:r w:rsidR="007F3205" w:rsidRPr="00851088">
        <w:t xml:space="preserve"> services </w:t>
      </w:r>
      <w:r w:rsidR="00DE70E4" w:rsidRPr="00851088">
        <w:t>that have been provided</w:t>
      </w:r>
      <w:r w:rsidR="00941158" w:rsidRPr="00851088">
        <w:t>.</w:t>
      </w:r>
    </w:p>
    <w:p w14:paraId="13D656F0" w14:textId="6D8D139D" w:rsidR="00063E5B" w:rsidRPr="00851088" w:rsidRDefault="00077330" w:rsidP="002B68B9">
      <w:pPr>
        <w:pStyle w:val="LI-BodyTextParaa"/>
        <w:ind w:left="567" w:firstLine="0"/>
      </w:pPr>
      <w:r w:rsidRPr="00851088">
        <w:rPr>
          <w:b/>
          <w:bCs/>
          <w:i/>
          <w:iCs/>
        </w:rPr>
        <w:t>“Covered Service”</w:t>
      </w:r>
      <w:r w:rsidRPr="00851088">
        <w:t xml:space="preserve"> which means </w:t>
      </w:r>
      <w:r w:rsidR="004E38BD" w:rsidRPr="00851088">
        <w:t xml:space="preserve">a </w:t>
      </w:r>
      <w:r w:rsidR="002B68B9" w:rsidRPr="00851088">
        <w:t xml:space="preserve">service that can only be provided </w:t>
      </w:r>
      <w:r w:rsidR="001D17E3" w:rsidRPr="00851088">
        <w:t xml:space="preserve">if it has </w:t>
      </w:r>
      <w:r w:rsidR="002B68B9" w:rsidRPr="00851088">
        <w:t xml:space="preserve">access to a </w:t>
      </w:r>
      <w:r w:rsidR="007B37B5" w:rsidRPr="00851088">
        <w:t>CS</w:t>
      </w:r>
      <w:r w:rsidR="002B68B9" w:rsidRPr="00851088">
        <w:t xml:space="preserve"> facility, or to data used in the operation of a </w:t>
      </w:r>
      <w:r w:rsidR="007B37B5" w:rsidRPr="00851088">
        <w:t>CS</w:t>
      </w:r>
      <w:r w:rsidR="002B68B9" w:rsidRPr="00851088">
        <w:t xml:space="preserve"> facility (per subsection 828(1) of the Act) that is covered by a determination under section 828B of the Act. </w:t>
      </w:r>
      <w:r w:rsidR="004E532F" w:rsidRPr="00851088">
        <w:t xml:space="preserve">As at the date of these rules, the </w:t>
      </w:r>
      <w:r w:rsidR="007B15C1" w:rsidRPr="00851088">
        <w:t xml:space="preserve">Ministerial Determination </w:t>
      </w:r>
      <w:r w:rsidR="004E532F" w:rsidRPr="00851088">
        <w:t>specifies that CS services relating to cash equities (being a type of financial product defined in that instrument) are specified for subsection 828B(2) of the Act.</w:t>
      </w:r>
    </w:p>
    <w:p w14:paraId="4143C902" w14:textId="439D97E8" w:rsidR="00357A21" w:rsidRPr="00851088" w:rsidRDefault="00357A21">
      <w:pPr>
        <w:pStyle w:val="LI-BodyTextParaa"/>
        <w:ind w:left="567" w:firstLine="0"/>
      </w:pPr>
      <w:r w:rsidRPr="00851088">
        <w:rPr>
          <w:b/>
          <w:bCs/>
          <w:i/>
          <w:iCs/>
        </w:rPr>
        <w:t>“Covered Licensee”</w:t>
      </w:r>
      <w:r w:rsidRPr="00851088">
        <w:t xml:space="preserve"> which means each of ASX Clear Pty Limited and ASX Settlement Pty Limited, </w:t>
      </w:r>
      <w:r w:rsidR="00F71063" w:rsidRPr="00851088">
        <w:t xml:space="preserve">the </w:t>
      </w:r>
      <w:r w:rsidRPr="00851088">
        <w:t xml:space="preserve">ASX </w:t>
      </w:r>
      <w:r w:rsidR="00EF5A1F" w:rsidRPr="00851088">
        <w:t>g</w:t>
      </w:r>
      <w:r w:rsidRPr="00851088">
        <w:t>roup companies which</w:t>
      </w:r>
      <w:r w:rsidR="00BA15BD" w:rsidRPr="00851088">
        <w:t xml:space="preserve"> currently</w:t>
      </w:r>
      <w:r w:rsidRPr="00851088">
        <w:t xml:space="preserve"> operate </w:t>
      </w:r>
      <w:r w:rsidR="00BA15BD" w:rsidRPr="00851088">
        <w:t>licensed CS facilities</w:t>
      </w:r>
      <w:r w:rsidR="00915B10" w:rsidRPr="00851088">
        <w:t>.</w:t>
      </w:r>
    </w:p>
    <w:p w14:paraId="7CD18731" w14:textId="7D606281" w:rsidR="00AF7BB7" w:rsidRPr="00851088" w:rsidRDefault="00AF7BB7" w:rsidP="002D5640">
      <w:pPr>
        <w:pStyle w:val="LI-BodyTextParaa"/>
        <w:ind w:left="567" w:firstLine="0"/>
      </w:pPr>
      <w:r w:rsidRPr="00851088">
        <w:rPr>
          <w:b/>
          <w:bCs/>
          <w:i/>
          <w:iCs/>
        </w:rPr>
        <w:t>“CS Service Provider”</w:t>
      </w:r>
      <w:r w:rsidRPr="00851088">
        <w:t xml:space="preserve"> </w:t>
      </w:r>
      <w:r w:rsidR="005A2148" w:rsidRPr="00851088">
        <w:t xml:space="preserve">which </w:t>
      </w:r>
      <w:r w:rsidRPr="00851088">
        <w:t xml:space="preserve">means each of </w:t>
      </w:r>
      <w:r w:rsidR="004F0D32" w:rsidRPr="00851088">
        <w:t xml:space="preserve">the Covered Licensees, </w:t>
      </w:r>
      <w:r w:rsidR="005A2148" w:rsidRPr="00851088">
        <w:t xml:space="preserve">a holding company of a Covered Licensee </w:t>
      </w:r>
      <w:r w:rsidR="00B2667E" w:rsidRPr="00851088">
        <w:t xml:space="preserve">that is involved in decisions related to </w:t>
      </w:r>
      <w:r w:rsidR="00217D75" w:rsidRPr="00851088">
        <w:t xml:space="preserve">Covered Services, and any </w:t>
      </w:r>
      <w:r w:rsidR="00800121" w:rsidRPr="00851088">
        <w:t>A</w:t>
      </w:r>
      <w:r w:rsidR="00217D75" w:rsidRPr="00851088">
        <w:t xml:space="preserve">ssociated </w:t>
      </w:r>
      <w:r w:rsidR="00800121" w:rsidRPr="00851088">
        <w:t>E</w:t>
      </w:r>
      <w:r w:rsidR="00217D75" w:rsidRPr="00851088">
        <w:t xml:space="preserve">ntity of a Covered Licensee that provides a Covered Service. This definition </w:t>
      </w:r>
      <w:r w:rsidR="006B42AB" w:rsidRPr="00851088">
        <w:t xml:space="preserve">ensures that the rules </w:t>
      </w:r>
      <w:r w:rsidR="00AA7205" w:rsidRPr="00851088">
        <w:t xml:space="preserve">recognise the vertically integrated structure of the ASX </w:t>
      </w:r>
      <w:r w:rsidR="00EF5A1F" w:rsidRPr="00851088">
        <w:t>g</w:t>
      </w:r>
      <w:r w:rsidR="00AA7205" w:rsidRPr="00851088">
        <w:t xml:space="preserve">roup, </w:t>
      </w:r>
      <w:r w:rsidR="00A01113" w:rsidRPr="00851088">
        <w:t>in particular</w:t>
      </w:r>
      <w:r w:rsidR="00AA7205" w:rsidRPr="00851088">
        <w:t xml:space="preserve"> the involvement of ASX Limited in decisions that relate to </w:t>
      </w:r>
      <w:r w:rsidR="00C10971" w:rsidRPr="00851088">
        <w:t xml:space="preserve">Covered Services (for example, investments in Core Systems) and the potential for other </w:t>
      </w:r>
      <w:r w:rsidR="00654C41" w:rsidRPr="00851088">
        <w:t xml:space="preserve">entities within the group to leverage monopoly </w:t>
      </w:r>
      <w:r w:rsidR="00CA7BCD" w:rsidRPr="00851088">
        <w:t>infrastructure.</w:t>
      </w:r>
    </w:p>
    <w:p w14:paraId="358FF6C9" w14:textId="0C0B9195" w:rsidR="00224132" w:rsidRPr="00851088" w:rsidRDefault="00224132" w:rsidP="00941158">
      <w:pPr>
        <w:pStyle w:val="LI-BodyTextParaa"/>
        <w:ind w:left="567" w:firstLine="0"/>
      </w:pPr>
      <w:r w:rsidRPr="00851088">
        <w:rPr>
          <w:b/>
          <w:bCs/>
          <w:i/>
          <w:iCs/>
        </w:rPr>
        <w:t xml:space="preserve">“Data Accessing Entity” </w:t>
      </w:r>
      <w:r w:rsidRPr="00851088">
        <w:t xml:space="preserve">which means a person who accesses, or who is seeking to access, data that is stored in a Core System. </w:t>
      </w:r>
      <w:r w:rsidR="00DA0504" w:rsidRPr="00851088">
        <w:t>This definition</w:t>
      </w:r>
      <w:r w:rsidR="00A14B4A" w:rsidRPr="00851088">
        <w:t xml:space="preserve"> interacts with the </w:t>
      </w:r>
      <w:r w:rsidR="000F2DFF" w:rsidRPr="00851088">
        <w:t xml:space="preserve">obligation </w:t>
      </w:r>
      <w:r w:rsidR="00CA3793" w:rsidRPr="00851088">
        <w:t xml:space="preserve">for CS Service Providers </w:t>
      </w:r>
      <w:r w:rsidR="000609D0" w:rsidRPr="00851088">
        <w:t>to negotiate</w:t>
      </w:r>
      <w:r w:rsidR="00CA3793" w:rsidRPr="00851088">
        <w:t xml:space="preserve"> </w:t>
      </w:r>
      <w:r w:rsidR="00AA484D" w:rsidRPr="00851088">
        <w:t xml:space="preserve">regarding fees and other </w:t>
      </w:r>
      <w:r w:rsidR="00AC3E87" w:rsidRPr="00851088">
        <w:t xml:space="preserve">financial contributions </w:t>
      </w:r>
      <w:r w:rsidR="001F7F8E" w:rsidRPr="00851088">
        <w:t xml:space="preserve">charged for extensions </w:t>
      </w:r>
      <w:r w:rsidR="00446155" w:rsidRPr="00851088">
        <w:t xml:space="preserve">requested </w:t>
      </w:r>
      <w:r w:rsidR="00595143" w:rsidRPr="00851088">
        <w:t xml:space="preserve">by certain </w:t>
      </w:r>
      <w:r w:rsidR="00A00D67" w:rsidRPr="00851088">
        <w:t xml:space="preserve">kinds of </w:t>
      </w:r>
      <w:r w:rsidR="00595143" w:rsidRPr="00851088">
        <w:t>stake</w:t>
      </w:r>
      <w:r w:rsidR="00C81863" w:rsidRPr="00851088">
        <w:t>holder</w:t>
      </w:r>
      <w:r w:rsidR="00A00D67" w:rsidRPr="00851088">
        <w:t>s</w:t>
      </w:r>
      <w:r w:rsidR="00C81863" w:rsidRPr="00851088">
        <w:t xml:space="preserve">, including </w:t>
      </w:r>
      <w:r w:rsidR="006407FA" w:rsidRPr="00851088">
        <w:t>Data Accessing Entities</w:t>
      </w:r>
      <w:r w:rsidR="00DA0504" w:rsidRPr="00851088">
        <w:t xml:space="preserve">. </w:t>
      </w:r>
    </w:p>
    <w:p w14:paraId="3ADDE743" w14:textId="0032BD2C" w:rsidR="002169E5" w:rsidRPr="00851088" w:rsidRDefault="00941158" w:rsidP="00941158">
      <w:pPr>
        <w:pStyle w:val="LI-BodyTextParaa"/>
        <w:ind w:left="567" w:firstLine="0"/>
      </w:pPr>
      <w:r w:rsidRPr="00851088">
        <w:rPr>
          <w:b/>
          <w:bCs/>
          <w:i/>
          <w:iCs/>
        </w:rPr>
        <w:t>“</w:t>
      </w:r>
      <w:r w:rsidR="00F22C08" w:rsidRPr="00851088">
        <w:rPr>
          <w:b/>
          <w:bCs/>
          <w:i/>
          <w:iCs/>
        </w:rPr>
        <w:t>International Communication Procedures and Standards</w:t>
      </w:r>
      <w:r w:rsidRPr="00851088">
        <w:rPr>
          <w:b/>
          <w:bCs/>
          <w:i/>
          <w:iCs/>
        </w:rPr>
        <w:t>”</w:t>
      </w:r>
      <w:r w:rsidR="00F22C08" w:rsidRPr="00851088">
        <w:t xml:space="preserve"> </w:t>
      </w:r>
      <w:r w:rsidR="000C3285" w:rsidRPr="00851088">
        <w:t>which means the following procedures and standards for messaging and reference data:</w:t>
      </w:r>
    </w:p>
    <w:p w14:paraId="59111FFD" w14:textId="03FACDB6" w:rsidR="000C3285" w:rsidRPr="00851088" w:rsidRDefault="000C3285" w:rsidP="000C3285">
      <w:pPr>
        <w:pStyle w:val="LI-BodyTextParaa"/>
        <w:numPr>
          <w:ilvl w:val="0"/>
          <w:numId w:val="32"/>
        </w:numPr>
      </w:pPr>
      <w:r w:rsidRPr="00851088">
        <w:t>ISO 20022; and</w:t>
      </w:r>
    </w:p>
    <w:p w14:paraId="243EFEC1" w14:textId="4045B361" w:rsidR="000C3285" w:rsidRPr="00851088" w:rsidRDefault="000C3285" w:rsidP="000C3285">
      <w:pPr>
        <w:pStyle w:val="LI-BodyTextParaa"/>
        <w:numPr>
          <w:ilvl w:val="0"/>
          <w:numId w:val="32"/>
        </w:numPr>
      </w:pPr>
      <w:r w:rsidRPr="00851088">
        <w:t xml:space="preserve">FIX 5.0. </w:t>
      </w:r>
    </w:p>
    <w:p w14:paraId="6770FCF2" w14:textId="3968BFD1" w:rsidR="002169E5" w:rsidRPr="00851088" w:rsidRDefault="00FC3F55" w:rsidP="00826A02">
      <w:pPr>
        <w:pStyle w:val="LI-BodyTextParaa"/>
        <w:ind w:left="567" w:firstLine="0"/>
      </w:pPr>
      <w:r w:rsidRPr="00851088">
        <w:t>There are more than 700 ISO 20022 message definitions for a wide range of uses in financial services. Accordingly, a specific ISO 20022 message definition version is not specified in this definition. We</w:t>
      </w:r>
      <w:r w:rsidR="00D75678" w:rsidRPr="00851088">
        <w:t xml:space="preserve"> will consider amendments to the </w:t>
      </w:r>
      <w:r w:rsidR="00D75678" w:rsidRPr="00851088">
        <w:lastRenderedPageBreak/>
        <w:t xml:space="preserve">CS Services Rules to reflect future versions of procedures and standards for messaging and reference data as and when they are adopted by industry. </w:t>
      </w:r>
    </w:p>
    <w:p w14:paraId="48879E1A" w14:textId="223BD634" w:rsidR="001667E9" w:rsidRPr="00851088" w:rsidRDefault="001667E9" w:rsidP="005D1FEA">
      <w:pPr>
        <w:pStyle w:val="LI-BodyTextParaa"/>
        <w:ind w:left="567"/>
        <w:rPr>
          <w:u w:val="single"/>
        </w:rPr>
      </w:pPr>
      <w:r w:rsidRPr="00851088">
        <w:rPr>
          <w:u w:val="single"/>
        </w:rPr>
        <w:t>Chapter 2: Conduct Rules</w:t>
      </w:r>
    </w:p>
    <w:p w14:paraId="0AC2DC1B" w14:textId="48CB154E" w:rsidR="001667E9" w:rsidRPr="00851088" w:rsidRDefault="001667E9" w:rsidP="005D1FEA">
      <w:pPr>
        <w:pStyle w:val="LI-BodyTextParaa"/>
        <w:ind w:left="567"/>
        <w:rPr>
          <w:u w:val="single"/>
        </w:rPr>
      </w:pPr>
      <w:r w:rsidRPr="00851088">
        <w:rPr>
          <w:u w:val="single"/>
        </w:rPr>
        <w:t>Part 2.1 Governance requirements</w:t>
      </w:r>
    </w:p>
    <w:p w14:paraId="6C2478C6" w14:textId="64B684B9" w:rsidR="00B161D6" w:rsidRPr="00851088" w:rsidRDefault="005A0EA1" w:rsidP="005D1FEA">
      <w:pPr>
        <w:pStyle w:val="LI-BodyTextParaa"/>
        <w:ind w:left="567"/>
      </w:pPr>
      <w:r w:rsidRPr="00851088">
        <w:t>26</w:t>
      </w:r>
      <w:r w:rsidR="00B161D6" w:rsidRPr="00851088">
        <w:t>.</w:t>
      </w:r>
      <w:r w:rsidR="00B161D6" w:rsidRPr="00851088">
        <w:tab/>
        <w:t xml:space="preserve">Part 2.1 </w:t>
      </w:r>
      <w:r w:rsidR="00812779" w:rsidRPr="00851088">
        <w:t xml:space="preserve">imposes requirements related to the board composition of </w:t>
      </w:r>
      <w:r w:rsidR="00C47CD1" w:rsidRPr="00851088">
        <w:t xml:space="preserve">Covered Licensees, User input into </w:t>
      </w:r>
      <w:r w:rsidR="00074381" w:rsidRPr="00851088">
        <w:t xml:space="preserve">decisions related to Covered Services, </w:t>
      </w:r>
      <w:r w:rsidR="00160D79" w:rsidRPr="00851088">
        <w:t xml:space="preserve">arrangements for </w:t>
      </w:r>
      <w:r w:rsidR="00413ABC" w:rsidRPr="00851088">
        <w:t>promoting access to Covered Services on commercial, transparent, and non-discriminatory terms</w:t>
      </w:r>
      <w:r w:rsidR="00CD7D72" w:rsidRPr="00851088">
        <w:t xml:space="preserve"> to reflect the principles-based policy statements in the Regulatory Expectations</w:t>
      </w:r>
      <w:r w:rsidR="00973984" w:rsidRPr="00851088">
        <w:t>.</w:t>
      </w:r>
      <w:r w:rsidR="00BD7F26" w:rsidRPr="00851088">
        <w:t xml:space="preserve"> These requirements</w:t>
      </w:r>
      <w:r w:rsidR="006B58C2" w:rsidRPr="00851088">
        <w:t xml:space="preserve"> </w:t>
      </w:r>
      <w:r w:rsidR="00A718A4" w:rsidRPr="00851088">
        <w:t xml:space="preserve">reflect the need to ensure that </w:t>
      </w:r>
      <w:r w:rsidR="001D6A9B" w:rsidRPr="00851088">
        <w:t xml:space="preserve">ASX remains responsive to the </w:t>
      </w:r>
      <w:r w:rsidR="0040414D" w:rsidRPr="00851088">
        <w:t>evolving needs of Users</w:t>
      </w:r>
      <w:r w:rsidR="00616EA4" w:rsidRPr="00851088">
        <w:t>.</w:t>
      </w:r>
    </w:p>
    <w:p w14:paraId="35C7D1E9" w14:textId="366BFB32" w:rsidR="001667E9" w:rsidRPr="00851088" w:rsidRDefault="001667E9" w:rsidP="005D1FEA">
      <w:pPr>
        <w:pStyle w:val="LI-BodyTextParaa"/>
        <w:ind w:left="567"/>
        <w:rPr>
          <w:u w:val="single"/>
        </w:rPr>
      </w:pPr>
      <w:r w:rsidRPr="00851088">
        <w:rPr>
          <w:u w:val="single"/>
        </w:rPr>
        <w:t>Rule 2.1.1 Board composition</w:t>
      </w:r>
    </w:p>
    <w:p w14:paraId="7ACCAA6B" w14:textId="45EE3E2D" w:rsidR="001667E9" w:rsidRPr="00851088" w:rsidRDefault="005A0EA1" w:rsidP="005D1FEA">
      <w:pPr>
        <w:pStyle w:val="LI-BodyTextParaa"/>
        <w:ind w:left="567"/>
      </w:pPr>
      <w:r w:rsidRPr="00851088">
        <w:t>27</w:t>
      </w:r>
      <w:r w:rsidR="001667E9" w:rsidRPr="00851088">
        <w:t>.</w:t>
      </w:r>
      <w:r w:rsidR="001667E9" w:rsidRPr="00851088">
        <w:tab/>
      </w:r>
      <w:r w:rsidR="00BD3254" w:rsidRPr="00851088">
        <w:t xml:space="preserve">Rule </w:t>
      </w:r>
      <w:r w:rsidR="001667E9" w:rsidRPr="00851088">
        <w:t>2.1.1</w:t>
      </w:r>
      <w:r w:rsidR="00912AB0" w:rsidRPr="00851088">
        <w:t xml:space="preserve"> </w:t>
      </w:r>
      <w:r w:rsidR="00445064" w:rsidRPr="00851088">
        <w:t xml:space="preserve">requires </w:t>
      </w:r>
      <w:r w:rsidR="00FE2599" w:rsidRPr="00851088">
        <w:t xml:space="preserve">at least half of the members of the board of a Covered Licensee to be non-executive directors that are independent from its ultimate holding company, currently ASX Limited. It also requires that these independent directors should be able to form a quorum and requires </w:t>
      </w:r>
      <w:r w:rsidR="00791D7F" w:rsidRPr="00851088">
        <w:t>an Associated Entity that controls a Covered Licensee to ensure its compliance with these requirements</w:t>
      </w:r>
      <w:r w:rsidR="00FE2599" w:rsidRPr="00851088">
        <w:t xml:space="preserve">. </w:t>
      </w:r>
    </w:p>
    <w:p w14:paraId="5059801C" w14:textId="458AD611" w:rsidR="0079594E" w:rsidRPr="00851088" w:rsidRDefault="005A0EA1" w:rsidP="005D1FEA">
      <w:pPr>
        <w:pStyle w:val="LI-BodyTextParaa"/>
        <w:ind w:left="567"/>
      </w:pPr>
      <w:r w:rsidRPr="00851088">
        <w:t>28</w:t>
      </w:r>
      <w:r w:rsidR="0079594E" w:rsidRPr="00851088">
        <w:t>.</w:t>
      </w:r>
      <w:r w:rsidR="0079594E" w:rsidRPr="00851088">
        <w:tab/>
      </w:r>
      <w:r w:rsidR="003311DA" w:rsidRPr="00851088">
        <w:t xml:space="preserve">Rule </w:t>
      </w:r>
      <w:r w:rsidR="0079594E" w:rsidRPr="00851088">
        <w:t>2.</w:t>
      </w:r>
      <w:r w:rsidR="00461519" w:rsidRPr="00851088">
        <w:t>1</w:t>
      </w:r>
      <w:r w:rsidR="0079594E" w:rsidRPr="00851088">
        <w:t>.1</w:t>
      </w:r>
      <w:r w:rsidR="008C773B" w:rsidRPr="00851088">
        <w:t xml:space="preserve"> </w:t>
      </w:r>
      <w:r w:rsidR="009731B8" w:rsidRPr="00851088">
        <w:t>recognises</w:t>
      </w:r>
      <w:r w:rsidR="00C34063" w:rsidRPr="00851088">
        <w:t xml:space="preserve"> and responds to</w:t>
      </w:r>
      <w:r w:rsidR="008E4D76" w:rsidRPr="00851088">
        <w:t xml:space="preserve"> </w:t>
      </w:r>
      <w:r w:rsidR="00C023B5" w:rsidRPr="00851088">
        <w:t>the</w:t>
      </w:r>
      <w:r w:rsidR="008E4D76" w:rsidRPr="00851088">
        <w:t xml:space="preserve"> conflicts</w:t>
      </w:r>
      <w:r w:rsidR="00C34063" w:rsidRPr="00851088">
        <w:t xml:space="preserve"> </w:t>
      </w:r>
      <w:r w:rsidR="008E4D76" w:rsidRPr="00851088">
        <w:t xml:space="preserve">that arise due to the vertically integrated structure of the ASX </w:t>
      </w:r>
      <w:r w:rsidR="006D25BA" w:rsidRPr="00851088">
        <w:t>g</w:t>
      </w:r>
      <w:r w:rsidR="008E4D76" w:rsidRPr="00851088">
        <w:t>roup. For example, licensed cash equity market operators that compete with ASX Limited must still use the monopoly cash equity CS Services provided by ASX Clear and ASX Settlement</w:t>
      </w:r>
      <w:r w:rsidR="0079594E" w:rsidRPr="00851088">
        <w:t>.</w:t>
      </w:r>
      <w:r w:rsidR="00353700" w:rsidRPr="00851088">
        <w:t xml:space="preserve"> </w:t>
      </w:r>
      <w:r w:rsidR="008775D2" w:rsidRPr="00851088">
        <w:t xml:space="preserve">Imposing </w:t>
      </w:r>
      <w:r w:rsidR="000E6B3B" w:rsidRPr="00851088">
        <w:t>these basic</w:t>
      </w:r>
      <w:r w:rsidR="008775D2" w:rsidRPr="00851088">
        <w:t xml:space="preserve"> </w:t>
      </w:r>
      <w:r w:rsidR="006444C0" w:rsidRPr="00851088">
        <w:t xml:space="preserve">governance </w:t>
      </w:r>
      <w:r w:rsidR="008775D2" w:rsidRPr="00851088">
        <w:t>requirements</w:t>
      </w:r>
      <w:r w:rsidR="00B05D8C" w:rsidRPr="00851088">
        <w:t>, w</w:t>
      </w:r>
      <w:r w:rsidR="00211688" w:rsidRPr="00851088">
        <w:t xml:space="preserve">hile not a complete answer to these concerns, is expected to </w:t>
      </w:r>
      <w:r w:rsidR="00595F88" w:rsidRPr="00851088">
        <w:t>bolster</w:t>
      </w:r>
      <w:r w:rsidR="00211688" w:rsidRPr="00851088">
        <w:t xml:space="preserve"> </w:t>
      </w:r>
      <w:r w:rsidR="005C0B82" w:rsidRPr="00851088">
        <w:t xml:space="preserve">the </w:t>
      </w:r>
      <w:r w:rsidR="00595F88" w:rsidRPr="00851088">
        <w:t>independence of the Covered Licensees</w:t>
      </w:r>
      <w:r w:rsidR="006444C0" w:rsidRPr="00851088">
        <w:t xml:space="preserve"> </w:t>
      </w:r>
      <w:r w:rsidR="000B785B" w:rsidRPr="00851088">
        <w:t>and</w:t>
      </w:r>
      <w:r w:rsidR="00425119" w:rsidRPr="00851088">
        <w:t xml:space="preserve"> </w:t>
      </w:r>
      <w:r w:rsidR="00F264BA" w:rsidRPr="00851088">
        <w:t xml:space="preserve">provide a mechanism for </w:t>
      </w:r>
      <w:r w:rsidR="00683B68" w:rsidRPr="00851088">
        <w:t xml:space="preserve">a quorum of independent directors </w:t>
      </w:r>
      <w:r w:rsidR="00F264BA" w:rsidRPr="00851088">
        <w:t>to con</w:t>
      </w:r>
      <w:r w:rsidR="005F18E5" w:rsidRPr="00851088">
        <w:t>sider conflict-sensitive matters</w:t>
      </w:r>
      <w:r w:rsidR="00683B68" w:rsidRPr="00851088">
        <w:t>.</w:t>
      </w:r>
      <w:r w:rsidR="005C0B82" w:rsidRPr="00851088">
        <w:t xml:space="preserve"> </w:t>
      </w:r>
      <w:r w:rsidR="008614F2" w:rsidRPr="00851088">
        <w:t xml:space="preserve"> </w:t>
      </w:r>
    </w:p>
    <w:p w14:paraId="4C6BEE00" w14:textId="2F07E7CF" w:rsidR="004F46D5" w:rsidRPr="00851088" w:rsidRDefault="004F46D5" w:rsidP="005D1FEA">
      <w:pPr>
        <w:pStyle w:val="LI-BodyTextParaa"/>
        <w:ind w:left="567"/>
        <w:rPr>
          <w:bCs/>
          <w:u w:val="single"/>
        </w:rPr>
      </w:pPr>
      <w:r w:rsidRPr="00851088">
        <w:rPr>
          <w:bCs/>
          <w:u w:val="single"/>
        </w:rPr>
        <w:t>Rule 2.1.2 User input</w:t>
      </w:r>
    </w:p>
    <w:p w14:paraId="12420E3C" w14:textId="4B0D9C17" w:rsidR="005923F7" w:rsidRPr="00851088" w:rsidRDefault="00A47BE4" w:rsidP="005923F7">
      <w:pPr>
        <w:pStyle w:val="LI-BodyTextParaa"/>
        <w:ind w:left="567"/>
        <w:rPr>
          <w:bCs/>
        </w:rPr>
      </w:pPr>
      <w:r w:rsidRPr="00851088">
        <w:rPr>
          <w:bCs/>
        </w:rPr>
        <w:t>29</w:t>
      </w:r>
      <w:r w:rsidR="005923F7" w:rsidRPr="00851088">
        <w:rPr>
          <w:bCs/>
        </w:rPr>
        <w:t>.</w:t>
      </w:r>
      <w:r w:rsidR="005923F7" w:rsidRPr="00851088">
        <w:rPr>
          <w:bCs/>
        </w:rPr>
        <w:tab/>
        <w:t xml:space="preserve">Rule 2.1.2 </w:t>
      </w:r>
      <w:r w:rsidR="005923F7" w:rsidRPr="00851088">
        <w:t xml:space="preserve">imposes requirements that are intended to ensure that CS Service Providers, and in particular the Covered Licensees, are responsive to Users’ evolving needs. Consistently with </w:t>
      </w:r>
      <w:r w:rsidR="00504625" w:rsidRPr="00851088">
        <w:t>s</w:t>
      </w:r>
      <w:r w:rsidR="005923F7" w:rsidRPr="00851088">
        <w:t>ection 1 of the Regulatory Expectations, the focus of these requirements is ensuring that transparent formal mechanisms are maintained within ASX’s governance framework to give Users a strong voice in strategy setting, operational arrangements and system design, and to make ASX’s monopoly cash equity CS Services directly accountable to Users</w:t>
      </w:r>
      <w:r w:rsidR="005923F7" w:rsidRPr="00851088">
        <w:rPr>
          <w:bCs/>
        </w:rPr>
        <w:t>.</w:t>
      </w:r>
    </w:p>
    <w:p w14:paraId="1861D89C" w14:textId="1C0F1AC0" w:rsidR="004F46D5" w:rsidRPr="00851088" w:rsidRDefault="00A47BE4" w:rsidP="005D1FEA">
      <w:pPr>
        <w:pStyle w:val="LI-BodyTextParaa"/>
        <w:ind w:left="567"/>
        <w:rPr>
          <w:bCs/>
        </w:rPr>
      </w:pPr>
      <w:r w:rsidRPr="00851088">
        <w:rPr>
          <w:bCs/>
        </w:rPr>
        <w:t>30</w:t>
      </w:r>
      <w:r w:rsidR="004F46D5" w:rsidRPr="00851088">
        <w:rPr>
          <w:bCs/>
        </w:rPr>
        <w:t>.</w:t>
      </w:r>
      <w:r w:rsidR="004F46D5" w:rsidRPr="00851088">
        <w:rPr>
          <w:bCs/>
        </w:rPr>
        <w:tab/>
      </w:r>
      <w:r w:rsidR="006B07CC" w:rsidRPr="00851088">
        <w:rPr>
          <w:bCs/>
        </w:rPr>
        <w:t>The purpose of s</w:t>
      </w:r>
      <w:r w:rsidR="004F46D5" w:rsidRPr="00851088">
        <w:rPr>
          <w:bCs/>
        </w:rPr>
        <w:t xml:space="preserve">ubrule 2.1.2(1) </w:t>
      </w:r>
      <w:r w:rsidR="00ED5D14" w:rsidRPr="00851088">
        <w:rPr>
          <w:bCs/>
        </w:rPr>
        <w:t xml:space="preserve">is to </w:t>
      </w:r>
      <w:r w:rsidR="00425AF6" w:rsidRPr="00851088">
        <w:rPr>
          <w:bCs/>
        </w:rPr>
        <w:t xml:space="preserve">ensure that </w:t>
      </w:r>
      <w:r w:rsidR="00687340" w:rsidRPr="00851088">
        <w:rPr>
          <w:bCs/>
        </w:rPr>
        <w:t xml:space="preserve">CS Service Providers have mechanisms in place </w:t>
      </w:r>
      <w:r w:rsidR="00433E4B" w:rsidRPr="00851088">
        <w:rPr>
          <w:bCs/>
        </w:rPr>
        <w:t xml:space="preserve">for </w:t>
      </w:r>
      <w:r w:rsidR="00425AF6" w:rsidRPr="00851088">
        <w:rPr>
          <w:bCs/>
        </w:rPr>
        <w:t xml:space="preserve">Users </w:t>
      </w:r>
      <w:r w:rsidR="00433E4B" w:rsidRPr="00851088">
        <w:rPr>
          <w:bCs/>
        </w:rPr>
        <w:t xml:space="preserve">to </w:t>
      </w:r>
      <w:r w:rsidR="00BE060D" w:rsidRPr="00851088">
        <w:rPr>
          <w:bCs/>
        </w:rPr>
        <w:t xml:space="preserve">play a strong role </w:t>
      </w:r>
      <w:r w:rsidR="00D0088C" w:rsidRPr="00851088">
        <w:rPr>
          <w:bCs/>
        </w:rPr>
        <w:t xml:space="preserve">in decisions that relate to </w:t>
      </w:r>
      <w:r w:rsidR="00E45CBA" w:rsidRPr="00851088">
        <w:rPr>
          <w:bCs/>
        </w:rPr>
        <w:t>Covered Services</w:t>
      </w:r>
      <w:r w:rsidR="00ED5D14" w:rsidRPr="00851088">
        <w:rPr>
          <w:bCs/>
        </w:rPr>
        <w:t xml:space="preserve">, </w:t>
      </w:r>
      <w:r w:rsidR="006B07CC" w:rsidRPr="00851088">
        <w:rPr>
          <w:bCs/>
        </w:rPr>
        <w:t xml:space="preserve">by </w:t>
      </w:r>
      <w:r w:rsidR="00170CAD" w:rsidRPr="00851088">
        <w:rPr>
          <w:bCs/>
        </w:rPr>
        <w:t>specif</w:t>
      </w:r>
      <w:r w:rsidR="00611BE9" w:rsidRPr="00851088">
        <w:rPr>
          <w:bCs/>
        </w:rPr>
        <w:t>ying</w:t>
      </w:r>
      <w:r w:rsidR="00170CAD" w:rsidRPr="00851088">
        <w:rPr>
          <w:bCs/>
        </w:rPr>
        <w:t xml:space="preserve"> </w:t>
      </w:r>
      <w:r w:rsidR="0058466A" w:rsidRPr="00851088">
        <w:rPr>
          <w:bCs/>
        </w:rPr>
        <w:t xml:space="preserve">certain arrangements that must form part </w:t>
      </w:r>
      <w:r w:rsidR="00385180" w:rsidRPr="00851088">
        <w:rPr>
          <w:bCs/>
        </w:rPr>
        <w:t xml:space="preserve">of </w:t>
      </w:r>
      <w:r w:rsidR="00132489" w:rsidRPr="00851088">
        <w:rPr>
          <w:bCs/>
        </w:rPr>
        <w:t xml:space="preserve">the </w:t>
      </w:r>
      <w:r w:rsidR="004F46D5" w:rsidRPr="00851088">
        <w:rPr>
          <w:bCs/>
        </w:rPr>
        <w:t xml:space="preserve">governance framework for </w:t>
      </w:r>
      <w:r w:rsidR="00132489" w:rsidRPr="00851088">
        <w:rPr>
          <w:bCs/>
        </w:rPr>
        <w:t xml:space="preserve">such </w:t>
      </w:r>
      <w:r w:rsidR="004F46D5" w:rsidRPr="00851088">
        <w:rPr>
          <w:bCs/>
        </w:rPr>
        <w:t>decisions</w:t>
      </w:r>
      <w:r w:rsidR="00C23C5E" w:rsidRPr="00851088">
        <w:rPr>
          <w:bCs/>
        </w:rPr>
        <w:t>, namely</w:t>
      </w:r>
      <w:r w:rsidR="004F46D5" w:rsidRPr="00851088">
        <w:rPr>
          <w:bCs/>
        </w:rPr>
        <w:t>:</w:t>
      </w:r>
    </w:p>
    <w:p w14:paraId="3E42AC68" w14:textId="06CF49E4" w:rsidR="004F46D5" w:rsidRPr="00851088" w:rsidRDefault="00A66213" w:rsidP="00FB2B7C">
      <w:pPr>
        <w:pStyle w:val="LI-BodyTextParaa"/>
        <w:numPr>
          <w:ilvl w:val="0"/>
          <w:numId w:val="34"/>
        </w:numPr>
        <w:rPr>
          <w:bCs/>
        </w:rPr>
      </w:pPr>
      <w:r w:rsidRPr="00851088">
        <w:rPr>
          <w:bCs/>
        </w:rPr>
        <w:t xml:space="preserve">meeting with one or more </w:t>
      </w:r>
      <w:r w:rsidR="00E64AA6" w:rsidRPr="00851088">
        <w:rPr>
          <w:bCs/>
        </w:rPr>
        <w:t>representative bodies</w:t>
      </w:r>
      <w:r w:rsidR="00472C94" w:rsidRPr="00851088">
        <w:rPr>
          <w:bCs/>
        </w:rPr>
        <w:t xml:space="preserve"> regularly, and at least quarterly</w:t>
      </w:r>
      <w:r w:rsidR="004F46D5" w:rsidRPr="00851088">
        <w:rPr>
          <w:bCs/>
        </w:rPr>
        <w:t>; and</w:t>
      </w:r>
    </w:p>
    <w:p w14:paraId="6711E33D" w14:textId="4FFCC6B3" w:rsidR="004F46D5" w:rsidRPr="00851088" w:rsidRDefault="004F46D5" w:rsidP="00FB2B7C">
      <w:pPr>
        <w:pStyle w:val="LI-BodyTextParaa"/>
        <w:numPr>
          <w:ilvl w:val="0"/>
          <w:numId w:val="34"/>
        </w:numPr>
        <w:rPr>
          <w:bCs/>
        </w:rPr>
      </w:pPr>
      <w:r w:rsidRPr="00851088">
        <w:rPr>
          <w:bCs/>
        </w:rPr>
        <w:lastRenderedPageBreak/>
        <w:t>ensur</w:t>
      </w:r>
      <w:r w:rsidR="005B7FE1" w:rsidRPr="00851088">
        <w:rPr>
          <w:bCs/>
        </w:rPr>
        <w:t>ing that</w:t>
      </w:r>
      <w:r w:rsidRPr="00851088">
        <w:rPr>
          <w:bCs/>
        </w:rPr>
        <w:t xml:space="preserve"> the representative </w:t>
      </w:r>
      <w:r w:rsidR="00170DC9" w:rsidRPr="00851088">
        <w:rPr>
          <w:bCs/>
        </w:rPr>
        <w:t>body</w:t>
      </w:r>
      <w:r w:rsidRPr="00851088">
        <w:rPr>
          <w:bCs/>
        </w:rPr>
        <w:t xml:space="preserve"> or bodies is or are representative of Users and </w:t>
      </w:r>
      <w:r w:rsidR="00385180" w:rsidRPr="00851088">
        <w:rPr>
          <w:bCs/>
        </w:rPr>
        <w:t>t</w:t>
      </w:r>
      <w:r w:rsidRPr="00851088">
        <w:rPr>
          <w:bCs/>
        </w:rPr>
        <w:t xml:space="preserve">echnology </w:t>
      </w:r>
      <w:r w:rsidR="00385180" w:rsidRPr="00851088">
        <w:rPr>
          <w:bCs/>
        </w:rPr>
        <w:t>s</w:t>
      </w:r>
      <w:r w:rsidRPr="00851088">
        <w:rPr>
          <w:bCs/>
        </w:rPr>
        <w:t>ervices providers; and</w:t>
      </w:r>
    </w:p>
    <w:p w14:paraId="00E05D38" w14:textId="2AC35D8D" w:rsidR="004F46D5" w:rsidRPr="00851088" w:rsidRDefault="004F46D5" w:rsidP="00FB2B7C">
      <w:pPr>
        <w:pStyle w:val="LI-BodyTextParaa"/>
        <w:numPr>
          <w:ilvl w:val="0"/>
          <w:numId w:val="34"/>
        </w:numPr>
        <w:rPr>
          <w:bCs/>
        </w:rPr>
      </w:pPr>
      <w:r w:rsidRPr="00851088">
        <w:rPr>
          <w:bCs/>
        </w:rPr>
        <w:t>enabl</w:t>
      </w:r>
      <w:r w:rsidR="00235246" w:rsidRPr="00851088">
        <w:rPr>
          <w:bCs/>
        </w:rPr>
        <w:t>ing</w:t>
      </w:r>
      <w:r w:rsidRPr="00851088">
        <w:rPr>
          <w:bCs/>
        </w:rPr>
        <w:t xml:space="preserve"> the members of the representative body or bodies to contribute to the agenda and format of </w:t>
      </w:r>
      <w:r w:rsidR="000B797E" w:rsidRPr="00851088">
        <w:rPr>
          <w:bCs/>
        </w:rPr>
        <w:t>its</w:t>
      </w:r>
      <w:r w:rsidRPr="00851088">
        <w:rPr>
          <w:bCs/>
        </w:rPr>
        <w:t xml:space="preserve"> meetings; and</w:t>
      </w:r>
    </w:p>
    <w:p w14:paraId="4871C159" w14:textId="01DB17A0" w:rsidR="004F46D5" w:rsidRPr="00851088" w:rsidRDefault="004F46D5" w:rsidP="00FB2B7C">
      <w:pPr>
        <w:pStyle w:val="LI-BodyTextParaa"/>
        <w:numPr>
          <w:ilvl w:val="0"/>
          <w:numId w:val="34"/>
        </w:numPr>
        <w:rPr>
          <w:bCs/>
        </w:rPr>
      </w:pPr>
      <w:r w:rsidRPr="00851088">
        <w:rPr>
          <w:bCs/>
        </w:rPr>
        <w:t>ensur</w:t>
      </w:r>
      <w:r w:rsidR="000B797E" w:rsidRPr="00851088">
        <w:rPr>
          <w:bCs/>
        </w:rPr>
        <w:t>ing</w:t>
      </w:r>
      <w:r w:rsidRPr="00851088">
        <w:rPr>
          <w:bCs/>
        </w:rPr>
        <w:t xml:space="preserve"> that the representative body or bodies have input into the CS Service Provider’s strategy setting, priorities, operational arrangements, pricing of Covered Services and design of Core Systems; and </w:t>
      </w:r>
    </w:p>
    <w:p w14:paraId="0AD5E8A2" w14:textId="52BB9C4C" w:rsidR="004F46D5" w:rsidRPr="00851088" w:rsidRDefault="004F46D5" w:rsidP="00FB2B7C">
      <w:pPr>
        <w:pStyle w:val="LI-BodyTextParaa"/>
        <w:numPr>
          <w:ilvl w:val="0"/>
          <w:numId w:val="34"/>
        </w:numPr>
        <w:rPr>
          <w:bCs/>
        </w:rPr>
      </w:pPr>
      <w:r w:rsidRPr="00851088">
        <w:rPr>
          <w:bCs/>
        </w:rPr>
        <w:t>enabl</w:t>
      </w:r>
      <w:r w:rsidR="00807EE0" w:rsidRPr="00851088">
        <w:rPr>
          <w:bCs/>
        </w:rPr>
        <w:t>ing</w:t>
      </w:r>
      <w:r w:rsidRPr="00851088">
        <w:rPr>
          <w:bCs/>
        </w:rPr>
        <w:t xml:space="preserve"> the representative body or bodies to review and provide feedback on:</w:t>
      </w:r>
    </w:p>
    <w:p w14:paraId="3A09C69F" w14:textId="4006237E" w:rsidR="004F46D5" w:rsidRPr="00851088" w:rsidRDefault="004F46D5" w:rsidP="00FB2B7C">
      <w:pPr>
        <w:pStyle w:val="LI-BodyTextParaa"/>
        <w:numPr>
          <w:ilvl w:val="1"/>
          <w:numId w:val="34"/>
        </w:numPr>
        <w:rPr>
          <w:bCs/>
        </w:rPr>
      </w:pPr>
      <w:r w:rsidRPr="00851088">
        <w:rPr>
          <w:bCs/>
        </w:rPr>
        <w:t>the proposed terms of reference for the Covered Services comparative report required under Rule 2.4.1; and</w:t>
      </w:r>
    </w:p>
    <w:p w14:paraId="12FF1AC4" w14:textId="33A6ECF7" w:rsidR="004F46D5" w:rsidRPr="00851088" w:rsidRDefault="004F46D5" w:rsidP="00FB2B7C">
      <w:pPr>
        <w:pStyle w:val="LI-BodyTextParaa"/>
        <w:numPr>
          <w:ilvl w:val="1"/>
          <w:numId w:val="34"/>
        </w:numPr>
        <w:rPr>
          <w:bCs/>
        </w:rPr>
      </w:pPr>
      <w:r w:rsidRPr="00851088">
        <w:rPr>
          <w:bCs/>
        </w:rPr>
        <w:t>any external assurance report required under Rule 2.4.5; and</w:t>
      </w:r>
    </w:p>
    <w:p w14:paraId="3FCF796E" w14:textId="0D085072" w:rsidR="004F46D5" w:rsidRPr="00851088" w:rsidRDefault="001C68A1" w:rsidP="00FB2B7C">
      <w:pPr>
        <w:pStyle w:val="LI-BodyTextParaa"/>
        <w:numPr>
          <w:ilvl w:val="0"/>
          <w:numId w:val="34"/>
        </w:numPr>
        <w:rPr>
          <w:bCs/>
        </w:rPr>
      </w:pPr>
      <w:r w:rsidRPr="00851088">
        <w:rPr>
          <w:bCs/>
        </w:rPr>
        <w:t>considering</w:t>
      </w:r>
      <w:r w:rsidR="004F46D5" w:rsidRPr="00851088">
        <w:rPr>
          <w:bCs/>
        </w:rPr>
        <w:t xml:space="preserve"> all relevant issues raised and any recommendations made, by a representative body; and</w:t>
      </w:r>
    </w:p>
    <w:p w14:paraId="3F17A0F6" w14:textId="1E2ECF3F" w:rsidR="00170DC9" w:rsidRPr="00851088" w:rsidRDefault="00A65C70" w:rsidP="00FB2B7C">
      <w:pPr>
        <w:pStyle w:val="LI-BodyTextParaa"/>
        <w:numPr>
          <w:ilvl w:val="0"/>
          <w:numId w:val="34"/>
        </w:numPr>
        <w:rPr>
          <w:bCs/>
        </w:rPr>
      </w:pPr>
      <w:r w:rsidRPr="00851088">
        <w:rPr>
          <w:bCs/>
        </w:rPr>
        <w:t>document</w:t>
      </w:r>
      <w:r w:rsidR="00FA35A8" w:rsidRPr="00851088">
        <w:rPr>
          <w:bCs/>
        </w:rPr>
        <w:t>ing</w:t>
      </w:r>
      <w:r w:rsidRPr="00851088">
        <w:rPr>
          <w:bCs/>
        </w:rPr>
        <w:t xml:space="preserve"> and provid</w:t>
      </w:r>
      <w:r w:rsidR="00FA35A8" w:rsidRPr="00851088">
        <w:rPr>
          <w:bCs/>
        </w:rPr>
        <w:t>ing</w:t>
      </w:r>
      <w:r w:rsidRPr="00851088">
        <w:rPr>
          <w:bCs/>
        </w:rPr>
        <w:t xml:space="preserve"> reasons for any decisions </w:t>
      </w:r>
      <w:r w:rsidR="004F46D5" w:rsidRPr="00851088">
        <w:rPr>
          <w:bCs/>
        </w:rPr>
        <w:t xml:space="preserve">that do not accord with the recommendations of a representative </w:t>
      </w:r>
      <w:r w:rsidR="00FA35A8" w:rsidRPr="00851088">
        <w:rPr>
          <w:bCs/>
        </w:rPr>
        <w:t>body</w:t>
      </w:r>
      <w:r w:rsidR="004F46D5" w:rsidRPr="00851088">
        <w:rPr>
          <w:bCs/>
        </w:rPr>
        <w:t>.</w:t>
      </w:r>
    </w:p>
    <w:p w14:paraId="58BEFBEB" w14:textId="45FB016B" w:rsidR="0021597D" w:rsidRPr="00A47BE4" w:rsidRDefault="00A47BE4" w:rsidP="008B37BB">
      <w:pPr>
        <w:pStyle w:val="LI-BodyTextParaa"/>
        <w:ind w:left="567"/>
        <w:rPr>
          <w:bCs/>
        </w:rPr>
      </w:pPr>
      <w:r w:rsidRPr="00851088">
        <w:rPr>
          <w:bCs/>
        </w:rPr>
        <w:t>31</w:t>
      </w:r>
      <w:r w:rsidR="00170DC9" w:rsidRPr="00851088">
        <w:rPr>
          <w:bCs/>
        </w:rPr>
        <w:t>.</w:t>
      </w:r>
      <w:r w:rsidR="00170DC9" w:rsidRPr="00851088">
        <w:rPr>
          <w:bCs/>
        </w:rPr>
        <w:tab/>
      </w:r>
      <w:r w:rsidR="00231D83" w:rsidRPr="00851088">
        <w:rPr>
          <w:bCs/>
        </w:rPr>
        <w:t>Subrule 2.1.2(1) does not prescribe the particular</w:t>
      </w:r>
      <w:r w:rsidR="00231D83" w:rsidRPr="00A47BE4">
        <w:rPr>
          <w:bCs/>
        </w:rPr>
        <w:t xml:space="preserve"> User input arrangements that a CS Service Provider must have in place. Rather, t</w:t>
      </w:r>
      <w:r w:rsidR="0078541B" w:rsidRPr="00A47BE4">
        <w:rPr>
          <w:bCs/>
        </w:rPr>
        <w:t xml:space="preserve">hese </w:t>
      </w:r>
      <w:r w:rsidR="00985368" w:rsidRPr="00A47BE4">
        <w:rPr>
          <w:bCs/>
        </w:rPr>
        <w:t>baseline</w:t>
      </w:r>
      <w:r w:rsidR="0089203F" w:rsidRPr="00A47BE4">
        <w:rPr>
          <w:bCs/>
        </w:rPr>
        <w:t xml:space="preserve"> requirements </w:t>
      </w:r>
      <w:r w:rsidR="00F671D1" w:rsidRPr="00A47BE4">
        <w:rPr>
          <w:bCs/>
        </w:rPr>
        <w:t xml:space="preserve">are intended </w:t>
      </w:r>
      <w:r w:rsidR="0089203F" w:rsidRPr="00A47BE4">
        <w:rPr>
          <w:bCs/>
        </w:rPr>
        <w:t>t</w:t>
      </w:r>
      <w:r w:rsidR="00EF0FC6" w:rsidRPr="00A47BE4">
        <w:rPr>
          <w:bCs/>
        </w:rPr>
        <w:t xml:space="preserve">o ensure that </w:t>
      </w:r>
      <w:r w:rsidR="00236B19" w:rsidRPr="00A47BE4">
        <w:rPr>
          <w:bCs/>
        </w:rPr>
        <w:t xml:space="preserve">effective mechanisms for </w:t>
      </w:r>
      <w:r w:rsidR="00B4502A" w:rsidRPr="00A47BE4">
        <w:rPr>
          <w:bCs/>
        </w:rPr>
        <w:t xml:space="preserve">Users and </w:t>
      </w:r>
      <w:r w:rsidR="00CD7433" w:rsidRPr="00A47BE4">
        <w:rPr>
          <w:bCs/>
        </w:rPr>
        <w:t>T</w:t>
      </w:r>
      <w:r w:rsidR="00B4502A" w:rsidRPr="00A47BE4" w:rsidDel="00583460">
        <w:rPr>
          <w:bCs/>
        </w:rPr>
        <w:t>ec</w:t>
      </w:r>
      <w:r w:rsidR="00B4502A" w:rsidRPr="00A47BE4">
        <w:rPr>
          <w:bCs/>
        </w:rPr>
        <w:t xml:space="preserve">hnology Service Providers </w:t>
      </w:r>
      <w:r w:rsidR="00A31995" w:rsidRPr="00A47BE4">
        <w:rPr>
          <w:bCs/>
        </w:rPr>
        <w:t>to</w:t>
      </w:r>
      <w:r w:rsidR="00236B19" w:rsidRPr="00A47BE4">
        <w:rPr>
          <w:bCs/>
        </w:rPr>
        <w:t xml:space="preserve"> </w:t>
      </w:r>
      <w:r w:rsidR="00A31995" w:rsidRPr="00A47BE4">
        <w:rPr>
          <w:bCs/>
        </w:rPr>
        <w:t>provide input into decisions that impact them</w:t>
      </w:r>
      <w:r w:rsidR="008E3D5F" w:rsidRPr="00A47BE4">
        <w:rPr>
          <w:bCs/>
        </w:rPr>
        <w:t xml:space="preserve"> are maintained within ASX’s governance framework. This includes important safeguards such as a requirement for a CS Service Provider to operate on a ‘comply or explain’ basis </w:t>
      </w:r>
      <w:r w:rsidR="00955216" w:rsidRPr="00A47BE4">
        <w:rPr>
          <w:bCs/>
        </w:rPr>
        <w:t>with respect to recommendations made by a representative body.</w:t>
      </w:r>
      <w:r w:rsidR="008B37BB" w:rsidRPr="00A47BE4">
        <w:rPr>
          <w:bCs/>
        </w:rPr>
        <w:t xml:space="preserve"> </w:t>
      </w:r>
    </w:p>
    <w:p w14:paraId="632890A5" w14:textId="4EEEC5B9" w:rsidR="00EB46C8" w:rsidRPr="00A47BE4" w:rsidRDefault="00A47BE4" w:rsidP="00EB46C8">
      <w:pPr>
        <w:pStyle w:val="LI-BodyTextParaa"/>
        <w:ind w:left="567"/>
        <w:rPr>
          <w:bCs/>
        </w:rPr>
      </w:pPr>
      <w:r w:rsidRPr="00A47BE4">
        <w:rPr>
          <w:bCs/>
        </w:rPr>
        <w:t>32</w:t>
      </w:r>
      <w:r w:rsidR="00EB46C8" w:rsidRPr="00A47BE4">
        <w:rPr>
          <w:bCs/>
        </w:rPr>
        <w:t>.</w:t>
      </w:r>
      <w:r w:rsidR="00EB46C8" w:rsidRPr="00A47BE4">
        <w:rPr>
          <w:bCs/>
        </w:rPr>
        <w:tab/>
      </w:r>
      <w:r w:rsidR="00DE6DC5" w:rsidRPr="00A47BE4">
        <w:rPr>
          <w:bCs/>
        </w:rPr>
        <w:t>In particular</w:t>
      </w:r>
      <w:r w:rsidR="00B879F7" w:rsidRPr="00A47BE4">
        <w:rPr>
          <w:bCs/>
        </w:rPr>
        <w:t xml:space="preserve">, </w:t>
      </w:r>
      <w:r w:rsidR="00231D83" w:rsidRPr="00A47BE4">
        <w:rPr>
          <w:bCs/>
        </w:rPr>
        <w:t>subrule 2.1.2(1)</w:t>
      </w:r>
      <w:r w:rsidR="00B879F7" w:rsidRPr="00A47BE4">
        <w:rPr>
          <w:bCs/>
        </w:rPr>
        <w:t xml:space="preserve"> does not:</w:t>
      </w:r>
    </w:p>
    <w:p w14:paraId="2397BC7D" w14:textId="1C836976" w:rsidR="00B879F7" w:rsidRPr="00A47BE4" w:rsidRDefault="00B879F7" w:rsidP="00EB46C8">
      <w:pPr>
        <w:pStyle w:val="LI-BodyTextParaa"/>
        <w:ind w:left="567"/>
        <w:rPr>
          <w:bCs/>
        </w:rPr>
      </w:pPr>
      <w:r w:rsidRPr="00A47BE4">
        <w:rPr>
          <w:bCs/>
        </w:rPr>
        <w:tab/>
        <w:t xml:space="preserve">(a) </w:t>
      </w:r>
      <w:r w:rsidR="00313894" w:rsidRPr="00A47BE4">
        <w:rPr>
          <w:bCs/>
        </w:rPr>
        <w:t>specify the number of representative bodies that should be in place</w:t>
      </w:r>
      <w:r w:rsidR="00FF497E" w:rsidRPr="00A47BE4">
        <w:rPr>
          <w:bCs/>
        </w:rPr>
        <w:t>;</w:t>
      </w:r>
    </w:p>
    <w:p w14:paraId="7A7ED76E" w14:textId="59F0EEA4" w:rsidR="00FF497E" w:rsidRPr="00A47BE4" w:rsidRDefault="00161E2B" w:rsidP="00EB46C8">
      <w:pPr>
        <w:pStyle w:val="LI-BodyTextParaa"/>
        <w:ind w:left="567"/>
        <w:rPr>
          <w:bCs/>
        </w:rPr>
      </w:pPr>
      <w:r w:rsidRPr="00A47BE4">
        <w:rPr>
          <w:bCs/>
        </w:rPr>
        <w:tab/>
        <w:t>(b) require direct participation by every User and Technology Service Provider;</w:t>
      </w:r>
    </w:p>
    <w:p w14:paraId="4058F0F7" w14:textId="7A4F4EC5" w:rsidR="00820EF5" w:rsidRPr="00A47BE4" w:rsidRDefault="00820EF5" w:rsidP="00EB46C8">
      <w:pPr>
        <w:pStyle w:val="LI-BodyTextParaa"/>
        <w:ind w:left="567"/>
        <w:rPr>
          <w:bCs/>
        </w:rPr>
      </w:pPr>
      <w:r w:rsidRPr="00A47BE4">
        <w:rPr>
          <w:bCs/>
        </w:rPr>
        <w:tab/>
        <w:t xml:space="preserve">(c) require a CS Service Provider to consider all issues raised by individual members of a representative body </w:t>
      </w:r>
      <w:r w:rsidR="004A67AC" w:rsidRPr="00A47BE4">
        <w:rPr>
          <w:bCs/>
        </w:rPr>
        <w:t>(as distinct from the representative body itself)</w:t>
      </w:r>
      <w:r w:rsidR="00040D25" w:rsidRPr="00A47BE4">
        <w:rPr>
          <w:bCs/>
        </w:rPr>
        <w:t>.</w:t>
      </w:r>
    </w:p>
    <w:p w14:paraId="64ABCBE0" w14:textId="23D58A06" w:rsidR="00BC1FEB" w:rsidRPr="00A47BE4" w:rsidRDefault="00A47BE4" w:rsidP="004F46D5">
      <w:pPr>
        <w:pStyle w:val="LI-BodyTextParaa"/>
        <w:ind w:left="567"/>
        <w:rPr>
          <w:bCs/>
        </w:rPr>
      </w:pPr>
      <w:r w:rsidRPr="00A47BE4">
        <w:rPr>
          <w:bCs/>
        </w:rPr>
        <w:t>33</w:t>
      </w:r>
      <w:r w:rsidR="00BC1FEB" w:rsidRPr="00A47BE4">
        <w:rPr>
          <w:bCs/>
        </w:rPr>
        <w:t>.</w:t>
      </w:r>
      <w:r w:rsidR="00BC1FEB" w:rsidRPr="00A47BE4">
        <w:rPr>
          <w:bCs/>
        </w:rPr>
        <w:tab/>
      </w:r>
      <w:r w:rsidR="00762B51" w:rsidRPr="00A47BE4">
        <w:rPr>
          <w:bCs/>
        </w:rPr>
        <w:t xml:space="preserve">The </w:t>
      </w:r>
      <w:r w:rsidR="00BC1FEB" w:rsidRPr="00A47BE4">
        <w:rPr>
          <w:bCs/>
        </w:rPr>
        <w:t xml:space="preserve">representative body or bodies should </w:t>
      </w:r>
      <w:r w:rsidR="00B22206" w:rsidRPr="00A47BE4">
        <w:rPr>
          <w:bCs/>
        </w:rPr>
        <w:t xml:space="preserve">be structured to ensure that the broad range of stakeholders are </w:t>
      </w:r>
      <w:proofErr w:type="gramStart"/>
      <w:r w:rsidR="00B22206" w:rsidRPr="00A47BE4">
        <w:rPr>
          <w:bCs/>
        </w:rPr>
        <w:t>represented, and</w:t>
      </w:r>
      <w:proofErr w:type="gramEnd"/>
      <w:r w:rsidR="00B22206" w:rsidRPr="00A47BE4">
        <w:rPr>
          <w:bCs/>
        </w:rPr>
        <w:t xml:space="preserve"> </w:t>
      </w:r>
      <w:r w:rsidR="00BC1FEB" w:rsidRPr="00A47BE4">
        <w:rPr>
          <w:bCs/>
        </w:rPr>
        <w:t xml:space="preserve">have </w:t>
      </w:r>
      <w:r w:rsidR="006423E9" w:rsidRPr="00A47BE4">
        <w:rPr>
          <w:bCs/>
        </w:rPr>
        <w:t xml:space="preserve">procedures in place </w:t>
      </w:r>
      <w:r w:rsidR="009B632D" w:rsidRPr="00A47BE4">
        <w:rPr>
          <w:bCs/>
        </w:rPr>
        <w:t>regarding</w:t>
      </w:r>
      <w:r w:rsidR="006423E9" w:rsidRPr="00A47BE4">
        <w:rPr>
          <w:bCs/>
        </w:rPr>
        <w:t xml:space="preserve"> </w:t>
      </w:r>
      <w:r w:rsidR="004229E9" w:rsidRPr="00A47BE4">
        <w:rPr>
          <w:bCs/>
        </w:rPr>
        <w:t>how</w:t>
      </w:r>
      <w:r w:rsidR="00A553FD" w:rsidRPr="00A47BE4">
        <w:rPr>
          <w:bCs/>
        </w:rPr>
        <w:t xml:space="preserve"> such a body </w:t>
      </w:r>
      <w:r w:rsidR="004229E9" w:rsidRPr="00A47BE4">
        <w:rPr>
          <w:bCs/>
        </w:rPr>
        <w:t xml:space="preserve">raises issues and makes recommendations </w:t>
      </w:r>
      <w:r w:rsidR="00BC1FEB" w:rsidRPr="00A47BE4">
        <w:rPr>
          <w:bCs/>
        </w:rPr>
        <w:t xml:space="preserve">to the board of a CS Service Provider. </w:t>
      </w:r>
      <w:r w:rsidR="00B34E67" w:rsidRPr="00A47BE4">
        <w:rPr>
          <w:bCs/>
        </w:rPr>
        <w:t>P</w:t>
      </w:r>
      <w:r w:rsidR="005D0E3B" w:rsidRPr="00A47BE4">
        <w:rPr>
          <w:bCs/>
        </w:rPr>
        <w:t xml:space="preserve">aragraph 2.1.2(1)(f) does not require the board to consider </w:t>
      </w:r>
      <w:r w:rsidR="00BD59F9" w:rsidRPr="00A47BE4">
        <w:rPr>
          <w:bCs/>
        </w:rPr>
        <w:t>all</w:t>
      </w:r>
      <w:r w:rsidR="006E4B0A" w:rsidRPr="00A47BE4">
        <w:rPr>
          <w:bCs/>
        </w:rPr>
        <w:t xml:space="preserve"> issues or recommendations </w:t>
      </w:r>
      <w:r w:rsidR="00BD59F9" w:rsidRPr="00A47BE4">
        <w:rPr>
          <w:bCs/>
        </w:rPr>
        <w:t xml:space="preserve">raised or made by </w:t>
      </w:r>
      <w:r w:rsidR="00430099" w:rsidRPr="00A47BE4">
        <w:rPr>
          <w:bCs/>
        </w:rPr>
        <w:t xml:space="preserve">an </w:t>
      </w:r>
      <w:r w:rsidR="00BD59F9" w:rsidRPr="00A47BE4">
        <w:rPr>
          <w:bCs/>
        </w:rPr>
        <w:t>individual member</w:t>
      </w:r>
      <w:r w:rsidR="00430099" w:rsidRPr="00A47BE4">
        <w:rPr>
          <w:bCs/>
        </w:rPr>
        <w:t xml:space="preserve"> of a representative body</w:t>
      </w:r>
      <w:r w:rsidR="00B34E67" w:rsidRPr="00A47BE4">
        <w:rPr>
          <w:bCs/>
        </w:rPr>
        <w:t>.</w:t>
      </w:r>
    </w:p>
    <w:p w14:paraId="795823A2" w14:textId="23202959" w:rsidR="004F46D5" w:rsidRPr="00A47BE4" w:rsidRDefault="00A47BE4" w:rsidP="004F46D5">
      <w:pPr>
        <w:pStyle w:val="LI-BodyTextParaa"/>
        <w:ind w:left="567"/>
        <w:rPr>
          <w:bCs/>
        </w:rPr>
      </w:pPr>
      <w:r>
        <w:rPr>
          <w:bCs/>
        </w:rPr>
        <w:t>34</w:t>
      </w:r>
      <w:r w:rsidR="004F46D5" w:rsidRPr="00A47BE4">
        <w:rPr>
          <w:bCs/>
        </w:rPr>
        <w:t>.</w:t>
      </w:r>
      <w:r w:rsidR="004F46D5" w:rsidRPr="00A47BE4">
        <w:rPr>
          <w:bCs/>
        </w:rPr>
        <w:tab/>
        <w:t xml:space="preserve">Subrule 2.1.2(2) </w:t>
      </w:r>
      <w:r w:rsidR="00EA75E8" w:rsidRPr="00A47BE4">
        <w:rPr>
          <w:bCs/>
        </w:rPr>
        <w:t>ensures that feedback given by a representative</w:t>
      </w:r>
      <w:r w:rsidR="00EA75E8">
        <w:rPr>
          <w:bCs/>
        </w:rPr>
        <w:t xml:space="preserve"> bo</w:t>
      </w:r>
      <w:r w:rsidR="00455CC6">
        <w:rPr>
          <w:bCs/>
        </w:rPr>
        <w:t xml:space="preserve">dy </w:t>
      </w:r>
      <w:r w:rsidR="009C1A78">
        <w:rPr>
          <w:bCs/>
        </w:rPr>
        <w:t xml:space="preserve">under </w:t>
      </w:r>
      <w:r w:rsidR="00C21A07">
        <w:rPr>
          <w:bCs/>
        </w:rPr>
        <w:t xml:space="preserve">paragraph </w:t>
      </w:r>
      <w:r w:rsidR="009C1A78">
        <w:rPr>
          <w:bCs/>
        </w:rPr>
        <w:t xml:space="preserve">2.1.2(1)(e) </w:t>
      </w:r>
      <w:r w:rsidR="00062EEF">
        <w:rPr>
          <w:bCs/>
        </w:rPr>
        <w:t xml:space="preserve">is </w:t>
      </w:r>
      <w:proofErr w:type="gramStart"/>
      <w:r w:rsidR="00062EEF">
        <w:rPr>
          <w:bCs/>
        </w:rPr>
        <w:t>taken into account</w:t>
      </w:r>
      <w:proofErr w:type="gramEnd"/>
      <w:r w:rsidR="00062EEF">
        <w:rPr>
          <w:bCs/>
        </w:rPr>
        <w:t xml:space="preserve"> by </w:t>
      </w:r>
      <w:r w:rsidR="004F46D5">
        <w:rPr>
          <w:bCs/>
        </w:rPr>
        <w:t>a CS Service Provider before</w:t>
      </w:r>
      <w:r w:rsidR="000E4208">
        <w:rPr>
          <w:bCs/>
        </w:rPr>
        <w:t xml:space="preserve"> </w:t>
      </w:r>
      <w:r w:rsidR="009C1A78">
        <w:rPr>
          <w:bCs/>
        </w:rPr>
        <w:t>it</w:t>
      </w:r>
      <w:r w:rsidR="00545C26">
        <w:rPr>
          <w:bCs/>
        </w:rPr>
        <w:t xml:space="preserve"> finalises relevant decisions (i.e. the </w:t>
      </w:r>
      <w:r w:rsidR="00382C2A">
        <w:rPr>
          <w:bCs/>
        </w:rPr>
        <w:t xml:space="preserve">terms of reference for the comparative </w:t>
      </w:r>
      <w:r w:rsidR="00382C2A">
        <w:rPr>
          <w:bCs/>
        </w:rPr>
        <w:lastRenderedPageBreak/>
        <w:t xml:space="preserve">report required under </w:t>
      </w:r>
      <w:r w:rsidR="00C21A07">
        <w:rPr>
          <w:bCs/>
        </w:rPr>
        <w:t>Rule</w:t>
      </w:r>
      <w:r w:rsidR="00382C2A">
        <w:rPr>
          <w:bCs/>
        </w:rPr>
        <w:t xml:space="preserve"> 2.4.1 or </w:t>
      </w:r>
      <w:r w:rsidR="00671B59">
        <w:rPr>
          <w:bCs/>
        </w:rPr>
        <w:t>implementing a material change to its Core Systems). T</w:t>
      </w:r>
      <w:r w:rsidR="003F7725">
        <w:rPr>
          <w:bCs/>
        </w:rPr>
        <w:t xml:space="preserve">his </w:t>
      </w:r>
      <w:r w:rsidR="0017230C">
        <w:rPr>
          <w:bCs/>
        </w:rPr>
        <w:t xml:space="preserve">safeguard operates in addition to, and not in derogation of, the </w:t>
      </w:r>
      <w:r w:rsidR="0017230C" w:rsidRPr="00A47BE4">
        <w:rPr>
          <w:bCs/>
        </w:rPr>
        <w:t>‘comply or explain’ requirement in paragraph 2.1.2(1)(g).</w:t>
      </w:r>
    </w:p>
    <w:p w14:paraId="3DE114C5" w14:textId="78EAD716" w:rsidR="004F46D5" w:rsidRPr="00A47BE4" w:rsidRDefault="00A47BE4" w:rsidP="00FA39CE">
      <w:pPr>
        <w:pStyle w:val="LI-BodyTextParaa"/>
        <w:ind w:left="567"/>
        <w:rPr>
          <w:bCs/>
        </w:rPr>
      </w:pPr>
      <w:r w:rsidRPr="00A47BE4">
        <w:rPr>
          <w:bCs/>
        </w:rPr>
        <w:t>35</w:t>
      </w:r>
      <w:r w:rsidR="00FA39CE" w:rsidRPr="00A47BE4">
        <w:rPr>
          <w:bCs/>
        </w:rPr>
        <w:t>.</w:t>
      </w:r>
      <w:r w:rsidR="00FA39CE" w:rsidRPr="00A47BE4">
        <w:rPr>
          <w:bCs/>
        </w:rPr>
        <w:tab/>
        <w:t xml:space="preserve">Subrule 2.1.2(3) </w:t>
      </w:r>
      <w:r w:rsidR="0079752F" w:rsidRPr="00A47BE4">
        <w:rPr>
          <w:bCs/>
        </w:rPr>
        <w:t xml:space="preserve">requires </w:t>
      </w:r>
      <w:r w:rsidR="00FA39CE" w:rsidRPr="00A47BE4">
        <w:rPr>
          <w:bCs/>
        </w:rPr>
        <w:t xml:space="preserve">a CS Service Provider </w:t>
      </w:r>
      <w:r w:rsidR="0079752F" w:rsidRPr="00A47BE4">
        <w:rPr>
          <w:bCs/>
        </w:rPr>
        <w:t xml:space="preserve">to publicly report </w:t>
      </w:r>
      <w:r w:rsidR="003E6D83" w:rsidRPr="00A47BE4">
        <w:rPr>
          <w:bCs/>
        </w:rPr>
        <w:t xml:space="preserve">on its interactions with Users </w:t>
      </w:r>
      <w:r w:rsidR="002E5725" w:rsidRPr="00A47BE4">
        <w:rPr>
          <w:bCs/>
        </w:rPr>
        <w:t xml:space="preserve">and its service developments and investment projects related to Covered Services on an annual basis. </w:t>
      </w:r>
      <w:r w:rsidR="009819B6" w:rsidRPr="00A47BE4">
        <w:rPr>
          <w:bCs/>
        </w:rPr>
        <w:t>These reports must include an explanation of the feedback received</w:t>
      </w:r>
      <w:r w:rsidR="003F7775" w:rsidRPr="00A47BE4">
        <w:rPr>
          <w:bCs/>
        </w:rPr>
        <w:t>, and how the feedback has contributed to the CS Service Provider’s decision making</w:t>
      </w:r>
      <w:r w:rsidR="00BA5CBC" w:rsidRPr="00A47BE4">
        <w:rPr>
          <w:bCs/>
        </w:rPr>
        <w:t>.</w:t>
      </w:r>
    </w:p>
    <w:p w14:paraId="6FA6D76A" w14:textId="0E9C3186" w:rsidR="002E2C2E" w:rsidRPr="00A47BE4" w:rsidRDefault="00A47BE4" w:rsidP="002E2C2E">
      <w:pPr>
        <w:pStyle w:val="LI-BodyTextParaa"/>
        <w:ind w:left="567"/>
        <w:rPr>
          <w:bCs/>
        </w:rPr>
      </w:pPr>
      <w:r w:rsidRPr="00A47BE4">
        <w:rPr>
          <w:bCs/>
        </w:rPr>
        <w:t>36</w:t>
      </w:r>
      <w:r w:rsidR="002E2C2E" w:rsidRPr="00A47BE4">
        <w:rPr>
          <w:bCs/>
        </w:rPr>
        <w:t>.</w:t>
      </w:r>
      <w:r w:rsidR="002E2C2E" w:rsidRPr="00A47BE4">
        <w:rPr>
          <w:bCs/>
        </w:rPr>
        <w:tab/>
      </w:r>
      <w:r w:rsidR="002967B2" w:rsidRPr="00A47BE4">
        <w:rPr>
          <w:bCs/>
        </w:rPr>
        <w:t>Subrule</w:t>
      </w:r>
      <w:r w:rsidR="00244563" w:rsidRPr="00A47BE4">
        <w:rPr>
          <w:bCs/>
        </w:rPr>
        <w:t xml:space="preserve"> 2.1.2(3) does not require</w:t>
      </w:r>
      <w:r w:rsidR="002E2C2E" w:rsidRPr="00A47BE4">
        <w:rPr>
          <w:bCs/>
        </w:rPr>
        <w:t xml:space="preserve"> public reporting on each individual interaction with Users and Technology Service</w:t>
      </w:r>
      <w:r w:rsidR="002967B2" w:rsidRPr="00A47BE4">
        <w:rPr>
          <w:bCs/>
        </w:rPr>
        <w:t xml:space="preserve"> Providers</w:t>
      </w:r>
      <w:r w:rsidR="00370094" w:rsidRPr="00A47BE4">
        <w:rPr>
          <w:bCs/>
        </w:rPr>
        <w:t>, for example through the publication of a register of such interactions</w:t>
      </w:r>
      <w:r w:rsidR="002E2C2E" w:rsidRPr="00A47BE4">
        <w:rPr>
          <w:bCs/>
        </w:rPr>
        <w:t xml:space="preserve">. </w:t>
      </w:r>
      <w:r w:rsidR="00507806" w:rsidRPr="00A47BE4">
        <w:rPr>
          <w:bCs/>
        </w:rPr>
        <w:t>A</w:t>
      </w:r>
      <w:r w:rsidR="002E2C2E" w:rsidRPr="00A47BE4">
        <w:rPr>
          <w:bCs/>
        </w:rPr>
        <w:t xml:space="preserve"> summary of feedback received and an explanation of how that feedback has contributed to the CS Service Provider’s decision-making processes would satisfy th</w:t>
      </w:r>
      <w:r w:rsidR="00A27CC5" w:rsidRPr="00A47BE4">
        <w:rPr>
          <w:bCs/>
        </w:rPr>
        <w:t>is</w:t>
      </w:r>
      <w:r w:rsidR="002E2C2E" w:rsidRPr="00A47BE4">
        <w:rPr>
          <w:bCs/>
        </w:rPr>
        <w:t xml:space="preserve"> requirement.</w:t>
      </w:r>
    </w:p>
    <w:p w14:paraId="4218A715" w14:textId="38DF64E8" w:rsidR="003B2CA7" w:rsidRDefault="003B2CA7" w:rsidP="003B2CA7">
      <w:pPr>
        <w:pStyle w:val="LI-BodyTextParaa"/>
        <w:ind w:left="0" w:firstLine="0"/>
        <w:rPr>
          <w:bCs/>
          <w:u w:val="single"/>
        </w:rPr>
      </w:pPr>
      <w:r w:rsidRPr="00A47BE4">
        <w:rPr>
          <w:bCs/>
          <w:u w:val="single"/>
        </w:rPr>
        <w:t>Rule 2.1.3 Organisational requirements</w:t>
      </w:r>
    </w:p>
    <w:p w14:paraId="4404CCCB" w14:textId="520F622E" w:rsidR="00422668" w:rsidRPr="00422668" w:rsidRDefault="00A47BE4" w:rsidP="00422668">
      <w:pPr>
        <w:pStyle w:val="LI-BodyTextParaa"/>
        <w:ind w:left="567"/>
        <w:rPr>
          <w:bCs/>
        </w:rPr>
      </w:pPr>
      <w:r>
        <w:rPr>
          <w:bCs/>
        </w:rPr>
        <w:t>37</w:t>
      </w:r>
      <w:r w:rsidR="00422668">
        <w:rPr>
          <w:bCs/>
        </w:rPr>
        <w:t>.</w:t>
      </w:r>
      <w:r w:rsidR="00422668">
        <w:rPr>
          <w:bCs/>
        </w:rPr>
        <w:tab/>
        <w:t xml:space="preserve">Subrule 2.1.3(1) </w:t>
      </w:r>
      <w:r w:rsidR="009718E9">
        <w:rPr>
          <w:bCs/>
        </w:rPr>
        <w:t>requires</w:t>
      </w:r>
      <w:r w:rsidR="00422668">
        <w:rPr>
          <w:bCs/>
        </w:rPr>
        <w:t xml:space="preserve"> CS Service Provider </w:t>
      </w:r>
      <w:r w:rsidR="00860F8E">
        <w:rPr>
          <w:bCs/>
        </w:rPr>
        <w:t xml:space="preserve">to </w:t>
      </w:r>
      <w:r w:rsidR="00422668">
        <w:rPr>
          <w:bCs/>
        </w:rPr>
        <w:t xml:space="preserve">maintain and operate effective written organisational and </w:t>
      </w:r>
      <w:r w:rsidR="00422668" w:rsidRPr="00422668">
        <w:rPr>
          <w:bCs/>
        </w:rPr>
        <w:t xml:space="preserve">administrative arrangements that promote access to its Covered Services on commercial, transparent, and non-discriminatory terms. </w:t>
      </w:r>
      <w:r w:rsidR="00C403EB">
        <w:rPr>
          <w:bCs/>
        </w:rPr>
        <w:t>At a minimum, t</w:t>
      </w:r>
      <w:r w:rsidR="00422668" w:rsidRPr="00422668">
        <w:rPr>
          <w:bCs/>
        </w:rPr>
        <w:t xml:space="preserve">hese arrangements must include: </w:t>
      </w:r>
    </w:p>
    <w:p w14:paraId="050A9EC3" w14:textId="77777777" w:rsidR="00422668" w:rsidRDefault="00422668" w:rsidP="00901680">
      <w:pPr>
        <w:pStyle w:val="LI-BodyTextParaa"/>
        <w:numPr>
          <w:ilvl w:val="0"/>
          <w:numId w:val="6"/>
        </w:numPr>
        <w:rPr>
          <w:bCs/>
        </w:rPr>
      </w:pPr>
      <w:r w:rsidRPr="00422668">
        <w:rPr>
          <w:bCs/>
        </w:rPr>
        <w:t>well-defined, transparent and consistent reporting lines; and</w:t>
      </w:r>
    </w:p>
    <w:p w14:paraId="2A8F7F88" w14:textId="3F3D3C7C" w:rsidR="00422668" w:rsidRDefault="00422668" w:rsidP="00901680">
      <w:pPr>
        <w:pStyle w:val="LI-BodyTextParaa"/>
        <w:numPr>
          <w:ilvl w:val="0"/>
          <w:numId w:val="6"/>
        </w:numPr>
        <w:rPr>
          <w:bCs/>
        </w:rPr>
      </w:pPr>
      <w:r w:rsidRPr="00422668">
        <w:rPr>
          <w:bCs/>
        </w:rPr>
        <w:t xml:space="preserve">ensuring </w:t>
      </w:r>
      <w:r w:rsidR="00D05510">
        <w:rPr>
          <w:bCs/>
        </w:rPr>
        <w:t xml:space="preserve">that </w:t>
      </w:r>
      <w:r w:rsidRPr="00422668">
        <w:rPr>
          <w:bCs/>
        </w:rPr>
        <w:t>staff with appropriate seniority and authority regularly review the effectiveness of th</w:t>
      </w:r>
      <w:r w:rsidR="00D05510">
        <w:rPr>
          <w:bCs/>
        </w:rPr>
        <w:t>os</w:t>
      </w:r>
      <w:r w:rsidRPr="00422668">
        <w:rPr>
          <w:bCs/>
        </w:rPr>
        <w:t>e reporting lines; and</w:t>
      </w:r>
    </w:p>
    <w:p w14:paraId="72ECB557" w14:textId="1595EE2B" w:rsidR="00422668" w:rsidRPr="00422668" w:rsidRDefault="00422668" w:rsidP="00901680">
      <w:pPr>
        <w:pStyle w:val="LI-BodyTextParaa"/>
        <w:numPr>
          <w:ilvl w:val="0"/>
          <w:numId w:val="6"/>
        </w:numPr>
        <w:rPr>
          <w:bCs/>
        </w:rPr>
      </w:pPr>
      <w:r w:rsidRPr="00422668">
        <w:rPr>
          <w:bCs/>
        </w:rPr>
        <w:t xml:space="preserve">ensuring that key performance indicators for relevant staff include accountability for compliance with </w:t>
      </w:r>
      <w:r w:rsidR="00A264AD">
        <w:rPr>
          <w:bCs/>
        </w:rPr>
        <w:t xml:space="preserve">these </w:t>
      </w:r>
      <w:r w:rsidR="00F839AA">
        <w:rPr>
          <w:bCs/>
        </w:rPr>
        <w:t>organisational requirements</w:t>
      </w:r>
      <w:r w:rsidRPr="00422668">
        <w:rPr>
          <w:bCs/>
        </w:rPr>
        <w:t>.</w:t>
      </w:r>
    </w:p>
    <w:p w14:paraId="27932878" w14:textId="2BD09414" w:rsidR="00422668" w:rsidRDefault="00A47BE4" w:rsidP="00422668">
      <w:pPr>
        <w:pStyle w:val="LI-BodyTextParaa"/>
        <w:ind w:left="567"/>
        <w:rPr>
          <w:bCs/>
        </w:rPr>
      </w:pPr>
      <w:r>
        <w:rPr>
          <w:bCs/>
        </w:rPr>
        <w:t>38</w:t>
      </w:r>
      <w:r w:rsidR="000D5202">
        <w:rPr>
          <w:bCs/>
        </w:rPr>
        <w:t>.</w:t>
      </w:r>
      <w:r w:rsidR="000D5202">
        <w:rPr>
          <w:bCs/>
        </w:rPr>
        <w:tab/>
      </w:r>
      <w:r w:rsidR="00303EE3">
        <w:rPr>
          <w:bCs/>
        </w:rPr>
        <w:t xml:space="preserve">As an additional safeguard, </w:t>
      </w:r>
      <w:r w:rsidR="009718E9">
        <w:rPr>
          <w:bCs/>
        </w:rPr>
        <w:t xml:space="preserve">a CS Service Provider is required under </w:t>
      </w:r>
      <w:r w:rsidR="00303EE3">
        <w:rPr>
          <w:bCs/>
        </w:rPr>
        <w:t>s</w:t>
      </w:r>
      <w:r w:rsidR="000D5202">
        <w:rPr>
          <w:bCs/>
        </w:rPr>
        <w:t xml:space="preserve">ubrule 2.1.3(2) </w:t>
      </w:r>
      <w:r w:rsidR="00137569">
        <w:rPr>
          <w:bCs/>
        </w:rPr>
        <w:t>to</w:t>
      </w:r>
      <w:r w:rsidR="00137569" w:rsidRPr="000D5202">
        <w:rPr>
          <w:bCs/>
        </w:rPr>
        <w:t xml:space="preserve"> </w:t>
      </w:r>
      <w:r w:rsidR="000D5202" w:rsidRPr="000D5202">
        <w:rPr>
          <w:bCs/>
        </w:rPr>
        <w:t>maintain accurate records of the</w:t>
      </w:r>
      <w:r w:rsidR="00DF389A">
        <w:rPr>
          <w:bCs/>
        </w:rPr>
        <w:t>se</w:t>
      </w:r>
      <w:r w:rsidR="000D5202" w:rsidRPr="000D5202">
        <w:rPr>
          <w:bCs/>
        </w:rPr>
        <w:t xml:space="preserve"> written arrangements</w:t>
      </w:r>
      <w:r w:rsidR="00DF389A">
        <w:rPr>
          <w:bCs/>
        </w:rPr>
        <w:t>,</w:t>
      </w:r>
      <w:r w:rsidR="000D5202" w:rsidRPr="000D5202">
        <w:rPr>
          <w:bCs/>
        </w:rPr>
        <w:t xml:space="preserve"> </w:t>
      </w:r>
      <w:r w:rsidR="00DF389A">
        <w:rPr>
          <w:bCs/>
        </w:rPr>
        <w:t>as well as</w:t>
      </w:r>
      <w:r w:rsidR="000D5202" w:rsidRPr="000D5202">
        <w:rPr>
          <w:bCs/>
        </w:rPr>
        <w:t xml:space="preserve"> the allocation of responsibilities in relation to Covered </w:t>
      </w:r>
      <w:proofErr w:type="gramStart"/>
      <w:r w:rsidR="000D5202" w:rsidRPr="000D5202">
        <w:rPr>
          <w:bCs/>
        </w:rPr>
        <w:t>Services, and</w:t>
      </w:r>
      <w:proofErr w:type="gramEnd"/>
      <w:r w:rsidR="000D5202" w:rsidRPr="000D5202">
        <w:rPr>
          <w:bCs/>
        </w:rPr>
        <w:t xml:space="preserve"> retain </w:t>
      </w:r>
      <w:r w:rsidR="009A0C6D">
        <w:rPr>
          <w:bCs/>
        </w:rPr>
        <w:t>them</w:t>
      </w:r>
      <w:r w:rsidR="000D5202" w:rsidRPr="000D5202">
        <w:rPr>
          <w:bCs/>
        </w:rPr>
        <w:t xml:space="preserve"> for at least 5 years.</w:t>
      </w:r>
      <w:r w:rsidR="00303EE3">
        <w:rPr>
          <w:bCs/>
        </w:rPr>
        <w:t xml:space="preserve"> This </w:t>
      </w:r>
      <w:r w:rsidR="00DA2359">
        <w:rPr>
          <w:bCs/>
        </w:rPr>
        <w:t>measure is expected to enhance compliance with the organisational requirements</w:t>
      </w:r>
      <w:r w:rsidR="00604A83">
        <w:rPr>
          <w:bCs/>
        </w:rPr>
        <w:t xml:space="preserve">, </w:t>
      </w:r>
      <w:r w:rsidR="00451233">
        <w:rPr>
          <w:bCs/>
        </w:rPr>
        <w:t>for example by ensuri</w:t>
      </w:r>
      <w:r w:rsidR="00837C09">
        <w:rPr>
          <w:bCs/>
        </w:rPr>
        <w:t xml:space="preserve">ng that the required written arrangements are kept up to date following </w:t>
      </w:r>
      <w:r w:rsidR="00996AE5">
        <w:rPr>
          <w:bCs/>
        </w:rPr>
        <w:t>staffing changes.</w:t>
      </w:r>
    </w:p>
    <w:p w14:paraId="5DDC78A3" w14:textId="02E29A8E" w:rsidR="005F6A92" w:rsidRDefault="005F6A92" w:rsidP="00422668">
      <w:pPr>
        <w:pStyle w:val="LI-BodyTextParaa"/>
        <w:ind w:left="567"/>
        <w:rPr>
          <w:bCs/>
          <w:u w:val="single"/>
        </w:rPr>
      </w:pPr>
      <w:r>
        <w:rPr>
          <w:bCs/>
          <w:u w:val="single"/>
        </w:rPr>
        <w:t>Rule 2.1.4 Core Systems</w:t>
      </w:r>
    </w:p>
    <w:p w14:paraId="745DD1FB" w14:textId="13FC6697" w:rsidR="005F6A92" w:rsidRPr="00A47BE4" w:rsidRDefault="00A47BE4" w:rsidP="00422668">
      <w:pPr>
        <w:pStyle w:val="LI-BodyTextParaa"/>
        <w:ind w:left="567"/>
        <w:rPr>
          <w:bCs/>
        </w:rPr>
      </w:pPr>
      <w:r>
        <w:rPr>
          <w:bCs/>
        </w:rPr>
        <w:t>39</w:t>
      </w:r>
      <w:r w:rsidR="005F6A92">
        <w:rPr>
          <w:bCs/>
        </w:rPr>
        <w:t>.</w:t>
      </w:r>
      <w:r w:rsidR="005F6A92">
        <w:rPr>
          <w:bCs/>
        </w:rPr>
        <w:tab/>
        <w:t xml:space="preserve">Rule 2.1.4 </w:t>
      </w:r>
      <w:r w:rsidR="003466CA">
        <w:rPr>
          <w:bCs/>
        </w:rPr>
        <w:t>supplements th</w:t>
      </w:r>
      <w:r w:rsidR="00FA4B3F">
        <w:rPr>
          <w:bCs/>
        </w:rPr>
        <w:t xml:space="preserve">e governance requirements outlined </w:t>
      </w:r>
      <w:r w:rsidR="000D3D3D">
        <w:rPr>
          <w:bCs/>
        </w:rPr>
        <w:t xml:space="preserve">above through a general requirement for a CS Service Provider to take </w:t>
      </w:r>
      <w:r w:rsidR="00710730">
        <w:rPr>
          <w:bCs/>
        </w:rPr>
        <w:t xml:space="preserve">reasonable steps to </w:t>
      </w:r>
      <w:r w:rsidR="00224181">
        <w:rPr>
          <w:bCs/>
        </w:rPr>
        <w:t xml:space="preserve">ensure that </w:t>
      </w:r>
      <w:r w:rsidR="00FB45C7">
        <w:rPr>
          <w:bCs/>
        </w:rPr>
        <w:t>its Core Systems meet the differing needs of Users</w:t>
      </w:r>
      <w:r w:rsidR="008F63E8">
        <w:rPr>
          <w:bCs/>
        </w:rPr>
        <w:t xml:space="preserve"> and do not create or </w:t>
      </w:r>
      <w:r w:rsidR="008F63E8" w:rsidRPr="00A47BE4">
        <w:rPr>
          <w:bCs/>
        </w:rPr>
        <w:t xml:space="preserve">raise barriers to accessing Covered Services, and that </w:t>
      </w:r>
      <w:r w:rsidR="00EF4FFF" w:rsidRPr="00A47BE4">
        <w:rPr>
          <w:bCs/>
        </w:rPr>
        <w:t xml:space="preserve">any changes to its Core Systems accommodate relevant International Open Communication Procedures and Standards. </w:t>
      </w:r>
    </w:p>
    <w:p w14:paraId="40AB7BA2" w14:textId="1C75FA46" w:rsidR="003408C1" w:rsidRPr="00A47BE4" w:rsidRDefault="00A47BE4" w:rsidP="003C0EA1">
      <w:pPr>
        <w:pStyle w:val="LI-BodyTextParaa"/>
        <w:ind w:left="567"/>
        <w:rPr>
          <w:bCs/>
        </w:rPr>
      </w:pPr>
      <w:r w:rsidRPr="00A47BE4">
        <w:rPr>
          <w:bCs/>
        </w:rPr>
        <w:t>40</w:t>
      </w:r>
      <w:r w:rsidR="003C0EA1" w:rsidRPr="00A47BE4">
        <w:rPr>
          <w:bCs/>
        </w:rPr>
        <w:t>.</w:t>
      </w:r>
      <w:r w:rsidR="003C0EA1" w:rsidRPr="00A47BE4">
        <w:rPr>
          <w:bCs/>
        </w:rPr>
        <w:tab/>
      </w:r>
      <w:r w:rsidR="00C56068" w:rsidRPr="00A47BE4">
        <w:rPr>
          <w:bCs/>
        </w:rPr>
        <w:t xml:space="preserve">Examples of </w:t>
      </w:r>
      <w:r w:rsidR="00EA03A8" w:rsidRPr="00A47BE4">
        <w:rPr>
          <w:bCs/>
        </w:rPr>
        <w:t xml:space="preserve">such </w:t>
      </w:r>
      <w:r w:rsidR="003C0EA1" w:rsidRPr="00A47BE4">
        <w:rPr>
          <w:bCs/>
        </w:rPr>
        <w:t xml:space="preserve">steps include, but </w:t>
      </w:r>
      <w:r w:rsidR="005901B4" w:rsidRPr="00A47BE4">
        <w:rPr>
          <w:bCs/>
        </w:rPr>
        <w:t>are</w:t>
      </w:r>
      <w:r w:rsidR="003C0EA1" w:rsidRPr="00A47BE4">
        <w:rPr>
          <w:bCs/>
        </w:rPr>
        <w:t xml:space="preserve"> not limited to:</w:t>
      </w:r>
    </w:p>
    <w:p w14:paraId="6C2715D7" w14:textId="2EC1DB82" w:rsidR="00C56068" w:rsidRPr="00A47BE4" w:rsidRDefault="00C56068" w:rsidP="00901680">
      <w:pPr>
        <w:pStyle w:val="LI-BodyTextParaa"/>
        <w:numPr>
          <w:ilvl w:val="0"/>
          <w:numId w:val="14"/>
        </w:numPr>
        <w:rPr>
          <w:bCs/>
        </w:rPr>
      </w:pPr>
      <w:r w:rsidRPr="00A47BE4">
        <w:rPr>
          <w:bCs/>
        </w:rPr>
        <w:t>undertaking public consultation on the design, operation and development of Core Systems;</w:t>
      </w:r>
    </w:p>
    <w:p w14:paraId="7B8F9A82" w14:textId="6478BD1D" w:rsidR="00C56068" w:rsidRPr="00A47BE4" w:rsidRDefault="00C56068" w:rsidP="00901680">
      <w:pPr>
        <w:pStyle w:val="LI-BodyTextParaa"/>
        <w:numPr>
          <w:ilvl w:val="0"/>
          <w:numId w:val="14"/>
        </w:numPr>
        <w:rPr>
          <w:bCs/>
        </w:rPr>
      </w:pPr>
      <w:r w:rsidRPr="00A47BE4">
        <w:rPr>
          <w:bCs/>
        </w:rPr>
        <w:lastRenderedPageBreak/>
        <w:t xml:space="preserve">engagement with the </w:t>
      </w:r>
      <w:r w:rsidR="00D109EA" w:rsidRPr="00A47BE4">
        <w:rPr>
          <w:bCs/>
        </w:rPr>
        <w:t>relevant U</w:t>
      </w:r>
      <w:r w:rsidRPr="00A47BE4">
        <w:rPr>
          <w:bCs/>
        </w:rPr>
        <w:t>ser representative groups;</w:t>
      </w:r>
    </w:p>
    <w:p w14:paraId="23FA607B" w14:textId="0B8D94C9" w:rsidR="00C56068" w:rsidRPr="00A47BE4" w:rsidRDefault="00C56068" w:rsidP="00901680">
      <w:pPr>
        <w:pStyle w:val="LI-BodyTextParaa"/>
        <w:numPr>
          <w:ilvl w:val="0"/>
          <w:numId w:val="14"/>
        </w:numPr>
        <w:rPr>
          <w:bCs/>
        </w:rPr>
      </w:pPr>
      <w:r w:rsidRPr="00A47BE4">
        <w:rPr>
          <w:bCs/>
        </w:rPr>
        <w:t xml:space="preserve">consideration of feedback provided by potential users </w:t>
      </w:r>
      <w:r w:rsidR="00181360" w:rsidRPr="00A47BE4">
        <w:rPr>
          <w:bCs/>
        </w:rPr>
        <w:t xml:space="preserve">in response to public consultation </w:t>
      </w:r>
      <w:r w:rsidRPr="00A47BE4">
        <w:rPr>
          <w:bCs/>
        </w:rPr>
        <w:t>on relevant matters;</w:t>
      </w:r>
      <w:r w:rsidR="008161E2" w:rsidRPr="00A47BE4">
        <w:rPr>
          <w:bCs/>
        </w:rPr>
        <w:t xml:space="preserve"> and</w:t>
      </w:r>
    </w:p>
    <w:p w14:paraId="4590CB43" w14:textId="791913A4" w:rsidR="006973C4" w:rsidRPr="00A47BE4" w:rsidRDefault="008161E2" w:rsidP="00901680">
      <w:pPr>
        <w:pStyle w:val="LI-BodyTextParaa"/>
        <w:numPr>
          <w:ilvl w:val="0"/>
          <w:numId w:val="14"/>
        </w:numPr>
        <w:rPr>
          <w:bCs/>
        </w:rPr>
      </w:pPr>
      <w:r w:rsidRPr="00A47BE4">
        <w:rPr>
          <w:bCs/>
        </w:rPr>
        <w:t>supporting technical interoperability by accommodating relevant International Open Communication Procedures and Standards when updating Core Systems</w:t>
      </w:r>
      <w:r w:rsidR="009A61EF" w:rsidRPr="00A47BE4">
        <w:rPr>
          <w:bCs/>
        </w:rPr>
        <w:t xml:space="preserve"> to include the relevant software interfaces and specifications</w:t>
      </w:r>
      <w:r w:rsidRPr="00A47BE4">
        <w:rPr>
          <w:bCs/>
        </w:rPr>
        <w:t xml:space="preserve">. </w:t>
      </w:r>
    </w:p>
    <w:p w14:paraId="68B5E504" w14:textId="12E2BD2C" w:rsidR="004F46D5" w:rsidRPr="00A47BE4" w:rsidRDefault="0019221D" w:rsidP="0019221D">
      <w:pPr>
        <w:pStyle w:val="LI-BodyTextParaa"/>
        <w:ind w:left="0" w:firstLine="0"/>
        <w:rPr>
          <w:bCs/>
          <w:u w:val="single"/>
        </w:rPr>
      </w:pPr>
      <w:r w:rsidRPr="00A47BE4">
        <w:rPr>
          <w:bCs/>
          <w:u w:val="single"/>
        </w:rPr>
        <w:t>Part 2.2 – Covered Services</w:t>
      </w:r>
    </w:p>
    <w:p w14:paraId="0BD7B8C6" w14:textId="68141DD8" w:rsidR="0019221D" w:rsidRDefault="0019221D" w:rsidP="0019221D">
      <w:pPr>
        <w:pStyle w:val="LI-BodyTextParaa"/>
        <w:ind w:left="0" w:firstLine="0"/>
        <w:rPr>
          <w:bCs/>
          <w:u w:val="single"/>
        </w:rPr>
      </w:pPr>
      <w:r w:rsidRPr="00A47BE4">
        <w:rPr>
          <w:bCs/>
          <w:u w:val="single"/>
        </w:rPr>
        <w:t>Rule 2.2.1 Transparent, non-discriminatory</w:t>
      </w:r>
      <w:r>
        <w:rPr>
          <w:bCs/>
          <w:u w:val="single"/>
        </w:rPr>
        <w:t>, and fair and reasonable pricing</w:t>
      </w:r>
    </w:p>
    <w:p w14:paraId="59C5F757" w14:textId="30D588F5" w:rsidR="00F97DD7" w:rsidRDefault="00A47BE4" w:rsidP="008A1B96">
      <w:pPr>
        <w:pStyle w:val="LI-BodyTextParaa"/>
        <w:ind w:left="567"/>
        <w:rPr>
          <w:bCs/>
        </w:rPr>
      </w:pPr>
      <w:r>
        <w:rPr>
          <w:bCs/>
        </w:rPr>
        <w:t>41</w:t>
      </w:r>
      <w:r w:rsidR="00F97DD7">
        <w:rPr>
          <w:bCs/>
        </w:rPr>
        <w:t>.</w:t>
      </w:r>
      <w:r w:rsidR="00F97DD7">
        <w:rPr>
          <w:bCs/>
        </w:rPr>
        <w:tab/>
      </w:r>
      <w:r w:rsidR="00E165CE">
        <w:rPr>
          <w:bCs/>
        </w:rPr>
        <w:t>I</w:t>
      </w:r>
      <w:r w:rsidR="00B62336">
        <w:rPr>
          <w:bCs/>
        </w:rPr>
        <w:t xml:space="preserve">n order to </w:t>
      </w:r>
      <w:r w:rsidR="00276261">
        <w:rPr>
          <w:bCs/>
        </w:rPr>
        <w:t>regulate</w:t>
      </w:r>
      <w:r w:rsidR="00B62336">
        <w:rPr>
          <w:bCs/>
        </w:rPr>
        <w:t xml:space="preserve"> a CS Service Provider’s pricing conduct, </w:t>
      </w:r>
      <w:r w:rsidR="00770E09">
        <w:rPr>
          <w:bCs/>
        </w:rPr>
        <w:t>R</w:t>
      </w:r>
      <w:r w:rsidR="00B62336">
        <w:rPr>
          <w:bCs/>
        </w:rPr>
        <w:t xml:space="preserve">ule 2.2.1 requires a CS Service Provider to take all reasonable steps to ensure that the pricing of its Covered Services (including data), is transparent, fair and reasonable. </w:t>
      </w:r>
      <w:r w:rsidR="00017ED7">
        <w:rPr>
          <w:bCs/>
        </w:rPr>
        <w:t>At a minimum</w:t>
      </w:r>
      <w:r w:rsidR="000C4560">
        <w:rPr>
          <w:bCs/>
        </w:rPr>
        <w:t>, a CS Service Provider must:</w:t>
      </w:r>
    </w:p>
    <w:p w14:paraId="1ED51D3A" w14:textId="6B14025D" w:rsidR="000C4560" w:rsidRDefault="000C4560" w:rsidP="00901680">
      <w:pPr>
        <w:pStyle w:val="LI-BodyTextParaa"/>
        <w:numPr>
          <w:ilvl w:val="0"/>
          <w:numId w:val="8"/>
        </w:numPr>
        <w:rPr>
          <w:bCs/>
        </w:rPr>
      </w:pPr>
      <w:r>
        <w:rPr>
          <w:bCs/>
        </w:rPr>
        <w:t xml:space="preserve">not discriminate in favour of </w:t>
      </w:r>
      <w:r w:rsidR="008A1B96">
        <w:rPr>
          <w:bCs/>
        </w:rPr>
        <w:t>itself</w:t>
      </w:r>
      <w:r>
        <w:rPr>
          <w:bCs/>
        </w:rPr>
        <w:t xml:space="preserve"> or any of its Associated Entities, except to the extent that the efficient costs of providing the same Covered Service to another party is higher; </w:t>
      </w:r>
    </w:p>
    <w:p w14:paraId="259654EE" w14:textId="53BE8FF4" w:rsidR="000C4560" w:rsidRDefault="000C4560" w:rsidP="00901680">
      <w:pPr>
        <w:pStyle w:val="LI-BodyTextParaa"/>
        <w:numPr>
          <w:ilvl w:val="0"/>
          <w:numId w:val="8"/>
        </w:numPr>
        <w:rPr>
          <w:bCs/>
        </w:rPr>
      </w:pPr>
      <w:r>
        <w:rPr>
          <w:bCs/>
        </w:rPr>
        <w:t xml:space="preserve">publish fee schedules for each Covered Service, in a clear, consistent and accessible form, that includes </w:t>
      </w:r>
      <w:r w:rsidR="002926F3">
        <w:rPr>
          <w:bCs/>
        </w:rPr>
        <w:t>specified information;</w:t>
      </w:r>
    </w:p>
    <w:p w14:paraId="44169EBA" w14:textId="29B2DEC3" w:rsidR="000C4560" w:rsidRDefault="000C4560" w:rsidP="00901680">
      <w:pPr>
        <w:pStyle w:val="LI-BodyTextParaa"/>
        <w:numPr>
          <w:ilvl w:val="0"/>
          <w:numId w:val="10"/>
        </w:numPr>
        <w:rPr>
          <w:bCs/>
        </w:rPr>
      </w:pPr>
      <w:r>
        <w:rPr>
          <w:bCs/>
        </w:rPr>
        <w:t>make available on its website, information and tools to assist Users and Unaffiliated Entities to anticipate the price they will have to pay for the use of Covered Services, which enables them to assess:</w:t>
      </w:r>
    </w:p>
    <w:p w14:paraId="78BB80FD" w14:textId="140CD6CB" w:rsidR="000C4560" w:rsidRDefault="000C4560" w:rsidP="00901680">
      <w:pPr>
        <w:pStyle w:val="LI-BodyTextParaa"/>
        <w:numPr>
          <w:ilvl w:val="0"/>
          <w:numId w:val="11"/>
        </w:numPr>
        <w:rPr>
          <w:bCs/>
        </w:rPr>
      </w:pPr>
      <w:r>
        <w:rPr>
          <w:bCs/>
        </w:rPr>
        <w:t>the expected cost impact of any pricing changes; and</w:t>
      </w:r>
    </w:p>
    <w:p w14:paraId="463CF968" w14:textId="755A2BBE" w:rsidR="000C4560" w:rsidRDefault="000C4560" w:rsidP="00901680">
      <w:pPr>
        <w:pStyle w:val="LI-BodyTextParaa"/>
        <w:numPr>
          <w:ilvl w:val="0"/>
          <w:numId w:val="11"/>
        </w:numPr>
        <w:rPr>
          <w:bCs/>
        </w:rPr>
      </w:pPr>
      <w:r>
        <w:rPr>
          <w:bCs/>
        </w:rPr>
        <w:t>the expected cost impact associated with new products and initiatives; and</w:t>
      </w:r>
    </w:p>
    <w:p w14:paraId="6AFAC293" w14:textId="41DFEB1E" w:rsidR="000C4560" w:rsidRDefault="000C4560" w:rsidP="00901680">
      <w:pPr>
        <w:pStyle w:val="LI-BodyTextParaa"/>
        <w:numPr>
          <w:ilvl w:val="0"/>
          <w:numId w:val="11"/>
        </w:numPr>
        <w:rPr>
          <w:bCs/>
        </w:rPr>
      </w:pPr>
      <w:r>
        <w:rPr>
          <w:bCs/>
        </w:rPr>
        <w:t>the impact of discounts, rebates and revenue-sharing arrangements for different User groups and different activity profiles; and</w:t>
      </w:r>
    </w:p>
    <w:p w14:paraId="63BA6979" w14:textId="5917F9A9" w:rsidR="000C4560" w:rsidRDefault="000C4560" w:rsidP="00901680">
      <w:pPr>
        <w:pStyle w:val="LI-BodyTextParaa"/>
        <w:numPr>
          <w:ilvl w:val="0"/>
          <w:numId w:val="16"/>
        </w:numPr>
        <w:rPr>
          <w:bCs/>
        </w:rPr>
      </w:pPr>
      <w:r>
        <w:rPr>
          <w:bCs/>
        </w:rPr>
        <w:t>maintain and publish policies and procedures for implementing changes to the pricing of its Covered Services which ensure, as far as practicable, that any such changes do not have the effect of shifting material revenue streams to entities other than Covered Licensees; and</w:t>
      </w:r>
    </w:p>
    <w:p w14:paraId="1C201C33" w14:textId="36359F12" w:rsidR="00DB157F" w:rsidRDefault="000C4560" w:rsidP="00901680">
      <w:pPr>
        <w:pStyle w:val="LI-BodyTextParaa"/>
        <w:numPr>
          <w:ilvl w:val="0"/>
          <w:numId w:val="16"/>
        </w:numPr>
        <w:rPr>
          <w:bCs/>
        </w:rPr>
      </w:pPr>
      <w:r>
        <w:rPr>
          <w:bCs/>
        </w:rPr>
        <w:t xml:space="preserve">maintain and publish a model for </w:t>
      </w:r>
      <w:r w:rsidR="00394F0F">
        <w:rPr>
          <w:bCs/>
        </w:rPr>
        <w:t xml:space="preserve">the </w:t>
      </w:r>
      <w:r w:rsidR="00DB157F">
        <w:rPr>
          <w:bCs/>
        </w:rPr>
        <w:t xml:space="preserve">allocation of all costs </w:t>
      </w:r>
      <w:r w:rsidR="00911AFE">
        <w:rPr>
          <w:bCs/>
        </w:rPr>
        <w:t xml:space="preserve">between a CS Service Provider and </w:t>
      </w:r>
      <w:r w:rsidR="00DC579C">
        <w:rPr>
          <w:bCs/>
        </w:rPr>
        <w:t xml:space="preserve">Associated Entities </w:t>
      </w:r>
      <w:r w:rsidR="003125DB">
        <w:rPr>
          <w:bCs/>
        </w:rPr>
        <w:t>that</w:t>
      </w:r>
      <w:r w:rsidR="008D4DB5">
        <w:rPr>
          <w:bCs/>
        </w:rPr>
        <w:t xml:space="preserve"> e</w:t>
      </w:r>
      <w:r w:rsidR="008D4DB5" w:rsidRPr="00EE7DCE">
        <w:rPr>
          <w:bCs/>
        </w:rPr>
        <w:t>nsures</w:t>
      </w:r>
      <w:r w:rsidR="008D4DB5">
        <w:rPr>
          <w:bCs/>
        </w:rPr>
        <w:t>,</w:t>
      </w:r>
      <w:r w:rsidR="008D4DB5" w:rsidRPr="00EE7DCE">
        <w:rPr>
          <w:bCs/>
        </w:rPr>
        <w:t xml:space="preserve"> where possible, that costs are directly allocated to the services which give rise to the costs, and that shared costs are allocated based on appropriate, proportionate and transparent metrics</w:t>
      </w:r>
      <w:r w:rsidR="008D4DB5">
        <w:rPr>
          <w:bCs/>
        </w:rPr>
        <w:t>; and</w:t>
      </w:r>
    </w:p>
    <w:p w14:paraId="02A1DAFF" w14:textId="7C2B31D8" w:rsidR="00AE7252" w:rsidRDefault="00AE7252" w:rsidP="00901680">
      <w:pPr>
        <w:pStyle w:val="LI-BodyTextParaa"/>
        <w:numPr>
          <w:ilvl w:val="0"/>
          <w:numId w:val="16"/>
        </w:numPr>
        <w:rPr>
          <w:bCs/>
        </w:rPr>
      </w:pPr>
      <w:r>
        <w:rPr>
          <w:bCs/>
        </w:rPr>
        <w:t xml:space="preserve">maintain and publish a </w:t>
      </w:r>
      <w:r w:rsidR="00881B65">
        <w:rPr>
          <w:bCs/>
        </w:rPr>
        <w:t xml:space="preserve">pricing </w:t>
      </w:r>
      <w:r>
        <w:rPr>
          <w:bCs/>
        </w:rPr>
        <w:t>methodology that demonstrates that the expected revenue from the provision of Covered Services reflects the efficient costs of providing those services; and</w:t>
      </w:r>
    </w:p>
    <w:p w14:paraId="6DD2DD88" w14:textId="75F51770" w:rsidR="00AE7252" w:rsidRDefault="000A334C" w:rsidP="00901680">
      <w:pPr>
        <w:pStyle w:val="LI-BodyTextParaa"/>
        <w:numPr>
          <w:ilvl w:val="0"/>
          <w:numId w:val="16"/>
        </w:numPr>
        <w:rPr>
          <w:bCs/>
        </w:rPr>
      </w:pPr>
      <w:r>
        <w:rPr>
          <w:bCs/>
        </w:rPr>
        <w:lastRenderedPageBreak/>
        <w:t>ensure that any fee change</w:t>
      </w:r>
      <w:r w:rsidR="005C41D1">
        <w:rPr>
          <w:bCs/>
        </w:rPr>
        <w:t>s</w:t>
      </w:r>
      <w:r>
        <w:rPr>
          <w:bCs/>
        </w:rPr>
        <w:t xml:space="preserve"> and any </w:t>
      </w:r>
      <w:r w:rsidR="005C41D1">
        <w:rPr>
          <w:bCs/>
        </w:rPr>
        <w:t xml:space="preserve">new </w:t>
      </w:r>
      <w:r>
        <w:rPr>
          <w:bCs/>
        </w:rPr>
        <w:t xml:space="preserve">fees </w:t>
      </w:r>
      <w:r w:rsidR="005C41D1">
        <w:rPr>
          <w:bCs/>
        </w:rPr>
        <w:t>are</w:t>
      </w:r>
      <w:r>
        <w:rPr>
          <w:bCs/>
        </w:rPr>
        <w:t xml:space="preserve"> consistent with </w:t>
      </w:r>
      <w:r w:rsidR="00781E85">
        <w:rPr>
          <w:bCs/>
        </w:rPr>
        <w:t>the overarching obligation to</w:t>
      </w:r>
      <w:r w:rsidR="0046591A">
        <w:rPr>
          <w:bCs/>
        </w:rPr>
        <w:t xml:space="preserve"> take all reasonable steps to</w:t>
      </w:r>
      <w:r w:rsidR="00781E85">
        <w:rPr>
          <w:bCs/>
        </w:rPr>
        <w:t xml:space="preserve"> </w:t>
      </w:r>
      <w:r w:rsidR="00C0249D">
        <w:rPr>
          <w:bCs/>
        </w:rPr>
        <w:t xml:space="preserve">ensure that </w:t>
      </w:r>
      <w:r w:rsidR="0046591A">
        <w:rPr>
          <w:bCs/>
        </w:rPr>
        <w:t xml:space="preserve">its </w:t>
      </w:r>
      <w:r w:rsidR="00C0249D">
        <w:rPr>
          <w:bCs/>
        </w:rPr>
        <w:t>pricing is transparent, fair, and reasonable</w:t>
      </w:r>
      <w:r>
        <w:rPr>
          <w:bCs/>
        </w:rPr>
        <w:t>, and publish on its website a document explaining the basis of any such change</w:t>
      </w:r>
      <w:r w:rsidR="0056465F">
        <w:rPr>
          <w:bCs/>
        </w:rPr>
        <w:t>d</w:t>
      </w:r>
      <w:r>
        <w:rPr>
          <w:bCs/>
        </w:rPr>
        <w:t xml:space="preserve"> or new fees, including</w:t>
      </w:r>
      <w:r w:rsidR="0056465F">
        <w:rPr>
          <w:bCs/>
        </w:rPr>
        <w:t xml:space="preserve"> certain specified </w:t>
      </w:r>
      <w:r w:rsidR="005A0EA1">
        <w:rPr>
          <w:bCs/>
        </w:rPr>
        <w:t>information</w:t>
      </w:r>
      <w:r w:rsidR="009E66D5">
        <w:rPr>
          <w:bCs/>
        </w:rPr>
        <w:t>;</w:t>
      </w:r>
    </w:p>
    <w:p w14:paraId="56D35629" w14:textId="19513C85" w:rsidR="000A334C" w:rsidRDefault="000A334C" w:rsidP="00901680">
      <w:pPr>
        <w:pStyle w:val="LI-BodyTextParaa"/>
        <w:numPr>
          <w:ilvl w:val="0"/>
          <w:numId w:val="16"/>
        </w:numPr>
        <w:rPr>
          <w:bCs/>
        </w:rPr>
      </w:pPr>
      <w:r>
        <w:rPr>
          <w:bCs/>
        </w:rPr>
        <w:t xml:space="preserve">maintain records that demonstrate how </w:t>
      </w:r>
      <w:r w:rsidR="00FE65BA">
        <w:rPr>
          <w:bCs/>
        </w:rPr>
        <w:t xml:space="preserve">it </w:t>
      </w:r>
      <w:r>
        <w:rPr>
          <w:bCs/>
        </w:rPr>
        <w:t xml:space="preserve">is complying with </w:t>
      </w:r>
      <w:r w:rsidR="00E84919">
        <w:rPr>
          <w:bCs/>
        </w:rPr>
        <w:t>its obligation to take all reasonable steps to ensure that its pricing is transparent, fair, and reasonable</w:t>
      </w:r>
      <w:r>
        <w:rPr>
          <w:bCs/>
        </w:rPr>
        <w:t>, and retain those records for a period of at least 5 years; and</w:t>
      </w:r>
    </w:p>
    <w:p w14:paraId="7B4CBE85" w14:textId="1F32C6F0" w:rsidR="000A334C" w:rsidRDefault="000A334C" w:rsidP="00901680">
      <w:pPr>
        <w:pStyle w:val="LI-BodyTextParaa"/>
        <w:numPr>
          <w:ilvl w:val="0"/>
          <w:numId w:val="16"/>
        </w:numPr>
        <w:rPr>
          <w:bCs/>
        </w:rPr>
      </w:pPr>
      <w:r>
        <w:rPr>
          <w:bCs/>
        </w:rPr>
        <w:t xml:space="preserve">negotiate commercially and in good faith with an Unaffiliated Market Operator, Unaffiliated CS Facility Operator or Data Accessing Entity regarding fees and other financial contributions charged for </w:t>
      </w:r>
      <w:r w:rsidR="002F17E2">
        <w:rPr>
          <w:bCs/>
        </w:rPr>
        <w:t>bespoke services</w:t>
      </w:r>
      <w:r>
        <w:rPr>
          <w:bCs/>
        </w:rPr>
        <w:t>; and</w:t>
      </w:r>
    </w:p>
    <w:p w14:paraId="61D6C5FE" w14:textId="3D95B9D4" w:rsidR="000A334C" w:rsidRDefault="000A334C" w:rsidP="00901680">
      <w:pPr>
        <w:pStyle w:val="LI-BodyTextParaa"/>
        <w:numPr>
          <w:ilvl w:val="0"/>
          <w:numId w:val="16"/>
        </w:numPr>
        <w:rPr>
          <w:bCs/>
        </w:rPr>
      </w:pPr>
      <w:r>
        <w:rPr>
          <w:bCs/>
        </w:rPr>
        <w:t xml:space="preserve">maintain accurate records </w:t>
      </w:r>
      <w:r w:rsidR="00953B73">
        <w:rPr>
          <w:bCs/>
        </w:rPr>
        <w:t xml:space="preserve">of such </w:t>
      </w:r>
      <w:proofErr w:type="gramStart"/>
      <w:r w:rsidR="00953B73">
        <w:rPr>
          <w:bCs/>
        </w:rPr>
        <w:t>negotiations</w:t>
      </w:r>
      <w:r>
        <w:rPr>
          <w:bCs/>
        </w:rPr>
        <w:t>, and</w:t>
      </w:r>
      <w:proofErr w:type="gramEnd"/>
      <w:r>
        <w:rPr>
          <w:bCs/>
        </w:rPr>
        <w:t xml:space="preserve"> retain those records for a period of at least 5 years.</w:t>
      </w:r>
    </w:p>
    <w:p w14:paraId="3E846C51" w14:textId="7921BB80" w:rsidR="00EE1B64" w:rsidRDefault="00A47BE4" w:rsidP="00EE1B64">
      <w:pPr>
        <w:pStyle w:val="LI-BodyTextParaa"/>
        <w:ind w:left="567"/>
        <w:rPr>
          <w:bCs/>
        </w:rPr>
      </w:pPr>
      <w:r>
        <w:rPr>
          <w:bCs/>
        </w:rPr>
        <w:t>42</w:t>
      </w:r>
      <w:r w:rsidR="00EE1B64">
        <w:rPr>
          <w:bCs/>
        </w:rPr>
        <w:t>.</w:t>
      </w:r>
      <w:r w:rsidR="00EE1B64">
        <w:rPr>
          <w:bCs/>
        </w:rPr>
        <w:tab/>
      </w:r>
      <w:r w:rsidR="00B00A36">
        <w:rPr>
          <w:bCs/>
        </w:rPr>
        <w:t xml:space="preserve">The steps outlined above are largely directed towards enhancing </w:t>
      </w:r>
      <w:r w:rsidR="007B228D">
        <w:rPr>
          <w:bCs/>
        </w:rPr>
        <w:t>pricing transparency</w:t>
      </w:r>
      <w:r w:rsidR="00D24B89">
        <w:rPr>
          <w:bCs/>
        </w:rPr>
        <w:t xml:space="preserve"> for the benefit of all User groups</w:t>
      </w:r>
      <w:r w:rsidR="008E0953">
        <w:rPr>
          <w:bCs/>
        </w:rPr>
        <w:t>. T</w:t>
      </w:r>
      <w:r w:rsidR="003F2125">
        <w:rPr>
          <w:bCs/>
        </w:rPr>
        <w:t>he</w:t>
      </w:r>
      <w:r w:rsidR="00C430A6">
        <w:rPr>
          <w:bCs/>
        </w:rPr>
        <w:t xml:space="preserve"> specific requirements set out in paragraphs </w:t>
      </w:r>
      <w:r w:rsidR="00271952">
        <w:rPr>
          <w:bCs/>
        </w:rPr>
        <w:t xml:space="preserve">2.2.1(2)(d)-(g) </w:t>
      </w:r>
      <w:r w:rsidR="008E0953">
        <w:rPr>
          <w:bCs/>
        </w:rPr>
        <w:t>are intended to</w:t>
      </w:r>
      <w:r w:rsidR="001F69EC">
        <w:rPr>
          <w:bCs/>
        </w:rPr>
        <w:t xml:space="preserve"> </w:t>
      </w:r>
      <w:r w:rsidR="00E76414">
        <w:rPr>
          <w:bCs/>
        </w:rPr>
        <w:t>ensure th</w:t>
      </w:r>
      <w:r w:rsidR="00DD7106">
        <w:rPr>
          <w:bCs/>
        </w:rPr>
        <w:t xml:space="preserve">at costs are appropriately allocated within the </w:t>
      </w:r>
      <w:r w:rsidR="00260BA0">
        <w:rPr>
          <w:bCs/>
        </w:rPr>
        <w:t xml:space="preserve">ASX </w:t>
      </w:r>
      <w:r w:rsidR="00DD7106">
        <w:rPr>
          <w:bCs/>
        </w:rPr>
        <w:t>group</w:t>
      </w:r>
      <w:r w:rsidR="006644B9">
        <w:rPr>
          <w:bCs/>
        </w:rPr>
        <w:t>.</w:t>
      </w:r>
    </w:p>
    <w:p w14:paraId="28B0E733" w14:textId="2249FCA3" w:rsidR="000A334C" w:rsidRDefault="00A47BE4" w:rsidP="000A334C">
      <w:pPr>
        <w:pStyle w:val="LI-BodyTextParaa"/>
        <w:ind w:left="567"/>
        <w:rPr>
          <w:bCs/>
        </w:rPr>
      </w:pPr>
      <w:r>
        <w:rPr>
          <w:bCs/>
        </w:rPr>
        <w:t>43</w:t>
      </w:r>
      <w:r w:rsidR="000A334C">
        <w:rPr>
          <w:bCs/>
        </w:rPr>
        <w:t>.</w:t>
      </w:r>
      <w:r w:rsidR="000A334C">
        <w:rPr>
          <w:bCs/>
        </w:rPr>
        <w:tab/>
      </w:r>
      <w:r w:rsidR="00132756">
        <w:rPr>
          <w:bCs/>
        </w:rPr>
        <w:t>A</w:t>
      </w:r>
      <w:r w:rsidR="000A334C">
        <w:rPr>
          <w:bCs/>
        </w:rPr>
        <w:t xml:space="preserve"> CS Service Provider must consult publicly about any proposed material changes to a policy, procedure, model or other document </w:t>
      </w:r>
      <w:r w:rsidR="00C81BBB">
        <w:rPr>
          <w:bCs/>
        </w:rPr>
        <w:t xml:space="preserve">that is </w:t>
      </w:r>
      <w:r w:rsidR="000A334C">
        <w:rPr>
          <w:bCs/>
        </w:rPr>
        <w:t xml:space="preserve">required under rule 2.2.1. </w:t>
      </w:r>
    </w:p>
    <w:p w14:paraId="2B41E8A6" w14:textId="12F3F59D" w:rsidR="00F10248" w:rsidRDefault="00F10248" w:rsidP="00F10248">
      <w:pPr>
        <w:pStyle w:val="LI-BodyTextParaa"/>
        <w:ind w:left="0" w:firstLine="0"/>
        <w:rPr>
          <w:bCs/>
          <w:u w:val="single"/>
        </w:rPr>
      </w:pPr>
      <w:r>
        <w:rPr>
          <w:bCs/>
          <w:u w:val="single"/>
        </w:rPr>
        <w:t>Part 2.3 – Access to Covered Services</w:t>
      </w:r>
    </w:p>
    <w:p w14:paraId="3408C10F" w14:textId="1D7884FC" w:rsidR="00F10248" w:rsidRDefault="00F10248" w:rsidP="000A334C">
      <w:pPr>
        <w:pStyle w:val="LI-BodyTextParaa"/>
        <w:ind w:left="567"/>
        <w:rPr>
          <w:bCs/>
          <w:u w:val="single"/>
        </w:rPr>
      </w:pPr>
      <w:r>
        <w:rPr>
          <w:bCs/>
          <w:u w:val="single"/>
        </w:rPr>
        <w:t xml:space="preserve">Rule 2.3.1 </w:t>
      </w:r>
      <w:r w:rsidRPr="00F10248">
        <w:rPr>
          <w:bCs/>
          <w:u w:val="single"/>
        </w:rPr>
        <w:t>Non-discriminatory access</w:t>
      </w:r>
    </w:p>
    <w:p w14:paraId="12969D10" w14:textId="54F5CE73" w:rsidR="00F10248" w:rsidRDefault="00A47BE4" w:rsidP="000A334C">
      <w:pPr>
        <w:pStyle w:val="LI-BodyTextParaa"/>
        <w:ind w:left="567"/>
        <w:rPr>
          <w:bCs/>
        </w:rPr>
      </w:pPr>
      <w:r>
        <w:rPr>
          <w:bCs/>
        </w:rPr>
        <w:t>44</w:t>
      </w:r>
      <w:r w:rsidR="00F10248">
        <w:rPr>
          <w:bCs/>
        </w:rPr>
        <w:t>.</w:t>
      </w:r>
      <w:r w:rsidR="00F10248">
        <w:rPr>
          <w:bCs/>
        </w:rPr>
        <w:tab/>
      </w:r>
      <w:r w:rsidR="003C0617">
        <w:rPr>
          <w:bCs/>
        </w:rPr>
        <w:t>Subr</w:t>
      </w:r>
      <w:r w:rsidR="000E6EF2">
        <w:rPr>
          <w:bCs/>
        </w:rPr>
        <w:t>ule 2.3.1</w:t>
      </w:r>
      <w:r w:rsidR="003C0617">
        <w:rPr>
          <w:bCs/>
        </w:rPr>
        <w:t>(1)</w:t>
      </w:r>
      <w:r w:rsidR="000E6EF2">
        <w:rPr>
          <w:bCs/>
        </w:rPr>
        <w:t xml:space="preserve"> requires</w:t>
      </w:r>
      <w:r w:rsidR="00F10248">
        <w:rPr>
          <w:bCs/>
        </w:rPr>
        <w:t xml:space="preserve"> a CS Service Provider </w:t>
      </w:r>
      <w:r w:rsidR="000E6EF2">
        <w:rPr>
          <w:bCs/>
        </w:rPr>
        <w:t xml:space="preserve">to </w:t>
      </w:r>
      <w:r w:rsidR="00F10248">
        <w:rPr>
          <w:bCs/>
        </w:rPr>
        <w:t xml:space="preserve">take all reasonable steps to provide access to its Covered Services (including data) on commercial, transparent and non-discriminatory terms. </w:t>
      </w:r>
      <w:r w:rsidR="00657209">
        <w:rPr>
          <w:bCs/>
        </w:rPr>
        <w:t xml:space="preserve">The primary focus of </w:t>
      </w:r>
      <w:r w:rsidR="00CE5087">
        <w:rPr>
          <w:bCs/>
        </w:rPr>
        <w:t xml:space="preserve">the obligation to provide access on non-discriminatory terms is </w:t>
      </w:r>
      <w:r w:rsidR="00E91F23">
        <w:rPr>
          <w:bCs/>
        </w:rPr>
        <w:t xml:space="preserve">whether </w:t>
      </w:r>
      <w:r w:rsidR="009A53AC">
        <w:rPr>
          <w:bCs/>
        </w:rPr>
        <w:t>such</w:t>
      </w:r>
      <w:r w:rsidR="00E91F23">
        <w:rPr>
          <w:bCs/>
        </w:rPr>
        <w:t xml:space="preserve"> terms discriminate in favour of the CS Service Provider or any of its Associated Entities</w:t>
      </w:r>
      <w:r w:rsidR="00341FCA">
        <w:rPr>
          <w:bCs/>
        </w:rPr>
        <w:t>.</w:t>
      </w:r>
    </w:p>
    <w:p w14:paraId="0280F592" w14:textId="6D1178EE" w:rsidR="00BD7A96" w:rsidRPr="00A47BE4" w:rsidRDefault="00A47BE4" w:rsidP="000A334C">
      <w:pPr>
        <w:pStyle w:val="LI-BodyTextParaa"/>
        <w:ind w:left="567"/>
        <w:rPr>
          <w:bCs/>
        </w:rPr>
      </w:pPr>
      <w:r>
        <w:rPr>
          <w:bCs/>
        </w:rPr>
        <w:t>45</w:t>
      </w:r>
      <w:r w:rsidR="006E4F14">
        <w:rPr>
          <w:bCs/>
        </w:rPr>
        <w:t>.</w:t>
      </w:r>
      <w:r w:rsidR="006E4F14">
        <w:rPr>
          <w:bCs/>
        </w:rPr>
        <w:tab/>
        <w:t xml:space="preserve">The note to </w:t>
      </w:r>
      <w:r w:rsidR="00357062">
        <w:rPr>
          <w:bCs/>
        </w:rPr>
        <w:t>sub</w:t>
      </w:r>
      <w:r w:rsidR="006E4F14">
        <w:rPr>
          <w:bCs/>
        </w:rPr>
        <w:t>rule 2.3.1</w:t>
      </w:r>
      <w:r w:rsidR="00357062">
        <w:rPr>
          <w:bCs/>
        </w:rPr>
        <w:t>(1)</w:t>
      </w:r>
      <w:r w:rsidR="006E4F14">
        <w:rPr>
          <w:bCs/>
        </w:rPr>
        <w:t xml:space="preserve"> </w:t>
      </w:r>
      <w:r w:rsidR="005E6DB8">
        <w:rPr>
          <w:bCs/>
        </w:rPr>
        <w:t xml:space="preserve">refers to the </w:t>
      </w:r>
      <w:r w:rsidR="001D6669">
        <w:rPr>
          <w:bCs/>
        </w:rPr>
        <w:t xml:space="preserve">precedence </w:t>
      </w:r>
      <w:r w:rsidR="000E4631">
        <w:rPr>
          <w:bCs/>
        </w:rPr>
        <w:t xml:space="preserve">of various rules that might apply to Covered Licensees </w:t>
      </w:r>
      <w:r w:rsidR="000E2508">
        <w:rPr>
          <w:bCs/>
        </w:rPr>
        <w:t xml:space="preserve">in their capacity as both CS Service Providers and CS </w:t>
      </w:r>
      <w:r w:rsidR="000E2508" w:rsidRPr="00A47BE4">
        <w:rPr>
          <w:bCs/>
        </w:rPr>
        <w:t xml:space="preserve">facility licensees. </w:t>
      </w:r>
      <w:r w:rsidR="007F78C0" w:rsidRPr="00A47BE4">
        <w:rPr>
          <w:bCs/>
        </w:rPr>
        <w:t>A</w:t>
      </w:r>
      <w:r w:rsidR="00AC3C3C" w:rsidRPr="00A47BE4">
        <w:rPr>
          <w:bCs/>
        </w:rPr>
        <w:t xml:space="preserve">ny </w:t>
      </w:r>
      <w:r w:rsidR="006E4F14" w:rsidRPr="00A47BE4">
        <w:rPr>
          <w:bCs/>
        </w:rPr>
        <w:t xml:space="preserve">CS facility rules </w:t>
      </w:r>
      <w:r w:rsidR="00AC3C3C" w:rsidRPr="00A47BE4">
        <w:rPr>
          <w:bCs/>
        </w:rPr>
        <w:t>made by ASIC under section 826H of the Act</w:t>
      </w:r>
      <w:r w:rsidR="006E4F14" w:rsidRPr="00A47BE4">
        <w:rPr>
          <w:bCs/>
        </w:rPr>
        <w:t xml:space="preserve"> and any standards determined by the Reserve Bank under sections 827D and 827DA of the Act</w:t>
      </w:r>
      <w:r w:rsidR="003F1498" w:rsidRPr="00A47BE4">
        <w:rPr>
          <w:bCs/>
        </w:rPr>
        <w:t xml:space="preserve"> prevail </w:t>
      </w:r>
      <w:r w:rsidR="00113C08" w:rsidRPr="00A47BE4">
        <w:rPr>
          <w:bCs/>
        </w:rPr>
        <w:t>over the CS Services Rules</w:t>
      </w:r>
      <w:r w:rsidR="00F13095" w:rsidRPr="00A47BE4">
        <w:rPr>
          <w:bCs/>
        </w:rPr>
        <w:t xml:space="preserve">, but the CS Services Rules </w:t>
      </w:r>
      <w:r w:rsidR="008445BB" w:rsidRPr="00A47BE4">
        <w:rPr>
          <w:bCs/>
        </w:rPr>
        <w:t>prevail over the operating rules of a licensed CS facility</w:t>
      </w:r>
      <w:r w:rsidR="005B29D4" w:rsidRPr="00A47BE4">
        <w:rPr>
          <w:bCs/>
        </w:rPr>
        <w:t>.</w:t>
      </w:r>
      <w:r w:rsidR="00357062" w:rsidRPr="00A47BE4">
        <w:rPr>
          <w:bCs/>
        </w:rPr>
        <w:t xml:space="preserve"> </w:t>
      </w:r>
      <w:r w:rsidR="00BF45A2" w:rsidRPr="00A47BE4">
        <w:rPr>
          <w:bCs/>
        </w:rPr>
        <w:t xml:space="preserve">This note has been included </w:t>
      </w:r>
      <w:r w:rsidR="00CB2B08" w:rsidRPr="00A47BE4">
        <w:rPr>
          <w:bCs/>
        </w:rPr>
        <w:t xml:space="preserve">to help clarify the scope of the general obligation, which </w:t>
      </w:r>
      <w:r w:rsidR="006A0D39" w:rsidRPr="00A47BE4">
        <w:rPr>
          <w:bCs/>
        </w:rPr>
        <w:t>does not</w:t>
      </w:r>
      <w:r w:rsidR="00BD7A96" w:rsidRPr="00A47BE4">
        <w:rPr>
          <w:bCs/>
        </w:rPr>
        <w:t xml:space="preserve"> prevent </w:t>
      </w:r>
      <w:r w:rsidR="00195C71" w:rsidRPr="00A47BE4">
        <w:rPr>
          <w:bCs/>
        </w:rPr>
        <w:t xml:space="preserve">a </w:t>
      </w:r>
      <w:r w:rsidR="009F3128" w:rsidRPr="00A47BE4">
        <w:rPr>
          <w:bCs/>
        </w:rPr>
        <w:t>Covered Licensee</w:t>
      </w:r>
      <w:r w:rsidR="00195C71" w:rsidRPr="00A47BE4">
        <w:rPr>
          <w:bCs/>
        </w:rPr>
        <w:t xml:space="preserve"> </w:t>
      </w:r>
      <w:r w:rsidR="00BD7A96" w:rsidRPr="00A47BE4">
        <w:rPr>
          <w:bCs/>
        </w:rPr>
        <w:t>from imposing risk-based access requirements</w:t>
      </w:r>
      <w:r w:rsidR="003F2ADE" w:rsidRPr="00A47BE4">
        <w:rPr>
          <w:bCs/>
        </w:rPr>
        <w:t xml:space="preserve"> in order to comply with </w:t>
      </w:r>
      <w:r w:rsidR="00BA5C68" w:rsidRPr="00A47BE4">
        <w:rPr>
          <w:bCs/>
        </w:rPr>
        <w:t>its obligations as a CS facility licensee</w:t>
      </w:r>
      <w:r w:rsidR="003F2ADE" w:rsidRPr="00A47BE4">
        <w:rPr>
          <w:bCs/>
        </w:rPr>
        <w:t xml:space="preserve">. </w:t>
      </w:r>
    </w:p>
    <w:p w14:paraId="2CA5811C" w14:textId="187093BE" w:rsidR="00357062" w:rsidRPr="00A47BE4" w:rsidRDefault="00A47BE4" w:rsidP="000A334C">
      <w:pPr>
        <w:pStyle w:val="LI-BodyTextParaa"/>
        <w:ind w:left="567"/>
        <w:rPr>
          <w:bCs/>
        </w:rPr>
      </w:pPr>
      <w:r>
        <w:rPr>
          <w:bCs/>
        </w:rPr>
        <w:t>46</w:t>
      </w:r>
      <w:r w:rsidR="00357062" w:rsidRPr="00A47BE4">
        <w:rPr>
          <w:bCs/>
        </w:rPr>
        <w:t>.</w:t>
      </w:r>
      <w:r w:rsidR="00357062" w:rsidRPr="00A47BE4">
        <w:rPr>
          <w:bCs/>
        </w:rPr>
        <w:tab/>
        <w:t xml:space="preserve">Subrule 2.3.1(2) </w:t>
      </w:r>
      <w:r w:rsidR="00FB2A04" w:rsidRPr="00A47BE4">
        <w:rPr>
          <w:bCs/>
        </w:rPr>
        <w:t xml:space="preserve">supplements subrule (1) </w:t>
      </w:r>
      <w:r w:rsidR="000C7C3C" w:rsidRPr="00A47BE4">
        <w:rPr>
          <w:bCs/>
        </w:rPr>
        <w:t xml:space="preserve">by specifying </w:t>
      </w:r>
      <w:r w:rsidR="00357062" w:rsidRPr="00A47BE4">
        <w:rPr>
          <w:bCs/>
        </w:rPr>
        <w:t>that a CS Service Provider must take all reasonable steps to ensure that:</w:t>
      </w:r>
    </w:p>
    <w:p w14:paraId="64B6729B" w14:textId="6B081D6F" w:rsidR="00357062" w:rsidRPr="00A47BE4" w:rsidRDefault="00F965DC" w:rsidP="00901680">
      <w:pPr>
        <w:pStyle w:val="LI-BodyTextParaa"/>
        <w:numPr>
          <w:ilvl w:val="0"/>
          <w:numId w:val="17"/>
        </w:numPr>
        <w:rPr>
          <w:bCs/>
        </w:rPr>
      </w:pPr>
      <w:r w:rsidRPr="00A47BE4">
        <w:rPr>
          <w:bCs/>
        </w:rPr>
        <w:lastRenderedPageBreak/>
        <w:t xml:space="preserve">it deals with </w:t>
      </w:r>
      <w:r w:rsidR="003D483E" w:rsidRPr="00A47BE4">
        <w:rPr>
          <w:bCs/>
        </w:rPr>
        <w:t>access requests</w:t>
      </w:r>
      <w:r w:rsidRPr="00A47BE4">
        <w:rPr>
          <w:bCs/>
        </w:rPr>
        <w:t xml:space="preserve"> in a fair and timely way; and</w:t>
      </w:r>
    </w:p>
    <w:p w14:paraId="5F4F9C35" w14:textId="7B71FE17" w:rsidR="00F965DC" w:rsidRDefault="00F965DC" w:rsidP="00901680">
      <w:pPr>
        <w:pStyle w:val="LI-BodyTextParaa"/>
        <w:numPr>
          <w:ilvl w:val="0"/>
          <w:numId w:val="17"/>
        </w:numPr>
        <w:rPr>
          <w:bCs/>
        </w:rPr>
      </w:pPr>
      <w:r>
        <w:rPr>
          <w:bCs/>
        </w:rPr>
        <w:t>the design of its Core Systems facilitates technical interoperability; and</w:t>
      </w:r>
    </w:p>
    <w:p w14:paraId="6B4F7BA0" w14:textId="7452DAF6" w:rsidR="00F965DC" w:rsidRDefault="00F965DC" w:rsidP="00901680">
      <w:pPr>
        <w:pStyle w:val="LI-BodyTextParaa"/>
        <w:numPr>
          <w:ilvl w:val="0"/>
          <w:numId w:val="17"/>
        </w:numPr>
        <w:rPr>
          <w:bCs/>
        </w:rPr>
      </w:pPr>
      <w:r>
        <w:rPr>
          <w:bCs/>
        </w:rPr>
        <w:t>its Core Systems are designed and developed in a way that does not create or raise barriers to access by Unaffiliated Entities.</w:t>
      </w:r>
    </w:p>
    <w:p w14:paraId="7A2C8AC9" w14:textId="1EEF2ABD" w:rsidR="004C4BA6" w:rsidRDefault="00A47BE4" w:rsidP="00F965DC">
      <w:pPr>
        <w:pStyle w:val="LI-BodyTextParaa"/>
        <w:ind w:left="567"/>
        <w:rPr>
          <w:bCs/>
        </w:rPr>
      </w:pPr>
      <w:r>
        <w:rPr>
          <w:bCs/>
        </w:rPr>
        <w:t>47</w:t>
      </w:r>
      <w:r w:rsidR="004C4BA6">
        <w:rPr>
          <w:bCs/>
        </w:rPr>
        <w:t>.</w:t>
      </w:r>
      <w:r w:rsidR="004C4BA6">
        <w:rPr>
          <w:bCs/>
        </w:rPr>
        <w:tab/>
      </w:r>
      <w:r w:rsidR="002318BB">
        <w:rPr>
          <w:bCs/>
        </w:rPr>
        <w:t>W</w:t>
      </w:r>
      <w:r w:rsidR="00117049">
        <w:rPr>
          <w:bCs/>
        </w:rPr>
        <w:t>ithout limiting the manner in which a CS Service Provider complies with subrule</w:t>
      </w:r>
      <w:r w:rsidR="00AA3782">
        <w:rPr>
          <w:bCs/>
        </w:rPr>
        <w:t>s</w:t>
      </w:r>
      <w:r w:rsidR="00117049">
        <w:rPr>
          <w:bCs/>
        </w:rPr>
        <w:t xml:space="preserve"> 2.3.1(1) and (2), a CS Service Provider must:</w:t>
      </w:r>
    </w:p>
    <w:p w14:paraId="691ED1BF" w14:textId="660E47FF" w:rsidR="00117049" w:rsidRDefault="00117049" w:rsidP="00901680">
      <w:pPr>
        <w:pStyle w:val="LI-BodyTextParaa"/>
        <w:numPr>
          <w:ilvl w:val="0"/>
          <w:numId w:val="18"/>
        </w:numPr>
        <w:rPr>
          <w:bCs/>
        </w:rPr>
      </w:pPr>
      <w:r>
        <w:rPr>
          <w:bCs/>
        </w:rPr>
        <w:t xml:space="preserve">not discriminate in favour of </w:t>
      </w:r>
      <w:r w:rsidR="009A7185">
        <w:rPr>
          <w:bCs/>
        </w:rPr>
        <w:t>itself</w:t>
      </w:r>
      <w:r>
        <w:rPr>
          <w:bCs/>
        </w:rPr>
        <w:t xml:space="preserve"> or any of its Associated Entities, except to the extent that the efficient costs of providing the same Covered Service to another party is higher; and</w:t>
      </w:r>
    </w:p>
    <w:p w14:paraId="29337FC5" w14:textId="586BBB6B" w:rsidR="00117049" w:rsidRDefault="00117049" w:rsidP="00901680">
      <w:pPr>
        <w:pStyle w:val="LI-BodyTextParaa"/>
        <w:numPr>
          <w:ilvl w:val="0"/>
          <w:numId w:val="18"/>
        </w:numPr>
        <w:rPr>
          <w:bCs/>
        </w:rPr>
      </w:pPr>
      <w:r>
        <w:rPr>
          <w:bCs/>
        </w:rPr>
        <w:t>take all reasonable steps to ensure that the terms and conditions of its agreements with Users ensure the provision of:</w:t>
      </w:r>
    </w:p>
    <w:p w14:paraId="3A9D305B" w14:textId="16D0A3B0" w:rsidR="00117049" w:rsidRDefault="00117049" w:rsidP="00901680">
      <w:pPr>
        <w:pStyle w:val="LI-BodyTextParaa"/>
        <w:numPr>
          <w:ilvl w:val="0"/>
          <w:numId w:val="19"/>
        </w:numPr>
        <w:rPr>
          <w:bCs/>
        </w:rPr>
      </w:pPr>
      <w:r>
        <w:rPr>
          <w:bCs/>
        </w:rPr>
        <w:t>Covered Services; and</w:t>
      </w:r>
    </w:p>
    <w:p w14:paraId="4C06BFB2" w14:textId="4FC4C40E" w:rsidR="00117049" w:rsidRDefault="00AA3782" w:rsidP="00901680">
      <w:pPr>
        <w:pStyle w:val="LI-BodyTextParaa"/>
        <w:numPr>
          <w:ilvl w:val="0"/>
          <w:numId w:val="19"/>
        </w:numPr>
        <w:rPr>
          <w:bCs/>
        </w:rPr>
      </w:pPr>
      <w:r>
        <w:rPr>
          <w:bCs/>
        </w:rPr>
        <w:t>a</w:t>
      </w:r>
      <w:r w:rsidR="00117049">
        <w:rPr>
          <w:bCs/>
        </w:rPr>
        <w:t>ccess to its Core Systems or data;</w:t>
      </w:r>
    </w:p>
    <w:p w14:paraId="330F8B9B" w14:textId="3D100700" w:rsidR="00117049" w:rsidRDefault="00117049" w:rsidP="00A47BE4">
      <w:pPr>
        <w:pStyle w:val="LI-BodyTextParaa"/>
        <w:ind w:left="927" w:firstLine="0"/>
        <w:rPr>
          <w:bCs/>
        </w:rPr>
      </w:pPr>
      <w:r>
        <w:rPr>
          <w:bCs/>
        </w:rPr>
        <w:t xml:space="preserve">is on commercial, transparent and non-discriminatory terms, consistent with the legitimate business interests of </w:t>
      </w:r>
      <w:r w:rsidR="00BE0017">
        <w:rPr>
          <w:bCs/>
        </w:rPr>
        <w:t>the CS Service Provider and its access seekers</w:t>
      </w:r>
      <w:r>
        <w:rPr>
          <w:bCs/>
        </w:rPr>
        <w:t>, including through the use of standardised terms and conditions; and</w:t>
      </w:r>
    </w:p>
    <w:p w14:paraId="774C33BF" w14:textId="254CCA13" w:rsidR="00117049" w:rsidRDefault="00117049" w:rsidP="00901680">
      <w:pPr>
        <w:pStyle w:val="LI-BodyTextParaa"/>
        <w:numPr>
          <w:ilvl w:val="0"/>
          <w:numId w:val="20"/>
        </w:numPr>
        <w:rPr>
          <w:bCs/>
        </w:rPr>
      </w:pPr>
      <w:r>
        <w:rPr>
          <w:bCs/>
        </w:rPr>
        <w:t>maintain and publish policies and procedures, including governance arrangements that promote access to Covered Services by Unaffiliated Entities on operational and commercial terms and with service levels that are equivalent to those that apply to the CS Service Provider or any of its Associated Entities; and</w:t>
      </w:r>
    </w:p>
    <w:p w14:paraId="73038238" w14:textId="7A5F879C" w:rsidR="00117049" w:rsidRDefault="00117049" w:rsidP="00901680">
      <w:pPr>
        <w:pStyle w:val="LI-BodyTextParaa"/>
        <w:numPr>
          <w:ilvl w:val="0"/>
          <w:numId w:val="20"/>
        </w:numPr>
        <w:rPr>
          <w:bCs/>
        </w:rPr>
      </w:pPr>
      <w:r>
        <w:rPr>
          <w:bCs/>
        </w:rPr>
        <w:t>maintain and publish policies and procedures that:</w:t>
      </w:r>
    </w:p>
    <w:p w14:paraId="52279846" w14:textId="296B51B6" w:rsidR="00117049" w:rsidRDefault="00117049" w:rsidP="00901680">
      <w:pPr>
        <w:pStyle w:val="LI-BodyTextParaa"/>
        <w:numPr>
          <w:ilvl w:val="0"/>
          <w:numId w:val="21"/>
        </w:numPr>
        <w:rPr>
          <w:bCs/>
        </w:rPr>
      </w:pPr>
      <w:r>
        <w:rPr>
          <w:bCs/>
        </w:rPr>
        <w:t xml:space="preserve">require </w:t>
      </w:r>
      <w:r w:rsidR="000D398E">
        <w:rPr>
          <w:bCs/>
        </w:rPr>
        <w:t>access requests</w:t>
      </w:r>
      <w:r>
        <w:rPr>
          <w:bCs/>
        </w:rPr>
        <w:t xml:space="preserve"> to be dealt with in a fair and timely way; and</w:t>
      </w:r>
    </w:p>
    <w:p w14:paraId="0FFEAD32" w14:textId="1712B602" w:rsidR="00117049" w:rsidRDefault="00117049" w:rsidP="00901680">
      <w:pPr>
        <w:pStyle w:val="LI-BodyTextParaa"/>
        <w:numPr>
          <w:ilvl w:val="0"/>
          <w:numId w:val="21"/>
        </w:numPr>
        <w:rPr>
          <w:bCs/>
        </w:rPr>
      </w:pPr>
      <w:r>
        <w:rPr>
          <w:bCs/>
        </w:rPr>
        <w:t>specify reasonable timeframes for responding to and progressing enquiries, requests for access and complaints; and</w:t>
      </w:r>
    </w:p>
    <w:p w14:paraId="493C36BD" w14:textId="4B17C8A8" w:rsidR="00117049" w:rsidRDefault="00117049" w:rsidP="00901680">
      <w:pPr>
        <w:pStyle w:val="LI-BodyTextParaa"/>
        <w:numPr>
          <w:ilvl w:val="0"/>
          <w:numId w:val="21"/>
        </w:numPr>
        <w:rPr>
          <w:bCs/>
        </w:rPr>
      </w:pPr>
      <w:r>
        <w:rPr>
          <w:bCs/>
        </w:rPr>
        <w:t>specify reasonable timeframes and arrangements for resolving disputes; and</w:t>
      </w:r>
    </w:p>
    <w:p w14:paraId="18F2D37E" w14:textId="30303695" w:rsidR="00117049" w:rsidRDefault="00117049" w:rsidP="00901680">
      <w:pPr>
        <w:pStyle w:val="LI-BodyTextParaa"/>
        <w:numPr>
          <w:ilvl w:val="0"/>
          <w:numId w:val="20"/>
        </w:numPr>
        <w:rPr>
          <w:bCs/>
        </w:rPr>
      </w:pPr>
      <w:r>
        <w:rPr>
          <w:bCs/>
        </w:rPr>
        <w:t xml:space="preserve">ensure </w:t>
      </w:r>
      <w:r w:rsidR="00373A16">
        <w:rPr>
          <w:bCs/>
        </w:rPr>
        <w:t xml:space="preserve">that </w:t>
      </w:r>
      <w:r>
        <w:rPr>
          <w:bCs/>
        </w:rPr>
        <w:t xml:space="preserve">the </w:t>
      </w:r>
      <w:r w:rsidR="00444D42">
        <w:rPr>
          <w:bCs/>
        </w:rPr>
        <w:t xml:space="preserve">above </w:t>
      </w:r>
      <w:r>
        <w:rPr>
          <w:bCs/>
        </w:rPr>
        <w:t xml:space="preserve">policies and procedures </w:t>
      </w:r>
      <w:r w:rsidR="00702DFC">
        <w:rPr>
          <w:bCs/>
        </w:rPr>
        <w:t xml:space="preserve">do not affect either party’s right to refer a dispute for arbitration by the ACCC in accordance with Part XICB of the </w:t>
      </w:r>
      <w:r w:rsidR="00702DFC">
        <w:rPr>
          <w:bCs/>
          <w:i/>
          <w:iCs/>
        </w:rPr>
        <w:t>Competition and Consumer Act 2010</w:t>
      </w:r>
      <w:r w:rsidR="00A95874">
        <w:rPr>
          <w:bCs/>
        </w:rPr>
        <w:t>; and</w:t>
      </w:r>
    </w:p>
    <w:p w14:paraId="02B5A7BB" w14:textId="0C2CDCE5" w:rsidR="00A95874" w:rsidRDefault="00A95874" w:rsidP="00901680">
      <w:pPr>
        <w:pStyle w:val="LI-BodyTextParaa"/>
        <w:numPr>
          <w:ilvl w:val="0"/>
          <w:numId w:val="20"/>
        </w:numPr>
        <w:rPr>
          <w:bCs/>
        </w:rPr>
      </w:pPr>
      <w:r>
        <w:rPr>
          <w:bCs/>
        </w:rPr>
        <w:t>maintain and publish policies and procedures designed to ensure that investment, design or development of its Core Systems, including changes to its Core Systems, do not create or raise barriers to access from Unaffiliated Entities; and</w:t>
      </w:r>
    </w:p>
    <w:p w14:paraId="607CFE8C" w14:textId="77777777" w:rsidR="00100D0F" w:rsidRDefault="00A95874" w:rsidP="00901680">
      <w:pPr>
        <w:pStyle w:val="LI-BodyTextParaa"/>
        <w:numPr>
          <w:ilvl w:val="0"/>
          <w:numId w:val="20"/>
        </w:numPr>
        <w:rPr>
          <w:bCs/>
        </w:rPr>
      </w:pPr>
      <w:r>
        <w:rPr>
          <w:bCs/>
        </w:rPr>
        <w:lastRenderedPageBreak/>
        <w:t>include in any public statements about material investments in Core Systems, a statement whether the policies and procedures referred to in paragraph 2.3.1(3)(f) have been complied with.</w:t>
      </w:r>
    </w:p>
    <w:p w14:paraId="19281616" w14:textId="1D666378" w:rsidR="00100D0F" w:rsidRDefault="00100D0F" w:rsidP="00100D0F">
      <w:pPr>
        <w:pStyle w:val="LI-BodyTextParaa"/>
        <w:ind w:left="0" w:firstLine="0"/>
        <w:rPr>
          <w:bCs/>
          <w:u w:val="single"/>
        </w:rPr>
      </w:pPr>
      <w:r>
        <w:rPr>
          <w:bCs/>
          <w:u w:val="single"/>
        </w:rPr>
        <w:t>Part 2.4 – Reporting, policies and procedures</w:t>
      </w:r>
    </w:p>
    <w:p w14:paraId="2F627F80" w14:textId="681FA0B8" w:rsidR="00100D0F" w:rsidRDefault="00100D0F" w:rsidP="00100D0F">
      <w:pPr>
        <w:pStyle w:val="LI-BodyTextParaa"/>
        <w:ind w:left="0" w:firstLine="0"/>
        <w:rPr>
          <w:bCs/>
          <w:u w:val="single"/>
        </w:rPr>
      </w:pPr>
      <w:r>
        <w:rPr>
          <w:bCs/>
          <w:u w:val="single"/>
        </w:rPr>
        <w:t>Rule 2.4.1 Covered Services comparative report</w:t>
      </w:r>
    </w:p>
    <w:p w14:paraId="2FCB8467" w14:textId="2785A344" w:rsidR="00100D0F" w:rsidRPr="00D97346" w:rsidRDefault="00A47BE4" w:rsidP="00100D0F">
      <w:pPr>
        <w:pStyle w:val="LI-BodyTextParaa"/>
        <w:ind w:left="567"/>
        <w:rPr>
          <w:bCs/>
        </w:rPr>
      </w:pPr>
      <w:r>
        <w:rPr>
          <w:bCs/>
        </w:rPr>
        <w:t>48</w:t>
      </w:r>
      <w:r w:rsidR="00100D0F">
        <w:rPr>
          <w:bCs/>
        </w:rPr>
        <w:t>.</w:t>
      </w:r>
      <w:r w:rsidR="00100D0F">
        <w:rPr>
          <w:bCs/>
        </w:rPr>
        <w:tab/>
      </w:r>
      <w:r w:rsidR="005F3CE9">
        <w:rPr>
          <w:bCs/>
        </w:rPr>
        <w:t>R</w:t>
      </w:r>
      <w:r w:rsidR="00100D0F">
        <w:rPr>
          <w:bCs/>
        </w:rPr>
        <w:t>ule 2.4.1</w:t>
      </w:r>
      <w:r w:rsidR="00AE3729">
        <w:rPr>
          <w:bCs/>
        </w:rPr>
        <w:t xml:space="preserve"> </w:t>
      </w:r>
      <w:r w:rsidR="00AB30B0">
        <w:rPr>
          <w:bCs/>
        </w:rPr>
        <w:t>aims</w:t>
      </w:r>
      <w:r w:rsidR="00AE3729">
        <w:rPr>
          <w:bCs/>
        </w:rPr>
        <w:t xml:space="preserve"> to enhance transparency </w:t>
      </w:r>
      <w:r w:rsidR="00EE0FE3">
        <w:rPr>
          <w:bCs/>
        </w:rPr>
        <w:t xml:space="preserve">about </w:t>
      </w:r>
      <w:r w:rsidR="00870AF0">
        <w:rPr>
          <w:bCs/>
        </w:rPr>
        <w:t>the</w:t>
      </w:r>
      <w:r w:rsidR="00EE0FE3">
        <w:rPr>
          <w:bCs/>
        </w:rPr>
        <w:t xml:space="preserve"> pricing </w:t>
      </w:r>
      <w:r w:rsidR="00870AF0">
        <w:rPr>
          <w:bCs/>
        </w:rPr>
        <w:t xml:space="preserve">of Covered Services </w:t>
      </w:r>
      <w:r w:rsidR="00EE0FE3">
        <w:rPr>
          <w:bCs/>
        </w:rPr>
        <w:t xml:space="preserve">by requiring </w:t>
      </w:r>
      <w:r w:rsidR="00870AF0">
        <w:rPr>
          <w:bCs/>
        </w:rPr>
        <w:t>a C</w:t>
      </w:r>
      <w:r w:rsidR="0036585B">
        <w:rPr>
          <w:bCs/>
        </w:rPr>
        <w:t xml:space="preserve">S Service Provider </w:t>
      </w:r>
      <w:r w:rsidR="009619EE">
        <w:rPr>
          <w:bCs/>
        </w:rPr>
        <w:t xml:space="preserve">to obtain an independent </w:t>
      </w:r>
      <w:r w:rsidR="00572B58">
        <w:rPr>
          <w:bCs/>
        </w:rPr>
        <w:t xml:space="preserve">expert </w:t>
      </w:r>
      <w:r w:rsidR="009619EE">
        <w:rPr>
          <w:bCs/>
        </w:rPr>
        <w:t xml:space="preserve">report </w:t>
      </w:r>
      <w:r w:rsidR="00A528E5">
        <w:rPr>
          <w:bCs/>
        </w:rPr>
        <w:t xml:space="preserve">comparing the pricing of </w:t>
      </w:r>
      <w:r w:rsidR="005903AD">
        <w:rPr>
          <w:bCs/>
        </w:rPr>
        <w:t xml:space="preserve">its Covered Services with the price of similar </w:t>
      </w:r>
      <w:r w:rsidR="00F8709D">
        <w:rPr>
          <w:bCs/>
        </w:rPr>
        <w:t>services in other comparable international markets</w:t>
      </w:r>
      <w:r w:rsidR="00CF4D51">
        <w:rPr>
          <w:bCs/>
        </w:rPr>
        <w:t xml:space="preserve">. This report must be prepared and published within a </w:t>
      </w:r>
      <w:r w:rsidR="00CF4D51" w:rsidRPr="00D97346">
        <w:rPr>
          <w:bCs/>
        </w:rPr>
        <w:t xml:space="preserve">year of the rules commencing and </w:t>
      </w:r>
      <w:r w:rsidR="00BE6C65" w:rsidRPr="00D97346">
        <w:rPr>
          <w:bCs/>
        </w:rPr>
        <w:t>subsequently at least every five years.</w:t>
      </w:r>
      <w:r w:rsidR="000776C1" w:rsidRPr="00D97346">
        <w:rPr>
          <w:bCs/>
        </w:rPr>
        <w:t xml:space="preserve"> For guidance on the independence of experts, see </w:t>
      </w:r>
      <w:r w:rsidR="00B8524C" w:rsidRPr="00D97346">
        <w:rPr>
          <w:bCs/>
        </w:rPr>
        <w:t xml:space="preserve">ASIC </w:t>
      </w:r>
      <w:r w:rsidR="000776C1" w:rsidRPr="00D97346">
        <w:rPr>
          <w:bCs/>
        </w:rPr>
        <w:t xml:space="preserve">Regulatory Guide 112 </w:t>
      </w:r>
      <w:r w:rsidR="000776C1" w:rsidRPr="00D97346">
        <w:rPr>
          <w:bCs/>
          <w:i/>
          <w:iCs/>
        </w:rPr>
        <w:t>Independence of experts</w:t>
      </w:r>
      <w:r w:rsidR="000776C1" w:rsidRPr="00D97346">
        <w:rPr>
          <w:bCs/>
        </w:rPr>
        <w:t xml:space="preserve"> (RG 112). </w:t>
      </w:r>
    </w:p>
    <w:p w14:paraId="25B4FAEA" w14:textId="7613E195" w:rsidR="00100D0F" w:rsidRDefault="00A47BE4" w:rsidP="00100D0F">
      <w:pPr>
        <w:pStyle w:val="LI-BodyTextParaa"/>
        <w:ind w:left="567"/>
        <w:rPr>
          <w:bCs/>
        </w:rPr>
      </w:pPr>
      <w:r w:rsidRPr="00D97346">
        <w:rPr>
          <w:bCs/>
        </w:rPr>
        <w:t>49</w:t>
      </w:r>
      <w:r w:rsidR="00100D0F" w:rsidRPr="00D97346">
        <w:rPr>
          <w:bCs/>
        </w:rPr>
        <w:t>.</w:t>
      </w:r>
      <w:r w:rsidR="00100D0F" w:rsidRPr="00D97346">
        <w:rPr>
          <w:bCs/>
        </w:rPr>
        <w:tab/>
      </w:r>
      <w:r w:rsidR="000D2F92" w:rsidRPr="00D97346">
        <w:rPr>
          <w:bCs/>
        </w:rPr>
        <w:t xml:space="preserve">In addition to providing an evidence </w:t>
      </w:r>
      <w:r w:rsidR="00325CCE" w:rsidRPr="00D97346">
        <w:rPr>
          <w:bCs/>
        </w:rPr>
        <w:t xml:space="preserve">set </w:t>
      </w:r>
      <w:r w:rsidR="00C54072" w:rsidRPr="00D97346">
        <w:rPr>
          <w:bCs/>
        </w:rPr>
        <w:t xml:space="preserve">about the pricing for Covered Services </w:t>
      </w:r>
      <w:r w:rsidR="00421776" w:rsidRPr="00D97346">
        <w:rPr>
          <w:bCs/>
        </w:rPr>
        <w:t xml:space="preserve">relative to international </w:t>
      </w:r>
      <w:r w:rsidR="00A65565" w:rsidRPr="00D97346">
        <w:rPr>
          <w:bCs/>
        </w:rPr>
        <w:t xml:space="preserve">markets, </w:t>
      </w:r>
      <w:r w:rsidR="006C39C3" w:rsidRPr="00D97346">
        <w:rPr>
          <w:bCs/>
        </w:rPr>
        <w:t>it is expected that th</w:t>
      </w:r>
      <w:r w:rsidR="00034112" w:rsidRPr="00D97346">
        <w:rPr>
          <w:bCs/>
        </w:rPr>
        <w:t xml:space="preserve">is </w:t>
      </w:r>
      <w:r w:rsidR="00A4526F" w:rsidRPr="00D97346">
        <w:rPr>
          <w:bCs/>
        </w:rPr>
        <w:t xml:space="preserve">regular </w:t>
      </w:r>
      <w:r w:rsidR="00034112" w:rsidRPr="00D97346">
        <w:rPr>
          <w:bCs/>
        </w:rPr>
        <w:t xml:space="preserve">exercise will itself </w:t>
      </w:r>
      <w:r w:rsidR="00FC2489" w:rsidRPr="00D97346">
        <w:rPr>
          <w:bCs/>
        </w:rPr>
        <w:t>have a disciplining effect on</w:t>
      </w:r>
      <w:r w:rsidR="00A03849" w:rsidRPr="00D97346">
        <w:rPr>
          <w:bCs/>
        </w:rPr>
        <w:t xml:space="preserve"> the pricing conduct of CS Service Providers</w:t>
      </w:r>
      <w:r w:rsidR="00A4526F" w:rsidRPr="00D97346">
        <w:rPr>
          <w:bCs/>
        </w:rPr>
        <w:t xml:space="preserve">. </w:t>
      </w:r>
      <w:r w:rsidR="00296AFE" w:rsidRPr="00D97346">
        <w:rPr>
          <w:bCs/>
        </w:rPr>
        <w:t>To guard against the possibility that a CS Service Provider</w:t>
      </w:r>
      <w:r w:rsidR="00296AFE">
        <w:rPr>
          <w:bCs/>
        </w:rPr>
        <w:t xml:space="preserve"> </w:t>
      </w:r>
      <w:r w:rsidR="00AE0B08">
        <w:rPr>
          <w:bCs/>
        </w:rPr>
        <w:t>could</w:t>
      </w:r>
      <w:r w:rsidR="00296AFE">
        <w:rPr>
          <w:bCs/>
        </w:rPr>
        <w:t xml:space="preserve"> frame the terms of reference </w:t>
      </w:r>
      <w:r w:rsidR="00AE0B08">
        <w:rPr>
          <w:bCs/>
        </w:rPr>
        <w:t xml:space="preserve">for the comparative report </w:t>
      </w:r>
      <w:r w:rsidR="00833E3B">
        <w:rPr>
          <w:bCs/>
        </w:rPr>
        <w:t xml:space="preserve">in a way that is likely to produce a more favourable </w:t>
      </w:r>
      <w:r w:rsidR="008B5849">
        <w:rPr>
          <w:bCs/>
        </w:rPr>
        <w:t xml:space="preserve">outcome, </w:t>
      </w:r>
      <w:r w:rsidR="00A717A6">
        <w:rPr>
          <w:bCs/>
        </w:rPr>
        <w:t>R</w:t>
      </w:r>
      <w:r w:rsidR="008B5849">
        <w:rPr>
          <w:bCs/>
        </w:rPr>
        <w:t xml:space="preserve">ule 2.1.2 (discussed above) </w:t>
      </w:r>
      <w:r w:rsidR="002A0E20">
        <w:rPr>
          <w:bCs/>
        </w:rPr>
        <w:t xml:space="preserve">requires </w:t>
      </w:r>
      <w:r w:rsidR="005B7B98">
        <w:rPr>
          <w:bCs/>
        </w:rPr>
        <w:t xml:space="preserve">a CS Service Provider </w:t>
      </w:r>
      <w:r w:rsidR="00E25F82">
        <w:rPr>
          <w:bCs/>
        </w:rPr>
        <w:t xml:space="preserve">to </w:t>
      </w:r>
      <w:r w:rsidR="003939F6">
        <w:rPr>
          <w:bCs/>
        </w:rPr>
        <w:t xml:space="preserve">enable the User representative body or bodies to review and provide feedback on the proposed terms of reference, and to </w:t>
      </w:r>
      <w:r w:rsidR="00F41301">
        <w:rPr>
          <w:bCs/>
        </w:rPr>
        <w:t>have regard to such feedback before</w:t>
      </w:r>
      <w:r w:rsidR="00186D0F">
        <w:rPr>
          <w:bCs/>
        </w:rPr>
        <w:t xml:space="preserve"> finalisation</w:t>
      </w:r>
      <w:r w:rsidR="00296AFE">
        <w:rPr>
          <w:bCs/>
        </w:rPr>
        <w:t xml:space="preserve">. </w:t>
      </w:r>
    </w:p>
    <w:p w14:paraId="732EE31B" w14:textId="0A768637" w:rsidR="00100D0F" w:rsidRDefault="00100D0F" w:rsidP="00100D0F">
      <w:pPr>
        <w:pStyle w:val="LI-BodyTextParaa"/>
        <w:ind w:left="0" w:firstLine="0"/>
        <w:rPr>
          <w:bCs/>
          <w:u w:val="single"/>
        </w:rPr>
      </w:pPr>
      <w:r>
        <w:rPr>
          <w:bCs/>
          <w:u w:val="single"/>
        </w:rPr>
        <w:t>Rule 2.4.2 Cost Allocation Model report</w:t>
      </w:r>
    </w:p>
    <w:p w14:paraId="2B12A19A" w14:textId="69FBB497" w:rsidR="000C0045" w:rsidRDefault="00A47BE4" w:rsidP="000C0045">
      <w:pPr>
        <w:pStyle w:val="LI-BodyTextParaa"/>
        <w:ind w:left="567"/>
        <w:rPr>
          <w:bCs/>
        </w:rPr>
      </w:pPr>
      <w:r>
        <w:rPr>
          <w:bCs/>
        </w:rPr>
        <w:t>50</w:t>
      </w:r>
      <w:r w:rsidR="000C0045">
        <w:rPr>
          <w:bCs/>
        </w:rPr>
        <w:t>.</w:t>
      </w:r>
      <w:r w:rsidR="000C0045">
        <w:rPr>
          <w:bCs/>
        </w:rPr>
        <w:tab/>
      </w:r>
      <w:r w:rsidR="00EB1A5F">
        <w:rPr>
          <w:bCs/>
        </w:rPr>
        <w:t xml:space="preserve">Given the </w:t>
      </w:r>
      <w:r w:rsidR="00C04C1A">
        <w:rPr>
          <w:bCs/>
        </w:rPr>
        <w:t xml:space="preserve">significant impact that the allocation of costs can have on an entity’s cost base and on price levels, </w:t>
      </w:r>
      <w:r w:rsidR="0010316F">
        <w:rPr>
          <w:bCs/>
        </w:rPr>
        <w:t xml:space="preserve">it is important that </w:t>
      </w:r>
      <w:r w:rsidR="003E1BA9">
        <w:rPr>
          <w:bCs/>
        </w:rPr>
        <w:t xml:space="preserve">a CS Service Provider’s model for the internal allocation of costs (required under paragraph 2.2.1(2)(e)) </w:t>
      </w:r>
      <w:r w:rsidR="00A03503">
        <w:rPr>
          <w:bCs/>
        </w:rPr>
        <w:t xml:space="preserve">is subject to </w:t>
      </w:r>
      <w:r w:rsidR="003E5196">
        <w:rPr>
          <w:bCs/>
        </w:rPr>
        <w:t>independent</w:t>
      </w:r>
      <w:r w:rsidR="00A03503">
        <w:rPr>
          <w:bCs/>
        </w:rPr>
        <w:t xml:space="preserve"> review and challenge. </w:t>
      </w:r>
      <w:r w:rsidR="00AB5032">
        <w:rPr>
          <w:bCs/>
        </w:rPr>
        <w:t>R</w:t>
      </w:r>
      <w:r w:rsidR="000C0045">
        <w:rPr>
          <w:bCs/>
        </w:rPr>
        <w:t xml:space="preserve">ule 2.4.2 </w:t>
      </w:r>
      <w:r w:rsidR="003E5196">
        <w:rPr>
          <w:bCs/>
        </w:rPr>
        <w:t xml:space="preserve">accordingly </w:t>
      </w:r>
      <w:r w:rsidR="00572B58">
        <w:rPr>
          <w:bCs/>
        </w:rPr>
        <w:t>requires</w:t>
      </w:r>
      <w:r w:rsidR="000C0045">
        <w:rPr>
          <w:bCs/>
        </w:rPr>
        <w:t xml:space="preserve"> a CS Service Provider </w:t>
      </w:r>
      <w:r w:rsidR="00572B58">
        <w:rPr>
          <w:bCs/>
        </w:rPr>
        <w:t xml:space="preserve">to </w:t>
      </w:r>
      <w:r w:rsidR="000C0045">
        <w:rPr>
          <w:bCs/>
        </w:rPr>
        <w:t xml:space="preserve">engage an independent </w:t>
      </w:r>
      <w:r w:rsidR="00572B58">
        <w:rPr>
          <w:bCs/>
        </w:rPr>
        <w:t>expert</w:t>
      </w:r>
      <w:r w:rsidR="000C0045">
        <w:rPr>
          <w:bCs/>
        </w:rPr>
        <w:t xml:space="preserve"> to conduct a review and prepare a written report (</w:t>
      </w:r>
      <w:r w:rsidR="000C0045">
        <w:rPr>
          <w:b/>
          <w:i/>
          <w:iCs/>
        </w:rPr>
        <w:t>Cost Allocation Model Report</w:t>
      </w:r>
      <w:r w:rsidR="000C0045">
        <w:rPr>
          <w:bCs/>
        </w:rPr>
        <w:t xml:space="preserve">) about the extent to which the </w:t>
      </w:r>
      <w:r w:rsidR="00136543">
        <w:rPr>
          <w:bCs/>
        </w:rPr>
        <w:t>model</w:t>
      </w:r>
      <w:r w:rsidR="000C0045">
        <w:rPr>
          <w:bCs/>
        </w:rPr>
        <w:t xml:space="preserve"> ensures</w:t>
      </w:r>
      <w:r w:rsidR="00013E8C">
        <w:rPr>
          <w:bCs/>
        </w:rPr>
        <w:t xml:space="preserve"> that</w:t>
      </w:r>
      <w:r w:rsidR="009823E9">
        <w:rPr>
          <w:bCs/>
        </w:rPr>
        <w:t>:</w:t>
      </w:r>
    </w:p>
    <w:p w14:paraId="46947EDE" w14:textId="3F19B84B" w:rsidR="00013E8C" w:rsidRDefault="00013E8C" w:rsidP="00413793">
      <w:pPr>
        <w:pStyle w:val="LI-BodyTextParaa"/>
        <w:ind w:left="567" w:firstLine="0"/>
        <w:rPr>
          <w:bCs/>
        </w:rPr>
      </w:pPr>
      <w:r>
        <w:rPr>
          <w:bCs/>
        </w:rPr>
        <w:t xml:space="preserve">(a) where possible, </w:t>
      </w:r>
      <w:r w:rsidR="00413793">
        <w:rPr>
          <w:bCs/>
        </w:rPr>
        <w:t>costs are directly allocated to the services which give rise to the costs; and</w:t>
      </w:r>
    </w:p>
    <w:p w14:paraId="7ABA9D8C" w14:textId="5EC004DE" w:rsidR="00413793" w:rsidRDefault="00413793" w:rsidP="00A47BE4">
      <w:pPr>
        <w:pStyle w:val="LI-BodyTextParaa"/>
        <w:ind w:left="567" w:firstLine="0"/>
        <w:rPr>
          <w:bCs/>
        </w:rPr>
      </w:pPr>
      <w:r>
        <w:rPr>
          <w:bCs/>
        </w:rPr>
        <w:t xml:space="preserve">(b) </w:t>
      </w:r>
      <w:r w:rsidR="00C722B4">
        <w:rPr>
          <w:bCs/>
        </w:rPr>
        <w:t>shared costs are allocated based on appropriate, proportionate, and transparent metrics.</w:t>
      </w:r>
    </w:p>
    <w:p w14:paraId="2426B17B" w14:textId="127B6C7D" w:rsidR="000C0045" w:rsidRDefault="00A47BE4" w:rsidP="000C0045">
      <w:pPr>
        <w:pStyle w:val="LI-BodyTextParaa"/>
        <w:ind w:left="567"/>
        <w:rPr>
          <w:bCs/>
        </w:rPr>
      </w:pPr>
      <w:r>
        <w:rPr>
          <w:bCs/>
        </w:rPr>
        <w:t>51</w:t>
      </w:r>
      <w:r w:rsidR="000C0045">
        <w:rPr>
          <w:bCs/>
        </w:rPr>
        <w:t>.</w:t>
      </w:r>
      <w:r w:rsidR="000C0045">
        <w:rPr>
          <w:bCs/>
        </w:rPr>
        <w:tab/>
      </w:r>
      <w:r w:rsidR="003C2A38">
        <w:rPr>
          <w:bCs/>
        </w:rPr>
        <w:t xml:space="preserve">The </w:t>
      </w:r>
      <w:r w:rsidR="000C0045">
        <w:rPr>
          <w:bCs/>
        </w:rPr>
        <w:t>Cost Allocation Model Report must be</w:t>
      </w:r>
      <w:r w:rsidR="00DE34D2">
        <w:rPr>
          <w:bCs/>
        </w:rPr>
        <w:t xml:space="preserve"> prepared before </w:t>
      </w:r>
      <w:r w:rsidR="00093C6A">
        <w:rPr>
          <w:bCs/>
        </w:rPr>
        <w:t xml:space="preserve">any change is made to the </w:t>
      </w:r>
      <w:r w:rsidR="00690364">
        <w:rPr>
          <w:bCs/>
        </w:rPr>
        <w:t>internal cost allocation model</w:t>
      </w:r>
      <w:r w:rsidR="005D53A6">
        <w:rPr>
          <w:bCs/>
        </w:rPr>
        <w:t xml:space="preserve"> (and in any case within 13 months </w:t>
      </w:r>
      <w:r w:rsidR="004851C5">
        <w:rPr>
          <w:bCs/>
        </w:rPr>
        <w:t>of the commencement of the Rules)</w:t>
      </w:r>
      <w:r w:rsidR="00F01CF5">
        <w:rPr>
          <w:bCs/>
        </w:rPr>
        <w:t xml:space="preserve">, provided to the board of the CS Service Provider, and </w:t>
      </w:r>
      <w:r w:rsidR="00240D30">
        <w:rPr>
          <w:bCs/>
        </w:rPr>
        <w:t>made publicly available.</w:t>
      </w:r>
      <w:r w:rsidR="004851C5">
        <w:rPr>
          <w:bCs/>
        </w:rPr>
        <w:t xml:space="preserve"> </w:t>
      </w:r>
      <w:r w:rsidR="006A5B16">
        <w:rPr>
          <w:bCs/>
        </w:rPr>
        <w:t xml:space="preserve">This will ensure that the board has access to an independent expert view as to the degree to which the (proposed) internal cost allocation model achieves </w:t>
      </w:r>
      <w:r w:rsidR="00E90A21">
        <w:rPr>
          <w:bCs/>
        </w:rPr>
        <w:t xml:space="preserve">its intended outcomes and </w:t>
      </w:r>
      <w:r w:rsidR="005B0987">
        <w:rPr>
          <w:bCs/>
        </w:rPr>
        <w:t xml:space="preserve">enhance transparency as to </w:t>
      </w:r>
      <w:r w:rsidR="005F7650">
        <w:rPr>
          <w:bCs/>
        </w:rPr>
        <w:t>the pricing conduct of CS Service Providers</w:t>
      </w:r>
      <w:r w:rsidR="009B71E4">
        <w:rPr>
          <w:bCs/>
        </w:rPr>
        <w:t>.</w:t>
      </w:r>
    </w:p>
    <w:p w14:paraId="711168F6" w14:textId="2790AE4A" w:rsidR="00186AFF" w:rsidRDefault="00A47BE4" w:rsidP="000C0045">
      <w:pPr>
        <w:pStyle w:val="LI-BodyTextParaa"/>
        <w:ind w:left="567"/>
        <w:rPr>
          <w:bCs/>
        </w:rPr>
      </w:pPr>
      <w:r>
        <w:rPr>
          <w:bCs/>
        </w:rPr>
        <w:lastRenderedPageBreak/>
        <w:t>52</w:t>
      </w:r>
      <w:r w:rsidR="00186AFF">
        <w:rPr>
          <w:bCs/>
        </w:rPr>
        <w:t>.</w:t>
      </w:r>
      <w:r w:rsidR="00186AFF">
        <w:rPr>
          <w:bCs/>
        </w:rPr>
        <w:tab/>
      </w:r>
      <w:r w:rsidR="005F7650">
        <w:rPr>
          <w:bCs/>
        </w:rPr>
        <w:t xml:space="preserve">The </w:t>
      </w:r>
      <w:r w:rsidR="00A33BB0">
        <w:rPr>
          <w:bCs/>
        </w:rPr>
        <w:t xml:space="preserve">reporting </w:t>
      </w:r>
      <w:r w:rsidR="00DD670D">
        <w:rPr>
          <w:bCs/>
        </w:rPr>
        <w:t>trigger</w:t>
      </w:r>
      <w:r w:rsidR="00A33BB0">
        <w:rPr>
          <w:bCs/>
        </w:rPr>
        <w:t xml:space="preserve">s in </w:t>
      </w:r>
      <w:r w:rsidR="008D30F3">
        <w:rPr>
          <w:bCs/>
        </w:rPr>
        <w:t>rule 2.4.2 are designed to ensure that th</w:t>
      </w:r>
      <w:r w:rsidR="00E13326">
        <w:rPr>
          <w:bCs/>
        </w:rPr>
        <w:t xml:space="preserve">e internal cost allocation model maintained </w:t>
      </w:r>
      <w:r w:rsidR="008A4951">
        <w:rPr>
          <w:bCs/>
        </w:rPr>
        <w:t>and published by a CS Service Provider in accordance with paragraph 2.2.1(2)(e)</w:t>
      </w:r>
      <w:r w:rsidR="00531BBA">
        <w:rPr>
          <w:bCs/>
        </w:rPr>
        <w:t xml:space="preserve"> is </w:t>
      </w:r>
      <w:r w:rsidR="00650DE4">
        <w:rPr>
          <w:bCs/>
        </w:rPr>
        <w:t xml:space="preserve">accompanied by an independent expert </w:t>
      </w:r>
      <w:r w:rsidR="00104EDD">
        <w:rPr>
          <w:bCs/>
        </w:rPr>
        <w:t>report</w:t>
      </w:r>
      <w:r w:rsidR="00D84C5B">
        <w:rPr>
          <w:bCs/>
        </w:rPr>
        <w:t xml:space="preserve"> </w:t>
      </w:r>
      <w:r w:rsidR="00104EDD">
        <w:rPr>
          <w:bCs/>
        </w:rPr>
        <w:t xml:space="preserve">about the extent to which </w:t>
      </w:r>
      <w:r w:rsidR="00327930">
        <w:rPr>
          <w:bCs/>
        </w:rPr>
        <w:t>it ensures the matters identified in subparagraph 2.2.1(</w:t>
      </w:r>
      <w:r w:rsidR="00546D28">
        <w:rPr>
          <w:bCs/>
        </w:rPr>
        <w:t xml:space="preserve">2)(e)(ii). Changes that do not impact the operation of the model itself (for example, </w:t>
      </w:r>
      <w:r w:rsidR="00346963">
        <w:rPr>
          <w:bCs/>
        </w:rPr>
        <w:t xml:space="preserve">correcting typographical errors in underlying documents) will not trigger the reporting </w:t>
      </w:r>
      <w:r w:rsidR="00AE438E" w:rsidRPr="00A47BE4">
        <w:rPr>
          <w:bCs/>
        </w:rPr>
        <w:t>requirement in</w:t>
      </w:r>
      <w:r w:rsidR="001E2433" w:rsidRPr="00A47BE4">
        <w:rPr>
          <w:bCs/>
        </w:rPr>
        <w:t xml:space="preserve"> </w:t>
      </w:r>
      <w:r w:rsidR="00A17E7E" w:rsidRPr="00A47BE4">
        <w:rPr>
          <w:bCs/>
        </w:rPr>
        <w:t xml:space="preserve">paragraph </w:t>
      </w:r>
      <w:r w:rsidR="001E2433" w:rsidRPr="00A47BE4">
        <w:rPr>
          <w:bCs/>
        </w:rPr>
        <w:t>2.4.2(2)</w:t>
      </w:r>
      <w:r w:rsidR="00A17E7E" w:rsidRPr="00A47BE4">
        <w:rPr>
          <w:bCs/>
        </w:rPr>
        <w:t>(a)</w:t>
      </w:r>
      <w:r w:rsidR="006E3D1D" w:rsidRPr="00A47BE4">
        <w:rPr>
          <w:bCs/>
        </w:rPr>
        <w:t>.</w:t>
      </w:r>
    </w:p>
    <w:p w14:paraId="414068DF" w14:textId="28EEF036" w:rsidR="00100D0F" w:rsidRDefault="00100D0F" w:rsidP="00100D0F">
      <w:pPr>
        <w:pStyle w:val="LI-BodyTextParaa"/>
        <w:ind w:left="0" w:firstLine="0"/>
        <w:rPr>
          <w:bCs/>
          <w:u w:val="single"/>
        </w:rPr>
      </w:pPr>
      <w:r>
        <w:rPr>
          <w:bCs/>
          <w:u w:val="single"/>
        </w:rPr>
        <w:t>Rule 2.4.3 Management accounts</w:t>
      </w:r>
    </w:p>
    <w:p w14:paraId="33889865" w14:textId="0E39EB16" w:rsidR="00901680" w:rsidRDefault="00A47BE4" w:rsidP="00A47BE4">
      <w:pPr>
        <w:pStyle w:val="LI-BodyTextParaa"/>
        <w:ind w:left="567"/>
        <w:rPr>
          <w:bCs/>
        </w:rPr>
      </w:pPr>
      <w:r>
        <w:rPr>
          <w:bCs/>
        </w:rPr>
        <w:t>53</w:t>
      </w:r>
      <w:r w:rsidR="00901680">
        <w:rPr>
          <w:bCs/>
        </w:rPr>
        <w:t>.</w:t>
      </w:r>
      <w:r w:rsidR="00901680">
        <w:rPr>
          <w:bCs/>
        </w:rPr>
        <w:tab/>
      </w:r>
      <w:r w:rsidR="008B4519">
        <w:rPr>
          <w:bCs/>
        </w:rPr>
        <w:t xml:space="preserve">To further enhance </w:t>
      </w:r>
      <w:r w:rsidR="00ED458A">
        <w:rPr>
          <w:bCs/>
        </w:rPr>
        <w:t xml:space="preserve">pricing </w:t>
      </w:r>
      <w:r w:rsidR="008B4519">
        <w:rPr>
          <w:bCs/>
        </w:rPr>
        <w:t xml:space="preserve">transparency, </w:t>
      </w:r>
      <w:r w:rsidR="00901680">
        <w:rPr>
          <w:bCs/>
        </w:rPr>
        <w:t xml:space="preserve">rule 2.4.3 </w:t>
      </w:r>
      <w:r w:rsidR="008B4519">
        <w:rPr>
          <w:bCs/>
        </w:rPr>
        <w:t>requires</w:t>
      </w:r>
      <w:r w:rsidR="00901680">
        <w:rPr>
          <w:bCs/>
        </w:rPr>
        <w:t xml:space="preserve"> a Covered Licensee </w:t>
      </w:r>
      <w:r w:rsidR="006A1528">
        <w:rPr>
          <w:bCs/>
        </w:rPr>
        <w:t xml:space="preserve">to </w:t>
      </w:r>
      <w:r w:rsidR="00901680">
        <w:rPr>
          <w:bCs/>
        </w:rPr>
        <w:t>publish management accounts in respect of its Covered Services</w:t>
      </w:r>
      <w:r w:rsidR="00A93775">
        <w:rPr>
          <w:bCs/>
        </w:rPr>
        <w:t>,</w:t>
      </w:r>
      <w:r w:rsidR="00901680">
        <w:rPr>
          <w:bCs/>
        </w:rPr>
        <w:t xml:space="preserve"> </w:t>
      </w:r>
      <w:r w:rsidR="006A1528">
        <w:rPr>
          <w:bCs/>
        </w:rPr>
        <w:t xml:space="preserve">together with </w:t>
      </w:r>
      <w:r w:rsidR="00C63476">
        <w:rPr>
          <w:bCs/>
        </w:rPr>
        <w:t>an independent expert assurance</w:t>
      </w:r>
      <w:r w:rsidR="00A93775">
        <w:rPr>
          <w:bCs/>
        </w:rPr>
        <w:t>, for each financial year during which it provides Covered Services</w:t>
      </w:r>
      <w:r w:rsidR="00901680">
        <w:rPr>
          <w:bCs/>
        </w:rPr>
        <w:t>.</w:t>
      </w:r>
      <w:r w:rsidR="003E4D09">
        <w:rPr>
          <w:bCs/>
        </w:rPr>
        <w:t xml:space="preserve"> The </w:t>
      </w:r>
      <w:r w:rsidR="00901680">
        <w:rPr>
          <w:bCs/>
        </w:rPr>
        <w:t>management accounts must</w:t>
      </w:r>
      <w:r w:rsidR="0046447D">
        <w:rPr>
          <w:bCs/>
        </w:rPr>
        <w:t xml:space="preserve"> </w:t>
      </w:r>
      <w:r w:rsidR="00901680">
        <w:rPr>
          <w:bCs/>
        </w:rPr>
        <w:t>include a description of whether the internal allocation of costs for the financial year that is reflected in the management accounts is consistent with the model for the internal allocation of costs referred to in paragraph 2.</w:t>
      </w:r>
      <w:r w:rsidR="006A1892">
        <w:rPr>
          <w:bCs/>
        </w:rPr>
        <w:t>2.1</w:t>
      </w:r>
      <w:r w:rsidR="00901680">
        <w:rPr>
          <w:bCs/>
        </w:rPr>
        <w:t>(2)(e) and, if not, the extent of any inconsistency</w:t>
      </w:r>
      <w:r w:rsidR="00B126CC">
        <w:rPr>
          <w:bCs/>
        </w:rPr>
        <w:t>.</w:t>
      </w:r>
    </w:p>
    <w:p w14:paraId="2878551C" w14:textId="6426F879" w:rsidR="00100D0F" w:rsidRPr="00A47BE4" w:rsidRDefault="00100D0F" w:rsidP="00100D0F">
      <w:pPr>
        <w:pStyle w:val="LI-BodyTextParaa"/>
        <w:ind w:left="0" w:firstLine="0"/>
        <w:rPr>
          <w:bCs/>
          <w:u w:val="single"/>
        </w:rPr>
      </w:pPr>
      <w:r w:rsidRPr="00A47BE4">
        <w:rPr>
          <w:bCs/>
          <w:u w:val="single"/>
        </w:rPr>
        <w:t>Rule 2.4.4 Policies and procedures</w:t>
      </w:r>
    </w:p>
    <w:p w14:paraId="1478A7E3" w14:textId="36DF9CC3" w:rsidR="0091037E" w:rsidRDefault="00A47BE4" w:rsidP="0091037E">
      <w:pPr>
        <w:pStyle w:val="LI-BodyTextParaa"/>
        <w:ind w:left="567"/>
        <w:rPr>
          <w:bCs/>
        </w:rPr>
      </w:pPr>
      <w:r>
        <w:rPr>
          <w:bCs/>
        </w:rPr>
        <w:t>54</w:t>
      </w:r>
      <w:r w:rsidR="0091037E" w:rsidRPr="00A47BE4">
        <w:rPr>
          <w:bCs/>
        </w:rPr>
        <w:t>.</w:t>
      </w:r>
      <w:r w:rsidR="0091037E" w:rsidRPr="00A47BE4">
        <w:rPr>
          <w:bCs/>
        </w:rPr>
        <w:tab/>
        <w:t xml:space="preserve">Rule 2.4.4 imposes </w:t>
      </w:r>
      <w:r w:rsidR="006427FC" w:rsidRPr="00A47BE4">
        <w:rPr>
          <w:bCs/>
        </w:rPr>
        <w:t>specific</w:t>
      </w:r>
      <w:r w:rsidR="00CA42F1" w:rsidRPr="00A47BE4">
        <w:rPr>
          <w:bCs/>
        </w:rPr>
        <w:t xml:space="preserve"> documentation requirements designed to </w:t>
      </w:r>
      <w:r w:rsidR="00AF15A0" w:rsidRPr="00A47BE4">
        <w:rPr>
          <w:bCs/>
        </w:rPr>
        <w:t xml:space="preserve">promote </w:t>
      </w:r>
      <w:r w:rsidR="006427FC" w:rsidRPr="00A47BE4">
        <w:rPr>
          <w:bCs/>
        </w:rPr>
        <w:t xml:space="preserve">compliance with the </w:t>
      </w:r>
      <w:r w:rsidR="00AA0438" w:rsidRPr="00A47BE4">
        <w:rPr>
          <w:bCs/>
        </w:rPr>
        <w:t xml:space="preserve">CS Services </w:t>
      </w:r>
      <w:r w:rsidR="006427FC" w:rsidRPr="00A47BE4">
        <w:rPr>
          <w:bCs/>
        </w:rPr>
        <w:t xml:space="preserve">Rules and provide stakeholders with confidence that </w:t>
      </w:r>
      <w:r w:rsidR="00462CC1" w:rsidRPr="00A47BE4">
        <w:rPr>
          <w:bCs/>
        </w:rPr>
        <w:t xml:space="preserve">CS Service Providers have adequate arrangements in place to ensure that possible intragroup conflicts of interest are </w:t>
      </w:r>
      <w:r w:rsidR="000B411E" w:rsidRPr="00A47BE4">
        <w:rPr>
          <w:bCs/>
        </w:rPr>
        <w:t xml:space="preserve">managed </w:t>
      </w:r>
      <w:r w:rsidR="00BE0304" w:rsidRPr="00A47BE4">
        <w:rPr>
          <w:bCs/>
        </w:rPr>
        <w:t xml:space="preserve">appropriately </w:t>
      </w:r>
      <w:r w:rsidR="000B411E" w:rsidRPr="00A47BE4">
        <w:rPr>
          <w:bCs/>
        </w:rPr>
        <w:t xml:space="preserve">and that </w:t>
      </w:r>
      <w:r w:rsidR="007E103A" w:rsidRPr="00A47BE4">
        <w:rPr>
          <w:bCs/>
        </w:rPr>
        <w:t>sensitive or confidential information</w:t>
      </w:r>
      <w:r w:rsidR="00E61917" w:rsidRPr="00A47BE4">
        <w:rPr>
          <w:bCs/>
        </w:rPr>
        <w:t xml:space="preserve"> provided by Unaffiliated Entities </w:t>
      </w:r>
      <w:r w:rsidR="00BE0304" w:rsidRPr="00A47BE4">
        <w:rPr>
          <w:bCs/>
        </w:rPr>
        <w:t>is not mishandled within the group</w:t>
      </w:r>
      <w:r w:rsidR="0091037E" w:rsidRPr="00A47BE4">
        <w:rPr>
          <w:bCs/>
        </w:rPr>
        <w:t>.</w:t>
      </w:r>
    </w:p>
    <w:p w14:paraId="2716D06B" w14:textId="7600DECA" w:rsidR="00F06633" w:rsidRDefault="00A47BE4" w:rsidP="00F06633">
      <w:pPr>
        <w:pStyle w:val="LI-BodyTextParaa"/>
        <w:ind w:left="567"/>
        <w:rPr>
          <w:bCs/>
        </w:rPr>
      </w:pPr>
      <w:r>
        <w:rPr>
          <w:bCs/>
        </w:rPr>
        <w:t>55</w:t>
      </w:r>
      <w:r w:rsidR="00F06633">
        <w:rPr>
          <w:bCs/>
        </w:rPr>
        <w:t>.</w:t>
      </w:r>
      <w:r w:rsidR="00F06633">
        <w:rPr>
          <w:bCs/>
        </w:rPr>
        <w:tab/>
      </w:r>
      <w:r w:rsidR="009319B9">
        <w:rPr>
          <w:bCs/>
        </w:rPr>
        <w:t xml:space="preserve">Subrule 2.4.4(1) </w:t>
      </w:r>
      <w:r w:rsidR="00B038F7">
        <w:rPr>
          <w:bCs/>
        </w:rPr>
        <w:t>provides that an entity that is required to comply with the CS Services Rules must maintain documented policies and procedures that, as far as reasonably practicable, ensure compliance with the CS Services Rules.</w:t>
      </w:r>
    </w:p>
    <w:p w14:paraId="4DB15A28" w14:textId="14D3392B" w:rsidR="000F6513" w:rsidRDefault="00A47BE4" w:rsidP="00F06633">
      <w:pPr>
        <w:pStyle w:val="LI-BodyTextParaa"/>
        <w:ind w:left="567"/>
        <w:rPr>
          <w:bCs/>
        </w:rPr>
      </w:pPr>
      <w:r>
        <w:rPr>
          <w:bCs/>
        </w:rPr>
        <w:t>56</w:t>
      </w:r>
      <w:r w:rsidR="000F6513">
        <w:rPr>
          <w:bCs/>
        </w:rPr>
        <w:t>.</w:t>
      </w:r>
      <w:r w:rsidR="000F6513">
        <w:rPr>
          <w:bCs/>
        </w:rPr>
        <w:tab/>
        <w:t>Subrule 2.4.4(2) provides that, without limiting subrule 2.4.4(1), a CS Service Provider must ensure that it has appropriately documented policies and procedures in place to identify and mitigate any actual or perceived conflicts between the interests of:</w:t>
      </w:r>
    </w:p>
    <w:p w14:paraId="12040974" w14:textId="33BE5420" w:rsidR="000F6513" w:rsidRDefault="000F6513" w:rsidP="000F6513">
      <w:pPr>
        <w:pStyle w:val="LI-BodyTextParaa"/>
        <w:numPr>
          <w:ilvl w:val="0"/>
          <w:numId w:val="27"/>
        </w:numPr>
        <w:rPr>
          <w:bCs/>
        </w:rPr>
      </w:pPr>
      <w:r>
        <w:rPr>
          <w:bCs/>
        </w:rPr>
        <w:t>the CS Service Provider, or an Associated Entity; and</w:t>
      </w:r>
    </w:p>
    <w:p w14:paraId="5B3EA1CC" w14:textId="5FD8A6C2" w:rsidR="000F6513" w:rsidRDefault="000F6513" w:rsidP="000F6513">
      <w:pPr>
        <w:pStyle w:val="LI-BodyTextParaa"/>
        <w:numPr>
          <w:ilvl w:val="0"/>
          <w:numId w:val="27"/>
        </w:numPr>
        <w:rPr>
          <w:bCs/>
        </w:rPr>
      </w:pPr>
      <w:r>
        <w:rPr>
          <w:bCs/>
        </w:rPr>
        <w:t>an Unaffiliated Entity.</w:t>
      </w:r>
    </w:p>
    <w:p w14:paraId="4090E0C3" w14:textId="564FEE09" w:rsidR="000F6513" w:rsidRDefault="00A47BE4" w:rsidP="000F6513">
      <w:pPr>
        <w:pStyle w:val="LI-BodyTextParaa"/>
        <w:ind w:left="567"/>
        <w:rPr>
          <w:bCs/>
        </w:rPr>
      </w:pPr>
      <w:r>
        <w:rPr>
          <w:bCs/>
        </w:rPr>
        <w:t>57</w:t>
      </w:r>
      <w:r w:rsidR="000F6513">
        <w:rPr>
          <w:bCs/>
        </w:rPr>
        <w:t>.</w:t>
      </w:r>
      <w:r w:rsidR="000F6513">
        <w:rPr>
          <w:bCs/>
        </w:rPr>
        <w:tab/>
        <w:t>Subrule 2.4.</w:t>
      </w:r>
      <w:r w:rsidR="00263660">
        <w:rPr>
          <w:bCs/>
        </w:rPr>
        <w:t>4</w:t>
      </w:r>
      <w:r w:rsidR="000F6513">
        <w:rPr>
          <w:bCs/>
        </w:rPr>
        <w:t>(3) provides that, without limiting subrule 2.4.4(1), a CS Service Provider must maintain and review, at least on an annual basis, documented policies and procedures for handling of sensitive or confidential information that ensure, as far as reasonably practicable that commercial information provided to it by Unaffiliated Entities is:</w:t>
      </w:r>
    </w:p>
    <w:p w14:paraId="5BDA2371" w14:textId="59B3396A" w:rsidR="000F6513" w:rsidRDefault="000F6513" w:rsidP="000F6513">
      <w:pPr>
        <w:pStyle w:val="LI-BodyTextParaa"/>
        <w:numPr>
          <w:ilvl w:val="0"/>
          <w:numId w:val="28"/>
        </w:numPr>
        <w:rPr>
          <w:bCs/>
        </w:rPr>
      </w:pPr>
      <w:r>
        <w:rPr>
          <w:bCs/>
        </w:rPr>
        <w:t>handled as confidential information; and</w:t>
      </w:r>
    </w:p>
    <w:p w14:paraId="7E3F3500" w14:textId="27D42206" w:rsidR="000F6513" w:rsidRDefault="000F6513" w:rsidP="000F6513">
      <w:pPr>
        <w:pStyle w:val="LI-BodyTextParaa"/>
        <w:numPr>
          <w:ilvl w:val="0"/>
          <w:numId w:val="28"/>
        </w:numPr>
        <w:rPr>
          <w:bCs/>
        </w:rPr>
      </w:pPr>
      <w:r>
        <w:rPr>
          <w:bCs/>
        </w:rPr>
        <w:t>provided only to those with a need to know; and</w:t>
      </w:r>
    </w:p>
    <w:p w14:paraId="4C94BDA4" w14:textId="0458527B" w:rsidR="009760A4" w:rsidRPr="009760A4" w:rsidRDefault="000F6513" w:rsidP="009760A4">
      <w:pPr>
        <w:pStyle w:val="LI-BodyTextParaa"/>
        <w:numPr>
          <w:ilvl w:val="0"/>
          <w:numId w:val="28"/>
        </w:numPr>
        <w:rPr>
          <w:bCs/>
        </w:rPr>
      </w:pPr>
      <w:r>
        <w:rPr>
          <w:bCs/>
        </w:rPr>
        <w:lastRenderedPageBreak/>
        <w:t xml:space="preserve">not used to advance the interests of the CS Service Provider or its Associated Entities. </w:t>
      </w:r>
    </w:p>
    <w:p w14:paraId="2235BAA6" w14:textId="1CE834C6" w:rsidR="00100D0F" w:rsidRPr="00100D0F" w:rsidRDefault="00100D0F" w:rsidP="00100D0F">
      <w:pPr>
        <w:pStyle w:val="LI-BodyTextParaa"/>
        <w:ind w:left="0" w:firstLine="0"/>
        <w:rPr>
          <w:bCs/>
          <w:u w:val="single"/>
        </w:rPr>
      </w:pPr>
      <w:r>
        <w:rPr>
          <w:bCs/>
          <w:u w:val="single"/>
        </w:rPr>
        <w:t>Rule 2.4.5 External assurance report – Core Systems</w:t>
      </w:r>
    </w:p>
    <w:p w14:paraId="4AA7FD10" w14:textId="41E7B5F3" w:rsidR="00A95874" w:rsidRDefault="00B8760A" w:rsidP="00461E0A">
      <w:pPr>
        <w:pStyle w:val="LI-BodyTextParaa"/>
        <w:ind w:left="567"/>
        <w:rPr>
          <w:bCs/>
        </w:rPr>
      </w:pPr>
      <w:r>
        <w:rPr>
          <w:bCs/>
        </w:rPr>
        <w:t>58.</w:t>
      </w:r>
      <w:r w:rsidR="00461E0A">
        <w:rPr>
          <w:bCs/>
        </w:rPr>
        <w:tab/>
      </w:r>
      <w:r w:rsidR="00E845A6">
        <w:rPr>
          <w:bCs/>
        </w:rPr>
        <w:t>Rule 2.4.5 provides that, b</w:t>
      </w:r>
      <w:r w:rsidR="009B734F">
        <w:rPr>
          <w:bCs/>
        </w:rPr>
        <w:t xml:space="preserve">efore making material changes </w:t>
      </w:r>
      <w:r w:rsidR="00E845A6">
        <w:rPr>
          <w:bCs/>
        </w:rPr>
        <w:t>to its Core Systems,</w:t>
      </w:r>
      <w:r w:rsidR="00461E0A">
        <w:rPr>
          <w:bCs/>
        </w:rPr>
        <w:t xml:space="preserve"> a Covered Licensee </w:t>
      </w:r>
      <w:r w:rsidR="00E845A6">
        <w:rPr>
          <w:bCs/>
        </w:rPr>
        <w:t>must</w:t>
      </w:r>
      <w:r w:rsidR="009F6F5C">
        <w:rPr>
          <w:bCs/>
        </w:rPr>
        <w:t xml:space="preserve"> </w:t>
      </w:r>
      <w:r w:rsidR="00461E0A">
        <w:rPr>
          <w:bCs/>
        </w:rPr>
        <w:t>engage an independent expert to conduct a review and prepare a written report (</w:t>
      </w:r>
      <w:r w:rsidR="00461E0A">
        <w:rPr>
          <w:b/>
          <w:i/>
          <w:iCs/>
        </w:rPr>
        <w:t>External Assurance report</w:t>
      </w:r>
      <w:r w:rsidR="00461E0A">
        <w:rPr>
          <w:bCs/>
        </w:rPr>
        <w:t xml:space="preserve">) about compliance with </w:t>
      </w:r>
      <w:r w:rsidR="00F45C3F">
        <w:rPr>
          <w:bCs/>
        </w:rPr>
        <w:t xml:space="preserve">the </w:t>
      </w:r>
      <w:r w:rsidR="00977CCF">
        <w:rPr>
          <w:bCs/>
        </w:rPr>
        <w:t xml:space="preserve">requirements related to ensuring that Core Systems meet the differing needs of Users, </w:t>
      </w:r>
      <w:r w:rsidR="00363087">
        <w:rPr>
          <w:bCs/>
        </w:rPr>
        <w:t xml:space="preserve">do not raise or create barriers to access, and facilitating technical interoperability (including through the adoption of </w:t>
      </w:r>
      <w:r w:rsidR="00D53879">
        <w:rPr>
          <w:bCs/>
        </w:rPr>
        <w:t>relevant International Open Communication Procedures and Standards)</w:t>
      </w:r>
      <w:r w:rsidR="00BF45D4">
        <w:rPr>
          <w:bCs/>
        </w:rPr>
        <w:t xml:space="preserve">. The External Assurance report must </w:t>
      </w:r>
      <w:r w:rsidR="007E74C7">
        <w:rPr>
          <w:bCs/>
        </w:rPr>
        <w:t>address</w:t>
      </w:r>
      <w:r w:rsidR="00461E0A">
        <w:rPr>
          <w:bCs/>
        </w:rPr>
        <w:t xml:space="preserve"> likely impact of the proposed material changes on compliance.</w:t>
      </w:r>
    </w:p>
    <w:p w14:paraId="0A51C1AD" w14:textId="3C232D0C" w:rsidR="00461E0A" w:rsidRDefault="00B8760A" w:rsidP="00461E0A">
      <w:pPr>
        <w:pStyle w:val="LI-BodyTextParaa"/>
        <w:ind w:left="567"/>
        <w:rPr>
          <w:bCs/>
        </w:rPr>
      </w:pPr>
      <w:r>
        <w:rPr>
          <w:bCs/>
        </w:rPr>
        <w:t>59</w:t>
      </w:r>
      <w:r w:rsidR="00461E0A">
        <w:rPr>
          <w:bCs/>
        </w:rPr>
        <w:t>.</w:t>
      </w:r>
      <w:r w:rsidR="00461E0A">
        <w:rPr>
          <w:bCs/>
        </w:rPr>
        <w:tab/>
      </w:r>
      <w:r w:rsidR="0013621E">
        <w:rPr>
          <w:bCs/>
        </w:rPr>
        <w:t xml:space="preserve">To </w:t>
      </w:r>
      <w:r w:rsidR="00BA7E07">
        <w:rPr>
          <w:bCs/>
        </w:rPr>
        <w:t xml:space="preserve">strike a balance between the currency of </w:t>
      </w:r>
      <w:r w:rsidR="00461E0A">
        <w:rPr>
          <w:bCs/>
        </w:rPr>
        <w:t xml:space="preserve">the External Assurance report </w:t>
      </w:r>
      <w:r w:rsidR="00BA7E07">
        <w:rPr>
          <w:bCs/>
        </w:rPr>
        <w:t xml:space="preserve">and </w:t>
      </w:r>
      <w:r w:rsidR="00E430FD">
        <w:rPr>
          <w:bCs/>
        </w:rPr>
        <w:t>ensuring th</w:t>
      </w:r>
      <w:r w:rsidR="00117138">
        <w:rPr>
          <w:bCs/>
        </w:rPr>
        <w:t xml:space="preserve">at </w:t>
      </w:r>
      <w:r w:rsidR="00CF2537">
        <w:rPr>
          <w:bCs/>
        </w:rPr>
        <w:t>both the report and the feedback of t</w:t>
      </w:r>
      <w:r w:rsidR="0048314F">
        <w:rPr>
          <w:bCs/>
        </w:rPr>
        <w:t xml:space="preserve">he representative body can serve as an input into the board’s decision about whether to implement </w:t>
      </w:r>
      <w:r w:rsidR="00DE4C07">
        <w:rPr>
          <w:bCs/>
        </w:rPr>
        <w:t xml:space="preserve">the proposed material changes, subrule 2.4.5(2) specifies that the External Assurance report </w:t>
      </w:r>
      <w:r w:rsidR="00461E0A">
        <w:rPr>
          <w:bCs/>
        </w:rPr>
        <w:t>must be:</w:t>
      </w:r>
    </w:p>
    <w:p w14:paraId="080B2FC7" w14:textId="3C403D65" w:rsidR="00461E0A" w:rsidRDefault="00461E0A" w:rsidP="00461E0A">
      <w:pPr>
        <w:pStyle w:val="LI-BodyTextParaa"/>
        <w:numPr>
          <w:ilvl w:val="0"/>
          <w:numId w:val="29"/>
        </w:numPr>
        <w:rPr>
          <w:bCs/>
        </w:rPr>
      </w:pPr>
      <w:r>
        <w:rPr>
          <w:bCs/>
        </w:rPr>
        <w:t xml:space="preserve">completed no more than 120 days, and no less than 90 days, before </w:t>
      </w:r>
      <w:r w:rsidR="007D0B5F">
        <w:rPr>
          <w:bCs/>
        </w:rPr>
        <w:t>the board makes a final decision</w:t>
      </w:r>
      <w:r>
        <w:rPr>
          <w:bCs/>
        </w:rPr>
        <w:t>; and</w:t>
      </w:r>
    </w:p>
    <w:p w14:paraId="676333E8" w14:textId="41CCE871" w:rsidR="00461E0A" w:rsidRDefault="00461E0A" w:rsidP="00461E0A">
      <w:pPr>
        <w:pStyle w:val="LI-BodyTextParaa"/>
        <w:numPr>
          <w:ilvl w:val="0"/>
          <w:numId w:val="29"/>
        </w:numPr>
        <w:rPr>
          <w:bCs/>
        </w:rPr>
      </w:pPr>
      <w:r>
        <w:rPr>
          <w:bCs/>
        </w:rPr>
        <w:t xml:space="preserve">provided to the board </w:t>
      </w:r>
      <w:r w:rsidR="000C2903">
        <w:rPr>
          <w:bCs/>
        </w:rPr>
        <w:t>within 5 days of being completed</w:t>
      </w:r>
      <w:r>
        <w:rPr>
          <w:bCs/>
        </w:rPr>
        <w:t>; and</w:t>
      </w:r>
    </w:p>
    <w:p w14:paraId="6B555C0C" w14:textId="3ABC93F5" w:rsidR="00461E0A" w:rsidRDefault="00461E0A" w:rsidP="00461E0A">
      <w:pPr>
        <w:pStyle w:val="LI-BodyTextParaa"/>
        <w:numPr>
          <w:ilvl w:val="0"/>
          <w:numId w:val="29"/>
        </w:numPr>
        <w:rPr>
          <w:bCs/>
        </w:rPr>
      </w:pPr>
      <w:r>
        <w:rPr>
          <w:bCs/>
        </w:rPr>
        <w:t xml:space="preserve">provided to the representative body for feedback </w:t>
      </w:r>
      <w:r w:rsidR="00796707">
        <w:rPr>
          <w:bCs/>
        </w:rPr>
        <w:t>within</w:t>
      </w:r>
      <w:r>
        <w:rPr>
          <w:bCs/>
        </w:rPr>
        <w:t xml:space="preserve"> 5 days after </w:t>
      </w:r>
      <w:r w:rsidR="00796707">
        <w:rPr>
          <w:bCs/>
        </w:rPr>
        <w:t>being provided</w:t>
      </w:r>
      <w:r>
        <w:rPr>
          <w:bCs/>
        </w:rPr>
        <w:t xml:space="preserve"> </w:t>
      </w:r>
      <w:r w:rsidR="00E93F82">
        <w:rPr>
          <w:bCs/>
        </w:rPr>
        <w:t xml:space="preserve">to </w:t>
      </w:r>
      <w:r>
        <w:rPr>
          <w:bCs/>
        </w:rPr>
        <w:t>the board; and</w:t>
      </w:r>
    </w:p>
    <w:p w14:paraId="25CCA1FE" w14:textId="58EA00D4" w:rsidR="00461E0A" w:rsidRDefault="00461E0A" w:rsidP="00461E0A">
      <w:pPr>
        <w:pStyle w:val="LI-BodyTextParaa"/>
        <w:numPr>
          <w:ilvl w:val="0"/>
          <w:numId w:val="29"/>
        </w:numPr>
        <w:rPr>
          <w:bCs/>
        </w:rPr>
      </w:pPr>
      <w:r>
        <w:rPr>
          <w:bCs/>
        </w:rPr>
        <w:t>made publicly available as soon as reasonably practicable after it has been provided to the board, and at least 30 days before the final decision of the board.</w:t>
      </w:r>
    </w:p>
    <w:p w14:paraId="55A73408" w14:textId="5DCF016F" w:rsidR="00461E0A" w:rsidRPr="00461E0A" w:rsidRDefault="00B8760A" w:rsidP="00461E0A">
      <w:pPr>
        <w:pStyle w:val="LI-BodyTextParaa"/>
        <w:ind w:left="567"/>
        <w:rPr>
          <w:bCs/>
        </w:rPr>
      </w:pPr>
      <w:r>
        <w:rPr>
          <w:bCs/>
        </w:rPr>
        <w:t>60</w:t>
      </w:r>
      <w:r w:rsidR="00461E0A">
        <w:rPr>
          <w:bCs/>
        </w:rPr>
        <w:t>.</w:t>
      </w:r>
      <w:r w:rsidR="00461E0A">
        <w:rPr>
          <w:bCs/>
        </w:rPr>
        <w:tab/>
      </w:r>
      <w:r w:rsidR="00B277E0">
        <w:rPr>
          <w:bCs/>
        </w:rPr>
        <w:t>ASIC recognises that the</w:t>
      </w:r>
      <w:r w:rsidR="00AA56A3">
        <w:rPr>
          <w:bCs/>
        </w:rPr>
        <w:t>re may be cases in which a</w:t>
      </w:r>
      <w:r w:rsidR="008E50F9">
        <w:rPr>
          <w:bCs/>
        </w:rPr>
        <w:t xml:space="preserve">n External Assurance report </w:t>
      </w:r>
      <w:r w:rsidR="00A80137">
        <w:rPr>
          <w:bCs/>
        </w:rPr>
        <w:t xml:space="preserve">may not be warranted even though a proposed change could be described as ‘material’. </w:t>
      </w:r>
      <w:r w:rsidR="00542C68">
        <w:rPr>
          <w:bCs/>
        </w:rPr>
        <w:t>In such a case,</w:t>
      </w:r>
      <w:r w:rsidR="00461E0A">
        <w:rPr>
          <w:bCs/>
        </w:rPr>
        <w:t xml:space="preserve"> a Covered Licensee may apply to ASIC for an exemption from the requirements of this rule under section 828R of the Act. </w:t>
      </w:r>
    </w:p>
    <w:p w14:paraId="3C7CC6E3" w14:textId="4B2D09BE" w:rsidR="00D20A4B" w:rsidRPr="006D6079" w:rsidRDefault="00D20A4B" w:rsidP="006D6079">
      <w:pPr>
        <w:pStyle w:val="LI-BodyTextParaa"/>
        <w:keepNext/>
        <w:ind w:left="567"/>
        <w:rPr>
          <w:b/>
          <w:bCs/>
        </w:rPr>
      </w:pPr>
      <w:r w:rsidRPr="006D6079">
        <w:rPr>
          <w:b/>
          <w:bCs/>
        </w:rPr>
        <w:t>Incorporation by reference</w:t>
      </w:r>
    </w:p>
    <w:p w14:paraId="40C55AD1" w14:textId="71BA6F8C" w:rsidR="00BD79F3" w:rsidRDefault="00393749" w:rsidP="008C58C1">
      <w:pPr>
        <w:pStyle w:val="LI-BodyTextParaa"/>
        <w:ind w:left="567"/>
      </w:pPr>
      <w:r>
        <w:t>61</w:t>
      </w:r>
      <w:r w:rsidR="00D20A4B">
        <w:t>.</w:t>
      </w:r>
      <w:r w:rsidR="00D20A4B">
        <w:tab/>
      </w:r>
      <w:r w:rsidR="00C760BC" w:rsidRPr="00C760BC">
        <w:t>This instrument incorporates by reference</w:t>
      </w:r>
      <w:r w:rsidR="00BD79F3">
        <w:t>:</w:t>
      </w:r>
    </w:p>
    <w:p w14:paraId="52ED290F" w14:textId="5DE00A82" w:rsidR="004B54DE" w:rsidRPr="004B54DE" w:rsidRDefault="00C760BC" w:rsidP="00901680">
      <w:pPr>
        <w:pStyle w:val="LI-BodyTextParaa"/>
        <w:numPr>
          <w:ilvl w:val="0"/>
          <w:numId w:val="15"/>
        </w:numPr>
        <w:rPr>
          <w:bCs/>
        </w:rPr>
      </w:pPr>
      <w:r w:rsidRPr="00C760BC">
        <w:t>International Organization for Standardization (ISO) standard</w:t>
      </w:r>
      <w:r w:rsidR="008C58C1">
        <w:t xml:space="preserve"> 20022 </w:t>
      </w:r>
      <w:r w:rsidR="008C58C1" w:rsidRPr="008C58C1">
        <w:t>Financial services – Universal financial message scheme</w:t>
      </w:r>
      <w:r w:rsidR="00C3223B">
        <w:t xml:space="preserve"> (</w:t>
      </w:r>
      <w:r w:rsidR="00C3223B" w:rsidRPr="00A47BE4">
        <w:rPr>
          <w:b/>
          <w:i/>
        </w:rPr>
        <w:t>ISO standard</w:t>
      </w:r>
      <w:r w:rsidR="00C3223B">
        <w:t>)</w:t>
      </w:r>
      <w:r w:rsidR="004B54DE">
        <w:t>;</w:t>
      </w:r>
      <w:r w:rsidR="00DA6FF7">
        <w:t xml:space="preserve"> and</w:t>
      </w:r>
    </w:p>
    <w:p w14:paraId="6B94A4C7" w14:textId="58E1B104" w:rsidR="00BD79F3" w:rsidRPr="00271096" w:rsidRDefault="008C58C1" w:rsidP="00901680">
      <w:pPr>
        <w:pStyle w:val="LI-BodyTextParaa"/>
        <w:numPr>
          <w:ilvl w:val="0"/>
          <w:numId w:val="15"/>
        </w:numPr>
        <w:rPr>
          <w:bCs/>
        </w:rPr>
      </w:pPr>
      <w:r w:rsidRPr="008C58C1">
        <w:t xml:space="preserve">Financial Information </w:t>
      </w:r>
      <w:proofErr w:type="spellStart"/>
      <w:r w:rsidRPr="008C58C1">
        <w:t>eXchange</w:t>
      </w:r>
      <w:proofErr w:type="spellEnd"/>
      <w:r w:rsidR="00BD79F3">
        <w:t xml:space="preserve"> (FIX)</w:t>
      </w:r>
      <w:r w:rsidRPr="008C58C1">
        <w:t xml:space="preserve"> protocol</w:t>
      </w:r>
      <w:r>
        <w:t xml:space="preserve"> 5.0</w:t>
      </w:r>
      <w:r w:rsidR="00C3223B">
        <w:t xml:space="preserve"> (</w:t>
      </w:r>
      <w:r w:rsidR="00C3223B" w:rsidRPr="00A47BE4">
        <w:rPr>
          <w:b/>
          <w:i/>
        </w:rPr>
        <w:t>FIX protocol</w:t>
      </w:r>
      <w:r w:rsidR="00C3223B">
        <w:t>)</w:t>
      </w:r>
      <w:r w:rsidR="00DA6FF7">
        <w:t>.</w:t>
      </w:r>
    </w:p>
    <w:p w14:paraId="6129A760" w14:textId="09BA7258" w:rsidR="006F225E" w:rsidRPr="00FE2FB8" w:rsidRDefault="00393749" w:rsidP="00DA6FF7">
      <w:pPr>
        <w:pStyle w:val="LI-BodyTextParaa"/>
        <w:ind w:left="567"/>
        <w:rPr>
          <w:bCs/>
        </w:rPr>
      </w:pPr>
      <w:r>
        <w:t>62</w:t>
      </w:r>
      <w:r w:rsidR="00BD79F3">
        <w:t>.</w:t>
      </w:r>
      <w:r w:rsidR="00BD79F3">
        <w:tab/>
      </w:r>
      <w:r w:rsidR="00AC7258">
        <w:t>The</w:t>
      </w:r>
      <w:r w:rsidR="006F225E">
        <w:t xml:space="preserve"> ISO standard and FIX protocol </w:t>
      </w:r>
      <w:r w:rsidR="00AF7489">
        <w:t xml:space="preserve">are incorporated by reference as </w:t>
      </w:r>
      <w:r w:rsidR="00855F8A">
        <w:t>‘</w:t>
      </w:r>
      <w:r w:rsidR="00155F13">
        <w:t xml:space="preserve">International Open </w:t>
      </w:r>
      <w:r w:rsidR="00051982">
        <w:t>C</w:t>
      </w:r>
      <w:r w:rsidR="00155F13">
        <w:t xml:space="preserve">ommunication Procedures and Standards’. </w:t>
      </w:r>
      <w:r w:rsidR="008C58C1">
        <w:t xml:space="preserve">A CS Service Provider must take reasonable steps to ensure that </w:t>
      </w:r>
      <w:r w:rsidR="008C58C1" w:rsidRPr="008C58C1">
        <w:t xml:space="preserve">any changes to its Core </w:t>
      </w:r>
      <w:r w:rsidR="008C58C1" w:rsidRPr="008C58C1">
        <w:lastRenderedPageBreak/>
        <w:t>Systems accommodate relevant International Open Communication Procedures and Standards.</w:t>
      </w:r>
    </w:p>
    <w:p w14:paraId="1B0C853F" w14:textId="716EC0F5" w:rsidR="00C3223B" w:rsidRDefault="00393749" w:rsidP="00DA6FF7">
      <w:pPr>
        <w:pStyle w:val="LI-BodyTextParaa"/>
        <w:ind w:left="567"/>
      </w:pPr>
      <w:r>
        <w:t>63</w:t>
      </w:r>
      <w:r w:rsidR="00C3223B">
        <w:t>.</w:t>
      </w:r>
      <w:r w:rsidR="00C3223B">
        <w:tab/>
        <w:t xml:space="preserve">The ISO standard </w:t>
      </w:r>
      <w:r w:rsidR="007325B4">
        <w:t xml:space="preserve">can be obtained through </w:t>
      </w:r>
      <w:r w:rsidR="007325B4" w:rsidRPr="007B4704">
        <w:t>www.iso.org</w:t>
      </w:r>
      <w:r w:rsidR="007325B4">
        <w:t xml:space="preserve">. </w:t>
      </w:r>
      <w:r w:rsidR="007325B4" w:rsidRPr="007325B4">
        <w:t>The current edition of the standard includes eight parts, published in May 2013</w:t>
      </w:r>
      <w:r w:rsidR="007325B4">
        <w:t xml:space="preserve">. </w:t>
      </w:r>
    </w:p>
    <w:p w14:paraId="70AF9098" w14:textId="28CE2C2E" w:rsidR="00C016BE" w:rsidRPr="00DA6FF7" w:rsidRDefault="00393749" w:rsidP="00DA6FF7">
      <w:pPr>
        <w:pStyle w:val="LI-BodyTextParaa"/>
        <w:ind w:left="567"/>
      </w:pPr>
      <w:r>
        <w:t>64</w:t>
      </w:r>
      <w:r w:rsidR="00C016BE">
        <w:t>.</w:t>
      </w:r>
      <w:r w:rsidR="00C016BE">
        <w:tab/>
        <w:t xml:space="preserve">The FIX protocol can be obtained through </w:t>
      </w:r>
      <w:r w:rsidR="00C016BE" w:rsidRPr="007B4704">
        <w:t>www.fixtrading.org</w:t>
      </w:r>
      <w:r w:rsidR="00C016BE">
        <w:t xml:space="preserve">. </w:t>
      </w:r>
    </w:p>
    <w:p w14:paraId="03A3F691" w14:textId="2F310F0B" w:rsidR="00806E99" w:rsidRPr="00FE2FB8" w:rsidRDefault="00806E99" w:rsidP="00B835C5">
      <w:pPr>
        <w:pStyle w:val="LI-BodyTextParaa"/>
        <w:ind w:left="567"/>
        <w:rPr>
          <w:bCs/>
        </w:rPr>
      </w:pPr>
      <w:r>
        <w:rPr>
          <w:bCs/>
        </w:rPr>
        <w:tab/>
        <w:t>Th</w:t>
      </w:r>
      <w:r w:rsidR="00CF416C">
        <w:rPr>
          <w:bCs/>
        </w:rPr>
        <w:t>is</w:t>
      </w:r>
      <w:r>
        <w:rPr>
          <w:bCs/>
        </w:rPr>
        <w:t xml:space="preserve"> incorporation by reference complies with subsection 14(1) of the Legislation Act as it incorporates the referenced ISO standard</w:t>
      </w:r>
      <w:r w:rsidR="00E70281">
        <w:rPr>
          <w:bCs/>
        </w:rPr>
        <w:t xml:space="preserve"> and</w:t>
      </w:r>
      <w:r>
        <w:rPr>
          <w:bCs/>
        </w:rPr>
        <w:t xml:space="preserve"> FIX protocol as existing at the time the CS Services Rules commences. </w:t>
      </w:r>
      <w:r w:rsidR="00341E5D">
        <w:rPr>
          <w:bCs/>
        </w:rPr>
        <w:t xml:space="preserve">ASIC will consider future updates to the </w:t>
      </w:r>
      <w:r w:rsidR="004B1783">
        <w:rPr>
          <w:bCs/>
        </w:rPr>
        <w:t xml:space="preserve">CS Services </w:t>
      </w:r>
      <w:r w:rsidR="00341E5D">
        <w:rPr>
          <w:bCs/>
        </w:rPr>
        <w:t>Rules i</w:t>
      </w:r>
      <w:r w:rsidR="007D7C9B">
        <w:rPr>
          <w:bCs/>
        </w:rPr>
        <w:t>n the event that there is any change to relevant standards for messaging and reference data</w:t>
      </w:r>
      <w:r w:rsidR="00341E5D">
        <w:rPr>
          <w:bCs/>
        </w:rPr>
        <w:t>.</w:t>
      </w:r>
    </w:p>
    <w:p w14:paraId="57A93CEC"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1292FC75" w14:textId="39E5BAB3" w:rsidR="001E7E2B" w:rsidRDefault="00393749" w:rsidP="001E7E2B">
      <w:pPr>
        <w:pStyle w:val="LI-BodyTextParaa"/>
        <w:ind w:left="567"/>
      </w:pPr>
      <w:r>
        <w:t>66</w:t>
      </w:r>
      <w:r w:rsidR="00C52E7C">
        <w:t>.</w:t>
      </w:r>
      <w:r w:rsidR="00C52E7C">
        <w:tab/>
        <w:t xml:space="preserve">The </w:t>
      </w:r>
      <w:r w:rsidR="00ED796D">
        <w:t xml:space="preserve">subject matter and </w:t>
      </w:r>
      <w:r w:rsidR="00C52E7C">
        <w:t xml:space="preserve">policy implemented by this instrument is more appropriate for </w:t>
      </w:r>
      <w:r w:rsidR="00ED796D">
        <w:t>a legislative instrument rather than primary legislation because:</w:t>
      </w:r>
    </w:p>
    <w:p w14:paraId="127196AF" w14:textId="790ED8B5" w:rsidR="00F46947" w:rsidRDefault="00F46947" w:rsidP="00A47BE4">
      <w:pPr>
        <w:pStyle w:val="LI-BodyTextParaa"/>
        <w:ind w:left="924" w:hanging="357"/>
      </w:pPr>
      <w:r w:rsidRPr="00F46947">
        <w:t>(</w:t>
      </w:r>
      <w:r w:rsidR="009923AC">
        <w:t>a</w:t>
      </w:r>
      <w:r w:rsidRPr="00F46947">
        <w:t>)</w:t>
      </w:r>
      <w:r w:rsidRPr="00F46947">
        <w:tab/>
        <w:t>The instrument is made under a power specifically delegated to ASIC which requires a detailed, technical assessment that is best suited for ASIC to undertake rather than Parliament.</w:t>
      </w:r>
      <w:r w:rsidR="008356AC">
        <w:t xml:space="preserve"> The instrument operates to fill in a more comprehensive regulatory framework that sits alongside the primary law</w:t>
      </w:r>
      <w:r w:rsidR="009B5EC7">
        <w:t>; and</w:t>
      </w:r>
    </w:p>
    <w:p w14:paraId="7EFA72A7" w14:textId="714B7E5F" w:rsidR="00610709" w:rsidRDefault="00ED796D" w:rsidP="00A47BE4">
      <w:pPr>
        <w:pStyle w:val="LI-BodyTextParaa"/>
        <w:ind w:left="924" w:hanging="357"/>
      </w:pPr>
      <w:r>
        <w:t>(</w:t>
      </w:r>
      <w:r w:rsidR="009923AC">
        <w:t>b</w:t>
      </w:r>
      <w:r>
        <w:t>)</w:t>
      </w:r>
      <w:r>
        <w:tab/>
      </w:r>
      <w:r w:rsidR="00C52E7C" w:rsidRPr="00C52E7C">
        <w:t xml:space="preserve">The matters contained in </w:t>
      </w:r>
      <w:r w:rsidR="00610709">
        <w:t>the i</w:t>
      </w:r>
      <w:r w:rsidR="00C52E7C" w:rsidRPr="00C52E7C">
        <w:t>nstrument only affect a relatively small subset of</w:t>
      </w:r>
      <w:r w:rsidR="009B5EC7">
        <w:t xml:space="preserve"> CS Service Providers and Covered Licensees</w:t>
      </w:r>
      <w:r w:rsidR="00C52E7C" w:rsidRPr="00C52E7C">
        <w:t xml:space="preserve">. </w:t>
      </w:r>
      <w:r w:rsidR="00F46947" w:rsidRPr="00F46947">
        <w:t>If the matters in the instrument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w:t>
      </w:r>
      <w:r w:rsidR="00F46947">
        <w:t>.</w:t>
      </w:r>
    </w:p>
    <w:p w14:paraId="50EBD214" w14:textId="77777777" w:rsidR="005D1770" w:rsidRDefault="00F61A66" w:rsidP="00F61A66">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1D375D98" w14:textId="1274BB2E" w:rsidR="00F61A66" w:rsidRPr="003D3106" w:rsidRDefault="00393749" w:rsidP="00F61A66">
      <w:pPr>
        <w:pStyle w:val="LI-BodyTextParaa"/>
        <w:ind w:left="567"/>
      </w:pPr>
      <w:r>
        <w:t>67</w:t>
      </w:r>
      <w:r w:rsidR="00F61A66" w:rsidRPr="006D6079">
        <w:t>.</w:t>
      </w:r>
      <w:r w:rsidR="00F61A66" w:rsidRPr="006D6079">
        <w:tab/>
      </w:r>
      <w:r w:rsidR="003D3106">
        <w:t xml:space="preserve">This instrument will </w:t>
      </w:r>
      <w:proofErr w:type="gramStart"/>
      <w:r w:rsidR="003D3106">
        <w:t>automatically</w:t>
      </w:r>
      <w:proofErr w:type="gramEnd"/>
      <w:r w:rsidR="003D3106">
        <w:t xml:space="preserve"> sunset in accordance with section 50 of the </w:t>
      </w:r>
      <w:r w:rsidR="003D3106">
        <w:rPr>
          <w:i/>
          <w:iCs/>
        </w:rPr>
        <w:t xml:space="preserve">Legislation Act 2003 </w:t>
      </w:r>
      <w:r w:rsidR="003D3106">
        <w:t>(</w:t>
      </w:r>
      <w:r w:rsidR="003D3106">
        <w:rPr>
          <w:b/>
          <w:bCs/>
          <w:i/>
          <w:iCs/>
        </w:rPr>
        <w:t>Legislation Act</w:t>
      </w:r>
      <w:r w:rsidR="003D3106">
        <w:t xml:space="preserve">) on </w:t>
      </w:r>
      <w:r w:rsidR="00FE20FC">
        <w:t xml:space="preserve">1 April </w:t>
      </w:r>
      <w:r w:rsidR="003D3106" w:rsidRPr="00A47BE4">
        <w:t xml:space="preserve">2035. </w:t>
      </w:r>
    </w:p>
    <w:p w14:paraId="700E42B8" w14:textId="71D23AE4" w:rsidR="009A2319" w:rsidRDefault="00393749" w:rsidP="00F46947">
      <w:pPr>
        <w:pStyle w:val="LI-BodyTextParaa"/>
        <w:ind w:left="567"/>
      </w:pPr>
      <w:r>
        <w:t>68</w:t>
      </w:r>
      <w:r w:rsidR="00F61A66">
        <w:t>.</w:t>
      </w:r>
      <w:r w:rsidR="00F61A66">
        <w:tab/>
      </w:r>
      <w:r w:rsidR="003D3106">
        <w:t>This duration is appropriate because:</w:t>
      </w:r>
    </w:p>
    <w:p w14:paraId="55A62992" w14:textId="37812409" w:rsidR="00E144A6" w:rsidRDefault="003D3106" w:rsidP="00E144A6">
      <w:pPr>
        <w:pStyle w:val="LI-BodyTextParaa"/>
        <w:numPr>
          <w:ilvl w:val="0"/>
          <w:numId w:val="30"/>
        </w:numPr>
      </w:pPr>
      <w:r>
        <w:t xml:space="preserve">The instrument is made under a specifically delegated power which is set out in the primary legislation and is intended </w:t>
      </w:r>
      <w:r w:rsidR="00013042">
        <w:t xml:space="preserve">to complement the requirements or objectives in the primary legislation – see Part 7.3A of the Act; </w:t>
      </w:r>
      <w:r w:rsidR="00E144A6">
        <w:t>and</w:t>
      </w:r>
    </w:p>
    <w:p w14:paraId="520157A3" w14:textId="6ED91AE5" w:rsidR="00E144A6" w:rsidRPr="003D3106" w:rsidRDefault="00BE5E7F" w:rsidP="00E144A6">
      <w:pPr>
        <w:pStyle w:val="LI-BodyTextParaa"/>
        <w:numPr>
          <w:ilvl w:val="0"/>
          <w:numId w:val="30"/>
        </w:numPr>
      </w:pPr>
      <w:r>
        <w:t xml:space="preserve">There would be appreciable business uncertainty about the treatment of, or framework for, business activities giving rise to significant commercial risks and/or costs if the sunsetting period was shorter. </w:t>
      </w:r>
    </w:p>
    <w:bookmarkEnd w:id="1"/>
    <w:p w14:paraId="6E228E05" w14:textId="77777777" w:rsidR="00F03BB5" w:rsidRDefault="00474B52" w:rsidP="006D6079">
      <w:pPr>
        <w:pStyle w:val="LI-BodyTextNumbered"/>
        <w:keepNext/>
        <w:ind w:left="0" w:firstLine="0"/>
        <w:rPr>
          <w:b/>
        </w:rPr>
      </w:pPr>
      <w:r>
        <w:rPr>
          <w:b/>
        </w:rPr>
        <w:t>Legislative authority</w:t>
      </w:r>
    </w:p>
    <w:p w14:paraId="3EAF355A" w14:textId="4E29FFF0" w:rsidR="009A3F74" w:rsidRDefault="00393749" w:rsidP="00F03BB5">
      <w:pPr>
        <w:pStyle w:val="LI-BodyTextParaa"/>
        <w:ind w:left="567"/>
      </w:pPr>
      <w:r>
        <w:t>69</w:t>
      </w:r>
      <w:r w:rsidR="00F03BB5">
        <w:t>.</w:t>
      </w:r>
      <w:r w:rsidR="00F03BB5">
        <w:tab/>
      </w:r>
      <w:r w:rsidR="00F20946">
        <w:t xml:space="preserve">The instrument is made under section 828A of the Act. </w:t>
      </w:r>
    </w:p>
    <w:p w14:paraId="629E87F3" w14:textId="3375BFD4" w:rsidR="009A3F74" w:rsidRDefault="00393749" w:rsidP="00F03BB5">
      <w:pPr>
        <w:pStyle w:val="LI-BodyTextParaa"/>
        <w:ind w:left="567"/>
      </w:pPr>
      <w:r>
        <w:lastRenderedPageBreak/>
        <w:t>70</w:t>
      </w:r>
      <w:r w:rsidR="009A3F74">
        <w:t>.</w:t>
      </w:r>
      <w:r w:rsidR="009A3F74">
        <w:tab/>
      </w:r>
      <w:r w:rsidR="001E2AC7">
        <w:t>Section 828</w:t>
      </w:r>
      <w:r w:rsidR="00876C22">
        <w:t>A of the Act provides that rules made under this section are by way of legislative instrument. This means that such rules are subject to disallowance in accordance with section 42 of the Legislation Act. Section 44 of the Legislation Act does not apply to this instrument. This instrument is subject to disallowance.</w:t>
      </w:r>
    </w:p>
    <w:p w14:paraId="76D24F57" w14:textId="17208322" w:rsidR="00863657" w:rsidRDefault="00393749" w:rsidP="00F03BB5">
      <w:pPr>
        <w:pStyle w:val="LI-BodyTextParaa"/>
        <w:ind w:left="567"/>
      </w:pPr>
      <w:r>
        <w:t>71</w:t>
      </w:r>
      <w:r w:rsidR="009A3F74">
        <w:t>.</w:t>
      </w:r>
      <w:r w:rsidR="009A3F74">
        <w:tab/>
      </w:r>
      <w:r w:rsidR="00876C22">
        <w:t xml:space="preserve">Section 828K of the Act provides that ASIC must not make a CS services rule unless the Minister has consented, in writing, to the making of the rule. The Minister consented to the making of this instrument by written notice to ASIC dated </w:t>
      </w:r>
      <w:r w:rsidR="00C1249D" w:rsidRPr="00C1249D">
        <w:t xml:space="preserve">13 February </w:t>
      </w:r>
      <w:r w:rsidR="00876C22" w:rsidRPr="00A47BE4">
        <w:t>2025.</w:t>
      </w:r>
    </w:p>
    <w:p w14:paraId="1A8D1712" w14:textId="547B78DE" w:rsidR="006056A4" w:rsidRPr="006056A4" w:rsidRDefault="006056A4" w:rsidP="00F03BB5">
      <w:pPr>
        <w:pStyle w:val="LI-BodyTextParaa"/>
        <w:ind w:left="567"/>
        <w:rPr>
          <w:u w:val="single"/>
        </w:rPr>
      </w:pPr>
      <w:r>
        <w:rPr>
          <w:u w:val="single"/>
        </w:rPr>
        <w:t>Limitations on rule making power – Ministerial determination</w:t>
      </w:r>
    </w:p>
    <w:p w14:paraId="7D3AA32E" w14:textId="2E3AD4E4" w:rsidR="00435EEF" w:rsidRDefault="00393749" w:rsidP="00435EEF">
      <w:pPr>
        <w:pStyle w:val="LI-BodyTextParaa"/>
        <w:ind w:left="567"/>
      </w:pPr>
      <w:r>
        <w:t>72</w:t>
      </w:r>
      <w:r w:rsidR="00946759">
        <w:t>.</w:t>
      </w:r>
      <w:r w:rsidR="00946759">
        <w:tab/>
      </w:r>
      <w:r w:rsidR="006056A4">
        <w:t xml:space="preserve">Subsection 828B(1) of the Act provides that the </w:t>
      </w:r>
      <w:r w:rsidR="006056A4" w:rsidRPr="006056A4">
        <w:t xml:space="preserve">CS services rules cannot impose requirements in relation to CS services unless the CS services are covered by a determination under </w:t>
      </w:r>
      <w:r w:rsidR="006056A4">
        <w:t xml:space="preserve">section 828B of the Act. </w:t>
      </w:r>
    </w:p>
    <w:p w14:paraId="4EC1FD5F" w14:textId="075AEF2C" w:rsidR="00243862" w:rsidRDefault="00393749" w:rsidP="00435EEF">
      <w:pPr>
        <w:pStyle w:val="LI-BodyTextParaa"/>
        <w:ind w:left="567"/>
      </w:pPr>
      <w:r>
        <w:t>73</w:t>
      </w:r>
      <w:r w:rsidR="00243862">
        <w:t>.</w:t>
      </w:r>
      <w:r w:rsidR="00243862">
        <w:tab/>
        <w:t xml:space="preserve">On 13 May 2024, the Assistant Treasurer made the </w:t>
      </w:r>
      <w:r w:rsidR="00243862" w:rsidRPr="00A47BE4">
        <w:rPr>
          <w:iCs/>
        </w:rPr>
        <w:t>Ministerial Determination</w:t>
      </w:r>
      <w:r w:rsidR="00BA1447">
        <w:t xml:space="preserve"> </w:t>
      </w:r>
      <w:r w:rsidR="00243862">
        <w:t xml:space="preserve">under subsection 828B(5) of the Act, determining the classes of CS services in relation to which CS services rules may impose requirements. </w:t>
      </w:r>
      <w:r w:rsidR="00D4372E">
        <w:t xml:space="preserve">Under the Ministerial Determination, the class of CS services determined for subsection 828B(2) of the Act is a CS service relating to cash equities (being a type of financial product). </w:t>
      </w:r>
    </w:p>
    <w:p w14:paraId="29DA3A85" w14:textId="514AF273" w:rsidR="00D4372E" w:rsidRPr="00243862" w:rsidRDefault="00393749" w:rsidP="00435EEF">
      <w:pPr>
        <w:pStyle w:val="LI-BodyTextParaa"/>
        <w:ind w:left="567"/>
      </w:pPr>
      <w:r>
        <w:t>74</w:t>
      </w:r>
      <w:r w:rsidR="00D4372E">
        <w:t>.</w:t>
      </w:r>
      <w:r w:rsidR="00D4372E">
        <w:tab/>
        <w:t xml:space="preserve">The CS Services Rules apply only to CS services relating to cash equities. </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48D957E6" w:rsidR="00223DCF" w:rsidRPr="00EA17A6" w:rsidRDefault="00393749" w:rsidP="00435EEF">
      <w:pPr>
        <w:pStyle w:val="LI-BodyTextParaa"/>
        <w:ind w:left="567"/>
      </w:pPr>
      <w:r>
        <w:t>75</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4B154A7D" w14:textId="6358BA3D" w:rsidR="00223DCF" w:rsidRPr="00EA17A6" w:rsidRDefault="00BC1E25" w:rsidP="00223DCF">
      <w:pPr>
        <w:pStyle w:val="LI-BodyTextNumbered"/>
        <w:ind w:left="0" w:firstLine="0"/>
        <w:rPr>
          <w:b/>
          <w:i/>
        </w:rPr>
      </w:pPr>
      <w:r>
        <w:rPr>
          <w:b/>
          <w:i/>
        </w:rPr>
        <w:t>ASIC CS Services Rules 2025</w:t>
      </w:r>
    </w:p>
    <w:p w14:paraId="0AD76C9D" w14:textId="77777777" w:rsidR="00223DCF" w:rsidRPr="00EA17A6" w:rsidRDefault="00223DCF" w:rsidP="001872DC">
      <w:pPr>
        <w:pStyle w:val="LI-BodyTextNumbered"/>
        <w:ind w:left="567"/>
        <w:rPr>
          <w:u w:val="single"/>
        </w:rPr>
      </w:pPr>
      <w:r w:rsidRPr="00EA17A6">
        <w:rPr>
          <w:u w:val="single"/>
        </w:rPr>
        <w:t>Overview</w:t>
      </w:r>
    </w:p>
    <w:p w14:paraId="102AF135" w14:textId="6F1BD98D" w:rsidR="00052F57" w:rsidRDefault="00CB2D96" w:rsidP="00052F57">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tab/>
      </w:r>
      <w:r w:rsidR="001C088E">
        <w:rPr>
          <w:rFonts w:eastAsia="Times New Roman"/>
          <w:sz w:val="24"/>
          <w:szCs w:val="24"/>
          <w:lang w:eastAsia="en-AU"/>
        </w:rPr>
        <w:t xml:space="preserve">The </w:t>
      </w:r>
      <w:r w:rsidR="001C088E">
        <w:rPr>
          <w:rFonts w:eastAsia="Times New Roman"/>
          <w:i/>
          <w:iCs/>
          <w:sz w:val="24"/>
          <w:szCs w:val="24"/>
          <w:lang w:eastAsia="en-AU"/>
        </w:rPr>
        <w:t xml:space="preserve">ASIC CS Services Rules 2025 </w:t>
      </w:r>
      <w:r w:rsidR="001C088E">
        <w:rPr>
          <w:rFonts w:eastAsia="Times New Roman"/>
          <w:sz w:val="24"/>
          <w:szCs w:val="24"/>
          <w:lang w:eastAsia="en-AU"/>
        </w:rPr>
        <w:t xml:space="preserve">(the </w:t>
      </w:r>
      <w:r w:rsidR="001C088E">
        <w:rPr>
          <w:rFonts w:eastAsia="Times New Roman"/>
          <w:b/>
          <w:bCs/>
          <w:i/>
          <w:iCs/>
          <w:sz w:val="24"/>
          <w:szCs w:val="24"/>
          <w:lang w:eastAsia="en-AU"/>
        </w:rPr>
        <w:t>instrument</w:t>
      </w:r>
      <w:r w:rsidR="001C088E">
        <w:rPr>
          <w:rFonts w:eastAsia="Times New Roman"/>
          <w:sz w:val="24"/>
          <w:szCs w:val="24"/>
          <w:lang w:eastAsia="en-AU"/>
        </w:rPr>
        <w:t xml:space="preserve">) </w:t>
      </w:r>
      <w:r w:rsidR="001C088E" w:rsidRPr="001C088E">
        <w:rPr>
          <w:rFonts w:eastAsia="Times New Roman"/>
          <w:sz w:val="24"/>
          <w:szCs w:val="24"/>
          <w:lang w:eastAsia="en-AU"/>
        </w:rPr>
        <w:t>impose requirements dealing with the activities, conduct and governance arrangements of providers of cash equity clearing and settlement (</w:t>
      </w:r>
      <w:r w:rsidR="001C088E" w:rsidRPr="00A47BE4">
        <w:rPr>
          <w:rFonts w:eastAsia="Times New Roman"/>
          <w:b/>
          <w:i/>
          <w:sz w:val="24"/>
          <w:szCs w:val="24"/>
          <w:lang w:eastAsia="en-AU"/>
        </w:rPr>
        <w:t>CS</w:t>
      </w:r>
      <w:r w:rsidR="001C088E" w:rsidRPr="001C088E">
        <w:rPr>
          <w:rFonts w:eastAsia="Times New Roman"/>
          <w:sz w:val="24"/>
          <w:szCs w:val="24"/>
          <w:lang w:eastAsia="en-AU"/>
        </w:rPr>
        <w:t>) services.</w:t>
      </w:r>
      <w:r w:rsidR="00052F57">
        <w:rPr>
          <w:rFonts w:eastAsia="Times New Roman"/>
          <w:sz w:val="24"/>
          <w:szCs w:val="24"/>
          <w:lang w:eastAsia="en-AU"/>
        </w:rPr>
        <w:t xml:space="preserve"> </w:t>
      </w:r>
      <w:r w:rsidR="00052F57" w:rsidRPr="00052F57">
        <w:rPr>
          <w:rFonts w:eastAsia="Times New Roman"/>
          <w:sz w:val="24"/>
          <w:szCs w:val="24"/>
          <w:lang w:eastAsia="en-AU"/>
        </w:rPr>
        <w:t xml:space="preserve">The </w:t>
      </w:r>
      <w:r w:rsidR="00052F57">
        <w:rPr>
          <w:rFonts w:eastAsia="Times New Roman"/>
          <w:sz w:val="24"/>
          <w:szCs w:val="24"/>
          <w:lang w:eastAsia="en-AU"/>
        </w:rPr>
        <w:t>instrument</w:t>
      </w:r>
      <w:r w:rsidR="00052F57" w:rsidRPr="00052F57">
        <w:rPr>
          <w:rFonts w:eastAsia="Times New Roman"/>
          <w:sz w:val="24"/>
          <w:szCs w:val="24"/>
          <w:lang w:eastAsia="en-AU"/>
        </w:rPr>
        <w:t xml:space="preserve"> </w:t>
      </w:r>
      <w:r w:rsidR="00052F57">
        <w:rPr>
          <w:rFonts w:eastAsia="Times New Roman"/>
          <w:sz w:val="24"/>
          <w:szCs w:val="24"/>
          <w:lang w:eastAsia="en-AU"/>
        </w:rPr>
        <w:t>is</w:t>
      </w:r>
      <w:r w:rsidR="00052F57" w:rsidRPr="00052F57">
        <w:rPr>
          <w:rFonts w:eastAsia="Times New Roman"/>
          <w:sz w:val="24"/>
          <w:szCs w:val="24"/>
          <w:lang w:eastAsia="en-AU"/>
        </w:rPr>
        <w:t xml:space="preserve"> intended to establish formalised and clear baseline obligations to promote competitive outcomes in the provision of cash equity CS services, where the ASX group is the monopoly provider of cash equity CS services. The </w:t>
      </w:r>
      <w:r w:rsidR="00052F57">
        <w:rPr>
          <w:rFonts w:eastAsia="Times New Roman"/>
          <w:sz w:val="24"/>
          <w:szCs w:val="24"/>
          <w:lang w:eastAsia="en-AU"/>
        </w:rPr>
        <w:t>instrument</w:t>
      </w:r>
      <w:r w:rsidR="00052F57" w:rsidRPr="00052F57">
        <w:rPr>
          <w:rFonts w:eastAsia="Times New Roman"/>
          <w:sz w:val="24"/>
          <w:szCs w:val="24"/>
          <w:lang w:eastAsia="en-AU"/>
        </w:rPr>
        <w:t xml:space="preserve"> </w:t>
      </w:r>
      <w:r w:rsidR="00052F57">
        <w:rPr>
          <w:rFonts w:eastAsia="Times New Roman"/>
          <w:sz w:val="24"/>
          <w:szCs w:val="24"/>
          <w:lang w:eastAsia="en-AU"/>
        </w:rPr>
        <w:t>is</w:t>
      </w:r>
      <w:r w:rsidR="00052F57" w:rsidRPr="00052F57">
        <w:rPr>
          <w:rFonts w:eastAsia="Times New Roman"/>
          <w:sz w:val="24"/>
          <w:szCs w:val="24"/>
          <w:lang w:eastAsia="en-AU"/>
        </w:rPr>
        <w:t xml:space="preserve"> made in relation to cash equity CS services specified under the </w:t>
      </w:r>
      <w:r w:rsidR="00052F57" w:rsidRPr="00052F57">
        <w:rPr>
          <w:rFonts w:eastAsia="Times New Roman"/>
          <w:i/>
          <w:iCs/>
          <w:sz w:val="24"/>
          <w:szCs w:val="24"/>
          <w:lang w:eastAsia="en-AU"/>
        </w:rPr>
        <w:t>Corporations and Competition (CS Services) Instrument 2024</w:t>
      </w:r>
      <w:r w:rsidR="00052F57" w:rsidRPr="00052F57">
        <w:rPr>
          <w:rFonts w:eastAsia="Times New Roman"/>
          <w:sz w:val="24"/>
          <w:szCs w:val="24"/>
          <w:lang w:eastAsia="en-AU"/>
        </w:rPr>
        <w:t>.</w:t>
      </w:r>
    </w:p>
    <w:p w14:paraId="560894E5" w14:textId="5ED6C717" w:rsidR="00127777" w:rsidRDefault="00052F57" w:rsidP="00127777">
      <w:pPr>
        <w:pStyle w:val="LI-BodyTextParaa"/>
        <w:ind w:left="567"/>
      </w:pPr>
      <w:r>
        <w:t>2.</w:t>
      </w:r>
      <w:r>
        <w:tab/>
      </w:r>
      <w:r w:rsidR="00127777">
        <w:t>The instrument imposes requirements for the following key areas:</w:t>
      </w:r>
    </w:p>
    <w:p w14:paraId="2245055C" w14:textId="5CA0C38E" w:rsidR="00127777" w:rsidRDefault="00127777" w:rsidP="00127777">
      <w:pPr>
        <w:pStyle w:val="LI-BodyTextParaa"/>
        <w:ind w:left="567"/>
      </w:pPr>
      <w:r>
        <w:tab/>
        <w:t xml:space="preserve">(a) </w:t>
      </w:r>
      <w:r w:rsidR="00AF0391" w:rsidRPr="00AF0391">
        <w:t>governance frameworks with mechanisms for users to provide input into strategy setting, operational arrangements, and system design;</w:t>
      </w:r>
    </w:p>
    <w:p w14:paraId="4CEB710A" w14:textId="53FAB0A3" w:rsidR="00127777" w:rsidRDefault="00127777" w:rsidP="00127777">
      <w:pPr>
        <w:pStyle w:val="LI-BodyTextParaa"/>
        <w:ind w:left="567" w:firstLine="0"/>
      </w:pPr>
      <w:r>
        <w:t xml:space="preserve">(b) </w:t>
      </w:r>
      <w:r w:rsidR="00AF0391" w:rsidRPr="00AF0391">
        <w:t>transparent, non-discriminatory, fair and reasonable pricing arrangements;</w:t>
      </w:r>
    </w:p>
    <w:p w14:paraId="7F5C6592" w14:textId="77777777" w:rsidR="00127777" w:rsidRDefault="00127777" w:rsidP="00127777">
      <w:pPr>
        <w:pStyle w:val="LI-BodyTextParaa"/>
        <w:ind w:left="567" w:firstLine="0"/>
      </w:pPr>
      <w:r>
        <w:t>(c) access to services on commercial, transparent and non-discriminatory terms;</w:t>
      </w:r>
    </w:p>
    <w:p w14:paraId="16B1832F" w14:textId="654E6731" w:rsidR="00127777" w:rsidRDefault="00127777" w:rsidP="00127777">
      <w:pPr>
        <w:pStyle w:val="LI-BodyTextParaa"/>
        <w:ind w:left="567" w:firstLine="0"/>
      </w:pPr>
      <w:r>
        <w:t xml:space="preserve">(d) </w:t>
      </w:r>
      <w:r w:rsidR="00AF0391" w:rsidRPr="00AF0391">
        <w:t>core information technology systems used to provide cash equity CS services to facilitate foundational technical interoperability with users’ systems that do not raise barriers to entry;</w:t>
      </w:r>
    </w:p>
    <w:p w14:paraId="33026057" w14:textId="290E2E42" w:rsidR="00127777" w:rsidRDefault="00127777" w:rsidP="00127777">
      <w:pPr>
        <w:pStyle w:val="LI-BodyTextParaa"/>
        <w:ind w:left="567" w:firstLine="0"/>
      </w:pPr>
      <w:r>
        <w:t xml:space="preserve">(e) </w:t>
      </w:r>
      <w:r w:rsidR="00AF0391" w:rsidRPr="00AF0391">
        <w:t>publication of an international pricing comparison report and a cost allocation model report;</w:t>
      </w:r>
    </w:p>
    <w:p w14:paraId="7D36C145" w14:textId="2011503A" w:rsidR="00127777" w:rsidRDefault="00127777" w:rsidP="00127777">
      <w:pPr>
        <w:pStyle w:val="LI-BodyTextParaa"/>
        <w:ind w:left="567" w:firstLine="0"/>
      </w:pPr>
      <w:r>
        <w:t>(f) publication of audited management accounts for CS services;</w:t>
      </w:r>
    </w:p>
    <w:p w14:paraId="38A161D6" w14:textId="77777777" w:rsidR="00127777" w:rsidRDefault="00127777" w:rsidP="00127777">
      <w:pPr>
        <w:pStyle w:val="LI-BodyTextParaa"/>
        <w:ind w:left="567" w:firstLine="0"/>
      </w:pPr>
      <w:r>
        <w:t>(g) arrangements for management of intragroup conflicts of interest; and</w:t>
      </w:r>
    </w:p>
    <w:p w14:paraId="369EB1D5" w14:textId="79866913" w:rsidR="00052F57" w:rsidRPr="001C088E" w:rsidRDefault="00127777" w:rsidP="00127777">
      <w:pPr>
        <w:pStyle w:val="LI-BodyTextParaa"/>
        <w:ind w:left="567" w:firstLine="0"/>
      </w:pPr>
      <w:r>
        <w:t>(h) independent assurance that changes to core systems do not result in barriers to access for unaffiliated entities, including in relation to interoperabilit</w:t>
      </w:r>
      <w:r w:rsidR="00AF0391">
        <w:t>y.</w:t>
      </w:r>
    </w:p>
    <w:p w14:paraId="79BCB1A5"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56F8130E" w14:textId="29764C0E" w:rsidR="00946759" w:rsidRPr="00EA17A6" w:rsidRDefault="00790D91" w:rsidP="00D306F8">
      <w:pPr>
        <w:pStyle w:val="LI-BodyTextNumbered"/>
        <w:ind w:left="567"/>
      </w:pPr>
      <w:r>
        <w:t>3</w:t>
      </w:r>
      <w:r w:rsidR="001872DC" w:rsidRPr="00EA17A6">
        <w:t>.</w:t>
      </w:r>
      <w:r w:rsidR="001872DC" w:rsidRPr="00EA17A6">
        <w:tab/>
      </w:r>
      <w:bookmarkEnd w:id="4"/>
      <w:r w:rsidR="001872DC" w:rsidRPr="00EA17A6">
        <w:t xml:space="preserve">This instrument </w:t>
      </w:r>
      <w:r w:rsidR="00D306F8" w:rsidRPr="00EA17A6">
        <w:t>does not engage any of the applicable rights or freedoms</w:t>
      </w:r>
      <w:r w:rsidR="001C088E">
        <w:t>.</w:t>
      </w:r>
      <w:r w:rsidR="00435EEF" w:rsidRPr="00EA17A6">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13265503" w:rsidR="00CB2D96" w:rsidRPr="00EA17A6" w:rsidRDefault="00790D91" w:rsidP="00CB2D96">
      <w:pPr>
        <w:pStyle w:val="LI-BodyTextNumbered"/>
        <w:ind w:left="567"/>
      </w:pPr>
      <w:r>
        <w:lastRenderedPageBreak/>
        <w:t>4</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4"/>
      <w:headerReference w:type="default" r:id="rId15"/>
      <w:footerReference w:type="default" r:id="rId1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9B724" w14:textId="77777777" w:rsidR="00C214DA" w:rsidRDefault="00C214DA" w:rsidP="00715914">
      <w:pPr>
        <w:spacing w:line="240" w:lineRule="auto"/>
      </w:pPr>
      <w:r>
        <w:separator/>
      </w:r>
    </w:p>
  </w:endnote>
  <w:endnote w:type="continuationSeparator" w:id="0">
    <w:p w14:paraId="0796C0A2" w14:textId="77777777" w:rsidR="00C214DA" w:rsidRDefault="00C214DA" w:rsidP="00715914">
      <w:pPr>
        <w:spacing w:line="240" w:lineRule="auto"/>
      </w:pPr>
      <w:r>
        <w:continuationSeparator/>
      </w:r>
    </w:p>
  </w:endnote>
  <w:endnote w:type="continuationNotice" w:id="1">
    <w:p w14:paraId="768A3122" w14:textId="77777777" w:rsidR="00C214DA" w:rsidRDefault="00C214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40FB" w14:textId="77777777" w:rsidR="00C214DA" w:rsidRDefault="00C214DA" w:rsidP="00715914">
      <w:pPr>
        <w:spacing w:line="240" w:lineRule="auto"/>
      </w:pPr>
      <w:r>
        <w:separator/>
      </w:r>
    </w:p>
  </w:footnote>
  <w:footnote w:type="continuationSeparator" w:id="0">
    <w:p w14:paraId="6817C2D4" w14:textId="77777777" w:rsidR="00C214DA" w:rsidRDefault="00C214DA" w:rsidP="00715914">
      <w:pPr>
        <w:spacing w:line="240" w:lineRule="auto"/>
      </w:pPr>
      <w:r>
        <w:continuationSeparator/>
      </w:r>
    </w:p>
  </w:footnote>
  <w:footnote w:type="continuationNotice" w:id="1">
    <w:p w14:paraId="218F437E" w14:textId="77777777" w:rsidR="00C214DA" w:rsidRDefault="00C214DA">
      <w:pPr>
        <w:spacing w:line="240" w:lineRule="auto"/>
      </w:pPr>
    </w:p>
  </w:footnote>
  <w:footnote w:id="2">
    <w:p w14:paraId="401EFAAC" w14:textId="1E20ED28" w:rsidR="00C346D6" w:rsidRDefault="00C346D6" w:rsidP="004F7397">
      <w:pPr>
        <w:pStyle w:val="FootnoteText"/>
      </w:pPr>
      <w:r>
        <w:rPr>
          <w:rStyle w:val="FootnoteReference"/>
        </w:rPr>
        <w:footnoteRef/>
      </w:r>
      <w:r>
        <w:t xml:space="preserve"> </w:t>
      </w:r>
      <w:r w:rsidRPr="00C346D6">
        <w:t xml:space="preserve">CFR, </w:t>
      </w:r>
      <w:r w:rsidRPr="004F7397">
        <w:t>Competition in the clearing and settlement of the Australian cash equity market</w:t>
      </w:r>
      <w:r w:rsidRPr="00C346D6">
        <w:t>, discussion</w:t>
      </w:r>
      <w:r>
        <w:t xml:space="preserve"> </w:t>
      </w:r>
      <w:r w:rsidRPr="00C346D6">
        <w:t>paper, June 2012</w:t>
      </w:r>
      <w:r w:rsidR="004F7397">
        <w:t xml:space="preserve"> &lt;https://treasury.gov.au/consultation/competition-in-the-clearing-and-settlement-of-the-australian-cash-equity-market&gt;</w:t>
      </w:r>
      <w:r>
        <w:t>.</w:t>
      </w:r>
    </w:p>
  </w:footnote>
  <w:footnote w:id="3">
    <w:p w14:paraId="1D84C275" w14:textId="03A63FEB" w:rsidR="00260666" w:rsidRDefault="00260666" w:rsidP="00B1140D">
      <w:pPr>
        <w:pStyle w:val="FootnoteText"/>
        <w:jc w:val="both"/>
      </w:pPr>
      <w:r>
        <w:rPr>
          <w:rStyle w:val="FootnoteReference"/>
        </w:rPr>
        <w:footnoteRef/>
      </w:r>
      <w:r>
        <w:t xml:space="preserve"> </w:t>
      </w:r>
      <w:r w:rsidRPr="00260666">
        <w:t xml:space="preserve">CFR, </w:t>
      </w:r>
      <w:r w:rsidRPr="004F7397">
        <w:t>Competition in Clearing Australian Cash Equities: Conclusions</w:t>
      </w:r>
      <w:r w:rsidRPr="00260666">
        <w:t>, report, December 2012</w:t>
      </w:r>
      <w:r w:rsidR="004F7397">
        <w:t xml:space="preserve"> &lt;</w:t>
      </w:r>
      <w:r w:rsidR="004F7397" w:rsidRPr="004F7397">
        <w:t>https://treasury.gov.au/sites/default/files/2019-03/Competition-in-clearing-and-settlement-of-the-Australian-cash-equity-market.pdf</w:t>
      </w:r>
      <w:r w:rsidR="004F7397">
        <w:t>&gt;</w:t>
      </w:r>
      <w:r>
        <w:t>.</w:t>
      </w:r>
    </w:p>
  </w:footnote>
  <w:footnote w:id="4">
    <w:p w14:paraId="468CF6D6" w14:textId="307BF09D" w:rsidR="00C346D6" w:rsidRDefault="00C346D6" w:rsidP="004F7397">
      <w:pPr>
        <w:pStyle w:val="FootnoteText"/>
      </w:pPr>
      <w:r>
        <w:rPr>
          <w:rStyle w:val="FootnoteReference"/>
        </w:rPr>
        <w:footnoteRef/>
      </w:r>
      <w:r>
        <w:t xml:space="preserve"> </w:t>
      </w:r>
      <w:r w:rsidRPr="00C346D6">
        <w:t xml:space="preserve">CFR, </w:t>
      </w:r>
      <w:r w:rsidRPr="004F7397">
        <w:t>Advice on Competition in Clearing of the Cash Equity Market</w:t>
      </w:r>
      <w:r w:rsidRPr="00C346D6">
        <w:t>, advice, February 2013</w:t>
      </w:r>
      <w:r w:rsidR="004F7397">
        <w:t xml:space="preserve"> &lt;https://treasury.gov.au/publication/council-of-financial-regulators-advice-on-competition-in-clearing-of-the-cash-equity-market&gt;</w:t>
      </w:r>
      <w:r w:rsidR="00C0753E">
        <w:t>.</w:t>
      </w:r>
    </w:p>
  </w:footnote>
  <w:footnote w:id="5">
    <w:p w14:paraId="215BFA48" w14:textId="0B1F8E78" w:rsidR="004F7397" w:rsidRDefault="004F7397" w:rsidP="004F7397">
      <w:pPr>
        <w:pStyle w:val="FootnoteText"/>
      </w:pPr>
      <w:r>
        <w:rPr>
          <w:rStyle w:val="FootnoteReference"/>
        </w:rPr>
        <w:footnoteRef/>
      </w:r>
      <w:r>
        <w:t xml:space="preserve"> CFR, </w:t>
      </w:r>
      <w:r w:rsidRPr="004F7397">
        <w:t>Review of Competition in Clearing Australian Cash Equities</w:t>
      </w:r>
      <w:r>
        <w:t>, report, February 2015 &lt;https://www.cfr.gov.au/publications/consultations/2015/review-of-competition-in-clearing-australian-cash-equities/&gt;.</w:t>
      </w:r>
    </w:p>
  </w:footnote>
  <w:footnote w:id="6">
    <w:p w14:paraId="6BDFF53F" w14:textId="3522DAE2" w:rsidR="00D63664" w:rsidRDefault="00D63664">
      <w:pPr>
        <w:pStyle w:val="FootnoteText"/>
      </w:pPr>
      <w:r>
        <w:rPr>
          <w:rStyle w:val="FootnoteReference"/>
        </w:rPr>
        <w:footnoteRef/>
      </w:r>
      <w:r>
        <w:t xml:space="preserve"> </w:t>
      </w:r>
      <w:r w:rsidR="00C41A86" w:rsidRPr="00C41A86">
        <w:t>CFR, Regulatory Expectations for Conduct of Cash Equity Clearing and Settlement Services in Australia, policy paper, October 2016, amended September 2017</w:t>
      </w:r>
      <w:r w:rsidR="00C41A86">
        <w:t xml:space="preserve"> &lt;</w:t>
      </w:r>
      <w:r w:rsidRPr="00D63664">
        <w:t>https://www.cfr.gov.au/publications/policy-statements-and-other-reports/2016/regulatory-expectations-policy-statement/</w:t>
      </w:r>
      <w:r w:rsidR="00C41A86">
        <w:t>&gt;.</w:t>
      </w:r>
    </w:p>
  </w:footnote>
  <w:footnote w:id="7">
    <w:p w14:paraId="010A972B" w14:textId="76F18ECD" w:rsidR="00D63664" w:rsidRDefault="00D63664">
      <w:pPr>
        <w:pStyle w:val="FootnoteText"/>
      </w:pPr>
      <w:r>
        <w:rPr>
          <w:rStyle w:val="FootnoteReference"/>
        </w:rPr>
        <w:footnoteRef/>
      </w:r>
      <w:r>
        <w:t xml:space="preserve"> </w:t>
      </w:r>
      <w:r w:rsidR="00C41A86" w:rsidRPr="00C41A86">
        <w:t xml:space="preserve">CFR, Minimum Conditions for Safe and Effective Competition in Cash Equity Clearing in Australia, policy paper, October 2016, amended September 2017 </w:t>
      </w:r>
      <w:r w:rsidR="00C41A86">
        <w:t>&lt;</w:t>
      </w:r>
      <w:r w:rsidRPr="00D63664">
        <w:t>https://www.cfr.gov.au/publications/policy-statements-and-other-reports/2016/minimum-conditions-safe-effective-cash-equity/pdf/policy-statement.pdf</w:t>
      </w:r>
      <w:r w:rsidR="00C41A86">
        <w:t>&gt;.</w:t>
      </w:r>
    </w:p>
  </w:footnote>
  <w:footnote w:id="8">
    <w:p w14:paraId="6E7F5E99" w14:textId="6D9D5D0B" w:rsidR="00D63664" w:rsidRDefault="00D63664">
      <w:pPr>
        <w:pStyle w:val="FootnoteText"/>
      </w:pPr>
      <w:r>
        <w:rPr>
          <w:rStyle w:val="FootnoteReference"/>
        </w:rPr>
        <w:footnoteRef/>
      </w:r>
      <w:r>
        <w:t xml:space="preserve"> </w:t>
      </w:r>
      <w:r w:rsidR="00F335AA" w:rsidRPr="00F335AA">
        <w:t xml:space="preserve">CFR, Minimum Conditions for Safe and effective Competition in Cash Equity Settlement in Australia, policy paper, September 2017 </w:t>
      </w:r>
      <w:r w:rsidR="00F335AA">
        <w:t>&lt;</w:t>
      </w:r>
      <w:r w:rsidRPr="00D63664">
        <w:t>https://www.cfr.gov.au/publications/policy-statements-and-other-reports/2017/minimum-conditions-safe-effective-competition/pdf/policy-statement.pdf</w:t>
      </w:r>
      <w:r w:rsidR="00F335AA">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8B8"/>
    <w:multiLevelType w:val="hybridMultilevel"/>
    <w:tmpl w:val="D9C637F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B3792"/>
    <w:multiLevelType w:val="hybridMultilevel"/>
    <w:tmpl w:val="4E047768"/>
    <w:lvl w:ilvl="0" w:tplc="D0F841FE">
      <w:start w:val="1"/>
      <w:numFmt w:val="lowerRoman"/>
      <w:lvlText w:val="(%1)"/>
      <w:lvlJc w:val="righ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 w15:restartNumberingAfterBreak="0">
    <w:nsid w:val="04BA7BE9"/>
    <w:multiLevelType w:val="hybridMultilevel"/>
    <w:tmpl w:val="2722BFC2"/>
    <w:lvl w:ilvl="0" w:tplc="6944DE2E">
      <w:start w:val="1"/>
      <w:numFmt w:val="lowerLetter"/>
      <w:lvlText w:val="(%1)"/>
      <w:lvlJc w:val="left"/>
      <w:pPr>
        <w:ind w:left="1538" w:hanging="360"/>
      </w:pPr>
      <w:rPr>
        <w:rFonts w:hint="default"/>
      </w:rPr>
    </w:lvl>
    <w:lvl w:ilvl="1" w:tplc="0C090019" w:tentative="1">
      <w:start w:val="1"/>
      <w:numFmt w:val="lowerLetter"/>
      <w:lvlText w:val="%2."/>
      <w:lvlJc w:val="left"/>
      <w:pPr>
        <w:ind w:left="916" w:hanging="360"/>
      </w:pPr>
    </w:lvl>
    <w:lvl w:ilvl="2" w:tplc="0C09001B" w:tentative="1">
      <w:start w:val="1"/>
      <w:numFmt w:val="lowerRoman"/>
      <w:lvlText w:val="%3."/>
      <w:lvlJc w:val="right"/>
      <w:pPr>
        <w:ind w:left="1636" w:hanging="180"/>
      </w:pPr>
    </w:lvl>
    <w:lvl w:ilvl="3" w:tplc="0C09000F" w:tentative="1">
      <w:start w:val="1"/>
      <w:numFmt w:val="decimal"/>
      <w:lvlText w:val="%4."/>
      <w:lvlJc w:val="left"/>
      <w:pPr>
        <w:ind w:left="2356" w:hanging="360"/>
      </w:pPr>
    </w:lvl>
    <w:lvl w:ilvl="4" w:tplc="0C090019" w:tentative="1">
      <w:start w:val="1"/>
      <w:numFmt w:val="lowerLetter"/>
      <w:lvlText w:val="%5."/>
      <w:lvlJc w:val="left"/>
      <w:pPr>
        <w:ind w:left="3076" w:hanging="360"/>
      </w:pPr>
    </w:lvl>
    <w:lvl w:ilvl="5" w:tplc="0C09001B" w:tentative="1">
      <w:start w:val="1"/>
      <w:numFmt w:val="lowerRoman"/>
      <w:lvlText w:val="%6."/>
      <w:lvlJc w:val="right"/>
      <w:pPr>
        <w:ind w:left="3796" w:hanging="180"/>
      </w:pPr>
    </w:lvl>
    <w:lvl w:ilvl="6" w:tplc="0C09000F" w:tentative="1">
      <w:start w:val="1"/>
      <w:numFmt w:val="decimal"/>
      <w:lvlText w:val="%7."/>
      <w:lvlJc w:val="left"/>
      <w:pPr>
        <w:ind w:left="4516" w:hanging="360"/>
      </w:pPr>
    </w:lvl>
    <w:lvl w:ilvl="7" w:tplc="0C090019" w:tentative="1">
      <w:start w:val="1"/>
      <w:numFmt w:val="lowerLetter"/>
      <w:lvlText w:val="%8."/>
      <w:lvlJc w:val="left"/>
      <w:pPr>
        <w:ind w:left="5236" w:hanging="360"/>
      </w:pPr>
    </w:lvl>
    <w:lvl w:ilvl="8" w:tplc="0C09001B" w:tentative="1">
      <w:start w:val="1"/>
      <w:numFmt w:val="lowerRoman"/>
      <w:lvlText w:val="%9."/>
      <w:lvlJc w:val="right"/>
      <w:pPr>
        <w:ind w:left="5956" w:hanging="180"/>
      </w:pPr>
    </w:lvl>
  </w:abstractNum>
  <w:abstractNum w:abstractNumId="3" w15:restartNumberingAfterBreak="0">
    <w:nsid w:val="0A051F9F"/>
    <w:multiLevelType w:val="hybridMultilevel"/>
    <w:tmpl w:val="9D624F3A"/>
    <w:lvl w:ilvl="0" w:tplc="1C6242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DA76226"/>
    <w:multiLevelType w:val="hybridMultilevel"/>
    <w:tmpl w:val="C89CAA90"/>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F80194A"/>
    <w:multiLevelType w:val="hybridMultilevel"/>
    <w:tmpl w:val="3EE4FE12"/>
    <w:lvl w:ilvl="0" w:tplc="FFFFFFFF">
      <w:start w:val="1"/>
      <w:numFmt w:val="lowerLetter"/>
      <w:lvlText w:val="(%1)"/>
      <w:lvlJc w:val="left"/>
      <w:pPr>
        <w:ind w:left="927" w:hanging="360"/>
      </w:pPr>
      <w:rPr>
        <w:rFonts w:hint="default"/>
      </w:rPr>
    </w:lvl>
    <w:lvl w:ilvl="1" w:tplc="FFFFFFFF">
      <w:start w:val="1"/>
      <w:numFmt w:val="lowerRoman"/>
      <w:lvlText w:val="(%2)"/>
      <w:lvlJc w:val="righ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37F006D"/>
    <w:multiLevelType w:val="hybridMultilevel"/>
    <w:tmpl w:val="1198499E"/>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4A03ED4"/>
    <w:multiLevelType w:val="hybridMultilevel"/>
    <w:tmpl w:val="3EE4FE12"/>
    <w:lvl w:ilvl="0" w:tplc="FFFFFFFF">
      <w:start w:val="1"/>
      <w:numFmt w:val="lowerLetter"/>
      <w:lvlText w:val="(%1)"/>
      <w:lvlJc w:val="left"/>
      <w:pPr>
        <w:ind w:left="927" w:hanging="360"/>
      </w:pPr>
      <w:rPr>
        <w:rFonts w:hint="default"/>
      </w:rPr>
    </w:lvl>
    <w:lvl w:ilvl="1" w:tplc="FFFFFFFF">
      <w:start w:val="1"/>
      <w:numFmt w:val="lowerRoman"/>
      <w:lvlText w:val="(%2)"/>
      <w:lvlJc w:val="righ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AED7743"/>
    <w:multiLevelType w:val="hybridMultilevel"/>
    <w:tmpl w:val="111CADEC"/>
    <w:lvl w:ilvl="0" w:tplc="1C6242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2B977878"/>
    <w:multiLevelType w:val="hybridMultilevel"/>
    <w:tmpl w:val="3EE4FE12"/>
    <w:lvl w:ilvl="0" w:tplc="FFFFFFFF">
      <w:start w:val="1"/>
      <w:numFmt w:val="lowerLetter"/>
      <w:lvlText w:val="(%1)"/>
      <w:lvlJc w:val="left"/>
      <w:pPr>
        <w:ind w:left="927" w:hanging="360"/>
      </w:pPr>
      <w:rPr>
        <w:rFonts w:hint="default"/>
      </w:rPr>
    </w:lvl>
    <w:lvl w:ilvl="1" w:tplc="FFFFFFFF">
      <w:start w:val="1"/>
      <w:numFmt w:val="lowerRoman"/>
      <w:lvlText w:val="(%2)"/>
      <w:lvlJc w:val="righ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F57557F"/>
    <w:multiLevelType w:val="hybridMultilevel"/>
    <w:tmpl w:val="3F226B34"/>
    <w:lvl w:ilvl="0" w:tplc="FFFFFFFF">
      <w:start w:val="1"/>
      <w:numFmt w:val="lowerLetter"/>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4A7A22"/>
    <w:multiLevelType w:val="hybridMultilevel"/>
    <w:tmpl w:val="A7C83FF0"/>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4A841CF"/>
    <w:multiLevelType w:val="hybridMultilevel"/>
    <w:tmpl w:val="8D324B42"/>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6B73CFC"/>
    <w:multiLevelType w:val="hybridMultilevel"/>
    <w:tmpl w:val="AF7EEA98"/>
    <w:lvl w:ilvl="0" w:tplc="D0F841FE">
      <w:start w:val="1"/>
      <w:numFmt w:val="lowerRoman"/>
      <w:lvlText w:val="(%1)"/>
      <w:lvlJc w:val="righ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4" w15:restartNumberingAfterBreak="0">
    <w:nsid w:val="377D786A"/>
    <w:multiLevelType w:val="hybridMultilevel"/>
    <w:tmpl w:val="3EE4FE12"/>
    <w:lvl w:ilvl="0" w:tplc="1C62428E">
      <w:start w:val="1"/>
      <w:numFmt w:val="lowerLetter"/>
      <w:lvlText w:val="(%1)"/>
      <w:lvlJc w:val="left"/>
      <w:pPr>
        <w:ind w:left="927" w:hanging="360"/>
      </w:pPr>
      <w:rPr>
        <w:rFonts w:hint="default"/>
      </w:rPr>
    </w:lvl>
    <w:lvl w:ilvl="1" w:tplc="D0F841FE">
      <w:start w:val="1"/>
      <w:numFmt w:val="lowerRoman"/>
      <w:lvlText w:val="(%2)"/>
      <w:lvlJc w:val="righ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464D43"/>
    <w:multiLevelType w:val="hybridMultilevel"/>
    <w:tmpl w:val="4DAC0FCA"/>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EA90821"/>
    <w:multiLevelType w:val="hybridMultilevel"/>
    <w:tmpl w:val="FB82314A"/>
    <w:lvl w:ilvl="0" w:tplc="D0F841FE">
      <w:start w:val="1"/>
      <w:numFmt w:val="lowerRoman"/>
      <w:lvlText w:val="(%1)"/>
      <w:lvlJc w:val="righ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8" w15:restartNumberingAfterBreak="0">
    <w:nsid w:val="470834F6"/>
    <w:multiLevelType w:val="hybridMultilevel"/>
    <w:tmpl w:val="0F906CCA"/>
    <w:lvl w:ilvl="0" w:tplc="FFFFFFFF">
      <w:start w:val="1"/>
      <w:numFmt w:val="lowerRoman"/>
      <w:lvlText w:val="(%1)"/>
      <w:lvlJc w:val="right"/>
      <w:pPr>
        <w:ind w:left="16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236E95"/>
    <w:multiLevelType w:val="hybridMultilevel"/>
    <w:tmpl w:val="57DAA71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B885C19"/>
    <w:multiLevelType w:val="hybridMultilevel"/>
    <w:tmpl w:val="0184691E"/>
    <w:lvl w:ilvl="0" w:tplc="1C62428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CC2759C"/>
    <w:multiLevelType w:val="hybridMultilevel"/>
    <w:tmpl w:val="51661E30"/>
    <w:lvl w:ilvl="0" w:tplc="189EBE74">
      <w:start w:val="4"/>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A25C2F"/>
    <w:multiLevelType w:val="hybridMultilevel"/>
    <w:tmpl w:val="E8E8A360"/>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FB80540"/>
    <w:multiLevelType w:val="hybridMultilevel"/>
    <w:tmpl w:val="0F906CCA"/>
    <w:lvl w:ilvl="0" w:tplc="B7165B0A">
      <w:start w:val="1"/>
      <w:numFmt w:val="lowerRoman"/>
      <w:lvlText w:val="(%1)"/>
      <w:lvlJc w:val="right"/>
      <w:pPr>
        <w:ind w:left="16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9D5260"/>
    <w:multiLevelType w:val="hybridMultilevel"/>
    <w:tmpl w:val="0B5C24B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80B7379"/>
    <w:multiLevelType w:val="hybridMultilevel"/>
    <w:tmpl w:val="9E443434"/>
    <w:lvl w:ilvl="0" w:tplc="FFFFFFFF">
      <w:start w:val="1"/>
      <w:numFmt w:val="lowerRoman"/>
      <w:lvlText w:val="(%1)"/>
      <w:lvlJc w:val="right"/>
      <w:pPr>
        <w:ind w:left="1647" w:hanging="360"/>
      </w:pPr>
      <w:rPr>
        <w:rFonts w:hint="default"/>
      </w:rPr>
    </w:lvl>
    <w:lvl w:ilvl="1" w:tplc="3B7A3BFA">
      <w:start w:val="1"/>
      <w:numFmt w:val="upperLetter"/>
      <w:lvlText w:val="(%2)"/>
      <w:lvlJc w:val="left"/>
      <w:pPr>
        <w:ind w:left="2061" w:hanging="360"/>
      </w:pPr>
      <w:rPr>
        <w:rFonts w:hint="default"/>
      </w:r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6" w15:restartNumberingAfterBreak="0">
    <w:nsid w:val="59460D16"/>
    <w:multiLevelType w:val="hybridMultilevel"/>
    <w:tmpl w:val="63C4EE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B644EDE"/>
    <w:multiLevelType w:val="hybridMultilevel"/>
    <w:tmpl w:val="888E1260"/>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5D570CC9"/>
    <w:multiLevelType w:val="hybridMultilevel"/>
    <w:tmpl w:val="5EA0B7B0"/>
    <w:lvl w:ilvl="0" w:tplc="5720FC34">
      <w:start w:val="1"/>
      <w:numFmt w:val="decimal"/>
      <w:lvlText w:val="%1."/>
      <w:lvlJc w:val="left"/>
      <w:pPr>
        <w:ind w:left="1020" w:hanging="360"/>
      </w:pPr>
    </w:lvl>
    <w:lvl w:ilvl="1" w:tplc="E7FADF0E">
      <w:start w:val="1"/>
      <w:numFmt w:val="decimal"/>
      <w:lvlText w:val="%2."/>
      <w:lvlJc w:val="left"/>
      <w:pPr>
        <w:ind w:left="1020" w:hanging="360"/>
      </w:pPr>
    </w:lvl>
    <w:lvl w:ilvl="2" w:tplc="C1208C70">
      <w:start w:val="1"/>
      <w:numFmt w:val="decimal"/>
      <w:lvlText w:val="%3."/>
      <w:lvlJc w:val="left"/>
      <w:pPr>
        <w:ind w:left="1020" w:hanging="360"/>
      </w:pPr>
    </w:lvl>
    <w:lvl w:ilvl="3" w:tplc="286617A2">
      <w:start w:val="1"/>
      <w:numFmt w:val="decimal"/>
      <w:lvlText w:val="%4."/>
      <w:lvlJc w:val="left"/>
      <w:pPr>
        <w:ind w:left="1020" w:hanging="360"/>
      </w:pPr>
    </w:lvl>
    <w:lvl w:ilvl="4" w:tplc="F13E675E">
      <w:start w:val="1"/>
      <w:numFmt w:val="decimal"/>
      <w:lvlText w:val="%5."/>
      <w:lvlJc w:val="left"/>
      <w:pPr>
        <w:ind w:left="1020" w:hanging="360"/>
      </w:pPr>
    </w:lvl>
    <w:lvl w:ilvl="5" w:tplc="D7A2018C">
      <w:start w:val="1"/>
      <w:numFmt w:val="decimal"/>
      <w:lvlText w:val="%6."/>
      <w:lvlJc w:val="left"/>
      <w:pPr>
        <w:ind w:left="1020" w:hanging="360"/>
      </w:pPr>
    </w:lvl>
    <w:lvl w:ilvl="6" w:tplc="B34E54AA">
      <w:start w:val="1"/>
      <w:numFmt w:val="decimal"/>
      <w:lvlText w:val="%7."/>
      <w:lvlJc w:val="left"/>
      <w:pPr>
        <w:ind w:left="1020" w:hanging="360"/>
      </w:pPr>
    </w:lvl>
    <w:lvl w:ilvl="7" w:tplc="831C4622">
      <w:start w:val="1"/>
      <w:numFmt w:val="decimal"/>
      <w:lvlText w:val="%8."/>
      <w:lvlJc w:val="left"/>
      <w:pPr>
        <w:ind w:left="1020" w:hanging="360"/>
      </w:pPr>
    </w:lvl>
    <w:lvl w:ilvl="8" w:tplc="1478A422">
      <w:start w:val="1"/>
      <w:numFmt w:val="decimal"/>
      <w:lvlText w:val="%9."/>
      <w:lvlJc w:val="left"/>
      <w:pPr>
        <w:ind w:left="1020" w:hanging="360"/>
      </w:pPr>
    </w:lvl>
  </w:abstractNum>
  <w:abstractNum w:abstractNumId="29" w15:restartNumberingAfterBreak="0">
    <w:nsid w:val="696770F0"/>
    <w:multiLevelType w:val="hybridMultilevel"/>
    <w:tmpl w:val="E62CCDE6"/>
    <w:lvl w:ilvl="0" w:tplc="810AD7DA">
      <w:start w:val="3"/>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967285"/>
    <w:multiLevelType w:val="hybridMultilevel"/>
    <w:tmpl w:val="9E443434"/>
    <w:lvl w:ilvl="0" w:tplc="FFFFFFFF">
      <w:start w:val="1"/>
      <w:numFmt w:val="lowerRoman"/>
      <w:lvlText w:val="(%1)"/>
      <w:lvlJc w:val="right"/>
      <w:pPr>
        <w:ind w:left="1647" w:hanging="360"/>
      </w:pPr>
      <w:rPr>
        <w:rFonts w:hint="default"/>
      </w:rPr>
    </w:lvl>
    <w:lvl w:ilvl="1" w:tplc="FFFFFFFF">
      <w:start w:val="1"/>
      <w:numFmt w:val="upperLetter"/>
      <w:lvlText w:val="(%2)"/>
      <w:lvlJc w:val="left"/>
      <w:pPr>
        <w:ind w:left="2061" w:hanging="360"/>
      </w:pPr>
      <w:rPr>
        <w:rFonts w:hint="default"/>
      </w:r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1" w15:restartNumberingAfterBreak="0">
    <w:nsid w:val="6DB76487"/>
    <w:multiLevelType w:val="hybridMultilevel"/>
    <w:tmpl w:val="9858022A"/>
    <w:lvl w:ilvl="0" w:tplc="19D08E82">
      <w:start w:val="1"/>
      <w:numFmt w:val="lowerLetter"/>
      <w:lvlText w:val="(%1)"/>
      <w:lvlJc w:val="left"/>
      <w:pPr>
        <w:ind w:left="927" w:hanging="360"/>
      </w:pPr>
      <w:rPr>
        <w:rFonts w:hint="default"/>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2" w15:restartNumberingAfterBreak="0">
    <w:nsid w:val="6E627764"/>
    <w:multiLevelType w:val="hybridMultilevel"/>
    <w:tmpl w:val="08B6805E"/>
    <w:lvl w:ilvl="0" w:tplc="19D08E82">
      <w:start w:val="1"/>
      <w:numFmt w:val="lowerLetter"/>
      <w:lvlText w:val="(%1)"/>
      <w:lvlJc w:val="left"/>
      <w:pPr>
        <w:ind w:left="927"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3" w15:restartNumberingAfterBreak="0">
    <w:nsid w:val="723113C0"/>
    <w:multiLevelType w:val="hybridMultilevel"/>
    <w:tmpl w:val="E4C4EC96"/>
    <w:lvl w:ilvl="0" w:tplc="1C62428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78925A8A"/>
    <w:multiLevelType w:val="hybridMultilevel"/>
    <w:tmpl w:val="5FACB2E2"/>
    <w:lvl w:ilvl="0" w:tplc="1C62428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7A032AE2"/>
    <w:multiLevelType w:val="hybridMultilevel"/>
    <w:tmpl w:val="B5144396"/>
    <w:lvl w:ilvl="0" w:tplc="71C64020">
      <w:start w:val="3"/>
      <w:numFmt w:val="lowerLetter"/>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6E19C6"/>
    <w:multiLevelType w:val="hybridMultilevel"/>
    <w:tmpl w:val="3A70591E"/>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7BAC3BCF"/>
    <w:multiLevelType w:val="hybridMultilevel"/>
    <w:tmpl w:val="5FD85640"/>
    <w:lvl w:ilvl="0" w:tplc="D0F841FE">
      <w:start w:val="1"/>
      <w:numFmt w:val="lowerRoman"/>
      <w:lvlText w:val="(%1)"/>
      <w:lvlJc w:val="righ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38" w15:restartNumberingAfterBreak="0">
    <w:nsid w:val="7F815C22"/>
    <w:multiLevelType w:val="hybridMultilevel"/>
    <w:tmpl w:val="3A70591E"/>
    <w:lvl w:ilvl="0" w:tplc="1C62428E">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330446348">
    <w:abstractNumId w:val="15"/>
  </w:num>
  <w:num w:numId="2" w16cid:durableId="1026911043">
    <w:abstractNumId w:val="14"/>
  </w:num>
  <w:num w:numId="3" w16cid:durableId="1385711768">
    <w:abstractNumId w:val="8"/>
  </w:num>
  <w:num w:numId="4" w16cid:durableId="521549476">
    <w:abstractNumId w:val="38"/>
  </w:num>
  <w:num w:numId="5" w16cid:durableId="615599130">
    <w:abstractNumId w:val="13"/>
  </w:num>
  <w:num w:numId="6" w16cid:durableId="1425498519">
    <w:abstractNumId w:val="16"/>
  </w:num>
  <w:num w:numId="7" w16cid:durableId="1867477746">
    <w:abstractNumId w:val="27"/>
  </w:num>
  <w:num w:numId="8" w16cid:durableId="78260282">
    <w:abstractNumId w:val="6"/>
  </w:num>
  <w:num w:numId="9" w16cid:durableId="2019313116">
    <w:abstractNumId w:val="17"/>
  </w:num>
  <w:num w:numId="10" w16cid:durableId="861356609">
    <w:abstractNumId w:val="29"/>
  </w:num>
  <w:num w:numId="11" w16cid:durableId="1225870207">
    <w:abstractNumId w:val="1"/>
  </w:num>
  <w:num w:numId="12" w16cid:durableId="696273392">
    <w:abstractNumId w:val="25"/>
  </w:num>
  <w:num w:numId="13" w16cid:durableId="846477156">
    <w:abstractNumId w:val="30"/>
  </w:num>
  <w:num w:numId="14" w16cid:durableId="341325327">
    <w:abstractNumId w:val="19"/>
  </w:num>
  <w:num w:numId="15" w16cid:durableId="2045472440">
    <w:abstractNumId w:val="26"/>
  </w:num>
  <w:num w:numId="16" w16cid:durableId="1926566674">
    <w:abstractNumId w:val="21"/>
  </w:num>
  <w:num w:numId="17" w16cid:durableId="932594731">
    <w:abstractNumId w:val="32"/>
  </w:num>
  <w:num w:numId="18" w16cid:durableId="53549466">
    <w:abstractNumId w:val="31"/>
  </w:num>
  <w:num w:numId="19" w16cid:durableId="98762923">
    <w:abstractNumId w:val="23"/>
  </w:num>
  <w:num w:numId="20" w16cid:durableId="1126656857">
    <w:abstractNumId w:val="35"/>
  </w:num>
  <w:num w:numId="21" w16cid:durableId="2122142441">
    <w:abstractNumId w:val="18"/>
  </w:num>
  <w:num w:numId="22" w16cid:durableId="1007562104">
    <w:abstractNumId w:val="22"/>
  </w:num>
  <w:num w:numId="23" w16cid:durableId="197667339">
    <w:abstractNumId w:val="4"/>
  </w:num>
  <w:num w:numId="24" w16cid:durableId="1059520601">
    <w:abstractNumId w:val="0"/>
  </w:num>
  <w:num w:numId="25" w16cid:durableId="1282883345">
    <w:abstractNumId w:val="10"/>
  </w:num>
  <w:num w:numId="26" w16cid:durableId="1459298488">
    <w:abstractNumId w:val="37"/>
  </w:num>
  <w:num w:numId="27" w16cid:durableId="944196787">
    <w:abstractNumId w:val="11"/>
  </w:num>
  <w:num w:numId="28" w16cid:durableId="1421945496">
    <w:abstractNumId w:val="12"/>
  </w:num>
  <w:num w:numId="29" w16cid:durableId="2096397251">
    <w:abstractNumId w:val="24"/>
  </w:num>
  <w:num w:numId="30" w16cid:durableId="8603143">
    <w:abstractNumId w:val="36"/>
  </w:num>
  <w:num w:numId="31" w16cid:durableId="928463607">
    <w:abstractNumId w:val="20"/>
  </w:num>
  <w:num w:numId="32" w16cid:durableId="1605383567">
    <w:abstractNumId w:val="9"/>
  </w:num>
  <w:num w:numId="33" w16cid:durableId="688259514">
    <w:abstractNumId w:val="33"/>
  </w:num>
  <w:num w:numId="34" w16cid:durableId="451945119">
    <w:abstractNumId w:val="7"/>
  </w:num>
  <w:num w:numId="35" w16cid:durableId="1652903536">
    <w:abstractNumId w:val="2"/>
  </w:num>
  <w:num w:numId="36" w16cid:durableId="1768501153">
    <w:abstractNumId w:val="5"/>
  </w:num>
  <w:num w:numId="37" w16cid:durableId="69154508">
    <w:abstractNumId w:val="34"/>
  </w:num>
  <w:num w:numId="38" w16cid:durableId="531453100">
    <w:abstractNumId w:val="3"/>
  </w:num>
  <w:num w:numId="39" w16cid:durableId="31845911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1FC"/>
    <w:rsid w:val="000002DB"/>
    <w:rsid w:val="0000086E"/>
    <w:rsid w:val="00002774"/>
    <w:rsid w:val="000029FA"/>
    <w:rsid w:val="00002F72"/>
    <w:rsid w:val="00003071"/>
    <w:rsid w:val="000031CF"/>
    <w:rsid w:val="00003264"/>
    <w:rsid w:val="00003941"/>
    <w:rsid w:val="00004470"/>
    <w:rsid w:val="00005446"/>
    <w:rsid w:val="00005803"/>
    <w:rsid w:val="00005FBC"/>
    <w:rsid w:val="00007763"/>
    <w:rsid w:val="000078CC"/>
    <w:rsid w:val="0001052A"/>
    <w:rsid w:val="000106DF"/>
    <w:rsid w:val="00010F39"/>
    <w:rsid w:val="00011B63"/>
    <w:rsid w:val="00013042"/>
    <w:rsid w:val="000136AF"/>
    <w:rsid w:val="000136EB"/>
    <w:rsid w:val="00013B8D"/>
    <w:rsid w:val="00013DDD"/>
    <w:rsid w:val="00013E8C"/>
    <w:rsid w:val="000144F3"/>
    <w:rsid w:val="00014612"/>
    <w:rsid w:val="00014752"/>
    <w:rsid w:val="00014EF3"/>
    <w:rsid w:val="0001532B"/>
    <w:rsid w:val="00015719"/>
    <w:rsid w:val="0001572C"/>
    <w:rsid w:val="0001646B"/>
    <w:rsid w:val="00016857"/>
    <w:rsid w:val="00016B0C"/>
    <w:rsid w:val="00016BA7"/>
    <w:rsid w:val="00017280"/>
    <w:rsid w:val="000172D7"/>
    <w:rsid w:val="00017442"/>
    <w:rsid w:val="0001769C"/>
    <w:rsid w:val="00017C81"/>
    <w:rsid w:val="00017D6E"/>
    <w:rsid w:val="00017ED7"/>
    <w:rsid w:val="0002025B"/>
    <w:rsid w:val="00020276"/>
    <w:rsid w:val="0002192C"/>
    <w:rsid w:val="00021D2A"/>
    <w:rsid w:val="00022EF6"/>
    <w:rsid w:val="00023425"/>
    <w:rsid w:val="000237C9"/>
    <w:rsid w:val="00023A11"/>
    <w:rsid w:val="00023BDA"/>
    <w:rsid w:val="00023C9C"/>
    <w:rsid w:val="00023D53"/>
    <w:rsid w:val="000259E7"/>
    <w:rsid w:val="00025AE2"/>
    <w:rsid w:val="00026123"/>
    <w:rsid w:val="000261DC"/>
    <w:rsid w:val="00026781"/>
    <w:rsid w:val="0002691F"/>
    <w:rsid w:val="00026A9A"/>
    <w:rsid w:val="00027599"/>
    <w:rsid w:val="0003041C"/>
    <w:rsid w:val="000307FC"/>
    <w:rsid w:val="00031659"/>
    <w:rsid w:val="0003188F"/>
    <w:rsid w:val="0003208D"/>
    <w:rsid w:val="0003260E"/>
    <w:rsid w:val="000330E8"/>
    <w:rsid w:val="00033796"/>
    <w:rsid w:val="00034112"/>
    <w:rsid w:val="00034A5C"/>
    <w:rsid w:val="00034BC4"/>
    <w:rsid w:val="00035170"/>
    <w:rsid w:val="00037437"/>
    <w:rsid w:val="000400EA"/>
    <w:rsid w:val="00040D25"/>
    <w:rsid w:val="00040D6B"/>
    <w:rsid w:val="00040D99"/>
    <w:rsid w:val="00041938"/>
    <w:rsid w:val="00041E7B"/>
    <w:rsid w:val="000424CC"/>
    <w:rsid w:val="00042EDF"/>
    <w:rsid w:val="000437C1"/>
    <w:rsid w:val="00043C95"/>
    <w:rsid w:val="00044B4B"/>
    <w:rsid w:val="00045024"/>
    <w:rsid w:val="0004617A"/>
    <w:rsid w:val="00047D2A"/>
    <w:rsid w:val="00047D44"/>
    <w:rsid w:val="00047D8C"/>
    <w:rsid w:val="00047DA2"/>
    <w:rsid w:val="00050F98"/>
    <w:rsid w:val="00051165"/>
    <w:rsid w:val="000516F1"/>
    <w:rsid w:val="00051982"/>
    <w:rsid w:val="00052332"/>
    <w:rsid w:val="0005294D"/>
    <w:rsid w:val="00052F57"/>
    <w:rsid w:val="00053466"/>
    <w:rsid w:val="000534E3"/>
    <w:rsid w:val="0005365D"/>
    <w:rsid w:val="000536FA"/>
    <w:rsid w:val="00053D9B"/>
    <w:rsid w:val="00053EA0"/>
    <w:rsid w:val="00054A96"/>
    <w:rsid w:val="00054E5A"/>
    <w:rsid w:val="0005514B"/>
    <w:rsid w:val="00055387"/>
    <w:rsid w:val="0005612B"/>
    <w:rsid w:val="000562F9"/>
    <w:rsid w:val="00056F38"/>
    <w:rsid w:val="00057562"/>
    <w:rsid w:val="00057AD6"/>
    <w:rsid w:val="00057CCB"/>
    <w:rsid w:val="00057E65"/>
    <w:rsid w:val="00057ECF"/>
    <w:rsid w:val="00060218"/>
    <w:rsid w:val="000609D0"/>
    <w:rsid w:val="000610BF"/>
    <w:rsid w:val="0006146B"/>
    <w:rsid w:val="000614BF"/>
    <w:rsid w:val="00061F3D"/>
    <w:rsid w:val="000620AB"/>
    <w:rsid w:val="0006250C"/>
    <w:rsid w:val="00062916"/>
    <w:rsid w:val="00062B8A"/>
    <w:rsid w:val="00062EEF"/>
    <w:rsid w:val="00062F09"/>
    <w:rsid w:val="000637D9"/>
    <w:rsid w:val="00063B84"/>
    <w:rsid w:val="00063E5B"/>
    <w:rsid w:val="00064C7D"/>
    <w:rsid w:val="00064D90"/>
    <w:rsid w:val="00065669"/>
    <w:rsid w:val="00066988"/>
    <w:rsid w:val="000671F3"/>
    <w:rsid w:val="00067E6C"/>
    <w:rsid w:val="00070091"/>
    <w:rsid w:val="0007092E"/>
    <w:rsid w:val="00070C8C"/>
    <w:rsid w:val="00070ED8"/>
    <w:rsid w:val="0007270B"/>
    <w:rsid w:val="000728CB"/>
    <w:rsid w:val="00072DDC"/>
    <w:rsid w:val="00074381"/>
    <w:rsid w:val="000743CD"/>
    <w:rsid w:val="000749D2"/>
    <w:rsid w:val="00074B24"/>
    <w:rsid w:val="00074D1E"/>
    <w:rsid w:val="00074DD1"/>
    <w:rsid w:val="00074E2D"/>
    <w:rsid w:val="000750D2"/>
    <w:rsid w:val="00075A25"/>
    <w:rsid w:val="00076103"/>
    <w:rsid w:val="000772D4"/>
    <w:rsid w:val="00077330"/>
    <w:rsid w:val="000776C1"/>
    <w:rsid w:val="000779DC"/>
    <w:rsid w:val="00080C12"/>
    <w:rsid w:val="0008178E"/>
    <w:rsid w:val="00081794"/>
    <w:rsid w:val="00081CC7"/>
    <w:rsid w:val="000832BD"/>
    <w:rsid w:val="00084050"/>
    <w:rsid w:val="000847BA"/>
    <w:rsid w:val="00084873"/>
    <w:rsid w:val="00084C77"/>
    <w:rsid w:val="00084FF4"/>
    <w:rsid w:val="0008509B"/>
    <w:rsid w:val="00085397"/>
    <w:rsid w:val="00085D4A"/>
    <w:rsid w:val="000861EB"/>
    <w:rsid w:val="0008671D"/>
    <w:rsid w:val="000873F3"/>
    <w:rsid w:val="00087492"/>
    <w:rsid w:val="00087B90"/>
    <w:rsid w:val="00090236"/>
    <w:rsid w:val="00090427"/>
    <w:rsid w:val="00090440"/>
    <w:rsid w:val="0009170C"/>
    <w:rsid w:val="00092474"/>
    <w:rsid w:val="000933E0"/>
    <w:rsid w:val="000935CD"/>
    <w:rsid w:val="0009366F"/>
    <w:rsid w:val="00093C6A"/>
    <w:rsid w:val="00093FC6"/>
    <w:rsid w:val="000958A1"/>
    <w:rsid w:val="00095ACC"/>
    <w:rsid w:val="00095CCF"/>
    <w:rsid w:val="00095E40"/>
    <w:rsid w:val="00097AE8"/>
    <w:rsid w:val="00097B35"/>
    <w:rsid w:val="00097D00"/>
    <w:rsid w:val="00097F31"/>
    <w:rsid w:val="000A01CC"/>
    <w:rsid w:val="000A01E1"/>
    <w:rsid w:val="000A0500"/>
    <w:rsid w:val="000A0816"/>
    <w:rsid w:val="000A0913"/>
    <w:rsid w:val="000A0F3E"/>
    <w:rsid w:val="000A11E2"/>
    <w:rsid w:val="000A1357"/>
    <w:rsid w:val="000A142F"/>
    <w:rsid w:val="000A15DF"/>
    <w:rsid w:val="000A1AE6"/>
    <w:rsid w:val="000A2154"/>
    <w:rsid w:val="000A293D"/>
    <w:rsid w:val="000A334C"/>
    <w:rsid w:val="000A3881"/>
    <w:rsid w:val="000A3A24"/>
    <w:rsid w:val="000A64EC"/>
    <w:rsid w:val="000A678E"/>
    <w:rsid w:val="000A68E4"/>
    <w:rsid w:val="000A6BDB"/>
    <w:rsid w:val="000A6C39"/>
    <w:rsid w:val="000A6F6F"/>
    <w:rsid w:val="000B0E1D"/>
    <w:rsid w:val="000B0E3F"/>
    <w:rsid w:val="000B1222"/>
    <w:rsid w:val="000B19EF"/>
    <w:rsid w:val="000B1FCA"/>
    <w:rsid w:val="000B2615"/>
    <w:rsid w:val="000B29A3"/>
    <w:rsid w:val="000B2A32"/>
    <w:rsid w:val="000B2F13"/>
    <w:rsid w:val="000B3335"/>
    <w:rsid w:val="000B3AD5"/>
    <w:rsid w:val="000B3C88"/>
    <w:rsid w:val="000B411E"/>
    <w:rsid w:val="000B53AF"/>
    <w:rsid w:val="000B55AB"/>
    <w:rsid w:val="000B58FA"/>
    <w:rsid w:val="000B59E6"/>
    <w:rsid w:val="000B702A"/>
    <w:rsid w:val="000B7306"/>
    <w:rsid w:val="000B785B"/>
    <w:rsid w:val="000B797E"/>
    <w:rsid w:val="000B7B84"/>
    <w:rsid w:val="000C0045"/>
    <w:rsid w:val="000C071B"/>
    <w:rsid w:val="000C1BBF"/>
    <w:rsid w:val="000C1DD1"/>
    <w:rsid w:val="000C26BD"/>
    <w:rsid w:val="000C2903"/>
    <w:rsid w:val="000C2B88"/>
    <w:rsid w:val="000C2E4C"/>
    <w:rsid w:val="000C2E72"/>
    <w:rsid w:val="000C3104"/>
    <w:rsid w:val="000C3285"/>
    <w:rsid w:val="000C3FAC"/>
    <w:rsid w:val="000C4352"/>
    <w:rsid w:val="000C4560"/>
    <w:rsid w:val="000C4CC0"/>
    <w:rsid w:val="000C4CC8"/>
    <w:rsid w:val="000C55A0"/>
    <w:rsid w:val="000C573A"/>
    <w:rsid w:val="000C6C90"/>
    <w:rsid w:val="000C7250"/>
    <w:rsid w:val="000C7C3C"/>
    <w:rsid w:val="000D041F"/>
    <w:rsid w:val="000D05EF"/>
    <w:rsid w:val="000D132C"/>
    <w:rsid w:val="000D1A7C"/>
    <w:rsid w:val="000D1D74"/>
    <w:rsid w:val="000D1FDB"/>
    <w:rsid w:val="000D266E"/>
    <w:rsid w:val="000D272F"/>
    <w:rsid w:val="000D2F92"/>
    <w:rsid w:val="000D3033"/>
    <w:rsid w:val="000D3760"/>
    <w:rsid w:val="000D3895"/>
    <w:rsid w:val="000D398E"/>
    <w:rsid w:val="000D3D3D"/>
    <w:rsid w:val="000D3E58"/>
    <w:rsid w:val="000D3EDA"/>
    <w:rsid w:val="000D41F7"/>
    <w:rsid w:val="000D42CB"/>
    <w:rsid w:val="000D45BC"/>
    <w:rsid w:val="000D4C8B"/>
    <w:rsid w:val="000D5202"/>
    <w:rsid w:val="000D5565"/>
    <w:rsid w:val="000D5928"/>
    <w:rsid w:val="000D5B36"/>
    <w:rsid w:val="000D5F64"/>
    <w:rsid w:val="000D6A87"/>
    <w:rsid w:val="000D7024"/>
    <w:rsid w:val="000D7ABF"/>
    <w:rsid w:val="000E03CC"/>
    <w:rsid w:val="000E0B7D"/>
    <w:rsid w:val="000E0CAF"/>
    <w:rsid w:val="000E137B"/>
    <w:rsid w:val="000E1973"/>
    <w:rsid w:val="000E203F"/>
    <w:rsid w:val="000E2261"/>
    <w:rsid w:val="000E2508"/>
    <w:rsid w:val="000E2904"/>
    <w:rsid w:val="000E2A1D"/>
    <w:rsid w:val="000E3B2C"/>
    <w:rsid w:val="000E3C2E"/>
    <w:rsid w:val="000E4208"/>
    <w:rsid w:val="000E4631"/>
    <w:rsid w:val="000E488A"/>
    <w:rsid w:val="000E4BD9"/>
    <w:rsid w:val="000E5ABF"/>
    <w:rsid w:val="000E5CB8"/>
    <w:rsid w:val="000E5ECA"/>
    <w:rsid w:val="000E6074"/>
    <w:rsid w:val="000E6A34"/>
    <w:rsid w:val="000E6B3B"/>
    <w:rsid w:val="000E6CE2"/>
    <w:rsid w:val="000E6EF2"/>
    <w:rsid w:val="000F00AB"/>
    <w:rsid w:val="000F0799"/>
    <w:rsid w:val="000F0B09"/>
    <w:rsid w:val="000F0BFC"/>
    <w:rsid w:val="000F11C3"/>
    <w:rsid w:val="000F1433"/>
    <w:rsid w:val="000F14C1"/>
    <w:rsid w:val="000F203E"/>
    <w:rsid w:val="000F2074"/>
    <w:rsid w:val="000F21C1"/>
    <w:rsid w:val="000F2896"/>
    <w:rsid w:val="000F2DFF"/>
    <w:rsid w:val="000F3384"/>
    <w:rsid w:val="000F4811"/>
    <w:rsid w:val="000F5110"/>
    <w:rsid w:val="000F52B3"/>
    <w:rsid w:val="000F5EF9"/>
    <w:rsid w:val="000F6513"/>
    <w:rsid w:val="000F65F6"/>
    <w:rsid w:val="000F7BAF"/>
    <w:rsid w:val="000F7BC8"/>
    <w:rsid w:val="0010068E"/>
    <w:rsid w:val="00100A00"/>
    <w:rsid w:val="00100D0F"/>
    <w:rsid w:val="001014BA"/>
    <w:rsid w:val="00101BFB"/>
    <w:rsid w:val="00102CA6"/>
    <w:rsid w:val="0010302B"/>
    <w:rsid w:val="0010316F"/>
    <w:rsid w:val="001037B0"/>
    <w:rsid w:val="00103E36"/>
    <w:rsid w:val="00103E8B"/>
    <w:rsid w:val="00104060"/>
    <w:rsid w:val="00104A9C"/>
    <w:rsid w:val="00104D56"/>
    <w:rsid w:val="00104EDD"/>
    <w:rsid w:val="0010527C"/>
    <w:rsid w:val="0010553E"/>
    <w:rsid w:val="00106379"/>
    <w:rsid w:val="0010640D"/>
    <w:rsid w:val="0010699F"/>
    <w:rsid w:val="00106A40"/>
    <w:rsid w:val="0010745C"/>
    <w:rsid w:val="0010759D"/>
    <w:rsid w:val="00107643"/>
    <w:rsid w:val="0010778A"/>
    <w:rsid w:val="00107AE0"/>
    <w:rsid w:val="00110000"/>
    <w:rsid w:val="00110474"/>
    <w:rsid w:val="00110658"/>
    <w:rsid w:val="0011089C"/>
    <w:rsid w:val="00110A6C"/>
    <w:rsid w:val="00110B06"/>
    <w:rsid w:val="001111FA"/>
    <w:rsid w:val="001117A0"/>
    <w:rsid w:val="001119EF"/>
    <w:rsid w:val="00111E56"/>
    <w:rsid w:val="001126D6"/>
    <w:rsid w:val="00112C2D"/>
    <w:rsid w:val="00112C61"/>
    <w:rsid w:val="00112C75"/>
    <w:rsid w:val="0011340B"/>
    <w:rsid w:val="00113C08"/>
    <w:rsid w:val="00113C8C"/>
    <w:rsid w:val="00116AF7"/>
    <w:rsid w:val="00116CDE"/>
    <w:rsid w:val="00117049"/>
    <w:rsid w:val="00117138"/>
    <w:rsid w:val="0011742F"/>
    <w:rsid w:val="00117920"/>
    <w:rsid w:val="00117A1C"/>
    <w:rsid w:val="00117C21"/>
    <w:rsid w:val="00117D6A"/>
    <w:rsid w:val="00120AD3"/>
    <w:rsid w:val="00121454"/>
    <w:rsid w:val="001216E0"/>
    <w:rsid w:val="00122D34"/>
    <w:rsid w:val="00123196"/>
    <w:rsid w:val="001237C9"/>
    <w:rsid w:val="00123EA6"/>
    <w:rsid w:val="001244D2"/>
    <w:rsid w:val="001250EE"/>
    <w:rsid w:val="00125141"/>
    <w:rsid w:val="0012591B"/>
    <w:rsid w:val="00126ACA"/>
    <w:rsid w:val="00126ADA"/>
    <w:rsid w:val="0012755F"/>
    <w:rsid w:val="00127777"/>
    <w:rsid w:val="00127F81"/>
    <w:rsid w:val="00131102"/>
    <w:rsid w:val="00131754"/>
    <w:rsid w:val="0013179B"/>
    <w:rsid w:val="00132489"/>
    <w:rsid w:val="001324F3"/>
    <w:rsid w:val="00132756"/>
    <w:rsid w:val="00132CEB"/>
    <w:rsid w:val="00134F2C"/>
    <w:rsid w:val="00135463"/>
    <w:rsid w:val="00135BEA"/>
    <w:rsid w:val="0013621E"/>
    <w:rsid w:val="00136543"/>
    <w:rsid w:val="00136AE3"/>
    <w:rsid w:val="00136F23"/>
    <w:rsid w:val="00137181"/>
    <w:rsid w:val="001372AF"/>
    <w:rsid w:val="00137306"/>
    <w:rsid w:val="00137569"/>
    <w:rsid w:val="00137DE5"/>
    <w:rsid w:val="00137E59"/>
    <w:rsid w:val="00142495"/>
    <w:rsid w:val="00142906"/>
    <w:rsid w:val="00142993"/>
    <w:rsid w:val="00142B62"/>
    <w:rsid w:val="00142F6B"/>
    <w:rsid w:val="0014379D"/>
    <w:rsid w:val="00144330"/>
    <w:rsid w:val="001445B0"/>
    <w:rsid w:val="00144824"/>
    <w:rsid w:val="00146918"/>
    <w:rsid w:val="001476B6"/>
    <w:rsid w:val="001478FD"/>
    <w:rsid w:val="001502BE"/>
    <w:rsid w:val="001506DC"/>
    <w:rsid w:val="001515CF"/>
    <w:rsid w:val="00151C19"/>
    <w:rsid w:val="00153800"/>
    <w:rsid w:val="0015398B"/>
    <w:rsid w:val="00153B32"/>
    <w:rsid w:val="00153BD6"/>
    <w:rsid w:val="00154263"/>
    <w:rsid w:val="00154549"/>
    <w:rsid w:val="001551AA"/>
    <w:rsid w:val="00155398"/>
    <w:rsid w:val="0015571E"/>
    <w:rsid w:val="001557DA"/>
    <w:rsid w:val="00155F13"/>
    <w:rsid w:val="00156487"/>
    <w:rsid w:val="00156C8D"/>
    <w:rsid w:val="00156D33"/>
    <w:rsid w:val="00157005"/>
    <w:rsid w:val="00157B8B"/>
    <w:rsid w:val="00157FDC"/>
    <w:rsid w:val="00160C86"/>
    <w:rsid w:val="00160D79"/>
    <w:rsid w:val="0016185E"/>
    <w:rsid w:val="00161E2B"/>
    <w:rsid w:val="0016223B"/>
    <w:rsid w:val="001624E1"/>
    <w:rsid w:val="00162E9D"/>
    <w:rsid w:val="0016344F"/>
    <w:rsid w:val="00164260"/>
    <w:rsid w:val="0016432A"/>
    <w:rsid w:val="001646E4"/>
    <w:rsid w:val="00165275"/>
    <w:rsid w:val="00165D92"/>
    <w:rsid w:val="00165E2E"/>
    <w:rsid w:val="001666E3"/>
    <w:rsid w:val="001667E9"/>
    <w:rsid w:val="00166C2F"/>
    <w:rsid w:val="00166FB8"/>
    <w:rsid w:val="0016747C"/>
    <w:rsid w:val="00167681"/>
    <w:rsid w:val="00167856"/>
    <w:rsid w:val="0017041F"/>
    <w:rsid w:val="00170663"/>
    <w:rsid w:val="00170725"/>
    <w:rsid w:val="0017079F"/>
    <w:rsid w:val="00170A49"/>
    <w:rsid w:val="00170CAD"/>
    <w:rsid w:val="00170DC9"/>
    <w:rsid w:val="00170E33"/>
    <w:rsid w:val="00171295"/>
    <w:rsid w:val="00171A6E"/>
    <w:rsid w:val="00171EE1"/>
    <w:rsid w:val="0017230C"/>
    <w:rsid w:val="00172623"/>
    <w:rsid w:val="00172A28"/>
    <w:rsid w:val="00172B6A"/>
    <w:rsid w:val="00172BA5"/>
    <w:rsid w:val="00172BE6"/>
    <w:rsid w:val="00173DA7"/>
    <w:rsid w:val="00173DBA"/>
    <w:rsid w:val="00174A0E"/>
    <w:rsid w:val="00175152"/>
    <w:rsid w:val="001759D0"/>
    <w:rsid w:val="00175FC3"/>
    <w:rsid w:val="001760DA"/>
    <w:rsid w:val="00176F6E"/>
    <w:rsid w:val="00177243"/>
    <w:rsid w:val="0017759B"/>
    <w:rsid w:val="00180814"/>
    <w:rsid w:val="001809D7"/>
    <w:rsid w:val="00181360"/>
    <w:rsid w:val="0018196F"/>
    <w:rsid w:val="00181B0D"/>
    <w:rsid w:val="001827BE"/>
    <w:rsid w:val="0018281D"/>
    <w:rsid w:val="001839F1"/>
    <w:rsid w:val="00183B91"/>
    <w:rsid w:val="00183D9D"/>
    <w:rsid w:val="00183ECC"/>
    <w:rsid w:val="00183F90"/>
    <w:rsid w:val="00184021"/>
    <w:rsid w:val="001845E4"/>
    <w:rsid w:val="00184771"/>
    <w:rsid w:val="0018557C"/>
    <w:rsid w:val="00185D78"/>
    <w:rsid w:val="00185F03"/>
    <w:rsid w:val="001860C4"/>
    <w:rsid w:val="001863C3"/>
    <w:rsid w:val="0018659E"/>
    <w:rsid w:val="00186AFF"/>
    <w:rsid w:val="00186D0F"/>
    <w:rsid w:val="001872DC"/>
    <w:rsid w:val="00187D09"/>
    <w:rsid w:val="00187DFA"/>
    <w:rsid w:val="00190333"/>
    <w:rsid w:val="00190C84"/>
    <w:rsid w:val="001913E4"/>
    <w:rsid w:val="00191AAE"/>
    <w:rsid w:val="0019221D"/>
    <w:rsid w:val="001927F1"/>
    <w:rsid w:val="00192C1F"/>
    <w:rsid w:val="00192D0F"/>
    <w:rsid w:val="001931CF"/>
    <w:rsid w:val="001937ED"/>
    <w:rsid w:val="00193936"/>
    <w:rsid w:val="001939E1"/>
    <w:rsid w:val="0019493B"/>
    <w:rsid w:val="00194C3E"/>
    <w:rsid w:val="00195338"/>
    <w:rsid w:val="00195382"/>
    <w:rsid w:val="00195496"/>
    <w:rsid w:val="001954E8"/>
    <w:rsid w:val="001956DA"/>
    <w:rsid w:val="001957C9"/>
    <w:rsid w:val="00195BD4"/>
    <w:rsid w:val="00195C71"/>
    <w:rsid w:val="00195D9A"/>
    <w:rsid w:val="00196673"/>
    <w:rsid w:val="00197F5F"/>
    <w:rsid w:val="001A08BB"/>
    <w:rsid w:val="001A08BD"/>
    <w:rsid w:val="001A09B4"/>
    <w:rsid w:val="001A0C0D"/>
    <w:rsid w:val="001A0D94"/>
    <w:rsid w:val="001A2354"/>
    <w:rsid w:val="001A268A"/>
    <w:rsid w:val="001A26E3"/>
    <w:rsid w:val="001A319F"/>
    <w:rsid w:val="001A3970"/>
    <w:rsid w:val="001A3B6E"/>
    <w:rsid w:val="001A3B6F"/>
    <w:rsid w:val="001A4132"/>
    <w:rsid w:val="001A5F98"/>
    <w:rsid w:val="001A64A3"/>
    <w:rsid w:val="001A69A4"/>
    <w:rsid w:val="001A6DE4"/>
    <w:rsid w:val="001B0EE8"/>
    <w:rsid w:val="001B187B"/>
    <w:rsid w:val="001B1B0C"/>
    <w:rsid w:val="001B2155"/>
    <w:rsid w:val="001B23F4"/>
    <w:rsid w:val="001B2553"/>
    <w:rsid w:val="001B401B"/>
    <w:rsid w:val="001B4565"/>
    <w:rsid w:val="001B48E2"/>
    <w:rsid w:val="001B52FD"/>
    <w:rsid w:val="001B5AE2"/>
    <w:rsid w:val="001B5B7E"/>
    <w:rsid w:val="001B607F"/>
    <w:rsid w:val="001B616A"/>
    <w:rsid w:val="001B639A"/>
    <w:rsid w:val="001B66FD"/>
    <w:rsid w:val="001B7349"/>
    <w:rsid w:val="001B7B7A"/>
    <w:rsid w:val="001C0460"/>
    <w:rsid w:val="001C0710"/>
    <w:rsid w:val="001C088E"/>
    <w:rsid w:val="001C0E5C"/>
    <w:rsid w:val="001C152F"/>
    <w:rsid w:val="001C19B1"/>
    <w:rsid w:val="001C1B63"/>
    <w:rsid w:val="001C1DD4"/>
    <w:rsid w:val="001C2077"/>
    <w:rsid w:val="001C22B8"/>
    <w:rsid w:val="001C2C61"/>
    <w:rsid w:val="001C3146"/>
    <w:rsid w:val="001C44BB"/>
    <w:rsid w:val="001C455F"/>
    <w:rsid w:val="001C4842"/>
    <w:rsid w:val="001C496E"/>
    <w:rsid w:val="001C49B4"/>
    <w:rsid w:val="001C61A1"/>
    <w:rsid w:val="001C61C5"/>
    <w:rsid w:val="001C63D6"/>
    <w:rsid w:val="001C68A1"/>
    <w:rsid w:val="001C69C4"/>
    <w:rsid w:val="001C6B68"/>
    <w:rsid w:val="001C6DA0"/>
    <w:rsid w:val="001C71C7"/>
    <w:rsid w:val="001C7656"/>
    <w:rsid w:val="001C7896"/>
    <w:rsid w:val="001C7A42"/>
    <w:rsid w:val="001C7A67"/>
    <w:rsid w:val="001D0122"/>
    <w:rsid w:val="001D0365"/>
    <w:rsid w:val="001D0887"/>
    <w:rsid w:val="001D0C47"/>
    <w:rsid w:val="001D12E3"/>
    <w:rsid w:val="001D17E3"/>
    <w:rsid w:val="001D2149"/>
    <w:rsid w:val="001D2538"/>
    <w:rsid w:val="001D29A8"/>
    <w:rsid w:val="001D3008"/>
    <w:rsid w:val="001D37EF"/>
    <w:rsid w:val="001D4B02"/>
    <w:rsid w:val="001D54E4"/>
    <w:rsid w:val="001D5CC6"/>
    <w:rsid w:val="001D5FED"/>
    <w:rsid w:val="001D60A6"/>
    <w:rsid w:val="001D6669"/>
    <w:rsid w:val="001D66BD"/>
    <w:rsid w:val="001D67FD"/>
    <w:rsid w:val="001D6825"/>
    <w:rsid w:val="001D6A9B"/>
    <w:rsid w:val="001D6D00"/>
    <w:rsid w:val="001D76A9"/>
    <w:rsid w:val="001E0A80"/>
    <w:rsid w:val="001E12EE"/>
    <w:rsid w:val="001E1327"/>
    <w:rsid w:val="001E14CB"/>
    <w:rsid w:val="001E17B8"/>
    <w:rsid w:val="001E1CD1"/>
    <w:rsid w:val="001E2433"/>
    <w:rsid w:val="001E2AC7"/>
    <w:rsid w:val="001E2F98"/>
    <w:rsid w:val="001E3590"/>
    <w:rsid w:val="001E42CF"/>
    <w:rsid w:val="001E46A2"/>
    <w:rsid w:val="001E56DA"/>
    <w:rsid w:val="001E5AA4"/>
    <w:rsid w:val="001E6092"/>
    <w:rsid w:val="001E61A9"/>
    <w:rsid w:val="001E6248"/>
    <w:rsid w:val="001E635A"/>
    <w:rsid w:val="001E6B5D"/>
    <w:rsid w:val="001E7407"/>
    <w:rsid w:val="001E74ED"/>
    <w:rsid w:val="001E77ED"/>
    <w:rsid w:val="001E7BF8"/>
    <w:rsid w:val="001E7E2B"/>
    <w:rsid w:val="001F02B1"/>
    <w:rsid w:val="001F15C9"/>
    <w:rsid w:val="001F163D"/>
    <w:rsid w:val="001F1A77"/>
    <w:rsid w:val="001F220E"/>
    <w:rsid w:val="001F2FCB"/>
    <w:rsid w:val="001F30EE"/>
    <w:rsid w:val="001F3460"/>
    <w:rsid w:val="001F3842"/>
    <w:rsid w:val="001F3CB8"/>
    <w:rsid w:val="001F45C4"/>
    <w:rsid w:val="001F46F5"/>
    <w:rsid w:val="001F47A5"/>
    <w:rsid w:val="001F5D5E"/>
    <w:rsid w:val="001F6219"/>
    <w:rsid w:val="001F665A"/>
    <w:rsid w:val="001F6687"/>
    <w:rsid w:val="001F69EC"/>
    <w:rsid w:val="001F6CD4"/>
    <w:rsid w:val="001F70B0"/>
    <w:rsid w:val="001F7F8E"/>
    <w:rsid w:val="00200956"/>
    <w:rsid w:val="00201C45"/>
    <w:rsid w:val="00201C7B"/>
    <w:rsid w:val="00201E9F"/>
    <w:rsid w:val="00203071"/>
    <w:rsid w:val="00203117"/>
    <w:rsid w:val="00203648"/>
    <w:rsid w:val="002039EA"/>
    <w:rsid w:val="00203B3C"/>
    <w:rsid w:val="00204BAD"/>
    <w:rsid w:val="00204C0F"/>
    <w:rsid w:val="00204E77"/>
    <w:rsid w:val="00205592"/>
    <w:rsid w:val="00205866"/>
    <w:rsid w:val="00205A07"/>
    <w:rsid w:val="00205E54"/>
    <w:rsid w:val="00206605"/>
    <w:rsid w:val="002069EA"/>
    <w:rsid w:val="00206A40"/>
    <w:rsid w:val="00206C4D"/>
    <w:rsid w:val="002078FF"/>
    <w:rsid w:val="00207A23"/>
    <w:rsid w:val="00207BC2"/>
    <w:rsid w:val="00207D9C"/>
    <w:rsid w:val="002104E8"/>
    <w:rsid w:val="0021053C"/>
    <w:rsid w:val="00210D04"/>
    <w:rsid w:val="00211688"/>
    <w:rsid w:val="00211C08"/>
    <w:rsid w:val="00212AFA"/>
    <w:rsid w:val="00213544"/>
    <w:rsid w:val="00213749"/>
    <w:rsid w:val="00213AD9"/>
    <w:rsid w:val="00213C1F"/>
    <w:rsid w:val="00214904"/>
    <w:rsid w:val="0021597D"/>
    <w:rsid w:val="00215AF1"/>
    <w:rsid w:val="00216031"/>
    <w:rsid w:val="0021622A"/>
    <w:rsid w:val="0021658E"/>
    <w:rsid w:val="002169E5"/>
    <w:rsid w:val="00217D75"/>
    <w:rsid w:val="00220742"/>
    <w:rsid w:val="0022087F"/>
    <w:rsid w:val="00220A36"/>
    <w:rsid w:val="002218BC"/>
    <w:rsid w:val="00221A28"/>
    <w:rsid w:val="00221B67"/>
    <w:rsid w:val="00221CD7"/>
    <w:rsid w:val="002224A9"/>
    <w:rsid w:val="0022329C"/>
    <w:rsid w:val="00223D22"/>
    <w:rsid w:val="00223DCF"/>
    <w:rsid w:val="00224132"/>
    <w:rsid w:val="00224181"/>
    <w:rsid w:val="00224776"/>
    <w:rsid w:val="00224B8C"/>
    <w:rsid w:val="00224BC9"/>
    <w:rsid w:val="0022509C"/>
    <w:rsid w:val="002251DC"/>
    <w:rsid w:val="00225444"/>
    <w:rsid w:val="00225574"/>
    <w:rsid w:val="002263C6"/>
    <w:rsid w:val="0022683F"/>
    <w:rsid w:val="0022693C"/>
    <w:rsid w:val="00226D04"/>
    <w:rsid w:val="002305B5"/>
    <w:rsid w:val="002308A8"/>
    <w:rsid w:val="0023099E"/>
    <w:rsid w:val="00230A94"/>
    <w:rsid w:val="00231235"/>
    <w:rsid w:val="00231561"/>
    <w:rsid w:val="002318BB"/>
    <w:rsid w:val="00231D83"/>
    <w:rsid w:val="002321E8"/>
    <w:rsid w:val="00232814"/>
    <w:rsid w:val="00232CAF"/>
    <w:rsid w:val="00232CBA"/>
    <w:rsid w:val="00233361"/>
    <w:rsid w:val="00233EF4"/>
    <w:rsid w:val="0023446D"/>
    <w:rsid w:val="002351E9"/>
    <w:rsid w:val="00235246"/>
    <w:rsid w:val="0023550C"/>
    <w:rsid w:val="002362E2"/>
    <w:rsid w:val="0023644A"/>
    <w:rsid w:val="00236B19"/>
    <w:rsid w:val="00236EC9"/>
    <w:rsid w:val="00236EEC"/>
    <w:rsid w:val="0023727E"/>
    <w:rsid w:val="00237649"/>
    <w:rsid w:val="00237CB6"/>
    <w:rsid w:val="0024010F"/>
    <w:rsid w:val="002403DD"/>
    <w:rsid w:val="00240749"/>
    <w:rsid w:val="002407C0"/>
    <w:rsid w:val="00240C62"/>
    <w:rsid w:val="00240D30"/>
    <w:rsid w:val="00240D5C"/>
    <w:rsid w:val="00241416"/>
    <w:rsid w:val="00241D64"/>
    <w:rsid w:val="002420EE"/>
    <w:rsid w:val="0024227A"/>
    <w:rsid w:val="00243018"/>
    <w:rsid w:val="00243862"/>
    <w:rsid w:val="00243EC0"/>
    <w:rsid w:val="00243F8D"/>
    <w:rsid w:val="00244048"/>
    <w:rsid w:val="00244563"/>
    <w:rsid w:val="00244742"/>
    <w:rsid w:val="00244EE3"/>
    <w:rsid w:val="0024545B"/>
    <w:rsid w:val="00246393"/>
    <w:rsid w:val="00246B34"/>
    <w:rsid w:val="00246F1D"/>
    <w:rsid w:val="00247559"/>
    <w:rsid w:val="00247ABB"/>
    <w:rsid w:val="00250247"/>
    <w:rsid w:val="0025189A"/>
    <w:rsid w:val="002526A0"/>
    <w:rsid w:val="002535C6"/>
    <w:rsid w:val="00253A24"/>
    <w:rsid w:val="00254565"/>
    <w:rsid w:val="00254D15"/>
    <w:rsid w:val="00254D1A"/>
    <w:rsid w:val="00254E33"/>
    <w:rsid w:val="00254F1C"/>
    <w:rsid w:val="0025537D"/>
    <w:rsid w:val="00255F10"/>
    <w:rsid w:val="00255F69"/>
    <w:rsid w:val="002564A4"/>
    <w:rsid w:val="00257241"/>
    <w:rsid w:val="0025772C"/>
    <w:rsid w:val="002577A8"/>
    <w:rsid w:val="00257DD5"/>
    <w:rsid w:val="00260666"/>
    <w:rsid w:val="002607A2"/>
    <w:rsid w:val="00260BA0"/>
    <w:rsid w:val="00260E7E"/>
    <w:rsid w:val="00261A95"/>
    <w:rsid w:val="00261B43"/>
    <w:rsid w:val="00261C26"/>
    <w:rsid w:val="00261D79"/>
    <w:rsid w:val="002631C1"/>
    <w:rsid w:val="00263660"/>
    <w:rsid w:val="00263EF0"/>
    <w:rsid w:val="002642B5"/>
    <w:rsid w:val="00264609"/>
    <w:rsid w:val="002647F9"/>
    <w:rsid w:val="002649A0"/>
    <w:rsid w:val="002659EE"/>
    <w:rsid w:val="002660B7"/>
    <w:rsid w:val="0026736C"/>
    <w:rsid w:val="00270212"/>
    <w:rsid w:val="00270320"/>
    <w:rsid w:val="002705A6"/>
    <w:rsid w:val="002707B0"/>
    <w:rsid w:val="00270B57"/>
    <w:rsid w:val="00271096"/>
    <w:rsid w:val="002717CD"/>
    <w:rsid w:val="00271952"/>
    <w:rsid w:val="0027196C"/>
    <w:rsid w:val="0027279F"/>
    <w:rsid w:val="00272F6E"/>
    <w:rsid w:val="0027585E"/>
    <w:rsid w:val="00276261"/>
    <w:rsid w:val="002769C2"/>
    <w:rsid w:val="00277428"/>
    <w:rsid w:val="00281308"/>
    <w:rsid w:val="00281813"/>
    <w:rsid w:val="00281BB6"/>
    <w:rsid w:val="00282B6C"/>
    <w:rsid w:val="00283083"/>
    <w:rsid w:val="002836E3"/>
    <w:rsid w:val="00283729"/>
    <w:rsid w:val="002839AE"/>
    <w:rsid w:val="00283F88"/>
    <w:rsid w:val="00284719"/>
    <w:rsid w:val="002858A3"/>
    <w:rsid w:val="002860AB"/>
    <w:rsid w:val="00286B25"/>
    <w:rsid w:val="0029048C"/>
    <w:rsid w:val="00290A96"/>
    <w:rsid w:val="002910A1"/>
    <w:rsid w:val="00291F25"/>
    <w:rsid w:val="00292132"/>
    <w:rsid w:val="002926F3"/>
    <w:rsid w:val="00292C81"/>
    <w:rsid w:val="00293304"/>
    <w:rsid w:val="0029454E"/>
    <w:rsid w:val="00294CC9"/>
    <w:rsid w:val="00294D51"/>
    <w:rsid w:val="0029523A"/>
    <w:rsid w:val="0029545A"/>
    <w:rsid w:val="00295850"/>
    <w:rsid w:val="00295B6D"/>
    <w:rsid w:val="002961AE"/>
    <w:rsid w:val="0029669C"/>
    <w:rsid w:val="002967B2"/>
    <w:rsid w:val="00296AFE"/>
    <w:rsid w:val="0029701F"/>
    <w:rsid w:val="00297B2C"/>
    <w:rsid w:val="00297C87"/>
    <w:rsid w:val="00297ECB"/>
    <w:rsid w:val="002A0BA6"/>
    <w:rsid w:val="002A0BD7"/>
    <w:rsid w:val="002A0D3C"/>
    <w:rsid w:val="002A0E20"/>
    <w:rsid w:val="002A10C7"/>
    <w:rsid w:val="002A16DA"/>
    <w:rsid w:val="002A1789"/>
    <w:rsid w:val="002A29C0"/>
    <w:rsid w:val="002A2F0C"/>
    <w:rsid w:val="002A2F34"/>
    <w:rsid w:val="002A3675"/>
    <w:rsid w:val="002A3F49"/>
    <w:rsid w:val="002A4957"/>
    <w:rsid w:val="002A59A4"/>
    <w:rsid w:val="002A7328"/>
    <w:rsid w:val="002A74D6"/>
    <w:rsid w:val="002A75F6"/>
    <w:rsid w:val="002A7B53"/>
    <w:rsid w:val="002A7BCF"/>
    <w:rsid w:val="002A7E15"/>
    <w:rsid w:val="002B04A7"/>
    <w:rsid w:val="002B19F3"/>
    <w:rsid w:val="002B1A91"/>
    <w:rsid w:val="002B21B6"/>
    <w:rsid w:val="002B2644"/>
    <w:rsid w:val="002B35FE"/>
    <w:rsid w:val="002B3A16"/>
    <w:rsid w:val="002B3AEB"/>
    <w:rsid w:val="002B3B37"/>
    <w:rsid w:val="002B41A4"/>
    <w:rsid w:val="002B4A0D"/>
    <w:rsid w:val="002B5121"/>
    <w:rsid w:val="002B5C8A"/>
    <w:rsid w:val="002B617D"/>
    <w:rsid w:val="002B68B9"/>
    <w:rsid w:val="002B69EC"/>
    <w:rsid w:val="002B6BC6"/>
    <w:rsid w:val="002B778E"/>
    <w:rsid w:val="002B79A1"/>
    <w:rsid w:val="002B7C8B"/>
    <w:rsid w:val="002B7D05"/>
    <w:rsid w:val="002C0239"/>
    <w:rsid w:val="002C051A"/>
    <w:rsid w:val="002C06BE"/>
    <w:rsid w:val="002C06E4"/>
    <w:rsid w:val="002C0817"/>
    <w:rsid w:val="002C0D87"/>
    <w:rsid w:val="002C1631"/>
    <w:rsid w:val="002C1E7D"/>
    <w:rsid w:val="002C2485"/>
    <w:rsid w:val="002C2CCD"/>
    <w:rsid w:val="002C2E8C"/>
    <w:rsid w:val="002C4213"/>
    <w:rsid w:val="002C47F1"/>
    <w:rsid w:val="002C49AE"/>
    <w:rsid w:val="002C4A83"/>
    <w:rsid w:val="002C4FB9"/>
    <w:rsid w:val="002C50A3"/>
    <w:rsid w:val="002C5452"/>
    <w:rsid w:val="002C66F8"/>
    <w:rsid w:val="002C693B"/>
    <w:rsid w:val="002C7AD2"/>
    <w:rsid w:val="002C7B6F"/>
    <w:rsid w:val="002D043A"/>
    <w:rsid w:val="002D0A52"/>
    <w:rsid w:val="002D15E7"/>
    <w:rsid w:val="002D27E8"/>
    <w:rsid w:val="002D2968"/>
    <w:rsid w:val="002D304B"/>
    <w:rsid w:val="002D435B"/>
    <w:rsid w:val="002D4C03"/>
    <w:rsid w:val="002D5640"/>
    <w:rsid w:val="002D5B16"/>
    <w:rsid w:val="002D5C69"/>
    <w:rsid w:val="002D60F7"/>
    <w:rsid w:val="002D6224"/>
    <w:rsid w:val="002D70FB"/>
    <w:rsid w:val="002D7217"/>
    <w:rsid w:val="002D758E"/>
    <w:rsid w:val="002D76F4"/>
    <w:rsid w:val="002D7850"/>
    <w:rsid w:val="002D796C"/>
    <w:rsid w:val="002E0D73"/>
    <w:rsid w:val="002E126F"/>
    <w:rsid w:val="002E1B97"/>
    <w:rsid w:val="002E1BFD"/>
    <w:rsid w:val="002E25AF"/>
    <w:rsid w:val="002E2BD8"/>
    <w:rsid w:val="002E2C2E"/>
    <w:rsid w:val="002E2CA8"/>
    <w:rsid w:val="002E2E73"/>
    <w:rsid w:val="002E3F4B"/>
    <w:rsid w:val="002E4523"/>
    <w:rsid w:val="002E5283"/>
    <w:rsid w:val="002E5725"/>
    <w:rsid w:val="002E57AA"/>
    <w:rsid w:val="002E5DE5"/>
    <w:rsid w:val="002E669A"/>
    <w:rsid w:val="002E67A7"/>
    <w:rsid w:val="002E7208"/>
    <w:rsid w:val="002F0F09"/>
    <w:rsid w:val="002F17E2"/>
    <w:rsid w:val="002F1FFB"/>
    <w:rsid w:val="002F2105"/>
    <w:rsid w:val="002F2B9A"/>
    <w:rsid w:val="002F3576"/>
    <w:rsid w:val="002F3D59"/>
    <w:rsid w:val="002F4152"/>
    <w:rsid w:val="002F44F3"/>
    <w:rsid w:val="002F4D2E"/>
    <w:rsid w:val="002F4EF9"/>
    <w:rsid w:val="002F530E"/>
    <w:rsid w:val="002F57F2"/>
    <w:rsid w:val="002F7754"/>
    <w:rsid w:val="002F7C39"/>
    <w:rsid w:val="002F7F4D"/>
    <w:rsid w:val="0030070F"/>
    <w:rsid w:val="00300E31"/>
    <w:rsid w:val="00300EBD"/>
    <w:rsid w:val="003010C0"/>
    <w:rsid w:val="003017E2"/>
    <w:rsid w:val="00301C94"/>
    <w:rsid w:val="00301F4C"/>
    <w:rsid w:val="003022CB"/>
    <w:rsid w:val="00302437"/>
    <w:rsid w:val="00302617"/>
    <w:rsid w:val="00302755"/>
    <w:rsid w:val="003027AB"/>
    <w:rsid w:val="00302F0D"/>
    <w:rsid w:val="00303939"/>
    <w:rsid w:val="00303EE3"/>
    <w:rsid w:val="0030407A"/>
    <w:rsid w:val="00304A4B"/>
    <w:rsid w:val="00304BCE"/>
    <w:rsid w:val="00304F8B"/>
    <w:rsid w:val="00305596"/>
    <w:rsid w:val="00305940"/>
    <w:rsid w:val="00305CA4"/>
    <w:rsid w:val="003065ED"/>
    <w:rsid w:val="003067AF"/>
    <w:rsid w:val="003068AE"/>
    <w:rsid w:val="003073B7"/>
    <w:rsid w:val="0030771F"/>
    <w:rsid w:val="00307C9F"/>
    <w:rsid w:val="00310746"/>
    <w:rsid w:val="00311470"/>
    <w:rsid w:val="00311B64"/>
    <w:rsid w:val="00311C64"/>
    <w:rsid w:val="00311F8F"/>
    <w:rsid w:val="003125DB"/>
    <w:rsid w:val="003125F0"/>
    <w:rsid w:val="003131E0"/>
    <w:rsid w:val="003131F8"/>
    <w:rsid w:val="0031384B"/>
    <w:rsid w:val="00313894"/>
    <w:rsid w:val="00314918"/>
    <w:rsid w:val="00314B23"/>
    <w:rsid w:val="00314BF0"/>
    <w:rsid w:val="00314DC1"/>
    <w:rsid w:val="0031568A"/>
    <w:rsid w:val="003156F1"/>
    <w:rsid w:val="00315B73"/>
    <w:rsid w:val="00316667"/>
    <w:rsid w:val="00316C4A"/>
    <w:rsid w:val="00317402"/>
    <w:rsid w:val="00317746"/>
    <w:rsid w:val="00317B9C"/>
    <w:rsid w:val="00317D17"/>
    <w:rsid w:val="00320B40"/>
    <w:rsid w:val="00321203"/>
    <w:rsid w:val="003218B0"/>
    <w:rsid w:val="00321BAF"/>
    <w:rsid w:val="003221E6"/>
    <w:rsid w:val="003222C5"/>
    <w:rsid w:val="00322E75"/>
    <w:rsid w:val="00323791"/>
    <w:rsid w:val="00324D0B"/>
    <w:rsid w:val="00324FFA"/>
    <w:rsid w:val="00325330"/>
    <w:rsid w:val="00325599"/>
    <w:rsid w:val="00325CCE"/>
    <w:rsid w:val="00326F54"/>
    <w:rsid w:val="003270C0"/>
    <w:rsid w:val="00327722"/>
    <w:rsid w:val="00327930"/>
    <w:rsid w:val="003279A3"/>
    <w:rsid w:val="00327D24"/>
    <w:rsid w:val="00327DDF"/>
    <w:rsid w:val="0033018F"/>
    <w:rsid w:val="003306BD"/>
    <w:rsid w:val="00330956"/>
    <w:rsid w:val="00330E34"/>
    <w:rsid w:val="00330FE6"/>
    <w:rsid w:val="003311B0"/>
    <w:rsid w:val="003311DA"/>
    <w:rsid w:val="003314DD"/>
    <w:rsid w:val="003332FE"/>
    <w:rsid w:val="003336D1"/>
    <w:rsid w:val="00333782"/>
    <w:rsid w:val="003340E7"/>
    <w:rsid w:val="003354D2"/>
    <w:rsid w:val="00335990"/>
    <w:rsid w:val="00335BC6"/>
    <w:rsid w:val="003371AE"/>
    <w:rsid w:val="00337420"/>
    <w:rsid w:val="0033743E"/>
    <w:rsid w:val="00337D53"/>
    <w:rsid w:val="00340668"/>
    <w:rsid w:val="003408B9"/>
    <w:rsid w:val="003408C1"/>
    <w:rsid w:val="003415D3"/>
    <w:rsid w:val="00341CE0"/>
    <w:rsid w:val="00341E5D"/>
    <w:rsid w:val="00341F4B"/>
    <w:rsid w:val="00341FCA"/>
    <w:rsid w:val="00342085"/>
    <w:rsid w:val="00342468"/>
    <w:rsid w:val="00343BA9"/>
    <w:rsid w:val="0034422A"/>
    <w:rsid w:val="00344701"/>
    <w:rsid w:val="00344F6A"/>
    <w:rsid w:val="003451D7"/>
    <w:rsid w:val="003457F8"/>
    <w:rsid w:val="00345865"/>
    <w:rsid w:val="0034624E"/>
    <w:rsid w:val="003466CA"/>
    <w:rsid w:val="00346963"/>
    <w:rsid w:val="003470BE"/>
    <w:rsid w:val="00347389"/>
    <w:rsid w:val="00347864"/>
    <w:rsid w:val="00347CEF"/>
    <w:rsid w:val="00347D28"/>
    <w:rsid w:val="00350352"/>
    <w:rsid w:val="00350D65"/>
    <w:rsid w:val="00350DE6"/>
    <w:rsid w:val="00351082"/>
    <w:rsid w:val="00351A5F"/>
    <w:rsid w:val="00351CC3"/>
    <w:rsid w:val="00352470"/>
    <w:rsid w:val="0035275E"/>
    <w:rsid w:val="0035276A"/>
    <w:rsid w:val="003528DA"/>
    <w:rsid w:val="00352B0F"/>
    <w:rsid w:val="00353700"/>
    <w:rsid w:val="0035417B"/>
    <w:rsid w:val="003546F9"/>
    <w:rsid w:val="003549F4"/>
    <w:rsid w:val="003559A5"/>
    <w:rsid w:val="00356690"/>
    <w:rsid w:val="00356D78"/>
    <w:rsid w:val="00357062"/>
    <w:rsid w:val="00357A21"/>
    <w:rsid w:val="00357DD0"/>
    <w:rsid w:val="00360459"/>
    <w:rsid w:val="0036164D"/>
    <w:rsid w:val="00361CCA"/>
    <w:rsid w:val="00361ECE"/>
    <w:rsid w:val="00362927"/>
    <w:rsid w:val="00362C24"/>
    <w:rsid w:val="00363087"/>
    <w:rsid w:val="00363ABC"/>
    <w:rsid w:val="00364DA9"/>
    <w:rsid w:val="00365237"/>
    <w:rsid w:val="00365333"/>
    <w:rsid w:val="00365497"/>
    <w:rsid w:val="00365680"/>
    <w:rsid w:val="0036585B"/>
    <w:rsid w:val="00365899"/>
    <w:rsid w:val="00366A72"/>
    <w:rsid w:val="00366B9E"/>
    <w:rsid w:val="00370094"/>
    <w:rsid w:val="00370B18"/>
    <w:rsid w:val="00371241"/>
    <w:rsid w:val="00372CC3"/>
    <w:rsid w:val="0037384C"/>
    <w:rsid w:val="00373A16"/>
    <w:rsid w:val="0037423B"/>
    <w:rsid w:val="00374E5C"/>
    <w:rsid w:val="003751A3"/>
    <w:rsid w:val="003757F2"/>
    <w:rsid w:val="0037654A"/>
    <w:rsid w:val="00376E50"/>
    <w:rsid w:val="00377739"/>
    <w:rsid w:val="00377875"/>
    <w:rsid w:val="0038022E"/>
    <w:rsid w:val="003807C8"/>
    <w:rsid w:val="00380C12"/>
    <w:rsid w:val="00380ECA"/>
    <w:rsid w:val="0038277B"/>
    <w:rsid w:val="00382BAF"/>
    <w:rsid w:val="00382C2A"/>
    <w:rsid w:val="00382C3E"/>
    <w:rsid w:val="00383B9A"/>
    <w:rsid w:val="00383BB4"/>
    <w:rsid w:val="00384216"/>
    <w:rsid w:val="003850FD"/>
    <w:rsid w:val="00385118"/>
    <w:rsid w:val="0038517E"/>
    <w:rsid w:val="00385180"/>
    <w:rsid w:val="00385270"/>
    <w:rsid w:val="003855C3"/>
    <w:rsid w:val="00385D2C"/>
    <w:rsid w:val="00386545"/>
    <w:rsid w:val="00386761"/>
    <w:rsid w:val="00386B3B"/>
    <w:rsid w:val="00387097"/>
    <w:rsid w:val="00387574"/>
    <w:rsid w:val="00387863"/>
    <w:rsid w:val="00387A80"/>
    <w:rsid w:val="00387A96"/>
    <w:rsid w:val="003903C3"/>
    <w:rsid w:val="00390BFF"/>
    <w:rsid w:val="00390C57"/>
    <w:rsid w:val="00391869"/>
    <w:rsid w:val="0039206E"/>
    <w:rsid w:val="0039274E"/>
    <w:rsid w:val="00392992"/>
    <w:rsid w:val="00392EFD"/>
    <w:rsid w:val="00393674"/>
    <w:rsid w:val="00393749"/>
    <w:rsid w:val="003939F6"/>
    <w:rsid w:val="00393AB2"/>
    <w:rsid w:val="00393F84"/>
    <w:rsid w:val="00394F0F"/>
    <w:rsid w:val="00395567"/>
    <w:rsid w:val="003971D4"/>
    <w:rsid w:val="003974EC"/>
    <w:rsid w:val="00397AFE"/>
    <w:rsid w:val="003A0E90"/>
    <w:rsid w:val="003A2178"/>
    <w:rsid w:val="003A2A48"/>
    <w:rsid w:val="003A404A"/>
    <w:rsid w:val="003A436E"/>
    <w:rsid w:val="003A4D65"/>
    <w:rsid w:val="003A5146"/>
    <w:rsid w:val="003A51DC"/>
    <w:rsid w:val="003A52C9"/>
    <w:rsid w:val="003A559E"/>
    <w:rsid w:val="003A57F6"/>
    <w:rsid w:val="003A5E0B"/>
    <w:rsid w:val="003A6A53"/>
    <w:rsid w:val="003A6C8C"/>
    <w:rsid w:val="003A6EAE"/>
    <w:rsid w:val="003A717B"/>
    <w:rsid w:val="003A742D"/>
    <w:rsid w:val="003B094B"/>
    <w:rsid w:val="003B0A14"/>
    <w:rsid w:val="003B0BA6"/>
    <w:rsid w:val="003B0C0F"/>
    <w:rsid w:val="003B23D4"/>
    <w:rsid w:val="003B23DF"/>
    <w:rsid w:val="003B2661"/>
    <w:rsid w:val="003B2803"/>
    <w:rsid w:val="003B28C3"/>
    <w:rsid w:val="003B291C"/>
    <w:rsid w:val="003B2CA7"/>
    <w:rsid w:val="003B40DE"/>
    <w:rsid w:val="003B454D"/>
    <w:rsid w:val="003B4839"/>
    <w:rsid w:val="003B4F0D"/>
    <w:rsid w:val="003B504E"/>
    <w:rsid w:val="003B5199"/>
    <w:rsid w:val="003B592D"/>
    <w:rsid w:val="003B5D86"/>
    <w:rsid w:val="003B673A"/>
    <w:rsid w:val="003B67A4"/>
    <w:rsid w:val="003B6838"/>
    <w:rsid w:val="003B699E"/>
    <w:rsid w:val="003B732F"/>
    <w:rsid w:val="003B7896"/>
    <w:rsid w:val="003B78F3"/>
    <w:rsid w:val="003C00E9"/>
    <w:rsid w:val="003C0404"/>
    <w:rsid w:val="003C0617"/>
    <w:rsid w:val="003C07BC"/>
    <w:rsid w:val="003C0EA1"/>
    <w:rsid w:val="003C143A"/>
    <w:rsid w:val="003C26E9"/>
    <w:rsid w:val="003C2780"/>
    <w:rsid w:val="003C2A38"/>
    <w:rsid w:val="003C3E0C"/>
    <w:rsid w:val="003C40F2"/>
    <w:rsid w:val="003C447E"/>
    <w:rsid w:val="003C4571"/>
    <w:rsid w:val="003C5E26"/>
    <w:rsid w:val="003C6231"/>
    <w:rsid w:val="003C7026"/>
    <w:rsid w:val="003C7D74"/>
    <w:rsid w:val="003D0508"/>
    <w:rsid w:val="003D0BFE"/>
    <w:rsid w:val="003D1182"/>
    <w:rsid w:val="003D2ABD"/>
    <w:rsid w:val="003D2B9C"/>
    <w:rsid w:val="003D30AF"/>
    <w:rsid w:val="003D3106"/>
    <w:rsid w:val="003D391A"/>
    <w:rsid w:val="003D3A25"/>
    <w:rsid w:val="003D3ABB"/>
    <w:rsid w:val="003D483E"/>
    <w:rsid w:val="003D491C"/>
    <w:rsid w:val="003D4F09"/>
    <w:rsid w:val="003D5441"/>
    <w:rsid w:val="003D5700"/>
    <w:rsid w:val="003D5F4D"/>
    <w:rsid w:val="003D67E4"/>
    <w:rsid w:val="003D7A89"/>
    <w:rsid w:val="003D7FD7"/>
    <w:rsid w:val="003E086D"/>
    <w:rsid w:val="003E0F99"/>
    <w:rsid w:val="003E152E"/>
    <w:rsid w:val="003E1BA9"/>
    <w:rsid w:val="003E279C"/>
    <w:rsid w:val="003E341B"/>
    <w:rsid w:val="003E3A63"/>
    <w:rsid w:val="003E3B43"/>
    <w:rsid w:val="003E3CEF"/>
    <w:rsid w:val="003E4488"/>
    <w:rsid w:val="003E4902"/>
    <w:rsid w:val="003E499F"/>
    <w:rsid w:val="003E4D09"/>
    <w:rsid w:val="003E4F0C"/>
    <w:rsid w:val="003E5196"/>
    <w:rsid w:val="003E557E"/>
    <w:rsid w:val="003E58B6"/>
    <w:rsid w:val="003E5B41"/>
    <w:rsid w:val="003E641F"/>
    <w:rsid w:val="003E679C"/>
    <w:rsid w:val="003E6863"/>
    <w:rsid w:val="003E6D83"/>
    <w:rsid w:val="003E72EF"/>
    <w:rsid w:val="003E7482"/>
    <w:rsid w:val="003E7BE8"/>
    <w:rsid w:val="003E7DCF"/>
    <w:rsid w:val="003F000B"/>
    <w:rsid w:val="003F0256"/>
    <w:rsid w:val="003F06DA"/>
    <w:rsid w:val="003F1498"/>
    <w:rsid w:val="003F1A6F"/>
    <w:rsid w:val="003F2125"/>
    <w:rsid w:val="003F2438"/>
    <w:rsid w:val="003F2ADE"/>
    <w:rsid w:val="003F2B83"/>
    <w:rsid w:val="003F2ED9"/>
    <w:rsid w:val="003F3112"/>
    <w:rsid w:val="003F335D"/>
    <w:rsid w:val="003F3EFD"/>
    <w:rsid w:val="003F4CE6"/>
    <w:rsid w:val="003F5E13"/>
    <w:rsid w:val="003F6096"/>
    <w:rsid w:val="003F67E9"/>
    <w:rsid w:val="003F7725"/>
    <w:rsid w:val="003F7775"/>
    <w:rsid w:val="003F7C64"/>
    <w:rsid w:val="003F7FC6"/>
    <w:rsid w:val="0040053F"/>
    <w:rsid w:val="004006C1"/>
    <w:rsid w:val="0040220F"/>
    <w:rsid w:val="00402452"/>
    <w:rsid w:val="004025D7"/>
    <w:rsid w:val="00402BBA"/>
    <w:rsid w:val="00402CC3"/>
    <w:rsid w:val="004030BA"/>
    <w:rsid w:val="00403F5B"/>
    <w:rsid w:val="0040414D"/>
    <w:rsid w:val="004046E5"/>
    <w:rsid w:val="004055FB"/>
    <w:rsid w:val="00405A00"/>
    <w:rsid w:val="00405CB6"/>
    <w:rsid w:val="004069F3"/>
    <w:rsid w:val="004070D0"/>
    <w:rsid w:val="004077FA"/>
    <w:rsid w:val="00410A46"/>
    <w:rsid w:val="00410F40"/>
    <w:rsid w:val="004110A4"/>
    <w:rsid w:val="00411471"/>
    <w:rsid w:val="004116CD"/>
    <w:rsid w:val="00411B4B"/>
    <w:rsid w:val="004128E4"/>
    <w:rsid w:val="00412B5C"/>
    <w:rsid w:val="00412C85"/>
    <w:rsid w:val="00412D3C"/>
    <w:rsid w:val="00413100"/>
    <w:rsid w:val="0041367E"/>
    <w:rsid w:val="00413685"/>
    <w:rsid w:val="00413793"/>
    <w:rsid w:val="00413809"/>
    <w:rsid w:val="00413ABC"/>
    <w:rsid w:val="00414461"/>
    <w:rsid w:val="004144A7"/>
    <w:rsid w:val="004144EC"/>
    <w:rsid w:val="00415B37"/>
    <w:rsid w:val="00415CF1"/>
    <w:rsid w:val="00416078"/>
    <w:rsid w:val="00416238"/>
    <w:rsid w:val="0041626D"/>
    <w:rsid w:val="00416B8F"/>
    <w:rsid w:val="00416C4C"/>
    <w:rsid w:val="00416DC3"/>
    <w:rsid w:val="00416FE6"/>
    <w:rsid w:val="00417489"/>
    <w:rsid w:val="0041784A"/>
    <w:rsid w:val="00417CE0"/>
    <w:rsid w:val="00417EB9"/>
    <w:rsid w:val="004202DC"/>
    <w:rsid w:val="004205E3"/>
    <w:rsid w:val="00420A57"/>
    <w:rsid w:val="00420B0C"/>
    <w:rsid w:val="00421042"/>
    <w:rsid w:val="00421776"/>
    <w:rsid w:val="004218BB"/>
    <w:rsid w:val="00421FD7"/>
    <w:rsid w:val="00422312"/>
    <w:rsid w:val="0042263F"/>
    <w:rsid w:val="00422668"/>
    <w:rsid w:val="004228D8"/>
    <w:rsid w:val="004229E9"/>
    <w:rsid w:val="00423E1B"/>
    <w:rsid w:val="0042411C"/>
    <w:rsid w:val="004245C6"/>
    <w:rsid w:val="00424745"/>
    <w:rsid w:val="00424AD4"/>
    <w:rsid w:val="00424CA9"/>
    <w:rsid w:val="00425119"/>
    <w:rsid w:val="00425AF6"/>
    <w:rsid w:val="004267C1"/>
    <w:rsid w:val="00426EC7"/>
    <w:rsid w:val="0042727C"/>
    <w:rsid w:val="00427928"/>
    <w:rsid w:val="00430099"/>
    <w:rsid w:val="00430267"/>
    <w:rsid w:val="004305D0"/>
    <w:rsid w:val="00430D6F"/>
    <w:rsid w:val="00431589"/>
    <w:rsid w:val="004317F2"/>
    <w:rsid w:val="00431C73"/>
    <w:rsid w:val="00431E9B"/>
    <w:rsid w:val="00432050"/>
    <w:rsid w:val="004329F2"/>
    <w:rsid w:val="00433E4B"/>
    <w:rsid w:val="0043474E"/>
    <w:rsid w:val="00434A73"/>
    <w:rsid w:val="00434ABE"/>
    <w:rsid w:val="00434AD1"/>
    <w:rsid w:val="00434BA0"/>
    <w:rsid w:val="00434D72"/>
    <w:rsid w:val="004351A2"/>
    <w:rsid w:val="00435A96"/>
    <w:rsid w:val="00435B83"/>
    <w:rsid w:val="00435ECD"/>
    <w:rsid w:val="00435EEF"/>
    <w:rsid w:val="00435F14"/>
    <w:rsid w:val="00436712"/>
    <w:rsid w:val="004367ED"/>
    <w:rsid w:val="00436BD8"/>
    <w:rsid w:val="00436EC0"/>
    <w:rsid w:val="004379E3"/>
    <w:rsid w:val="00437FFD"/>
    <w:rsid w:val="00440080"/>
    <w:rsid w:val="0044015E"/>
    <w:rsid w:val="00440ABF"/>
    <w:rsid w:val="00442612"/>
    <w:rsid w:val="0044291A"/>
    <w:rsid w:val="00442AE3"/>
    <w:rsid w:val="004435AE"/>
    <w:rsid w:val="00444092"/>
    <w:rsid w:val="00444ABD"/>
    <w:rsid w:val="00444D42"/>
    <w:rsid w:val="00444E54"/>
    <w:rsid w:val="00445064"/>
    <w:rsid w:val="0044562A"/>
    <w:rsid w:val="00446155"/>
    <w:rsid w:val="004466B6"/>
    <w:rsid w:val="00446CF2"/>
    <w:rsid w:val="004474D7"/>
    <w:rsid w:val="0044765F"/>
    <w:rsid w:val="00447DB4"/>
    <w:rsid w:val="0045007F"/>
    <w:rsid w:val="0045051F"/>
    <w:rsid w:val="0045065D"/>
    <w:rsid w:val="00451233"/>
    <w:rsid w:val="004512A0"/>
    <w:rsid w:val="0045164C"/>
    <w:rsid w:val="004531EC"/>
    <w:rsid w:val="004532EC"/>
    <w:rsid w:val="004533FF"/>
    <w:rsid w:val="0045433A"/>
    <w:rsid w:val="00454B83"/>
    <w:rsid w:val="0045516C"/>
    <w:rsid w:val="004552D0"/>
    <w:rsid w:val="00455779"/>
    <w:rsid w:val="00455CC6"/>
    <w:rsid w:val="00456126"/>
    <w:rsid w:val="00460599"/>
    <w:rsid w:val="00460F1D"/>
    <w:rsid w:val="00461519"/>
    <w:rsid w:val="00461CA0"/>
    <w:rsid w:val="00461E0A"/>
    <w:rsid w:val="00461F69"/>
    <w:rsid w:val="004620CB"/>
    <w:rsid w:val="0046237A"/>
    <w:rsid w:val="00462CC1"/>
    <w:rsid w:val="00462DE9"/>
    <w:rsid w:val="00462EEB"/>
    <w:rsid w:val="00463023"/>
    <w:rsid w:val="0046312F"/>
    <w:rsid w:val="004633DD"/>
    <w:rsid w:val="00463F85"/>
    <w:rsid w:val="0046447D"/>
    <w:rsid w:val="004649AD"/>
    <w:rsid w:val="00464AA2"/>
    <w:rsid w:val="0046591A"/>
    <w:rsid w:val="00465DC1"/>
    <w:rsid w:val="00466303"/>
    <w:rsid w:val="0046643C"/>
    <w:rsid w:val="00467661"/>
    <w:rsid w:val="00467890"/>
    <w:rsid w:val="0046790F"/>
    <w:rsid w:val="004705B7"/>
    <w:rsid w:val="00470D36"/>
    <w:rsid w:val="00470E35"/>
    <w:rsid w:val="00470FC7"/>
    <w:rsid w:val="004712B3"/>
    <w:rsid w:val="00471B48"/>
    <w:rsid w:val="0047226D"/>
    <w:rsid w:val="00472A19"/>
    <w:rsid w:val="00472C94"/>
    <w:rsid w:val="00472DBE"/>
    <w:rsid w:val="00473185"/>
    <w:rsid w:val="00474A19"/>
    <w:rsid w:val="00474B52"/>
    <w:rsid w:val="0047583B"/>
    <w:rsid w:val="00475B58"/>
    <w:rsid w:val="00476054"/>
    <w:rsid w:val="00476A74"/>
    <w:rsid w:val="00480A8B"/>
    <w:rsid w:val="00480E57"/>
    <w:rsid w:val="00481194"/>
    <w:rsid w:val="004814CC"/>
    <w:rsid w:val="004814FC"/>
    <w:rsid w:val="004819AF"/>
    <w:rsid w:val="00481C24"/>
    <w:rsid w:val="00481F6A"/>
    <w:rsid w:val="004823C0"/>
    <w:rsid w:val="0048276B"/>
    <w:rsid w:val="0048314F"/>
    <w:rsid w:val="004832C3"/>
    <w:rsid w:val="004840B5"/>
    <w:rsid w:val="004851C5"/>
    <w:rsid w:val="00485F2B"/>
    <w:rsid w:val="0048641A"/>
    <w:rsid w:val="00487CEA"/>
    <w:rsid w:val="00487F72"/>
    <w:rsid w:val="00490556"/>
    <w:rsid w:val="00490805"/>
    <w:rsid w:val="00490AA1"/>
    <w:rsid w:val="00490ED4"/>
    <w:rsid w:val="00490F1A"/>
    <w:rsid w:val="00491CCE"/>
    <w:rsid w:val="00491ED4"/>
    <w:rsid w:val="00491EDE"/>
    <w:rsid w:val="004930DA"/>
    <w:rsid w:val="004940AF"/>
    <w:rsid w:val="0049599D"/>
    <w:rsid w:val="00495D4D"/>
    <w:rsid w:val="004960A0"/>
    <w:rsid w:val="00496738"/>
    <w:rsid w:val="00496B5F"/>
    <w:rsid w:val="00496E77"/>
    <w:rsid w:val="00496F97"/>
    <w:rsid w:val="004979C5"/>
    <w:rsid w:val="00497B74"/>
    <w:rsid w:val="004A000F"/>
    <w:rsid w:val="004A03F9"/>
    <w:rsid w:val="004A0CBE"/>
    <w:rsid w:val="004A1EDB"/>
    <w:rsid w:val="004A3244"/>
    <w:rsid w:val="004A391E"/>
    <w:rsid w:val="004A3A1F"/>
    <w:rsid w:val="004A3C6B"/>
    <w:rsid w:val="004A418F"/>
    <w:rsid w:val="004A432C"/>
    <w:rsid w:val="004A44FC"/>
    <w:rsid w:val="004A4C32"/>
    <w:rsid w:val="004A4DDA"/>
    <w:rsid w:val="004A56B7"/>
    <w:rsid w:val="004A63F0"/>
    <w:rsid w:val="004A67AC"/>
    <w:rsid w:val="004A6FCC"/>
    <w:rsid w:val="004A7FD7"/>
    <w:rsid w:val="004B0638"/>
    <w:rsid w:val="004B0919"/>
    <w:rsid w:val="004B1783"/>
    <w:rsid w:val="004B1EEF"/>
    <w:rsid w:val="004B257A"/>
    <w:rsid w:val="004B26BB"/>
    <w:rsid w:val="004B31B1"/>
    <w:rsid w:val="004B348A"/>
    <w:rsid w:val="004B34AD"/>
    <w:rsid w:val="004B4A64"/>
    <w:rsid w:val="004B4C16"/>
    <w:rsid w:val="004B50B6"/>
    <w:rsid w:val="004B54DE"/>
    <w:rsid w:val="004B5B1B"/>
    <w:rsid w:val="004B5B44"/>
    <w:rsid w:val="004B625B"/>
    <w:rsid w:val="004B6742"/>
    <w:rsid w:val="004B6844"/>
    <w:rsid w:val="004B7338"/>
    <w:rsid w:val="004B763E"/>
    <w:rsid w:val="004B7BEE"/>
    <w:rsid w:val="004B7FCA"/>
    <w:rsid w:val="004C00FE"/>
    <w:rsid w:val="004C0FDC"/>
    <w:rsid w:val="004C14C2"/>
    <w:rsid w:val="004C1AC0"/>
    <w:rsid w:val="004C1CB1"/>
    <w:rsid w:val="004C2414"/>
    <w:rsid w:val="004C2E46"/>
    <w:rsid w:val="004C30AF"/>
    <w:rsid w:val="004C3BB4"/>
    <w:rsid w:val="004C4BA6"/>
    <w:rsid w:val="004C4C14"/>
    <w:rsid w:val="004C5482"/>
    <w:rsid w:val="004C66FD"/>
    <w:rsid w:val="004C6BAC"/>
    <w:rsid w:val="004C6D0F"/>
    <w:rsid w:val="004C70A9"/>
    <w:rsid w:val="004C785B"/>
    <w:rsid w:val="004D0138"/>
    <w:rsid w:val="004D04C0"/>
    <w:rsid w:val="004D0502"/>
    <w:rsid w:val="004D0671"/>
    <w:rsid w:val="004D0822"/>
    <w:rsid w:val="004D0FBC"/>
    <w:rsid w:val="004D1F49"/>
    <w:rsid w:val="004D23E3"/>
    <w:rsid w:val="004D295D"/>
    <w:rsid w:val="004D2984"/>
    <w:rsid w:val="004D2BC8"/>
    <w:rsid w:val="004D2CA4"/>
    <w:rsid w:val="004D3460"/>
    <w:rsid w:val="004D3682"/>
    <w:rsid w:val="004D3D99"/>
    <w:rsid w:val="004D3E30"/>
    <w:rsid w:val="004D3FCA"/>
    <w:rsid w:val="004D4B11"/>
    <w:rsid w:val="004D4E6D"/>
    <w:rsid w:val="004D4FC8"/>
    <w:rsid w:val="004D5F75"/>
    <w:rsid w:val="004D690C"/>
    <w:rsid w:val="004D78E7"/>
    <w:rsid w:val="004D7A38"/>
    <w:rsid w:val="004D7E7F"/>
    <w:rsid w:val="004E0478"/>
    <w:rsid w:val="004E063A"/>
    <w:rsid w:val="004E0A8A"/>
    <w:rsid w:val="004E0CC8"/>
    <w:rsid w:val="004E12E5"/>
    <w:rsid w:val="004E2170"/>
    <w:rsid w:val="004E2429"/>
    <w:rsid w:val="004E2E7C"/>
    <w:rsid w:val="004E2E98"/>
    <w:rsid w:val="004E2F6C"/>
    <w:rsid w:val="004E36C2"/>
    <w:rsid w:val="004E38BD"/>
    <w:rsid w:val="004E3F0B"/>
    <w:rsid w:val="004E4E5F"/>
    <w:rsid w:val="004E532F"/>
    <w:rsid w:val="004E6BCD"/>
    <w:rsid w:val="004E7465"/>
    <w:rsid w:val="004E7BEC"/>
    <w:rsid w:val="004F01DE"/>
    <w:rsid w:val="004F03B5"/>
    <w:rsid w:val="004F0D32"/>
    <w:rsid w:val="004F0FF2"/>
    <w:rsid w:val="004F12AF"/>
    <w:rsid w:val="004F1CB9"/>
    <w:rsid w:val="004F2BC5"/>
    <w:rsid w:val="004F32F7"/>
    <w:rsid w:val="004F462B"/>
    <w:rsid w:val="004F4676"/>
    <w:rsid w:val="004F46D5"/>
    <w:rsid w:val="004F4DD0"/>
    <w:rsid w:val="004F516C"/>
    <w:rsid w:val="004F5778"/>
    <w:rsid w:val="004F5FE2"/>
    <w:rsid w:val="004F6B63"/>
    <w:rsid w:val="004F71B1"/>
    <w:rsid w:val="004F7397"/>
    <w:rsid w:val="004F791B"/>
    <w:rsid w:val="005002F8"/>
    <w:rsid w:val="0050044F"/>
    <w:rsid w:val="00501120"/>
    <w:rsid w:val="005015C2"/>
    <w:rsid w:val="005018FE"/>
    <w:rsid w:val="00501DAD"/>
    <w:rsid w:val="00501F2F"/>
    <w:rsid w:val="005024E0"/>
    <w:rsid w:val="00503FA3"/>
    <w:rsid w:val="00504625"/>
    <w:rsid w:val="00504D31"/>
    <w:rsid w:val="00504F5E"/>
    <w:rsid w:val="005053A2"/>
    <w:rsid w:val="00505D3D"/>
    <w:rsid w:val="00505FB6"/>
    <w:rsid w:val="00506AF6"/>
    <w:rsid w:val="00507215"/>
    <w:rsid w:val="00507335"/>
    <w:rsid w:val="005074BC"/>
    <w:rsid w:val="00507806"/>
    <w:rsid w:val="00507B1F"/>
    <w:rsid w:val="00507DC0"/>
    <w:rsid w:val="005116CB"/>
    <w:rsid w:val="005119C1"/>
    <w:rsid w:val="00511E04"/>
    <w:rsid w:val="00512396"/>
    <w:rsid w:val="00513CD2"/>
    <w:rsid w:val="00513D2C"/>
    <w:rsid w:val="00513EE1"/>
    <w:rsid w:val="0051405A"/>
    <w:rsid w:val="0051485A"/>
    <w:rsid w:val="005151F4"/>
    <w:rsid w:val="0051637C"/>
    <w:rsid w:val="00516812"/>
    <w:rsid w:val="00516AF2"/>
    <w:rsid w:val="00516B8D"/>
    <w:rsid w:val="0051795F"/>
    <w:rsid w:val="00517DA2"/>
    <w:rsid w:val="00517E56"/>
    <w:rsid w:val="005201E3"/>
    <w:rsid w:val="005214CE"/>
    <w:rsid w:val="005217A0"/>
    <w:rsid w:val="005220A5"/>
    <w:rsid w:val="00522ED7"/>
    <w:rsid w:val="00523EE1"/>
    <w:rsid w:val="00524B32"/>
    <w:rsid w:val="0052545E"/>
    <w:rsid w:val="005254C5"/>
    <w:rsid w:val="0052566B"/>
    <w:rsid w:val="0052591F"/>
    <w:rsid w:val="00525FCF"/>
    <w:rsid w:val="00526269"/>
    <w:rsid w:val="005267E1"/>
    <w:rsid w:val="005269FA"/>
    <w:rsid w:val="00530C0F"/>
    <w:rsid w:val="00530E91"/>
    <w:rsid w:val="00530EBE"/>
    <w:rsid w:val="005317FF"/>
    <w:rsid w:val="00531BBA"/>
    <w:rsid w:val="00531E14"/>
    <w:rsid w:val="00531E50"/>
    <w:rsid w:val="00532049"/>
    <w:rsid w:val="0053255C"/>
    <w:rsid w:val="005325BF"/>
    <w:rsid w:val="005325C4"/>
    <w:rsid w:val="00533046"/>
    <w:rsid w:val="00533511"/>
    <w:rsid w:val="005335E8"/>
    <w:rsid w:val="0053366A"/>
    <w:rsid w:val="00533F1D"/>
    <w:rsid w:val="00534720"/>
    <w:rsid w:val="00534ACF"/>
    <w:rsid w:val="0053569B"/>
    <w:rsid w:val="005356A7"/>
    <w:rsid w:val="00535C7D"/>
    <w:rsid w:val="00536184"/>
    <w:rsid w:val="005362A2"/>
    <w:rsid w:val="005378EC"/>
    <w:rsid w:val="00537B1F"/>
    <w:rsid w:val="00537C43"/>
    <w:rsid w:val="00537FBC"/>
    <w:rsid w:val="00540074"/>
    <w:rsid w:val="00541138"/>
    <w:rsid w:val="0054185B"/>
    <w:rsid w:val="00541C77"/>
    <w:rsid w:val="00541ED9"/>
    <w:rsid w:val="00542097"/>
    <w:rsid w:val="00542432"/>
    <w:rsid w:val="00542C68"/>
    <w:rsid w:val="005431EF"/>
    <w:rsid w:val="00543904"/>
    <w:rsid w:val="0054395D"/>
    <w:rsid w:val="00545B26"/>
    <w:rsid w:val="00545C26"/>
    <w:rsid w:val="00546D28"/>
    <w:rsid w:val="0055079F"/>
    <w:rsid w:val="00550859"/>
    <w:rsid w:val="005525CD"/>
    <w:rsid w:val="0055276E"/>
    <w:rsid w:val="00552C85"/>
    <w:rsid w:val="00553024"/>
    <w:rsid w:val="0055312C"/>
    <w:rsid w:val="00554B31"/>
    <w:rsid w:val="00554BD4"/>
    <w:rsid w:val="00555C66"/>
    <w:rsid w:val="005560F1"/>
    <w:rsid w:val="005566C1"/>
    <w:rsid w:val="005567DF"/>
    <w:rsid w:val="00556A73"/>
    <w:rsid w:val="00556B96"/>
    <w:rsid w:val="00556EC3"/>
    <w:rsid w:val="005570F8"/>
    <w:rsid w:val="005573AA"/>
    <w:rsid w:val="005574D1"/>
    <w:rsid w:val="00557730"/>
    <w:rsid w:val="00557E9A"/>
    <w:rsid w:val="00557F73"/>
    <w:rsid w:val="005607F7"/>
    <w:rsid w:val="00560E4B"/>
    <w:rsid w:val="00560E62"/>
    <w:rsid w:val="00560E8D"/>
    <w:rsid w:val="00561667"/>
    <w:rsid w:val="005619F2"/>
    <w:rsid w:val="00561ABB"/>
    <w:rsid w:val="00561FFC"/>
    <w:rsid w:val="00562347"/>
    <w:rsid w:val="00562602"/>
    <w:rsid w:val="00562795"/>
    <w:rsid w:val="005632B8"/>
    <w:rsid w:val="0056334F"/>
    <w:rsid w:val="0056465F"/>
    <w:rsid w:val="00565274"/>
    <w:rsid w:val="005657FE"/>
    <w:rsid w:val="00565D61"/>
    <w:rsid w:val="005660E1"/>
    <w:rsid w:val="0056627D"/>
    <w:rsid w:val="005665B9"/>
    <w:rsid w:val="005666DF"/>
    <w:rsid w:val="00566A80"/>
    <w:rsid w:val="00566E12"/>
    <w:rsid w:val="00567CFF"/>
    <w:rsid w:val="00570477"/>
    <w:rsid w:val="005719CE"/>
    <w:rsid w:val="005721A9"/>
    <w:rsid w:val="00572B58"/>
    <w:rsid w:val="00572BB1"/>
    <w:rsid w:val="00572DF7"/>
    <w:rsid w:val="00572F62"/>
    <w:rsid w:val="0057343B"/>
    <w:rsid w:val="0057356C"/>
    <w:rsid w:val="00573BFB"/>
    <w:rsid w:val="00574147"/>
    <w:rsid w:val="005744D4"/>
    <w:rsid w:val="005747D7"/>
    <w:rsid w:val="00574D1F"/>
    <w:rsid w:val="00575CC6"/>
    <w:rsid w:val="00575ED0"/>
    <w:rsid w:val="0057670F"/>
    <w:rsid w:val="00576C0A"/>
    <w:rsid w:val="00576F4E"/>
    <w:rsid w:val="00577512"/>
    <w:rsid w:val="0057780F"/>
    <w:rsid w:val="00577F36"/>
    <w:rsid w:val="00580AAC"/>
    <w:rsid w:val="00580BBB"/>
    <w:rsid w:val="005819F3"/>
    <w:rsid w:val="005820E7"/>
    <w:rsid w:val="005827CD"/>
    <w:rsid w:val="00583422"/>
    <w:rsid w:val="00583460"/>
    <w:rsid w:val="00583843"/>
    <w:rsid w:val="005839F4"/>
    <w:rsid w:val="0058466A"/>
    <w:rsid w:val="00584723"/>
    <w:rsid w:val="00584811"/>
    <w:rsid w:val="0058484D"/>
    <w:rsid w:val="00585784"/>
    <w:rsid w:val="00585BF4"/>
    <w:rsid w:val="00585F6C"/>
    <w:rsid w:val="00586044"/>
    <w:rsid w:val="0058624F"/>
    <w:rsid w:val="00586827"/>
    <w:rsid w:val="00586DE9"/>
    <w:rsid w:val="00587C1F"/>
    <w:rsid w:val="005901B4"/>
    <w:rsid w:val="00590255"/>
    <w:rsid w:val="00590396"/>
    <w:rsid w:val="005903AD"/>
    <w:rsid w:val="005923F7"/>
    <w:rsid w:val="00592859"/>
    <w:rsid w:val="00592DB3"/>
    <w:rsid w:val="005930D5"/>
    <w:rsid w:val="00593AA6"/>
    <w:rsid w:val="00594161"/>
    <w:rsid w:val="00594749"/>
    <w:rsid w:val="00595143"/>
    <w:rsid w:val="0059537B"/>
    <w:rsid w:val="005955B3"/>
    <w:rsid w:val="00595F88"/>
    <w:rsid w:val="005962D1"/>
    <w:rsid w:val="005966F1"/>
    <w:rsid w:val="00597185"/>
    <w:rsid w:val="0059743F"/>
    <w:rsid w:val="005A0259"/>
    <w:rsid w:val="005A0468"/>
    <w:rsid w:val="005A0EA1"/>
    <w:rsid w:val="005A189D"/>
    <w:rsid w:val="005A2148"/>
    <w:rsid w:val="005A28BE"/>
    <w:rsid w:val="005A2EB2"/>
    <w:rsid w:val="005A2F0D"/>
    <w:rsid w:val="005A4202"/>
    <w:rsid w:val="005A4D5D"/>
    <w:rsid w:val="005A4D9F"/>
    <w:rsid w:val="005A5839"/>
    <w:rsid w:val="005A58AB"/>
    <w:rsid w:val="005A5BDA"/>
    <w:rsid w:val="005A6202"/>
    <w:rsid w:val="005A69F1"/>
    <w:rsid w:val="005A6F80"/>
    <w:rsid w:val="005A717C"/>
    <w:rsid w:val="005A71D6"/>
    <w:rsid w:val="005B07C0"/>
    <w:rsid w:val="005B0987"/>
    <w:rsid w:val="005B29D4"/>
    <w:rsid w:val="005B2B5E"/>
    <w:rsid w:val="005B34F0"/>
    <w:rsid w:val="005B3747"/>
    <w:rsid w:val="005B4067"/>
    <w:rsid w:val="005B50B0"/>
    <w:rsid w:val="005B58EE"/>
    <w:rsid w:val="005B5D6B"/>
    <w:rsid w:val="005B717B"/>
    <w:rsid w:val="005B7515"/>
    <w:rsid w:val="005B780C"/>
    <w:rsid w:val="005B7B98"/>
    <w:rsid w:val="005B7FE1"/>
    <w:rsid w:val="005C0B82"/>
    <w:rsid w:val="005C0C8C"/>
    <w:rsid w:val="005C0E6C"/>
    <w:rsid w:val="005C0F52"/>
    <w:rsid w:val="005C1146"/>
    <w:rsid w:val="005C1568"/>
    <w:rsid w:val="005C2556"/>
    <w:rsid w:val="005C2B1E"/>
    <w:rsid w:val="005C3DB8"/>
    <w:rsid w:val="005C3F41"/>
    <w:rsid w:val="005C41D1"/>
    <w:rsid w:val="005C4C89"/>
    <w:rsid w:val="005C6C79"/>
    <w:rsid w:val="005C7151"/>
    <w:rsid w:val="005D0489"/>
    <w:rsid w:val="005D0E3B"/>
    <w:rsid w:val="005D12CD"/>
    <w:rsid w:val="005D1509"/>
    <w:rsid w:val="005D1770"/>
    <w:rsid w:val="005D1FEA"/>
    <w:rsid w:val="005D2D09"/>
    <w:rsid w:val="005D2DBF"/>
    <w:rsid w:val="005D325B"/>
    <w:rsid w:val="005D36FD"/>
    <w:rsid w:val="005D3717"/>
    <w:rsid w:val="005D3CBD"/>
    <w:rsid w:val="005D3D41"/>
    <w:rsid w:val="005D46A6"/>
    <w:rsid w:val="005D4B90"/>
    <w:rsid w:val="005D53A6"/>
    <w:rsid w:val="005D6809"/>
    <w:rsid w:val="005D72D4"/>
    <w:rsid w:val="005D74A1"/>
    <w:rsid w:val="005D7909"/>
    <w:rsid w:val="005D7B33"/>
    <w:rsid w:val="005D7F9F"/>
    <w:rsid w:val="005E01B7"/>
    <w:rsid w:val="005E090F"/>
    <w:rsid w:val="005E0A58"/>
    <w:rsid w:val="005E0D70"/>
    <w:rsid w:val="005E0F23"/>
    <w:rsid w:val="005E1F28"/>
    <w:rsid w:val="005E2392"/>
    <w:rsid w:val="005E3AA1"/>
    <w:rsid w:val="005E475A"/>
    <w:rsid w:val="005E4810"/>
    <w:rsid w:val="005E4B9C"/>
    <w:rsid w:val="005E570D"/>
    <w:rsid w:val="005E587D"/>
    <w:rsid w:val="005E59D7"/>
    <w:rsid w:val="005E641E"/>
    <w:rsid w:val="005E6838"/>
    <w:rsid w:val="005E6DB8"/>
    <w:rsid w:val="005F0137"/>
    <w:rsid w:val="005F0929"/>
    <w:rsid w:val="005F10C3"/>
    <w:rsid w:val="005F1334"/>
    <w:rsid w:val="005F18E5"/>
    <w:rsid w:val="005F1DB6"/>
    <w:rsid w:val="005F1FBB"/>
    <w:rsid w:val="005F2B2E"/>
    <w:rsid w:val="005F384A"/>
    <w:rsid w:val="005F3CC6"/>
    <w:rsid w:val="005F3CE9"/>
    <w:rsid w:val="005F3E34"/>
    <w:rsid w:val="005F4140"/>
    <w:rsid w:val="005F44E3"/>
    <w:rsid w:val="005F5B2E"/>
    <w:rsid w:val="005F65CD"/>
    <w:rsid w:val="005F6666"/>
    <w:rsid w:val="005F6A92"/>
    <w:rsid w:val="005F7650"/>
    <w:rsid w:val="005F7D88"/>
    <w:rsid w:val="00600219"/>
    <w:rsid w:val="00600D53"/>
    <w:rsid w:val="00601449"/>
    <w:rsid w:val="00601955"/>
    <w:rsid w:val="00601D5D"/>
    <w:rsid w:val="006021F4"/>
    <w:rsid w:val="0060280B"/>
    <w:rsid w:val="00602E9E"/>
    <w:rsid w:val="00602F64"/>
    <w:rsid w:val="00603585"/>
    <w:rsid w:val="006035A6"/>
    <w:rsid w:val="00603B29"/>
    <w:rsid w:val="00603DC4"/>
    <w:rsid w:val="00603E1D"/>
    <w:rsid w:val="00604A83"/>
    <w:rsid w:val="006056A4"/>
    <w:rsid w:val="00606550"/>
    <w:rsid w:val="0060657A"/>
    <w:rsid w:val="00606B39"/>
    <w:rsid w:val="00607728"/>
    <w:rsid w:val="00607A71"/>
    <w:rsid w:val="00607B75"/>
    <w:rsid w:val="00610432"/>
    <w:rsid w:val="00610709"/>
    <w:rsid w:val="00610B68"/>
    <w:rsid w:val="00610D21"/>
    <w:rsid w:val="00611539"/>
    <w:rsid w:val="006117CB"/>
    <w:rsid w:val="00611BE9"/>
    <w:rsid w:val="00611C2C"/>
    <w:rsid w:val="00611C50"/>
    <w:rsid w:val="00612133"/>
    <w:rsid w:val="0061237A"/>
    <w:rsid w:val="00612444"/>
    <w:rsid w:val="0061348C"/>
    <w:rsid w:val="00613BD0"/>
    <w:rsid w:val="00614253"/>
    <w:rsid w:val="0061469D"/>
    <w:rsid w:val="0061554C"/>
    <w:rsid w:val="00615A6E"/>
    <w:rsid w:val="00615C20"/>
    <w:rsid w:val="00616EA4"/>
    <w:rsid w:val="00617044"/>
    <w:rsid w:val="00617645"/>
    <w:rsid w:val="00620076"/>
    <w:rsid w:val="0062074F"/>
    <w:rsid w:val="006207E8"/>
    <w:rsid w:val="0062148B"/>
    <w:rsid w:val="006235AC"/>
    <w:rsid w:val="00624701"/>
    <w:rsid w:val="0062510E"/>
    <w:rsid w:val="00625823"/>
    <w:rsid w:val="00626599"/>
    <w:rsid w:val="006271DC"/>
    <w:rsid w:val="006275AD"/>
    <w:rsid w:val="006305FB"/>
    <w:rsid w:val="00633350"/>
    <w:rsid w:val="006334F6"/>
    <w:rsid w:val="00633916"/>
    <w:rsid w:val="00633A6B"/>
    <w:rsid w:val="00633B0C"/>
    <w:rsid w:val="00633C89"/>
    <w:rsid w:val="00633D80"/>
    <w:rsid w:val="00634044"/>
    <w:rsid w:val="006342D4"/>
    <w:rsid w:val="0063452A"/>
    <w:rsid w:val="00635492"/>
    <w:rsid w:val="0063584B"/>
    <w:rsid w:val="006362D8"/>
    <w:rsid w:val="0063674B"/>
    <w:rsid w:val="00636BDB"/>
    <w:rsid w:val="00636F63"/>
    <w:rsid w:val="00637997"/>
    <w:rsid w:val="00637C39"/>
    <w:rsid w:val="00640161"/>
    <w:rsid w:val="00640510"/>
    <w:rsid w:val="006407FA"/>
    <w:rsid w:val="0064137F"/>
    <w:rsid w:val="00641D12"/>
    <w:rsid w:val="00641D4A"/>
    <w:rsid w:val="006423E9"/>
    <w:rsid w:val="00642431"/>
    <w:rsid w:val="006427FC"/>
    <w:rsid w:val="00643924"/>
    <w:rsid w:val="006444C0"/>
    <w:rsid w:val="00644D67"/>
    <w:rsid w:val="00644E79"/>
    <w:rsid w:val="0064520E"/>
    <w:rsid w:val="0064538B"/>
    <w:rsid w:val="00645A88"/>
    <w:rsid w:val="00645CFA"/>
    <w:rsid w:val="0064628A"/>
    <w:rsid w:val="006502DD"/>
    <w:rsid w:val="00650DE4"/>
    <w:rsid w:val="006514BB"/>
    <w:rsid w:val="00652769"/>
    <w:rsid w:val="006529FA"/>
    <w:rsid w:val="0065490B"/>
    <w:rsid w:val="00654C41"/>
    <w:rsid w:val="00654E13"/>
    <w:rsid w:val="006552E7"/>
    <w:rsid w:val="0065542F"/>
    <w:rsid w:val="006554FF"/>
    <w:rsid w:val="006555D3"/>
    <w:rsid w:val="00655BAE"/>
    <w:rsid w:val="00655C6F"/>
    <w:rsid w:val="00656578"/>
    <w:rsid w:val="006567EE"/>
    <w:rsid w:val="0065691B"/>
    <w:rsid w:val="00656EAE"/>
    <w:rsid w:val="00657041"/>
    <w:rsid w:val="00657209"/>
    <w:rsid w:val="00657E6B"/>
    <w:rsid w:val="00657EF0"/>
    <w:rsid w:val="00660679"/>
    <w:rsid w:val="00660E1E"/>
    <w:rsid w:val="00662026"/>
    <w:rsid w:val="006622DE"/>
    <w:rsid w:val="006626EA"/>
    <w:rsid w:val="00662B07"/>
    <w:rsid w:val="0066387E"/>
    <w:rsid w:val="00663885"/>
    <w:rsid w:val="00663AA8"/>
    <w:rsid w:val="00663C81"/>
    <w:rsid w:val="00663E26"/>
    <w:rsid w:val="006644B9"/>
    <w:rsid w:val="006647C3"/>
    <w:rsid w:val="00664822"/>
    <w:rsid w:val="00664EC6"/>
    <w:rsid w:val="00665816"/>
    <w:rsid w:val="006659C7"/>
    <w:rsid w:val="00665FC4"/>
    <w:rsid w:val="00666237"/>
    <w:rsid w:val="0066739C"/>
    <w:rsid w:val="00667B36"/>
    <w:rsid w:val="00667E70"/>
    <w:rsid w:val="00670235"/>
    <w:rsid w:val="00670752"/>
    <w:rsid w:val="0067093C"/>
    <w:rsid w:val="00670EA1"/>
    <w:rsid w:val="0067144D"/>
    <w:rsid w:val="00671887"/>
    <w:rsid w:val="00671B4F"/>
    <w:rsid w:val="00671B59"/>
    <w:rsid w:val="00672CA3"/>
    <w:rsid w:val="006736DC"/>
    <w:rsid w:val="006742ED"/>
    <w:rsid w:val="00674DD0"/>
    <w:rsid w:val="006751EF"/>
    <w:rsid w:val="0067711F"/>
    <w:rsid w:val="006772E4"/>
    <w:rsid w:val="00677C07"/>
    <w:rsid w:val="00677CC2"/>
    <w:rsid w:val="00680F65"/>
    <w:rsid w:val="006813BF"/>
    <w:rsid w:val="006814CA"/>
    <w:rsid w:val="00681573"/>
    <w:rsid w:val="00681DF7"/>
    <w:rsid w:val="00682D4B"/>
    <w:rsid w:val="00682D8E"/>
    <w:rsid w:val="006834D5"/>
    <w:rsid w:val="00683B68"/>
    <w:rsid w:val="00684008"/>
    <w:rsid w:val="006841F5"/>
    <w:rsid w:val="006842B7"/>
    <w:rsid w:val="00684DA4"/>
    <w:rsid w:val="00686430"/>
    <w:rsid w:val="00686B49"/>
    <w:rsid w:val="00686FE9"/>
    <w:rsid w:val="00687340"/>
    <w:rsid w:val="00687507"/>
    <w:rsid w:val="0068789D"/>
    <w:rsid w:val="00687AA8"/>
    <w:rsid w:val="00687D46"/>
    <w:rsid w:val="0069022A"/>
    <w:rsid w:val="00690364"/>
    <w:rsid w:val="006905DE"/>
    <w:rsid w:val="00691328"/>
    <w:rsid w:val="00691919"/>
    <w:rsid w:val="00691D96"/>
    <w:rsid w:val="0069207B"/>
    <w:rsid w:val="006936C1"/>
    <w:rsid w:val="006939C9"/>
    <w:rsid w:val="00693BF8"/>
    <w:rsid w:val="00693F29"/>
    <w:rsid w:val="0069456D"/>
    <w:rsid w:val="0069457C"/>
    <w:rsid w:val="00694616"/>
    <w:rsid w:val="00694733"/>
    <w:rsid w:val="0069498B"/>
    <w:rsid w:val="006955F3"/>
    <w:rsid w:val="00695815"/>
    <w:rsid w:val="0069630B"/>
    <w:rsid w:val="00697008"/>
    <w:rsid w:val="006973C4"/>
    <w:rsid w:val="0069760C"/>
    <w:rsid w:val="00697737"/>
    <w:rsid w:val="00697A96"/>
    <w:rsid w:val="006A00CB"/>
    <w:rsid w:val="006A03F8"/>
    <w:rsid w:val="006A08C8"/>
    <w:rsid w:val="006A0D39"/>
    <w:rsid w:val="006A0E05"/>
    <w:rsid w:val="006A11E7"/>
    <w:rsid w:val="006A1528"/>
    <w:rsid w:val="006A1892"/>
    <w:rsid w:val="006A1994"/>
    <w:rsid w:val="006A2482"/>
    <w:rsid w:val="006A2B55"/>
    <w:rsid w:val="006A2FAC"/>
    <w:rsid w:val="006A37DD"/>
    <w:rsid w:val="006A44E8"/>
    <w:rsid w:val="006A46C4"/>
    <w:rsid w:val="006A49CB"/>
    <w:rsid w:val="006A550D"/>
    <w:rsid w:val="006A570D"/>
    <w:rsid w:val="006A583F"/>
    <w:rsid w:val="006A5B16"/>
    <w:rsid w:val="006A5CB1"/>
    <w:rsid w:val="006A62DD"/>
    <w:rsid w:val="006A771C"/>
    <w:rsid w:val="006A7A48"/>
    <w:rsid w:val="006B074B"/>
    <w:rsid w:val="006B07CC"/>
    <w:rsid w:val="006B0A74"/>
    <w:rsid w:val="006B0E08"/>
    <w:rsid w:val="006B222E"/>
    <w:rsid w:val="006B42AB"/>
    <w:rsid w:val="006B5789"/>
    <w:rsid w:val="006B57A9"/>
    <w:rsid w:val="006B5847"/>
    <w:rsid w:val="006B58C2"/>
    <w:rsid w:val="006B76F9"/>
    <w:rsid w:val="006B77B7"/>
    <w:rsid w:val="006C09E7"/>
    <w:rsid w:val="006C09EC"/>
    <w:rsid w:val="006C25AD"/>
    <w:rsid w:val="006C2F15"/>
    <w:rsid w:val="006C30C5"/>
    <w:rsid w:val="006C31C5"/>
    <w:rsid w:val="006C37F1"/>
    <w:rsid w:val="006C39C3"/>
    <w:rsid w:val="006C3C4C"/>
    <w:rsid w:val="006C3DFD"/>
    <w:rsid w:val="006C3E65"/>
    <w:rsid w:val="006C4656"/>
    <w:rsid w:val="006C479E"/>
    <w:rsid w:val="006C48FA"/>
    <w:rsid w:val="006C4A3A"/>
    <w:rsid w:val="006C5231"/>
    <w:rsid w:val="006C530E"/>
    <w:rsid w:val="006C5C44"/>
    <w:rsid w:val="006C7F8C"/>
    <w:rsid w:val="006D0469"/>
    <w:rsid w:val="006D25BA"/>
    <w:rsid w:val="006D261A"/>
    <w:rsid w:val="006D26A3"/>
    <w:rsid w:val="006D2BA5"/>
    <w:rsid w:val="006D2BE1"/>
    <w:rsid w:val="006D31A4"/>
    <w:rsid w:val="006D32FA"/>
    <w:rsid w:val="006D332D"/>
    <w:rsid w:val="006D3477"/>
    <w:rsid w:val="006D354D"/>
    <w:rsid w:val="006D3650"/>
    <w:rsid w:val="006D3E46"/>
    <w:rsid w:val="006D47D4"/>
    <w:rsid w:val="006D5D8F"/>
    <w:rsid w:val="006D5EA7"/>
    <w:rsid w:val="006D6079"/>
    <w:rsid w:val="006D6274"/>
    <w:rsid w:val="006D663C"/>
    <w:rsid w:val="006D6928"/>
    <w:rsid w:val="006D6DA8"/>
    <w:rsid w:val="006D7FCD"/>
    <w:rsid w:val="006E0A4E"/>
    <w:rsid w:val="006E26F1"/>
    <w:rsid w:val="006E3D1D"/>
    <w:rsid w:val="006E46BF"/>
    <w:rsid w:val="006E4A64"/>
    <w:rsid w:val="006E4B0A"/>
    <w:rsid w:val="006E4F14"/>
    <w:rsid w:val="006E5320"/>
    <w:rsid w:val="006E53DA"/>
    <w:rsid w:val="006E5586"/>
    <w:rsid w:val="006E5CCC"/>
    <w:rsid w:val="006E61F1"/>
    <w:rsid w:val="006E6246"/>
    <w:rsid w:val="006E6C20"/>
    <w:rsid w:val="006E7232"/>
    <w:rsid w:val="006E758B"/>
    <w:rsid w:val="006E7595"/>
    <w:rsid w:val="006E7E19"/>
    <w:rsid w:val="006F08B2"/>
    <w:rsid w:val="006F11ED"/>
    <w:rsid w:val="006F1443"/>
    <w:rsid w:val="006F225E"/>
    <w:rsid w:val="006F265C"/>
    <w:rsid w:val="006F318F"/>
    <w:rsid w:val="006F319C"/>
    <w:rsid w:val="006F36B3"/>
    <w:rsid w:val="006F3985"/>
    <w:rsid w:val="006F3B93"/>
    <w:rsid w:val="006F3CA0"/>
    <w:rsid w:val="006F3D94"/>
    <w:rsid w:val="006F4226"/>
    <w:rsid w:val="006F44B0"/>
    <w:rsid w:val="006F47A7"/>
    <w:rsid w:val="006F4B44"/>
    <w:rsid w:val="006F5A99"/>
    <w:rsid w:val="006F5DF2"/>
    <w:rsid w:val="006F64FA"/>
    <w:rsid w:val="006F6AAE"/>
    <w:rsid w:val="006F7968"/>
    <w:rsid w:val="006F7BA7"/>
    <w:rsid w:val="006F7BBA"/>
    <w:rsid w:val="007000E2"/>
    <w:rsid w:val="0070017E"/>
    <w:rsid w:val="00700478"/>
    <w:rsid w:val="00700B2C"/>
    <w:rsid w:val="00700C7D"/>
    <w:rsid w:val="00701425"/>
    <w:rsid w:val="00701B0C"/>
    <w:rsid w:val="00701F8D"/>
    <w:rsid w:val="0070226B"/>
    <w:rsid w:val="00702271"/>
    <w:rsid w:val="007022AF"/>
    <w:rsid w:val="00702D8B"/>
    <w:rsid w:val="00702DFC"/>
    <w:rsid w:val="00702E21"/>
    <w:rsid w:val="00702EFD"/>
    <w:rsid w:val="00702FC1"/>
    <w:rsid w:val="00703545"/>
    <w:rsid w:val="007050A2"/>
    <w:rsid w:val="007054AE"/>
    <w:rsid w:val="00705ABB"/>
    <w:rsid w:val="00705F26"/>
    <w:rsid w:val="00706191"/>
    <w:rsid w:val="00706F62"/>
    <w:rsid w:val="0070744B"/>
    <w:rsid w:val="007106AE"/>
    <w:rsid w:val="00710730"/>
    <w:rsid w:val="0071092A"/>
    <w:rsid w:val="007110AA"/>
    <w:rsid w:val="007124F4"/>
    <w:rsid w:val="00712D43"/>
    <w:rsid w:val="00713084"/>
    <w:rsid w:val="007132F1"/>
    <w:rsid w:val="0071399B"/>
    <w:rsid w:val="00713BF3"/>
    <w:rsid w:val="00713F17"/>
    <w:rsid w:val="00714F20"/>
    <w:rsid w:val="0071590F"/>
    <w:rsid w:val="00715914"/>
    <w:rsid w:val="007206AC"/>
    <w:rsid w:val="00721623"/>
    <w:rsid w:val="007225BA"/>
    <w:rsid w:val="00723467"/>
    <w:rsid w:val="0072369E"/>
    <w:rsid w:val="007236BD"/>
    <w:rsid w:val="007241D3"/>
    <w:rsid w:val="00724A98"/>
    <w:rsid w:val="00725C53"/>
    <w:rsid w:val="00725CF4"/>
    <w:rsid w:val="00726DA1"/>
    <w:rsid w:val="00726E26"/>
    <w:rsid w:val="00727116"/>
    <w:rsid w:val="0072781A"/>
    <w:rsid w:val="00727DCD"/>
    <w:rsid w:val="00727FE9"/>
    <w:rsid w:val="007301DD"/>
    <w:rsid w:val="007304DA"/>
    <w:rsid w:val="00731DC2"/>
    <w:rsid w:val="00731E00"/>
    <w:rsid w:val="0073208D"/>
    <w:rsid w:val="007325B4"/>
    <w:rsid w:val="0073268A"/>
    <w:rsid w:val="0073340E"/>
    <w:rsid w:val="00733A7F"/>
    <w:rsid w:val="00733B8E"/>
    <w:rsid w:val="0073406F"/>
    <w:rsid w:val="007348CD"/>
    <w:rsid w:val="00734A53"/>
    <w:rsid w:val="0073550F"/>
    <w:rsid w:val="00735D9C"/>
    <w:rsid w:val="00735FBD"/>
    <w:rsid w:val="0073656E"/>
    <w:rsid w:val="00736827"/>
    <w:rsid w:val="00737236"/>
    <w:rsid w:val="0073736F"/>
    <w:rsid w:val="007400C9"/>
    <w:rsid w:val="007406DC"/>
    <w:rsid w:val="00740FC3"/>
    <w:rsid w:val="00741B33"/>
    <w:rsid w:val="00741EE8"/>
    <w:rsid w:val="00741FFF"/>
    <w:rsid w:val="00742151"/>
    <w:rsid w:val="007438CA"/>
    <w:rsid w:val="00743F88"/>
    <w:rsid w:val="007440B7"/>
    <w:rsid w:val="007444A7"/>
    <w:rsid w:val="00744FA1"/>
    <w:rsid w:val="007458C5"/>
    <w:rsid w:val="00745D2E"/>
    <w:rsid w:val="00746085"/>
    <w:rsid w:val="007472CB"/>
    <w:rsid w:val="007472D7"/>
    <w:rsid w:val="00747530"/>
    <w:rsid w:val="00747A21"/>
    <w:rsid w:val="007500C8"/>
    <w:rsid w:val="00751D15"/>
    <w:rsid w:val="00752AF1"/>
    <w:rsid w:val="00753307"/>
    <w:rsid w:val="00753896"/>
    <w:rsid w:val="00753B68"/>
    <w:rsid w:val="00753D3E"/>
    <w:rsid w:val="00753EF9"/>
    <w:rsid w:val="007542B1"/>
    <w:rsid w:val="00754419"/>
    <w:rsid w:val="007544D3"/>
    <w:rsid w:val="007551C4"/>
    <w:rsid w:val="00755D4C"/>
    <w:rsid w:val="00755FB3"/>
    <w:rsid w:val="00756272"/>
    <w:rsid w:val="00757308"/>
    <w:rsid w:val="00757BD9"/>
    <w:rsid w:val="00760B12"/>
    <w:rsid w:val="0076127B"/>
    <w:rsid w:val="00761D0A"/>
    <w:rsid w:val="0076212D"/>
    <w:rsid w:val="00762668"/>
    <w:rsid w:val="00762934"/>
    <w:rsid w:val="00762B51"/>
    <w:rsid w:val="00762F50"/>
    <w:rsid w:val="00763015"/>
    <w:rsid w:val="00764475"/>
    <w:rsid w:val="00764546"/>
    <w:rsid w:val="00764CDD"/>
    <w:rsid w:val="00764E78"/>
    <w:rsid w:val="00765001"/>
    <w:rsid w:val="0076626B"/>
    <w:rsid w:val="007662B5"/>
    <w:rsid w:val="0076681A"/>
    <w:rsid w:val="00766C07"/>
    <w:rsid w:val="00766C41"/>
    <w:rsid w:val="0076729E"/>
    <w:rsid w:val="00767A63"/>
    <w:rsid w:val="00767C43"/>
    <w:rsid w:val="00770787"/>
    <w:rsid w:val="007709ED"/>
    <w:rsid w:val="00770E09"/>
    <w:rsid w:val="007715C9"/>
    <w:rsid w:val="00771613"/>
    <w:rsid w:val="0077181B"/>
    <w:rsid w:val="00771B66"/>
    <w:rsid w:val="007727C1"/>
    <w:rsid w:val="00772C37"/>
    <w:rsid w:val="00773012"/>
    <w:rsid w:val="00773661"/>
    <w:rsid w:val="00773D9B"/>
    <w:rsid w:val="007744D0"/>
    <w:rsid w:val="00774D19"/>
    <w:rsid w:val="00774EDD"/>
    <w:rsid w:val="00774FFD"/>
    <w:rsid w:val="0077506D"/>
    <w:rsid w:val="0077577B"/>
    <w:rsid w:val="007757EC"/>
    <w:rsid w:val="00775C2B"/>
    <w:rsid w:val="00776954"/>
    <w:rsid w:val="00776B0F"/>
    <w:rsid w:val="00777536"/>
    <w:rsid w:val="0077753D"/>
    <w:rsid w:val="00780C4C"/>
    <w:rsid w:val="0078130E"/>
    <w:rsid w:val="00781CC5"/>
    <w:rsid w:val="00781E85"/>
    <w:rsid w:val="00781ED6"/>
    <w:rsid w:val="00782780"/>
    <w:rsid w:val="0078295D"/>
    <w:rsid w:val="00782C84"/>
    <w:rsid w:val="00783067"/>
    <w:rsid w:val="007839B8"/>
    <w:rsid w:val="00783E89"/>
    <w:rsid w:val="007841F3"/>
    <w:rsid w:val="007842CE"/>
    <w:rsid w:val="007850C9"/>
    <w:rsid w:val="0078541B"/>
    <w:rsid w:val="00785A9E"/>
    <w:rsid w:val="007869D1"/>
    <w:rsid w:val="00786CF3"/>
    <w:rsid w:val="007873E2"/>
    <w:rsid w:val="00787445"/>
    <w:rsid w:val="00787A99"/>
    <w:rsid w:val="007903C8"/>
    <w:rsid w:val="0079042F"/>
    <w:rsid w:val="007905E2"/>
    <w:rsid w:val="00790D91"/>
    <w:rsid w:val="0079104A"/>
    <w:rsid w:val="0079120D"/>
    <w:rsid w:val="00791D7F"/>
    <w:rsid w:val="00791DF1"/>
    <w:rsid w:val="00792B14"/>
    <w:rsid w:val="007936BA"/>
    <w:rsid w:val="00793915"/>
    <w:rsid w:val="00793FB9"/>
    <w:rsid w:val="00794DC4"/>
    <w:rsid w:val="00794E89"/>
    <w:rsid w:val="00794FF7"/>
    <w:rsid w:val="0079532C"/>
    <w:rsid w:val="0079564F"/>
    <w:rsid w:val="0079594E"/>
    <w:rsid w:val="00795955"/>
    <w:rsid w:val="00796408"/>
    <w:rsid w:val="00796707"/>
    <w:rsid w:val="00796D6A"/>
    <w:rsid w:val="00796DA4"/>
    <w:rsid w:val="00797435"/>
    <w:rsid w:val="0079752F"/>
    <w:rsid w:val="00797C8E"/>
    <w:rsid w:val="007A07CF"/>
    <w:rsid w:val="007A0B27"/>
    <w:rsid w:val="007A17CF"/>
    <w:rsid w:val="007A21A9"/>
    <w:rsid w:val="007A2889"/>
    <w:rsid w:val="007A32C8"/>
    <w:rsid w:val="007A3A3E"/>
    <w:rsid w:val="007A3F0C"/>
    <w:rsid w:val="007A48FD"/>
    <w:rsid w:val="007A4A9F"/>
    <w:rsid w:val="007A4C12"/>
    <w:rsid w:val="007A50E2"/>
    <w:rsid w:val="007A5FCE"/>
    <w:rsid w:val="007A6EDD"/>
    <w:rsid w:val="007A7C52"/>
    <w:rsid w:val="007B0879"/>
    <w:rsid w:val="007B0CA4"/>
    <w:rsid w:val="007B11D1"/>
    <w:rsid w:val="007B15C1"/>
    <w:rsid w:val="007B1D6F"/>
    <w:rsid w:val="007B228D"/>
    <w:rsid w:val="007B2E50"/>
    <w:rsid w:val="007B3471"/>
    <w:rsid w:val="007B37B5"/>
    <w:rsid w:val="007B38F7"/>
    <w:rsid w:val="007B4704"/>
    <w:rsid w:val="007B4C4F"/>
    <w:rsid w:val="007B6A6B"/>
    <w:rsid w:val="007C06F8"/>
    <w:rsid w:val="007C17CF"/>
    <w:rsid w:val="007C2253"/>
    <w:rsid w:val="007C39D6"/>
    <w:rsid w:val="007C469F"/>
    <w:rsid w:val="007C4AD0"/>
    <w:rsid w:val="007C4B8E"/>
    <w:rsid w:val="007C5DEF"/>
    <w:rsid w:val="007C7156"/>
    <w:rsid w:val="007C7971"/>
    <w:rsid w:val="007C7B1A"/>
    <w:rsid w:val="007D01C7"/>
    <w:rsid w:val="007D02B6"/>
    <w:rsid w:val="007D0B5F"/>
    <w:rsid w:val="007D1183"/>
    <w:rsid w:val="007D1215"/>
    <w:rsid w:val="007D1F69"/>
    <w:rsid w:val="007D2141"/>
    <w:rsid w:val="007D230B"/>
    <w:rsid w:val="007D24E1"/>
    <w:rsid w:val="007D32C6"/>
    <w:rsid w:val="007D39F7"/>
    <w:rsid w:val="007D4761"/>
    <w:rsid w:val="007D56B8"/>
    <w:rsid w:val="007D58E3"/>
    <w:rsid w:val="007D5E59"/>
    <w:rsid w:val="007D5F70"/>
    <w:rsid w:val="007D5FEA"/>
    <w:rsid w:val="007D6D9E"/>
    <w:rsid w:val="007D7C9B"/>
    <w:rsid w:val="007D7EBC"/>
    <w:rsid w:val="007E103A"/>
    <w:rsid w:val="007E12C3"/>
    <w:rsid w:val="007E15F3"/>
    <w:rsid w:val="007E163D"/>
    <w:rsid w:val="007E1F9C"/>
    <w:rsid w:val="007E5604"/>
    <w:rsid w:val="007E5823"/>
    <w:rsid w:val="007E5D00"/>
    <w:rsid w:val="007E5E57"/>
    <w:rsid w:val="007E667A"/>
    <w:rsid w:val="007E74C7"/>
    <w:rsid w:val="007E7B29"/>
    <w:rsid w:val="007E7BAD"/>
    <w:rsid w:val="007F078E"/>
    <w:rsid w:val="007F093B"/>
    <w:rsid w:val="007F0A7E"/>
    <w:rsid w:val="007F204A"/>
    <w:rsid w:val="007F2148"/>
    <w:rsid w:val="007F26E6"/>
    <w:rsid w:val="007F28C9"/>
    <w:rsid w:val="007F3023"/>
    <w:rsid w:val="007F3205"/>
    <w:rsid w:val="007F3765"/>
    <w:rsid w:val="007F3904"/>
    <w:rsid w:val="007F3CDE"/>
    <w:rsid w:val="007F530A"/>
    <w:rsid w:val="007F56C2"/>
    <w:rsid w:val="007F597F"/>
    <w:rsid w:val="007F6C81"/>
    <w:rsid w:val="007F7191"/>
    <w:rsid w:val="007F720C"/>
    <w:rsid w:val="007F78C0"/>
    <w:rsid w:val="007F7C58"/>
    <w:rsid w:val="00800121"/>
    <w:rsid w:val="00800C30"/>
    <w:rsid w:val="00801D36"/>
    <w:rsid w:val="0080312D"/>
    <w:rsid w:val="00803587"/>
    <w:rsid w:val="00803626"/>
    <w:rsid w:val="00804926"/>
    <w:rsid w:val="00805111"/>
    <w:rsid w:val="008055C0"/>
    <w:rsid w:val="00805848"/>
    <w:rsid w:val="008066DA"/>
    <w:rsid w:val="0080683F"/>
    <w:rsid w:val="008069B8"/>
    <w:rsid w:val="00806A2D"/>
    <w:rsid w:val="00806A48"/>
    <w:rsid w:val="00806B2E"/>
    <w:rsid w:val="00806E12"/>
    <w:rsid w:val="00806E99"/>
    <w:rsid w:val="00807EE0"/>
    <w:rsid w:val="00810429"/>
    <w:rsid w:val="00810569"/>
    <w:rsid w:val="00810ADC"/>
    <w:rsid w:val="00810E49"/>
    <w:rsid w:val="0081155B"/>
    <w:rsid w:val="008116BC"/>
    <w:rsid w:val="008117E9"/>
    <w:rsid w:val="00811A2D"/>
    <w:rsid w:val="00812779"/>
    <w:rsid w:val="00812ACC"/>
    <w:rsid w:val="00812B90"/>
    <w:rsid w:val="00812D0E"/>
    <w:rsid w:val="008140ED"/>
    <w:rsid w:val="0081492B"/>
    <w:rsid w:val="00814DBC"/>
    <w:rsid w:val="00815BC2"/>
    <w:rsid w:val="00815CD0"/>
    <w:rsid w:val="00815DB8"/>
    <w:rsid w:val="008161E2"/>
    <w:rsid w:val="008164A1"/>
    <w:rsid w:val="00816E6A"/>
    <w:rsid w:val="0081757D"/>
    <w:rsid w:val="008176CA"/>
    <w:rsid w:val="008203B0"/>
    <w:rsid w:val="00820EF5"/>
    <w:rsid w:val="00821277"/>
    <w:rsid w:val="00821C83"/>
    <w:rsid w:val="00821E02"/>
    <w:rsid w:val="00822CC7"/>
    <w:rsid w:val="00822F0D"/>
    <w:rsid w:val="0082326F"/>
    <w:rsid w:val="00824203"/>
    <w:rsid w:val="00824235"/>
    <w:rsid w:val="00824498"/>
    <w:rsid w:val="0082451A"/>
    <w:rsid w:val="008251FD"/>
    <w:rsid w:val="00825379"/>
    <w:rsid w:val="00826A02"/>
    <w:rsid w:val="00826C8F"/>
    <w:rsid w:val="00826CBC"/>
    <w:rsid w:val="008272BF"/>
    <w:rsid w:val="00827BE5"/>
    <w:rsid w:val="0083086F"/>
    <w:rsid w:val="00830F97"/>
    <w:rsid w:val="008313D1"/>
    <w:rsid w:val="00831667"/>
    <w:rsid w:val="0083333B"/>
    <w:rsid w:val="00833E3B"/>
    <w:rsid w:val="008346A0"/>
    <w:rsid w:val="00834EA4"/>
    <w:rsid w:val="0083515A"/>
    <w:rsid w:val="00835179"/>
    <w:rsid w:val="008356AC"/>
    <w:rsid w:val="00835810"/>
    <w:rsid w:val="00835A81"/>
    <w:rsid w:val="00835BF5"/>
    <w:rsid w:val="00835F12"/>
    <w:rsid w:val="00836FF7"/>
    <w:rsid w:val="00837C09"/>
    <w:rsid w:val="00840375"/>
    <w:rsid w:val="00840403"/>
    <w:rsid w:val="00840442"/>
    <w:rsid w:val="00840FBE"/>
    <w:rsid w:val="008422AE"/>
    <w:rsid w:val="008445BB"/>
    <w:rsid w:val="008446C6"/>
    <w:rsid w:val="0084506C"/>
    <w:rsid w:val="00845733"/>
    <w:rsid w:val="008458E9"/>
    <w:rsid w:val="008460D3"/>
    <w:rsid w:val="0084652D"/>
    <w:rsid w:val="0084692F"/>
    <w:rsid w:val="00846B72"/>
    <w:rsid w:val="00846CC7"/>
    <w:rsid w:val="00847060"/>
    <w:rsid w:val="00850517"/>
    <w:rsid w:val="00851088"/>
    <w:rsid w:val="00851FDF"/>
    <w:rsid w:val="00852475"/>
    <w:rsid w:val="0085248E"/>
    <w:rsid w:val="008527C0"/>
    <w:rsid w:val="008538BF"/>
    <w:rsid w:val="00854514"/>
    <w:rsid w:val="0085490F"/>
    <w:rsid w:val="00854ABE"/>
    <w:rsid w:val="00854AD7"/>
    <w:rsid w:val="00854FC4"/>
    <w:rsid w:val="0085514A"/>
    <w:rsid w:val="008555D3"/>
    <w:rsid w:val="00855F8A"/>
    <w:rsid w:val="00856030"/>
    <w:rsid w:val="008565FD"/>
    <w:rsid w:val="00856A31"/>
    <w:rsid w:val="00857276"/>
    <w:rsid w:val="0086055D"/>
    <w:rsid w:val="00860B58"/>
    <w:rsid w:val="00860C69"/>
    <w:rsid w:val="00860CF4"/>
    <w:rsid w:val="00860D87"/>
    <w:rsid w:val="00860E28"/>
    <w:rsid w:val="00860F8E"/>
    <w:rsid w:val="0086107A"/>
    <w:rsid w:val="008612A0"/>
    <w:rsid w:val="008614F2"/>
    <w:rsid w:val="0086152D"/>
    <w:rsid w:val="0086159A"/>
    <w:rsid w:val="008620A1"/>
    <w:rsid w:val="0086270B"/>
    <w:rsid w:val="008628A2"/>
    <w:rsid w:val="00862E66"/>
    <w:rsid w:val="008632B3"/>
    <w:rsid w:val="008634EE"/>
    <w:rsid w:val="00863505"/>
    <w:rsid w:val="00863657"/>
    <w:rsid w:val="00863FBE"/>
    <w:rsid w:val="00864808"/>
    <w:rsid w:val="00864DE6"/>
    <w:rsid w:val="00864E37"/>
    <w:rsid w:val="00865124"/>
    <w:rsid w:val="00865171"/>
    <w:rsid w:val="008652FC"/>
    <w:rsid w:val="00865E02"/>
    <w:rsid w:val="00866663"/>
    <w:rsid w:val="00866D27"/>
    <w:rsid w:val="00867708"/>
    <w:rsid w:val="008678EA"/>
    <w:rsid w:val="00867B37"/>
    <w:rsid w:val="00867D2E"/>
    <w:rsid w:val="00870555"/>
    <w:rsid w:val="00870AF0"/>
    <w:rsid w:val="00870BB3"/>
    <w:rsid w:val="00870BD6"/>
    <w:rsid w:val="00870DAF"/>
    <w:rsid w:val="00871175"/>
    <w:rsid w:val="00871628"/>
    <w:rsid w:val="008718DD"/>
    <w:rsid w:val="00871A61"/>
    <w:rsid w:val="00873061"/>
    <w:rsid w:val="00873484"/>
    <w:rsid w:val="00873DD2"/>
    <w:rsid w:val="00874200"/>
    <w:rsid w:val="008754D0"/>
    <w:rsid w:val="008760C1"/>
    <w:rsid w:val="008768FD"/>
    <w:rsid w:val="00876C22"/>
    <w:rsid w:val="008772D0"/>
    <w:rsid w:val="008775D2"/>
    <w:rsid w:val="00877BCD"/>
    <w:rsid w:val="008802D0"/>
    <w:rsid w:val="008806B5"/>
    <w:rsid w:val="00881B65"/>
    <w:rsid w:val="00881C86"/>
    <w:rsid w:val="00881F45"/>
    <w:rsid w:val="00882194"/>
    <w:rsid w:val="008821D2"/>
    <w:rsid w:val="008828C8"/>
    <w:rsid w:val="00882926"/>
    <w:rsid w:val="00882932"/>
    <w:rsid w:val="00883086"/>
    <w:rsid w:val="008833B8"/>
    <w:rsid w:val="00883EDA"/>
    <w:rsid w:val="00884B52"/>
    <w:rsid w:val="00884C77"/>
    <w:rsid w:val="00884F44"/>
    <w:rsid w:val="008855C9"/>
    <w:rsid w:val="00885C8C"/>
    <w:rsid w:val="00886456"/>
    <w:rsid w:val="00886A19"/>
    <w:rsid w:val="00887B1D"/>
    <w:rsid w:val="00887B7A"/>
    <w:rsid w:val="008906DB"/>
    <w:rsid w:val="008912DC"/>
    <w:rsid w:val="0089203F"/>
    <w:rsid w:val="008933F0"/>
    <w:rsid w:val="008937E2"/>
    <w:rsid w:val="008945E0"/>
    <w:rsid w:val="0089527F"/>
    <w:rsid w:val="00895413"/>
    <w:rsid w:val="008955AD"/>
    <w:rsid w:val="00895AD2"/>
    <w:rsid w:val="00897ADD"/>
    <w:rsid w:val="00897E95"/>
    <w:rsid w:val="00897F85"/>
    <w:rsid w:val="008A1397"/>
    <w:rsid w:val="008A1B96"/>
    <w:rsid w:val="008A1E30"/>
    <w:rsid w:val="008A206D"/>
    <w:rsid w:val="008A266F"/>
    <w:rsid w:val="008A3250"/>
    <w:rsid w:val="008A3432"/>
    <w:rsid w:val="008A362B"/>
    <w:rsid w:val="008A3921"/>
    <w:rsid w:val="008A3AD0"/>
    <w:rsid w:val="008A3D64"/>
    <w:rsid w:val="008A46E1"/>
    <w:rsid w:val="008A4717"/>
    <w:rsid w:val="008A4951"/>
    <w:rsid w:val="008A4F43"/>
    <w:rsid w:val="008A519F"/>
    <w:rsid w:val="008A5F5C"/>
    <w:rsid w:val="008A614D"/>
    <w:rsid w:val="008A6C36"/>
    <w:rsid w:val="008A7086"/>
    <w:rsid w:val="008A7219"/>
    <w:rsid w:val="008A78C6"/>
    <w:rsid w:val="008A7BC1"/>
    <w:rsid w:val="008B0982"/>
    <w:rsid w:val="008B0D28"/>
    <w:rsid w:val="008B0D5D"/>
    <w:rsid w:val="008B157F"/>
    <w:rsid w:val="008B175C"/>
    <w:rsid w:val="008B2706"/>
    <w:rsid w:val="008B2833"/>
    <w:rsid w:val="008B2F1F"/>
    <w:rsid w:val="008B3132"/>
    <w:rsid w:val="008B315E"/>
    <w:rsid w:val="008B37BB"/>
    <w:rsid w:val="008B3A1B"/>
    <w:rsid w:val="008B3ACB"/>
    <w:rsid w:val="008B3E17"/>
    <w:rsid w:val="008B3FBA"/>
    <w:rsid w:val="008B436E"/>
    <w:rsid w:val="008B44C7"/>
    <w:rsid w:val="008B4519"/>
    <w:rsid w:val="008B4944"/>
    <w:rsid w:val="008B4DF0"/>
    <w:rsid w:val="008B51A5"/>
    <w:rsid w:val="008B5325"/>
    <w:rsid w:val="008B5601"/>
    <w:rsid w:val="008B5849"/>
    <w:rsid w:val="008B59E5"/>
    <w:rsid w:val="008B7A3A"/>
    <w:rsid w:val="008C0964"/>
    <w:rsid w:val="008C0F29"/>
    <w:rsid w:val="008C1FB1"/>
    <w:rsid w:val="008C26C2"/>
    <w:rsid w:val="008C308D"/>
    <w:rsid w:val="008C3137"/>
    <w:rsid w:val="008C3AE8"/>
    <w:rsid w:val="008C3EF0"/>
    <w:rsid w:val="008C431A"/>
    <w:rsid w:val="008C472D"/>
    <w:rsid w:val="008C47D2"/>
    <w:rsid w:val="008C4DF5"/>
    <w:rsid w:val="008C58C1"/>
    <w:rsid w:val="008C5A17"/>
    <w:rsid w:val="008C659B"/>
    <w:rsid w:val="008C6772"/>
    <w:rsid w:val="008C773B"/>
    <w:rsid w:val="008C7FBB"/>
    <w:rsid w:val="008D0527"/>
    <w:rsid w:val="008D091B"/>
    <w:rsid w:val="008D0B74"/>
    <w:rsid w:val="008D0EE0"/>
    <w:rsid w:val="008D14B1"/>
    <w:rsid w:val="008D1822"/>
    <w:rsid w:val="008D1913"/>
    <w:rsid w:val="008D1AC0"/>
    <w:rsid w:val="008D206C"/>
    <w:rsid w:val="008D2348"/>
    <w:rsid w:val="008D283F"/>
    <w:rsid w:val="008D293A"/>
    <w:rsid w:val="008D2C15"/>
    <w:rsid w:val="008D2F34"/>
    <w:rsid w:val="008D30F3"/>
    <w:rsid w:val="008D3422"/>
    <w:rsid w:val="008D38F4"/>
    <w:rsid w:val="008D3E9A"/>
    <w:rsid w:val="008D4DB5"/>
    <w:rsid w:val="008D52E2"/>
    <w:rsid w:val="008D64FA"/>
    <w:rsid w:val="008D65D7"/>
    <w:rsid w:val="008D6D36"/>
    <w:rsid w:val="008D70A5"/>
    <w:rsid w:val="008D785B"/>
    <w:rsid w:val="008E0953"/>
    <w:rsid w:val="008E1300"/>
    <w:rsid w:val="008E14D0"/>
    <w:rsid w:val="008E1733"/>
    <w:rsid w:val="008E1DF5"/>
    <w:rsid w:val="008E306A"/>
    <w:rsid w:val="008E3622"/>
    <w:rsid w:val="008E3D5F"/>
    <w:rsid w:val="008E4D76"/>
    <w:rsid w:val="008E50F9"/>
    <w:rsid w:val="008E5118"/>
    <w:rsid w:val="008E54B3"/>
    <w:rsid w:val="008E55DC"/>
    <w:rsid w:val="008E5876"/>
    <w:rsid w:val="008E6067"/>
    <w:rsid w:val="008E613F"/>
    <w:rsid w:val="008E67D4"/>
    <w:rsid w:val="008E694A"/>
    <w:rsid w:val="008E7279"/>
    <w:rsid w:val="008E74CA"/>
    <w:rsid w:val="008E7DE1"/>
    <w:rsid w:val="008E7E89"/>
    <w:rsid w:val="008F04D2"/>
    <w:rsid w:val="008F191C"/>
    <w:rsid w:val="008F1AA8"/>
    <w:rsid w:val="008F1F6F"/>
    <w:rsid w:val="008F28ED"/>
    <w:rsid w:val="008F2CF8"/>
    <w:rsid w:val="008F383C"/>
    <w:rsid w:val="008F530C"/>
    <w:rsid w:val="008F54E7"/>
    <w:rsid w:val="008F5613"/>
    <w:rsid w:val="008F5BFA"/>
    <w:rsid w:val="008F5FA7"/>
    <w:rsid w:val="008F6294"/>
    <w:rsid w:val="008F63E8"/>
    <w:rsid w:val="008F6643"/>
    <w:rsid w:val="008F6892"/>
    <w:rsid w:val="008F69BA"/>
    <w:rsid w:val="008F6DE6"/>
    <w:rsid w:val="008F7049"/>
    <w:rsid w:val="008F7382"/>
    <w:rsid w:val="008F7C1B"/>
    <w:rsid w:val="008F7E99"/>
    <w:rsid w:val="008F7E9B"/>
    <w:rsid w:val="008F7FEA"/>
    <w:rsid w:val="00900AAD"/>
    <w:rsid w:val="00900ADD"/>
    <w:rsid w:val="00900CF8"/>
    <w:rsid w:val="0090139C"/>
    <w:rsid w:val="00901680"/>
    <w:rsid w:val="009016BE"/>
    <w:rsid w:val="009016CC"/>
    <w:rsid w:val="00901D0E"/>
    <w:rsid w:val="009027DE"/>
    <w:rsid w:val="00903216"/>
    <w:rsid w:val="0090340E"/>
    <w:rsid w:val="00903422"/>
    <w:rsid w:val="00905651"/>
    <w:rsid w:val="009068E4"/>
    <w:rsid w:val="00906D1D"/>
    <w:rsid w:val="00907145"/>
    <w:rsid w:val="00907486"/>
    <w:rsid w:val="00907C74"/>
    <w:rsid w:val="0091037E"/>
    <w:rsid w:val="009105B4"/>
    <w:rsid w:val="0091075C"/>
    <w:rsid w:val="00911311"/>
    <w:rsid w:val="00911AFE"/>
    <w:rsid w:val="00911E78"/>
    <w:rsid w:val="00912041"/>
    <w:rsid w:val="00912A58"/>
    <w:rsid w:val="00912AB0"/>
    <w:rsid w:val="00913473"/>
    <w:rsid w:val="00913761"/>
    <w:rsid w:val="009144C7"/>
    <w:rsid w:val="00914F03"/>
    <w:rsid w:val="00914FEF"/>
    <w:rsid w:val="00915169"/>
    <w:rsid w:val="009151C0"/>
    <w:rsid w:val="009157B9"/>
    <w:rsid w:val="009157D4"/>
    <w:rsid w:val="00915853"/>
    <w:rsid w:val="009159ED"/>
    <w:rsid w:val="00915B10"/>
    <w:rsid w:val="00915DF9"/>
    <w:rsid w:val="0091621F"/>
    <w:rsid w:val="00916225"/>
    <w:rsid w:val="00917472"/>
    <w:rsid w:val="00917B30"/>
    <w:rsid w:val="00920074"/>
    <w:rsid w:val="0092051F"/>
    <w:rsid w:val="00920B95"/>
    <w:rsid w:val="00921002"/>
    <w:rsid w:val="009219B3"/>
    <w:rsid w:val="00921B48"/>
    <w:rsid w:val="009224C3"/>
    <w:rsid w:val="0092282C"/>
    <w:rsid w:val="009237A6"/>
    <w:rsid w:val="009239D7"/>
    <w:rsid w:val="00924FD6"/>
    <w:rsid w:val="009254C3"/>
    <w:rsid w:val="009255E2"/>
    <w:rsid w:val="00926940"/>
    <w:rsid w:val="00927295"/>
    <w:rsid w:val="00927E1A"/>
    <w:rsid w:val="00927FD7"/>
    <w:rsid w:val="009309A6"/>
    <w:rsid w:val="00930A0A"/>
    <w:rsid w:val="00930C76"/>
    <w:rsid w:val="009310EB"/>
    <w:rsid w:val="0093129A"/>
    <w:rsid w:val="009319B9"/>
    <w:rsid w:val="00932377"/>
    <w:rsid w:val="00932842"/>
    <w:rsid w:val="0093473A"/>
    <w:rsid w:val="00934834"/>
    <w:rsid w:val="00934AFB"/>
    <w:rsid w:val="00934FCD"/>
    <w:rsid w:val="009370E2"/>
    <w:rsid w:val="0093733A"/>
    <w:rsid w:val="00940582"/>
    <w:rsid w:val="00940C11"/>
    <w:rsid w:val="00941158"/>
    <w:rsid w:val="009411E0"/>
    <w:rsid w:val="00941381"/>
    <w:rsid w:val="00941974"/>
    <w:rsid w:val="00942A6F"/>
    <w:rsid w:val="00942C23"/>
    <w:rsid w:val="009431B6"/>
    <w:rsid w:val="0094429F"/>
    <w:rsid w:val="0094518E"/>
    <w:rsid w:val="009460DC"/>
    <w:rsid w:val="00946759"/>
    <w:rsid w:val="00946E52"/>
    <w:rsid w:val="00946F81"/>
    <w:rsid w:val="00947D5A"/>
    <w:rsid w:val="00947EBA"/>
    <w:rsid w:val="00950DF1"/>
    <w:rsid w:val="009511CF"/>
    <w:rsid w:val="00951D4F"/>
    <w:rsid w:val="009526C7"/>
    <w:rsid w:val="009532A5"/>
    <w:rsid w:val="00953B73"/>
    <w:rsid w:val="00954417"/>
    <w:rsid w:val="009548CA"/>
    <w:rsid w:val="009549F2"/>
    <w:rsid w:val="00955175"/>
    <w:rsid w:val="00955192"/>
    <w:rsid w:val="00955216"/>
    <w:rsid w:val="0095528E"/>
    <w:rsid w:val="00956355"/>
    <w:rsid w:val="00960382"/>
    <w:rsid w:val="0096078C"/>
    <w:rsid w:val="009610C0"/>
    <w:rsid w:val="009619EE"/>
    <w:rsid w:val="00961AE2"/>
    <w:rsid w:val="00961B91"/>
    <w:rsid w:val="00961CB9"/>
    <w:rsid w:val="009628A1"/>
    <w:rsid w:val="00963002"/>
    <w:rsid w:val="00963753"/>
    <w:rsid w:val="00963991"/>
    <w:rsid w:val="00963E85"/>
    <w:rsid w:val="0096518B"/>
    <w:rsid w:val="0096536C"/>
    <w:rsid w:val="0096598A"/>
    <w:rsid w:val="00966042"/>
    <w:rsid w:val="00966274"/>
    <w:rsid w:val="00966FB4"/>
    <w:rsid w:val="0096753E"/>
    <w:rsid w:val="00967F9E"/>
    <w:rsid w:val="00970A95"/>
    <w:rsid w:val="00971243"/>
    <w:rsid w:val="009718E9"/>
    <w:rsid w:val="00971E61"/>
    <w:rsid w:val="00972FBB"/>
    <w:rsid w:val="009731B8"/>
    <w:rsid w:val="009733B5"/>
    <w:rsid w:val="00973984"/>
    <w:rsid w:val="009743FE"/>
    <w:rsid w:val="009760A4"/>
    <w:rsid w:val="0097633D"/>
    <w:rsid w:val="0097685A"/>
    <w:rsid w:val="0097720A"/>
    <w:rsid w:val="009773C6"/>
    <w:rsid w:val="00977820"/>
    <w:rsid w:val="00977CCF"/>
    <w:rsid w:val="0098018E"/>
    <w:rsid w:val="00980E02"/>
    <w:rsid w:val="00981153"/>
    <w:rsid w:val="009812B8"/>
    <w:rsid w:val="009815C1"/>
    <w:rsid w:val="009819B6"/>
    <w:rsid w:val="009821F9"/>
    <w:rsid w:val="00982242"/>
    <w:rsid w:val="0098239D"/>
    <w:rsid w:val="009823E9"/>
    <w:rsid w:val="009825F4"/>
    <w:rsid w:val="00982AD8"/>
    <w:rsid w:val="00982CC7"/>
    <w:rsid w:val="0098301A"/>
    <w:rsid w:val="009834A7"/>
    <w:rsid w:val="00983FA7"/>
    <w:rsid w:val="00984011"/>
    <w:rsid w:val="00984538"/>
    <w:rsid w:val="00984790"/>
    <w:rsid w:val="00984C69"/>
    <w:rsid w:val="00985368"/>
    <w:rsid w:val="009858EB"/>
    <w:rsid w:val="009866D5"/>
    <w:rsid w:val="0098670A"/>
    <w:rsid w:val="009868E9"/>
    <w:rsid w:val="00986BCE"/>
    <w:rsid w:val="00987203"/>
    <w:rsid w:val="00987254"/>
    <w:rsid w:val="00987E5D"/>
    <w:rsid w:val="00987E9C"/>
    <w:rsid w:val="009900C3"/>
    <w:rsid w:val="0099011B"/>
    <w:rsid w:val="009902A2"/>
    <w:rsid w:val="0099090D"/>
    <w:rsid w:val="00990AB9"/>
    <w:rsid w:val="00990DDD"/>
    <w:rsid w:val="009912FB"/>
    <w:rsid w:val="009913AB"/>
    <w:rsid w:val="009919B5"/>
    <w:rsid w:val="00991AC6"/>
    <w:rsid w:val="009923AC"/>
    <w:rsid w:val="009928A5"/>
    <w:rsid w:val="009928FF"/>
    <w:rsid w:val="00992CF3"/>
    <w:rsid w:val="009937BD"/>
    <w:rsid w:val="00993D8A"/>
    <w:rsid w:val="009944B7"/>
    <w:rsid w:val="009944E6"/>
    <w:rsid w:val="009950CD"/>
    <w:rsid w:val="00995332"/>
    <w:rsid w:val="00995ADF"/>
    <w:rsid w:val="00996424"/>
    <w:rsid w:val="00996603"/>
    <w:rsid w:val="00996AE5"/>
    <w:rsid w:val="00996DBF"/>
    <w:rsid w:val="0099795C"/>
    <w:rsid w:val="00997B5A"/>
    <w:rsid w:val="009A07CE"/>
    <w:rsid w:val="009A0C6D"/>
    <w:rsid w:val="009A1241"/>
    <w:rsid w:val="009A1350"/>
    <w:rsid w:val="009A1D02"/>
    <w:rsid w:val="009A1E51"/>
    <w:rsid w:val="009A1F3E"/>
    <w:rsid w:val="009A2319"/>
    <w:rsid w:val="009A24B9"/>
    <w:rsid w:val="009A3A6F"/>
    <w:rsid w:val="009A3F74"/>
    <w:rsid w:val="009A448E"/>
    <w:rsid w:val="009A49C9"/>
    <w:rsid w:val="009A53AC"/>
    <w:rsid w:val="009A61EF"/>
    <w:rsid w:val="009A63E9"/>
    <w:rsid w:val="009A68F3"/>
    <w:rsid w:val="009A6B58"/>
    <w:rsid w:val="009A6C22"/>
    <w:rsid w:val="009A6CAC"/>
    <w:rsid w:val="009A7185"/>
    <w:rsid w:val="009A722D"/>
    <w:rsid w:val="009B004A"/>
    <w:rsid w:val="009B0345"/>
    <w:rsid w:val="009B0A5D"/>
    <w:rsid w:val="009B0A8A"/>
    <w:rsid w:val="009B0CE6"/>
    <w:rsid w:val="009B114B"/>
    <w:rsid w:val="009B17B6"/>
    <w:rsid w:val="009B193E"/>
    <w:rsid w:val="009B1A79"/>
    <w:rsid w:val="009B2105"/>
    <w:rsid w:val="009B2877"/>
    <w:rsid w:val="009B2D39"/>
    <w:rsid w:val="009B36D3"/>
    <w:rsid w:val="009B3DEE"/>
    <w:rsid w:val="009B40F6"/>
    <w:rsid w:val="009B443C"/>
    <w:rsid w:val="009B48C1"/>
    <w:rsid w:val="009B4CC5"/>
    <w:rsid w:val="009B4F3B"/>
    <w:rsid w:val="009B57B7"/>
    <w:rsid w:val="009B5ACF"/>
    <w:rsid w:val="009B5EC7"/>
    <w:rsid w:val="009B632D"/>
    <w:rsid w:val="009B6879"/>
    <w:rsid w:val="009B6DDC"/>
    <w:rsid w:val="009B70B1"/>
    <w:rsid w:val="009B71E4"/>
    <w:rsid w:val="009B734F"/>
    <w:rsid w:val="009B735F"/>
    <w:rsid w:val="009C0269"/>
    <w:rsid w:val="009C0D1E"/>
    <w:rsid w:val="009C15A0"/>
    <w:rsid w:val="009C17A7"/>
    <w:rsid w:val="009C1A78"/>
    <w:rsid w:val="009C1FD9"/>
    <w:rsid w:val="009C23CF"/>
    <w:rsid w:val="009C2791"/>
    <w:rsid w:val="009C2DAD"/>
    <w:rsid w:val="009C3C6E"/>
    <w:rsid w:val="009C462C"/>
    <w:rsid w:val="009C47E0"/>
    <w:rsid w:val="009C61F1"/>
    <w:rsid w:val="009C65E6"/>
    <w:rsid w:val="009C6791"/>
    <w:rsid w:val="009C755C"/>
    <w:rsid w:val="009C7B89"/>
    <w:rsid w:val="009C7ECF"/>
    <w:rsid w:val="009D00E3"/>
    <w:rsid w:val="009D06DB"/>
    <w:rsid w:val="009D0AC4"/>
    <w:rsid w:val="009D0D36"/>
    <w:rsid w:val="009D0E8C"/>
    <w:rsid w:val="009D149C"/>
    <w:rsid w:val="009D1818"/>
    <w:rsid w:val="009D1824"/>
    <w:rsid w:val="009D195A"/>
    <w:rsid w:val="009D1CA5"/>
    <w:rsid w:val="009D22C9"/>
    <w:rsid w:val="009D2E93"/>
    <w:rsid w:val="009D4CA5"/>
    <w:rsid w:val="009D5226"/>
    <w:rsid w:val="009D68FF"/>
    <w:rsid w:val="009D698C"/>
    <w:rsid w:val="009D69EF"/>
    <w:rsid w:val="009D6B8D"/>
    <w:rsid w:val="009D6FAE"/>
    <w:rsid w:val="009D73B0"/>
    <w:rsid w:val="009D7993"/>
    <w:rsid w:val="009D7F62"/>
    <w:rsid w:val="009D7FBC"/>
    <w:rsid w:val="009E0177"/>
    <w:rsid w:val="009E0FC1"/>
    <w:rsid w:val="009E1870"/>
    <w:rsid w:val="009E2252"/>
    <w:rsid w:val="009E23DE"/>
    <w:rsid w:val="009E3194"/>
    <w:rsid w:val="009E3595"/>
    <w:rsid w:val="009E372B"/>
    <w:rsid w:val="009E3835"/>
    <w:rsid w:val="009E3EC3"/>
    <w:rsid w:val="009E42B6"/>
    <w:rsid w:val="009E4404"/>
    <w:rsid w:val="009E52C5"/>
    <w:rsid w:val="009E535B"/>
    <w:rsid w:val="009E5620"/>
    <w:rsid w:val="009E5CFC"/>
    <w:rsid w:val="009E66D5"/>
    <w:rsid w:val="009E6795"/>
    <w:rsid w:val="009E6830"/>
    <w:rsid w:val="009E697B"/>
    <w:rsid w:val="009E6B1B"/>
    <w:rsid w:val="009E6F25"/>
    <w:rsid w:val="009E75A7"/>
    <w:rsid w:val="009E7925"/>
    <w:rsid w:val="009F04F4"/>
    <w:rsid w:val="009F0927"/>
    <w:rsid w:val="009F0D31"/>
    <w:rsid w:val="009F0E60"/>
    <w:rsid w:val="009F100E"/>
    <w:rsid w:val="009F1A1E"/>
    <w:rsid w:val="009F25A5"/>
    <w:rsid w:val="009F26B1"/>
    <w:rsid w:val="009F286B"/>
    <w:rsid w:val="009F2BCD"/>
    <w:rsid w:val="009F2C5F"/>
    <w:rsid w:val="009F3128"/>
    <w:rsid w:val="009F4FD4"/>
    <w:rsid w:val="009F5050"/>
    <w:rsid w:val="009F55B6"/>
    <w:rsid w:val="009F5EE2"/>
    <w:rsid w:val="009F68FB"/>
    <w:rsid w:val="009F6F5C"/>
    <w:rsid w:val="009F716B"/>
    <w:rsid w:val="00A003A5"/>
    <w:rsid w:val="00A009D8"/>
    <w:rsid w:val="00A00B0B"/>
    <w:rsid w:val="00A00D67"/>
    <w:rsid w:val="00A01113"/>
    <w:rsid w:val="00A011E7"/>
    <w:rsid w:val="00A019BC"/>
    <w:rsid w:val="00A01EA4"/>
    <w:rsid w:val="00A0285A"/>
    <w:rsid w:val="00A03319"/>
    <w:rsid w:val="00A03503"/>
    <w:rsid w:val="00A03849"/>
    <w:rsid w:val="00A03AF1"/>
    <w:rsid w:val="00A042E7"/>
    <w:rsid w:val="00A04C63"/>
    <w:rsid w:val="00A04F55"/>
    <w:rsid w:val="00A05502"/>
    <w:rsid w:val="00A0553A"/>
    <w:rsid w:val="00A05627"/>
    <w:rsid w:val="00A06363"/>
    <w:rsid w:val="00A079CB"/>
    <w:rsid w:val="00A10206"/>
    <w:rsid w:val="00A1030E"/>
    <w:rsid w:val="00A107E6"/>
    <w:rsid w:val="00A10D77"/>
    <w:rsid w:val="00A115B7"/>
    <w:rsid w:val="00A11B9A"/>
    <w:rsid w:val="00A11DDA"/>
    <w:rsid w:val="00A11FDD"/>
    <w:rsid w:val="00A12128"/>
    <w:rsid w:val="00A12F48"/>
    <w:rsid w:val="00A13229"/>
    <w:rsid w:val="00A13916"/>
    <w:rsid w:val="00A13E2B"/>
    <w:rsid w:val="00A146CB"/>
    <w:rsid w:val="00A14AF9"/>
    <w:rsid w:val="00A14B4A"/>
    <w:rsid w:val="00A14BF8"/>
    <w:rsid w:val="00A14F6A"/>
    <w:rsid w:val="00A15512"/>
    <w:rsid w:val="00A15D4C"/>
    <w:rsid w:val="00A16C46"/>
    <w:rsid w:val="00A16C95"/>
    <w:rsid w:val="00A17E7E"/>
    <w:rsid w:val="00A2031C"/>
    <w:rsid w:val="00A21261"/>
    <w:rsid w:val="00A2171B"/>
    <w:rsid w:val="00A22C98"/>
    <w:rsid w:val="00A231E2"/>
    <w:rsid w:val="00A23961"/>
    <w:rsid w:val="00A2399B"/>
    <w:rsid w:val="00A23AD5"/>
    <w:rsid w:val="00A23B5D"/>
    <w:rsid w:val="00A23E39"/>
    <w:rsid w:val="00A23F0F"/>
    <w:rsid w:val="00A24EDC"/>
    <w:rsid w:val="00A25175"/>
    <w:rsid w:val="00A2546E"/>
    <w:rsid w:val="00A264AD"/>
    <w:rsid w:val="00A266A6"/>
    <w:rsid w:val="00A274AD"/>
    <w:rsid w:val="00A27C65"/>
    <w:rsid w:val="00A27CC5"/>
    <w:rsid w:val="00A30121"/>
    <w:rsid w:val="00A30F4E"/>
    <w:rsid w:val="00A31995"/>
    <w:rsid w:val="00A31D75"/>
    <w:rsid w:val="00A31E13"/>
    <w:rsid w:val="00A31FF3"/>
    <w:rsid w:val="00A32108"/>
    <w:rsid w:val="00A32A85"/>
    <w:rsid w:val="00A32DDE"/>
    <w:rsid w:val="00A32F12"/>
    <w:rsid w:val="00A338F3"/>
    <w:rsid w:val="00A33BB0"/>
    <w:rsid w:val="00A33D55"/>
    <w:rsid w:val="00A34375"/>
    <w:rsid w:val="00A343CA"/>
    <w:rsid w:val="00A34412"/>
    <w:rsid w:val="00A34E3D"/>
    <w:rsid w:val="00A35035"/>
    <w:rsid w:val="00A35708"/>
    <w:rsid w:val="00A35E7D"/>
    <w:rsid w:val="00A361A3"/>
    <w:rsid w:val="00A3755D"/>
    <w:rsid w:val="00A37A27"/>
    <w:rsid w:val="00A37ED4"/>
    <w:rsid w:val="00A40107"/>
    <w:rsid w:val="00A40424"/>
    <w:rsid w:val="00A41008"/>
    <w:rsid w:val="00A41E4E"/>
    <w:rsid w:val="00A42B48"/>
    <w:rsid w:val="00A42F05"/>
    <w:rsid w:val="00A43B74"/>
    <w:rsid w:val="00A449A0"/>
    <w:rsid w:val="00A44C99"/>
    <w:rsid w:val="00A44F2D"/>
    <w:rsid w:val="00A4526F"/>
    <w:rsid w:val="00A45DA6"/>
    <w:rsid w:val="00A46D28"/>
    <w:rsid w:val="00A46DBA"/>
    <w:rsid w:val="00A47774"/>
    <w:rsid w:val="00A47BE4"/>
    <w:rsid w:val="00A50325"/>
    <w:rsid w:val="00A5038A"/>
    <w:rsid w:val="00A50BCF"/>
    <w:rsid w:val="00A51412"/>
    <w:rsid w:val="00A52188"/>
    <w:rsid w:val="00A5242E"/>
    <w:rsid w:val="00A5244D"/>
    <w:rsid w:val="00A528E5"/>
    <w:rsid w:val="00A52A7E"/>
    <w:rsid w:val="00A52B0F"/>
    <w:rsid w:val="00A52BCB"/>
    <w:rsid w:val="00A535B4"/>
    <w:rsid w:val="00A53748"/>
    <w:rsid w:val="00A53D1C"/>
    <w:rsid w:val="00A53F1A"/>
    <w:rsid w:val="00A553FD"/>
    <w:rsid w:val="00A559B3"/>
    <w:rsid w:val="00A5632E"/>
    <w:rsid w:val="00A565D2"/>
    <w:rsid w:val="00A57355"/>
    <w:rsid w:val="00A57599"/>
    <w:rsid w:val="00A60115"/>
    <w:rsid w:val="00A60163"/>
    <w:rsid w:val="00A60A92"/>
    <w:rsid w:val="00A61C2D"/>
    <w:rsid w:val="00A637EE"/>
    <w:rsid w:val="00A6382C"/>
    <w:rsid w:val="00A638B3"/>
    <w:rsid w:val="00A63904"/>
    <w:rsid w:val="00A63FBB"/>
    <w:rsid w:val="00A6452B"/>
    <w:rsid w:val="00A645B9"/>
    <w:rsid w:val="00A64912"/>
    <w:rsid w:val="00A65565"/>
    <w:rsid w:val="00A65C70"/>
    <w:rsid w:val="00A65DD3"/>
    <w:rsid w:val="00A66213"/>
    <w:rsid w:val="00A66C8B"/>
    <w:rsid w:val="00A66DC7"/>
    <w:rsid w:val="00A66F40"/>
    <w:rsid w:val="00A670B9"/>
    <w:rsid w:val="00A70A74"/>
    <w:rsid w:val="00A717A6"/>
    <w:rsid w:val="00A718A4"/>
    <w:rsid w:val="00A71BDC"/>
    <w:rsid w:val="00A71C66"/>
    <w:rsid w:val="00A71FF8"/>
    <w:rsid w:val="00A72FC7"/>
    <w:rsid w:val="00A7312B"/>
    <w:rsid w:val="00A739F2"/>
    <w:rsid w:val="00A745BE"/>
    <w:rsid w:val="00A748B7"/>
    <w:rsid w:val="00A74B11"/>
    <w:rsid w:val="00A7579E"/>
    <w:rsid w:val="00A75B69"/>
    <w:rsid w:val="00A76361"/>
    <w:rsid w:val="00A76D3F"/>
    <w:rsid w:val="00A7719C"/>
    <w:rsid w:val="00A77942"/>
    <w:rsid w:val="00A80137"/>
    <w:rsid w:val="00A81AF5"/>
    <w:rsid w:val="00A81F42"/>
    <w:rsid w:val="00A82B65"/>
    <w:rsid w:val="00A838A8"/>
    <w:rsid w:val="00A83DF7"/>
    <w:rsid w:val="00A860E4"/>
    <w:rsid w:val="00A864E2"/>
    <w:rsid w:val="00A864E9"/>
    <w:rsid w:val="00A8697F"/>
    <w:rsid w:val="00A871DD"/>
    <w:rsid w:val="00A872FC"/>
    <w:rsid w:val="00A8793F"/>
    <w:rsid w:val="00A87B53"/>
    <w:rsid w:val="00A87CB5"/>
    <w:rsid w:val="00A87D34"/>
    <w:rsid w:val="00A903A9"/>
    <w:rsid w:val="00A90736"/>
    <w:rsid w:val="00A9119E"/>
    <w:rsid w:val="00A91966"/>
    <w:rsid w:val="00A919AB"/>
    <w:rsid w:val="00A924B5"/>
    <w:rsid w:val="00A924C6"/>
    <w:rsid w:val="00A92B7D"/>
    <w:rsid w:val="00A92E48"/>
    <w:rsid w:val="00A93763"/>
    <w:rsid w:val="00A93775"/>
    <w:rsid w:val="00A94F8F"/>
    <w:rsid w:val="00A9535A"/>
    <w:rsid w:val="00A953C4"/>
    <w:rsid w:val="00A95874"/>
    <w:rsid w:val="00A95E86"/>
    <w:rsid w:val="00A96179"/>
    <w:rsid w:val="00A962BC"/>
    <w:rsid w:val="00A97E66"/>
    <w:rsid w:val="00AA004E"/>
    <w:rsid w:val="00AA0206"/>
    <w:rsid w:val="00AA0438"/>
    <w:rsid w:val="00AA0AC2"/>
    <w:rsid w:val="00AA0ADB"/>
    <w:rsid w:val="00AA178A"/>
    <w:rsid w:val="00AA243F"/>
    <w:rsid w:val="00AA3514"/>
    <w:rsid w:val="00AA360C"/>
    <w:rsid w:val="00AA3782"/>
    <w:rsid w:val="00AA3BDD"/>
    <w:rsid w:val="00AA43BD"/>
    <w:rsid w:val="00AA484D"/>
    <w:rsid w:val="00AA4A90"/>
    <w:rsid w:val="00AA56A3"/>
    <w:rsid w:val="00AA5871"/>
    <w:rsid w:val="00AA5DB9"/>
    <w:rsid w:val="00AA64F0"/>
    <w:rsid w:val="00AA66AC"/>
    <w:rsid w:val="00AA6910"/>
    <w:rsid w:val="00AA6FF1"/>
    <w:rsid w:val="00AA7162"/>
    <w:rsid w:val="00AA7205"/>
    <w:rsid w:val="00AA74E1"/>
    <w:rsid w:val="00AA7BCD"/>
    <w:rsid w:val="00AB01A6"/>
    <w:rsid w:val="00AB0965"/>
    <w:rsid w:val="00AB1857"/>
    <w:rsid w:val="00AB1B85"/>
    <w:rsid w:val="00AB1DE8"/>
    <w:rsid w:val="00AB2065"/>
    <w:rsid w:val="00AB30B0"/>
    <w:rsid w:val="00AB3143"/>
    <w:rsid w:val="00AB3C4D"/>
    <w:rsid w:val="00AB3F1C"/>
    <w:rsid w:val="00AB4A22"/>
    <w:rsid w:val="00AB5032"/>
    <w:rsid w:val="00AB67F5"/>
    <w:rsid w:val="00AB69D9"/>
    <w:rsid w:val="00AB7297"/>
    <w:rsid w:val="00AB749D"/>
    <w:rsid w:val="00AB74ED"/>
    <w:rsid w:val="00AC0886"/>
    <w:rsid w:val="00AC0937"/>
    <w:rsid w:val="00AC0993"/>
    <w:rsid w:val="00AC1B81"/>
    <w:rsid w:val="00AC1BB1"/>
    <w:rsid w:val="00AC3347"/>
    <w:rsid w:val="00AC34AF"/>
    <w:rsid w:val="00AC3A72"/>
    <w:rsid w:val="00AC3C3C"/>
    <w:rsid w:val="00AC3E87"/>
    <w:rsid w:val="00AC4FE3"/>
    <w:rsid w:val="00AC510C"/>
    <w:rsid w:val="00AC5530"/>
    <w:rsid w:val="00AC5B9B"/>
    <w:rsid w:val="00AC666D"/>
    <w:rsid w:val="00AC6A9C"/>
    <w:rsid w:val="00AC6FD3"/>
    <w:rsid w:val="00AC7258"/>
    <w:rsid w:val="00AC75CE"/>
    <w:rsid w:val="00AC7946"/>
    <w:rsid w:val="00AC7C06"/>
    <w:rsid w:val="00AC7E06"/>
    <w:rsid w:val="00AD02B8"/>
    <w:rsid w:val="00AD04D2"/>
    <w:rsid w:val="00AD0E5C"/>
    <w:rsid w:val="00AD1C56"/>
    <w:rsid w:val="00AD1F73"/>
    <w:rsid w:val="00AD2877"/>
    <w:rsid w:val="00AD290E"/>
    <w:rsid w:val="00AD2CE2"/>
    <w:rsid w:val="00AD309F"/>
    <w:rsid w:val="00AD4AA9"/>
    <w:rsid w:val="00AD4ADA"/>
    <w:rsid w:val="00AD524B"/>
    <w:rsid w:val="00AD52D4"/>
    <w:rsid w:val="00AD5315"/>
    <w:rsid w:val="00AD5641"/>
    <w:rsid w:val="00AD5675"/>
    <w:rsid w:val="00AD57D1"/>
    <w:rsid w:val="00AD5BB8"/>
    <w:rsid w:val="00AD5D85"/>
    <w:rsid w:val="00AD6E50"/>
    <w:rsid w:val="00AD75E4"/>
    <w:rsid w:val="00AD7889"/>
    <w:rsid w:val="00AD7B0B"/>
    <w:rsid w:val="00AD7D90"/>
    <w:rsid w:val="00AD7F85"/>
    <w:rsid w:val="00AE0215"/>
    <w:rsid w:val="00AE0369"/>
    <w:rsid w:val="00AE0B08"/>
    <w:rsid w:val="00AE11E1"/>
    <w:rsid w:val="00AE1B20"/>
    <w:rsid w:val="00AE1E96"/>
    <w:rsid w:val="00AE21CC"/>
    <w:rsid w:val="00AE236B"/>
    <w:rsid w:val="00AE29EE"/>
    <w:rsid w:val="00AE2C20"/>
    <w:rsid w:val="00AE36D8"/>
    <w:rsid w:val="00AE3729"/>
    <w:rsid w:val="00AE438E"/>
    <w:rsid w:val="00AE56B2"/>
    <w:rsid w:val="00AE5C83"/>
    <w:rsid w:val="00AE5F34"/>
    <w:rsid w:val="00AE64CF"/>
    <w:rsid w:val="00AE6AFD"/>
    <w:rsid w:val="00AE71E3"/>
    <w:rsid w:val="00AE7252"/>
    <w:rsid w:val="00AE7366"/>
    <w:rsid w:val="00AE787B"/>
    <w:rsid w:val="00AE79B6"/>
    <w:rsid w:val="00AF021B"/>
    <w:rsid w:val="00AF0391"/>
    <w:rsid w:val="00AF06CF"/>
    <w:rsid w:val="00AF0C32"/>
    <w:rsid w:val="00AF0FE4"/>
    <w:rsid w:val="00AF1488"/>
    <w:rsid w:val="00AF15A0"/>
    <w:rsid w:val="00AF22F1"/>
    <w:rsid w:val="00AF2623"/>
    <w:rsid w:val="00AF26B7"/>
    <w:rsid w:val="00AF31A8"/>
    <w:rsid w:val="00AF37CB"/>
    <w:rsid w:val="00AF4D5A"/>
    <w:rsid w:val="00AF4D7C"/>
    <w:rsid w:val="00AF4FC9"/>
    <w:rsid w:val="00AF5BA5"/>
    <w:rsid w:val="00AF5D44"/>
    <w:rsid w:val="00AF5F39"/>
    <w:rsid w:val="00AF6124"/>
    <w:rsid w:val="00AF6B31"/>
    <w:rsid w:val="00AF7489"/>
    <w:rsid w:val="00AF7B36"/>
    <w:rsid w:val="00AF7BB7"/>
    <w:rsid w:val="00B00A36"/>
    <w:rsid w:val="00B011AD"/>
    <w:rsid w:val="00B0158D"/>
    <w:rsid w:val="00B01855"/>
    <w:rsid w:val="00B02100"/>
    <w:rsid w:val="00B025D8"/>
    <w:rsid w:val="00B02C12"/>
    <w:rsid w:val="00B02EAA"/>
    <w:rsid w:val="00B02FDC"/>
    <w:rsid w:val="00B0387D"/>
    <w:rsid w:val="00B038F7"/>
    <w:rsid w:val="00B03C74"/>
    <w:rsid w:val="00B04305"/>
    <w:rsid w:val="00B043AD"/>
    <w:rsid w:val="00B0496B"/>
    <w:rsid w:val="00B04D3D"/>
    <w:rsid w:val="00B05A10"/>
    <w:rsid w:val="00B05A7C"/>
    <w:rsid w:val="00B05B79"/>
    <w:rsid w:val="00B05D8C"/>
    <w:rsid w:val="00B05EA3"/>
    <w:rsid w:val="00B06A28"/>
    <w:rsid w:val="00B06AF6"/>
    <w:rsid w:val="00B078CF"/>
    <w:rsid w:val="00B07CDB"/>
    <w:rsid w:val="00B11030"/>
    <w:rsid w:val="00B1140D"/>
    <w:rsid w:val="00B11A05"/>
    <w:rsid w:val="00B1249F"/>
    <w:rsid w:val="00B1252F"/>
    <w:rsid w:val="00B126CC"/>
    <w:rsid w:val="00B129B5"/>
    <w:rsid w:val="00B1341E"/>
    <w:rsid w:val="00B1360F"/>
    <w:rsid w:val="00B136B3"/>
    <w:rsid w:val="00B142D1"/>
    <w:rsid w:val="00B150D8"/>
    <w:rsid w:val="00B15DA4"/>
    <w:rsid w:val="00B15DDC"/>
    <w:rsid w:val="00B161D6"/>
    <w:rsid w:val="00B169D6"/>
    <w:rsid w:val="00B16A31"/>
    <w:rsid w:val="00B16C43"/>
    <w:rsid w:val="00B16CED"/>
    <w:rsid w:val="00B16FC7"/>
    <w:rsid w:val="00B17DFD"/>
    <w:rsid w:val="00B207B3"/>
    <w:rsid w:val="00B216BA"/>
    <w:rsid w:val="00B218EC"/>
    <w:rsid w:val="00B21988"/>
    <w:rsid w:val="00B22206"/>
    <w:rsid w:val="00B2298A"/>
    <w:rsid w:val="00B22A08"/>
    <w:rsid w:val="00B22B98"/>
    <w:rsid w:val="00B22D7A"/>
    <w:rsid w:val="00B22DDF"/>
    <w:rsid w:val="00B242A6"/>
    <w:rsid w:val="00B242F8"/>
    <w:rsid w:val="00B244FF"/>
    <w:rsid w:val="00B25372"/>
    <w:rsid w:val="00B25E97"/>
    <w:rsid w:val="00B26166"/>
    <w:rsid w:val="00B2667E"/>
    <w:rsid w:val="00B266E7"/>
    <w:rsid w:val="00B26D5B"/>
    <w:rsid w:val="00B26E78"/>
    <w:rsid w:val="00B2700B"/>
    <w:rsid w:val="00B277E0"/>
    <w:rsid w:val="00B2799D"/>
    <w:rsid w:val="00B30130"/>
    <w:rsid w:val="00B308FE"/>
    <w:rsid w:val="00B328AB"/>
    <w:rsid w:val="00B32AC0"/>
    <w:rsid w:val="00B32FBD"/>
    <w:rsid w:val="00B33709"/>
    <w:rsid w:val="00B33B3C"/>
    <w:rsid w:val="00B33BD1"/>
    <w:rsid w:val="00B34C9B"/>
    <w:rsid w:val="00B34E67"/>
    <w:rsid w:val="00B35AFB"/>
    <w:rsid w:val="00B35B6B"/>
    <w:rsid w:val="00B36408"/>
    <w:rsid w:val="00B364BC"/>
    <w:rsid w:val="00B36525"/>
    <w:rsid w:val="00B3706C"/>
    <w:rsid w:val="00B373DC"/>
    <w:rsid w:val="00B3765D"/>
    <w:rsid w:val="00B400AC"/>
    <w:rsid w:val="00B40C4E"/>
    <w:rsid w:val="00B41F92"/>
    <w:rsid w:val="00B42183"/>
    <w:rsid w:val="00B42F5B"/>
    <w:rsid w:val="00B432B5"/>
    <w:rsid w:val="00B434F3"/>
    <w:rsid w:val="00B43690"/>
    <w:rsid w:val="00B436FB"/>
    <w:rsid w:val="00B43CDF"/>
    <w:rsid w:val="00B4445B"/>
    <w:rsid w:val="00B4502A"/>
    <w:rsid w:val="00B4502E"/>
    <w:rsid w:val="00B457E0"/>
    <w:rsid w:val="00B46647"/>
    <w:rsid w:val="00B46897"/>
    <w:rsid w:val="00B46FE3"/>
    <w:rsid w:val="00B50413"/>
    <w:rsid w:val="00B50601"/>
    <w:rsid w:val="00B509B1"/>
    <w:rsid w:val="00B50ADC"/>
    <w:rsid w:val="00B50F06"/>
    <w:rsid w:val="00B5188A"/>
    <w:rsid w:val="00B51DB7"/>
    <w:rsid w:val="00B51E04"/>
    <w:rsid w:val="00B5266A"/>
    <w:rsid w:val="00B52672"/>
    <w:rsid w:val="00B52D0D"/>
    <w:rsid w:val="00B52DC9"/>
    <w:rsid w:val="00B5328A"/>
    <w:rsid w:val="00B53347"/>
    <w:rsid w:val="00B5383B"/>
    <w:rsid w:val="00B53CFB"/>
    <w:rsid w:val="00B54C83"/>
    <w:rsid w:val="00B55105"/>
    <w:rsid w:val="00B5523B"/>
    <w:rsid w:val="00B5544A"/>
    <w:rsid w:val="00B5633C"/>
    <w:rsid w:val="00B566B1"/>
    <w:rsid w:val="00B577C8"/>
    <w:rsid w:val="00B57E3F"/>
    <w:rsid w:val="00B57EB1"/>
    <w:rsid w:val="00B60A77"/>
    <w:rsid w:val="00B60BD5"/>
    <w:rsid w:val="00B61666"/>
    <w:rsid w:val="00B616FF"/>
    <w:rsid w:val="00B61DBF"/>
    <w:rsid w:val="00B622B9"/>
    <w:rsid w:val="00B62336"/>
    <w:rsid w:val="00B6278F"/>
    <w:rsid w:val="00B62947"/>
    <w:rsid w:val="00B62A37"/>
    <w:rsid w:val="00B62D39"/>
    <w:rsid w:val="00B62FC3"/>
    <w:rsid w:val="00B63021"/>
    <w:rsid w:val="00B6326C"/>
    <w:rsid w:val="00B634EE"/>
    <w:rsid w:val="00B63834"/>
    <w:rsid w:val="00B63FEB"/>
    <w:rsid w:val="00B648EF"/>
    <w:rsid w:val="00B64A0B"/>
    <w:rsid w:val="00B64BA1"/>
    <w:rsid w:val="00B64D1F"/>
    <w:rsid w:val="00B653B3"/>
    <w:rsid w:val="00B65B83"/>
    <w:rsid w:val="00B66489"/>
    <w:rsid w:val="00B66D25"/>
    <w:rsid w:val="00B66EB4"/>
    <w:rsid w:val="00B67480"/>
    <w:rsid w:val="00B70268"/>
    <w:rsid w:val="00B70422"/>
    <w:rsid w:val="00B70803"/>
    <w:rsid w:val="00B70D11"/>
    <w:rsid w:val="00B71057"/>
    <w:rsid w:val="00B71500"/>
    <w:rsid w:val="00B71563"/>
    <w:rsid w:val="00B71607"/>
    <w:rsid w:val="00B71953"/>
    <w:rsid w:val="00B71E57"/>
    <w:rsid w:val="00B72734"/>
    <w:rsid w:val="00B7348E"/>
    <w:rsid w:val="00B73511"/>
    <w:rsid w:val="00B73D9E"/>
    <w:rsid w:val="00B740BC"/>
    <w:rsid w:val="00B74171"/>
    <w:rsid w:val="00B74324"/>
    <w:rsid w:val="00B75965"/>
    <w:rsid w:val="00B75F57"/>
    <w:rsid w:val="00B765F3"/>
    <w:rsid w:val="00B76B4B"/>
    <w:rsid w:val="00B77C9D"/>
    <w:rsid w:val="00B80199"/>
    <w:rsid w:val="00B8126E"/>
    <w:rsid w:val="00B81C92"/>
    <w:rsid w:val="00B82D81"/>
    <w:rsid w:val="00B82DB9"/>
    <w:rsid w:val="00B83204"/>
    <w:rsid w:val="00B83395"/>
    <w:rsid w:val="00B835C5"/>
    <w:rsid w:val="00B83CD0"/>
    <w:rsid w:val="00B83D14"/>
    <w:rsid w:val="00B845BB"/>
    <w:rsid w:val="00B84A01"/>
    <w:rsid w:val="00B8524C"/>
    <w:rsid w:val="00B85422"/>
    <w:rsid w:val="00B85982"/>
    <w:rsid w:val="00B85E0D"/>
    <w:rsid w:val="00B85E39"/>
    <w:rsid w:val="00B86288"/>
    <w:rsid w:val="00B874AD"/>
    <w:rsid w:val="00B8760A"/>
    <w:rsid w:val="00B879F7"/>
    <w:rsid w:val="00B87C54"/>
    <w:rsid w:val="00B907C7"/>
    <w:rsid w:val="00B9126E"/>
    <w:rsid w:val="00B91E9A"/>
    <w:rsid w:val="00B92472"/>
    <w:rsid w:val="00B92758"/>
    <w:rsid w:val="00B93A31"/>
    <w:rsid w:val="00B93F73"/>
    <w:rsid w:val="00B95406"/>
    <w:rsid w:val="00B968C3"/>
    <w:rsid w:val="00B96F58"/>
    <w:rsid w:val="00B97B69"/>
    <w:rsid w:val="00BA00A0"/>
    <w:rsid w:val="00BA1447"/>
    <w:rsid w:val="00BA1586"/>
    <w:rsid w:val="00BA15BD"/>
    <w:rsid w:val="00BA220B"/>
    <w:rsid w:val="00BA2320"/>
    <w:rsid w:val="00BA35ED"/>
    <w:rsid w:val="00BA3A57"/>
    <w:rsid w:val="00BA3E19"/>
    <w:rsid w:val="00BA49C7"/>
    <w:rsid w:val="00BA5A75"/>
    <w:rsid w:val="00BA5C68"/>
    <w:rsid w:val="00BA5CBC"/>
    <w:rsid w:val="00BA5E41"/>
    <w:rsid w:val="00BA6AB4"/>
    <w:rsid w:val="00BA6C5A"/>
    <w:rsid w:val="00BA6F9F"/>
    <w:rsid w:val="00BA70B9"/>
    <w:rsid w:val="00BA7E07"/>
    <w:rsid w:val="00BA7EB2"/>
    <w:rsid w:val="00BB0D2D"/>
    <w:rsid w:val="00BB10A5"/>
    <w:rsid w:val="00BB1515"/>
    <w:rsid w:val="00BB15A7"/>
    <w:rsid w:val="00BB17D5"/>
    <w:rsid w:val="00BB1978"/>
    <w:rsid w:val="00BB1AC8"/>
    <w:rsid w:val="00BB218A"/>
    <w:rsid w:val="00BB2BA0"/>
    <w:rsid w:val="00BB2F8C"/>
    <w:rsid w:val="00BB35BF"/>
    <w:rsid w:val="00BB3792"/>
    <w:rsid w:val="00BB3BBA"/>
    <w:rsid w:val="00BB3BEC"/>
    <w:rsid w:val="00BB4298"/>
    <w:rsid w:val="00BB48F5"/>
    <w:rsid w:val="00BB4CA4"/>
    <w:rsid w:val="00BB4DB6"/>
    <w:rsid w:val="00BB4E1A"/>
    <w:rsid w:val="00BB5A2F"/>
    <w:rsid w:val="00BB5C17"/>
    <w:rsid w:val="00BB65F3"/>
    <w:rsid w:val="00BB691A"/>
    <w:rsid w:val="00BB6FB5"/>
    <w:rsid w:val="00BC015E"/>
    <w:rsid w:val="00BC05A7"/>
    <w:rsid w:val="00BC07B5"/>
    <w:rsid w:val="00BC15DC"/>
    <w:rsid w:val="00BC1E25"/>
    <w:rsid w:val="00BC1FEB"/>
    <w:rsid w:val="00BC2575"/>
    <w:rsid w:val="00BC25DA"/>
    <w:rsid w:val="00BC28C0"/>
    <w:rsid w:val="00BC2E77"/>
    <w:rsid w:val="00BC3AB0"/>
    <w:rsid w:val="00BC47B0"/>
    <w:rsid w:val="00BC4F30"/>
    <w:rsid w:val="00BC604F"/>
    <w:rsid w:val="00BC61E9"/>
    <w:rsid w:val="00BC63C5"/>
    <w:rsid w:val="00BC6720"/>
    <w:rsid w:val="00BC6FBC"/>
    <w:rsid w:val="00BC7060"/>
    <w:rsid w:val="00BC7183"/>
    <w:rsid w:val="00BC76AC"/>
    <w:rsid w:val="00BD0184"/>
    <w:rsid w:val="00BD0ECB"/>
    <w:rsid w:val="00BD16EF"/>
    <w:rsid w:val="00BD3254"/>
    <w:rsid w:val="00BD387C"/>
    <w:rsid w:val="00BD3A09"/>
    <w:rsid w:val="00BD3D07"/>
    <w:rsid w:val="00BD3D1E"/>
    <w:rsid w:val="00BD4DE9"/>
    <w:rsid w:val="00BD50F6"/>
    <w:rsid w:val="00BD5420"/>
    <w:rsid w:val="00BD59F9"/>
    <w:rsid w:val="00BD6065"/>
    <w:rsid w:val="00BD739F"/>
    <w:rsid w:val="00BD73F8"/>
    <w:rsid w:val="00BD79F3"/>
    <w:rsid w:val="00BD7A96"/>
    <w:rsid w:val="00BD7CEE"/>
    <w:rsid w:val="00BD7DE1"/>
    <w:rsid w:val="00BD7F26"/>
    <w:rsid w:val="00BE0017"/>
    <w:rsid w:val="00BE0304"/>
    <w:rsid w:val="00BE060D"/>
    <w:rsid w:val="00BE071C"/>
    <w:rsid w:val="00BE12BE"/>
    <w:rsid w:val="00BE1344"/>
    <w:rsid w:val="00BE1784"/>
    <w:rsid w:val="00BE1DBC"/>
    <w:rsid w:val="00BE2155"/>
    <w:rsid w:val="00BE2213"/>
    <w:rsid w:val="00BE2563"/>
    <w:rsid w:val="00BE3197"/>
    <w:rsid w:val="00BE486D"/>
    <w:rsid w:val="00BE48B1"/>
    <w:rsid w:val="00BE48E6"/>
    <w:rsid w:val="00BE492E"/>
    <w:rsid w:val="00BE4B62"/>
    <w:rsid w:val="00BE4C97"/>
    <w:rsid w:val="00BE5490"/>
    <w:rsid w:val="00BE5E7F"/>
    <w:rsid w:val="00BE622A"/>
    <w:rsid w:val="00BE6390"/>
    <w:rsid w:val="00BE6C65"/>
    <w:rsid w:val="00BE6EF9"/>
    <w:rsid w:val="00BE719A"/>
    <w:rsid w:val="00BE720A"/>
    <w:rsid w:val="00BE757F"/>
    <w:rsid w:val="00BF0D73"/>
    <w:rsid w:val="00BF1F8B"/>
    <w:rsid w:val="00BF213F"/>
    <w:rsid w:val="00BF2465"/>
    <w:rsid w:val="00BF2B7E"/>
    <w:rsid w:val="00BF2C13"/>
    <w:rsid w:val="00BF3AD4"/>
    <w:rsid w:val="00BF3F43"/>
    <w:rsid w:val="00BF45A2"/>
    <w:rsid w:val="00BF45D4"/>
    <w:rsid w:val="00BF48EA"/>
    <w:rsid w:val="00BF4DF2"/>
    <w:rsid w:val="00BF5A81"/>
    <w:rsid w:val="00BF69C8"/>
    <w:rsid w:val="00BF7099"/>
    <w:rsid w:val="00BF75AE"/>
    <w:rsid w:val="00BF75C9"/>
    <w:rsid w:val="00C0054E"/>
    <w:rsid w:val="00C016BE"/>
    <w:rsid w:val="00C01938"/>
    <w:rsid w:val="00C01C52"/>
    <w:rsid w:val="00C02164"/>
    <w:rsid w:val="00C021AC"/>
    <w:rsid w:val="00C02291"/>
    <w:rsid w:val="00C023B5"/>
    <w:rsid w:val="00C0249D"/>
    <w:rsid w:val="00C02942"/>
    <w:rsid w:val="00C030B9"/>
    <w:rsid w:val="00C03600"/>
    <w:rsid w:val="00C0372E"/>
    <w:rsid w:val="00C03A90"/>
    <w:rsid w:val="00C03B4E"/>
    <w:rsid w:val="00C0423F"/>
    <w:rsid w:val="00C04356"/>
    <w:rsid w:val="00C043C7"/>
    <w:rsid w:val="00C04C1A"/>
    <w:rsid w:val="00C05141"/>
    <w:rsid w:val="00C0544A"/>
    <w:rsid w:val="00C06AC9"/>
    <w:rsid w:val="00C06C29"/>
    <w:rsid w:val="00C06DD2"/>
    <w:rsid w:val="00C07031"/>
    <w:rsid w:val="00C0753E"/>
    <w:rsid w:val="00C10971"/>
    <w:rsid w:val="00C10C57"/>
    <w:rsid w:val="00C10E52"/>
    <w:rsid w:val="00C11452"/>
    <w:rsid w:val="00C1179D"/>
    <w:rsid w:val="00C11B0C"/>
    <w:rsid w:val="00C1249D"/>
    <w:rsid w:val="00C12E11"/>
    <w:rsid w:val="00C12E21"/>
    <w:rsid w:val="00C1414C"/>
    <w:rsid w:val="00C14C75"/>
    <w:rsid w:val="00C151D5"/>
    <w:rsid w:val="00C15604"/>
    <w:rsid w:val="00C16805"/>
    <w:rsid w:val="00C1696A"/>
    <w:rsid w:val="00C17457"/>
    <w:rsid w:val="00C17732"/>
    <w:rsid w:val="00C178C7"/>
    <w:rsid w:val="00C20494"/>
    <w:rsid w:val="00C206C2"/>
    <w:rsid w:val="00C2132F"/>
    <w:rsid w:val="00C21353"/>
    <w:rsid w:val="00C214DA"/>
    <w:rsid w:val="00C2150F"/>
    <w:rsid w:val="00C21A07"/>
    <w:rsid w:val="00C21A90"/>
    <w:rsid w:val="00C21C31"/>
    <w:rsid w:val="00C21E87"/>
    <w:rsid w:val="00C2212A"/>
    <w:rsid w:val="00C22636"/>
    <w:rsid w:val="00C22852"/>
    <w:rsid w:val="00C23328"/>
    <w:rsid w:val="00C2357E"/>
    <w:rsid w:val="00C235E9"/>
    <w:rsid w:val="00C23682"/>
    <w:rsid w:val="00C2393D"/>
    <w:rsid w:val="00C23C5E"/>
    <w:rsid w:val="00C23D1E"/>
    <w:rsid w:val="00C24CF4"/>
    <w:rsid w:val="00C25A56"/>
    <w:rsid w:val="00C25E7F"/>
    <w:rsid w:val="00C264E3"/>
    <w:rsid w:val="00C265BF"/>
    <w:rsid w:val="00C2746F"/>
    <w:rsid w:val="00C27A4C"/>
    <w:rsid w:val="00C30A49"/>
    <w:rsid w:val="00C310CC"/>
    <w:rsid w:val="00C31846"/>
    <w:rsid w:val="00C31C5C"/>
    <w:rsid w:val="00C3223B"/>
    <w:rsid w:val="00C324A0"/>
    <w:rsid w:val="00C3300F"/>
    <w:rsid w:val="00C3305C"/>
    <w:rsid w:val="00C3308A"/>
    <w:rsid w:val="00C330BB"/>
    <w:rsid w:val="00C33721"/>
    <w:rsid w:val="00C34012"/>
    <w:rsid w:val="00C34063"/>
    <w:rsid w:val="00C340E5"/>
    <w:rsid w:val="00C3461A"/>
    <w:rsid w:val="00C346D6"/>
    <w:rsid w:val="00C34E77"/>
    <w:rsid w:val="00C35875"/>
    <w:rsid w:val="00C358C8"/>
    <w:rsid w:val="00C35DAF"/>
    <w:rsid w:val="00C363D1"/>
    <w:rsid w:val="00C36525"/>
    <w:rsid w:val="00C36716"/>
    <w:rsid w:val="00C36787"/>
    <w:rsid w:val="00C375DE"/>
    <w:rsid w:val="00C403EB"/>
    <w:rsid w:val="00C414DC"/>
    <w:rsid w:val="00C4170B"/>
    <w:rsid w:val="00C41A86"/>
    <w:rsid w:val="00C42927"/>
    <w:rsid w:val="00C42BF8"/>
    <w:rsid w:val="00C430A6"/>
    <w:rsid w:val="00C436FE"/>
    <w:rsid w:val="00C43C01"/>
    <w:rsid w:val="00C446C4"/>
    <w:rsid w:val="00C44A3F"/>
    <w:rsid w:val="00C44C91"/>
    <w:rsid w:val="00C45171"/>
    <w:rsid w:val="00C459CD"/>
    <w:rsid w:val="00C45BDE"/>
    <w:rsid w:val="00C460C1"/>
    <w:rsid w:val="00C4690D"/>
    <w:rsid w:val="00C47CD1"/>
    <w:rsid w:val="00C47D01"/>
    <w:rsid w:val="00C50043"/>
    <w:rsid w:val="00C507BB"/>
    <w:rsid w:val="00C50B97"/>
    <w:rsid w:val="00C50E34"/>
    <w:rsid w:val="00C51738"/>
    <w:rsid w:val="00C51AE4"/>
    <w:rsid w:val="00C52653"/>
    <w:rsid w:val="00C52CFF"/>
    <w:rsid w:val="00C52E7C"/>
    <w:rsid w:val="00C52F3E"/>
    <w:rsid w:val="00C53D51"/>
    <w:rsid w:val="00C53DD4"/>
    <w:rsid w:val="00C54072"/>
    <w:rsid w:val="00C54B2A"/>
    <w:rsid w:val="00C54B9B"/>
    <w:rsid w:val="00C55A75"/>
    <w:rsid w:val="00C55E03"/>
    <w:rsid w:val="00C55FB3"/>
    <w:rsid w:val="00C56068"/>
    <w:rsid w:val="00C56216"/>
    <w:rsid w:val="00C56AF3"/>
    <w:rsid w:val="00C571A1"/>
    <w:rsid w:val="00C574CA"/>
    <w:rsid w:val="00C57661"/>
    <w:rsid w:val="00C57B5C"/>
    <w:rsid w:val="00C57DEC"/>
    <w:rsid w:val="00C603C5"/>
    <w:rsid w:val="00C60FF9"/>
    <w:rsid w:val="00C6146B"/>
    <w:rsid w:val="00C6180D"/>
    <w:rsid w:val="00C618CA"/>
    <w:rsid w:val="00C61B0C"/>
    <w:rsid w:val="00C62428"/>
    <w:rsid w:val="00C63259"/>
    <w:rsid w:val="00C63476"/>
    <w:rsid w:val="00C634DA"/>
    <w:rsid w:val="00C63962"/>
    <w:rsid w:val="00C63C83"/>
    <w:rsid w:val="00C6434E"/>
    <w:rsid w:val="00C6473E"/>
    <w:rsid w:val="00C6478F"/>
    <w:rsid w:val="00C64821"/>
    <w:rsid w:val="00C648FF"/>
    <w:rsid w:val="00C6535E"/>
    <w:rsid w:val="00C6557C"/>
    <w:rsid w:val="00C6584B"/>
    <w:rsid w:val="00C65FA8"/>
    <w:rsid w:val="00C668D5"/>
    <w:rsid w:val="00C66E67"/>
    <w:rsid w:val="00C6766A"/>
    <w:rsid w:val="00C70CA8"/>
    <w:rsid w:val="00C71229"/>
    <w:rsid w:val="00C71C14"/>
    <w:rsid w:val="00C72054"/>
    <w:rsid w:val="00C72245"/>
    <w:rsid w:val="00C722B4"/>
    <w:rsid w:val="00C73D02"/>
    <w:rsid w:val="00C73F64"/>
    <w:rsid w:val="00C74FF6"/>
    <w:rsid w:val="00C752CB"/>
    <w:rsid w:val="00C75410"/>
    <w:rsid w:val="00C7573B"/>
    <w:rsid w:val="00C75C91"/>
    <w:rsid w:val="00C760BC"/>
    <w:rsid w:val="00C761D0"/>
    <w:rsid w:val="00C7693D"/>
    <w:rsid w:val="00C76B61"/>
    <w:rsid w:val="00C76E94"/>
    <w:rsid w:val="00C771F3"/>
    <w:rsid w:val="00C7761F"/>
    <w:rsid w:val="00C7771C"/>
    <w:rsid w:val="00C77B09"/>
    <w:rsid w:val="00C77B2D"/>
    <w:rsid w:val="00C800EC"/>
    <w:rsid w:val="00C80397"/>
    <w:rsid w:val="00C804CD"/>
    <w:rsid w:val="00C81863"/>
    <w:rsid w:val="00C8189F"/>
    <w:rsid w:val="00C81BBB"/>
    <w:rsid w:val="00C8213C"/>
    <w:rsid w:val="00C83612"/>
    <w:rsid w:val="00C83A3F"/>
    <w:rsid w:val="00C842C7"/>
    <w:rsid w:val="00C8468D"/>
    <w:rsid w:val="00C84817"/>
    <w:rsid w:val="00C851E1"/>
    <w:rsid w:val="00C85378"/>
    <w:rsid w:val="00C8575B"/>
    <w:rsid w:val="00C86909"/>
    <w:rsid w:val="00C86AB9"/>
    <w:rsid w:val="00C86B32"/>
    <w:rsid w:val="00C8714A"/>
    <w:rsid w:val="00C8739B"/>
    <w:rsid w:val="00C87A9F"/>
    <w:rsid w:val="00C87B0B"/>
    <w:rsid w:val="00C87B91"/>
    <w:rsid w:val="00C87C99"/>
    <w:rsid w:val="00C906B5"/>
    <w:rsid w:val="00C90EE1"/>
    <w:rsid w:val="00C91301"/>
    <w:rsid w:val="00C91305"/>
    <w:rsid w:val="00C92957"/>
    <w:rsid w:val="00C93C03"/>
    <w:rsid w:val="00C947E1"/>
    <w:rsid w:val="00C95E48"/>
    <w:rsid w:val="00C964AC"/>
    <w:rsid w:val="00C9679C"/>
    <w:rsid w:val="00C967D8"/>
    <w:rsid w:val="00C97373"/>
    <w:rsid w:val="00C97510"/>
    <w:rsid w:val="00C97F7B"/>
    <w:rsid w:val="00CA0EC8"/>
    <w:rsid w:val="00CA101E"/>
    <w:rsid w:val="00CA1272"/>
    <w:rsid w:val="00CA137A"/>
    <w:rsid w:val="00CA1B48"/>
    <w:rsid w:val="00CA2091"/>
    <w:rsid w:val="00CA29F6"/>
    <w:rsid w:val="00CA30AD"/>
    <w:rsid w:val="00CA3298"/>
    <w:rsid w:val="00CA344A"/>
    <w:rsid w:val="00CA3793"/>
    <w:rsid w:val="00CA42F1"/>
    <w:rsid w:val="00CA47AA"/>
    <w:rsid w:val="00CA4E13"/>
    <w:rsid w:val="00CA5375"/>
    <w:rsid w:val="00CA561C"/>
    <w:rsid w:val="00CA5A28"/>
    <w:rsid w:val="00CA5F29"/>
    <w:rsid w:val="00CA6180"/>
    <w:rsid w:val="00CA6250"/>
    <w:rsid w:val="00CA6628"/>
    <w:rsid w:val="00CA66DC"/>
    <w:rsid w:val="00CA694A"/>
    <w:rsid w:val="00CA6D7A"/>
    <w:rsid w:val="00CA7071"/>
    <w:rsid w:val="00CA7BCD"/>
    <w:rsid w:val="00CA7CA4"/>
    <w:rsid w:val="00CB02B4"/>
    <w:rsid w:val="00CB0672"/>
    <w:rsid w:val="00CB0BC4"/>
    <w:rsid w:val="00CB1FDB"/>
    <w:rsid w:val="00CB207B"/>
    <w:rsid w:val="00CB215E"/>
    <w:rsid w:val="00CB2B08"/>
    <w:rsid w:val="00CB2C8E"/>
    <w:rsid w:val="00CB2D96"/>
    <w:rsid w:val="00CB3DAE"/>
    <w:rsid w:val="00CB4190"/>
    <w:rsid w:val="00CB43B9"/>
    <w:rsid w:val="00CB46CF"/>
    <w:rsid w:val="00CB4900"/>
    <w:rsid w:val="00CB4CB3"/>
    <w:rsid w:val="00CB5A49"/>
    <w:rsid w:val="00CB5B7B"/>
    <w:rsid w:val="00CB602E"/>
    <w:rsid w:val="00CB6C9F"/>
    <w:rsid w:val="00CB725B"/>
    <w:rsid w:val="00CB7F22"/>
    <w:rsid w:val="00CC0068"/>
    <w:rsid w:val="00CC04A1"/>
    <w:rsid w:val="00CC0D08"/>
    <w:rsid w:val="00CC1039"/>
    <w:rsid w:val="00CC33B5"/>
    <w:rsid w:val="00CC3856"/>
    <w:rsid w:val="00CC3AEC"/>
    <w:rsid w:val="00CC430F"/>
    <w:rsid w:val="00CC4D5E"/>
    <w:rsid w:val="00CC54D3"/>
    <w:rsid w:val="00CC5BC9"/>
    <w:rsid w:val="00CC6BA0"/>
    <w:rsid w:val="00CC73DA"/>
    <w:rsid w:val="00CC74E3"/>
    <w:rsid w:val="00CD0F16"/>
    <w:rsid w:val="00CD1922"/>
    <w:rsid w:val="00CD1C0B"/>
    <w:rsid w:val="00CD1E61"/>
    <w:rsid w:val="00CD23C9"/>
    <w:rsid w:val="00CD26C1"/>
    <w:rsid w:val="00CD2D73"/>
    <w:rsid w:val="00CD2E90"/>
    <w:rsid w:val="00CD39AE"/>
    <w:rsid w:val="00CD3CA9"/>
    <w:rsid w:val="00CD3FB4"/>
    <w:rsid w:val="00CD40AD"/>
    <w:rsid w:val="00CD65DA"/>
    <w:rsid w:val="00CD7433"/>
    <w:rsid w:val="00CD75D3"/>
    <w:rsid w:val="00CD765B"/>
    <w:rsid w:val="00CD76CF"/>
    <w:rsid w:val="00CD7A8A"/>
    <w:rsid w:val="00CD7D72"/>
    <w:rsid w:val="00CE0149"/>
    <w:rsid w:val="00CE03A6"/>
    <w:rsid w:val="00CE051D"/>
    <w:rsid w:val="00CE054D"/>
    <w:rsid w:val="00CE06B7"/>
    <w:rsid w:val="00CE1335"/>
    <w:rsid w:val="00CE1983"/>
    <w:rsid w:val="00CE2BD1"/>
    <w:rsid w:val="00CE3410"/>
    <w:rsid w:val="00CE349D"/>
    <w:rsid w:val="00CE38E5"/>
    <w:rsid w:val="00CE3942"/>
    <w:rsid w:val="00CE3D2A"/>
    <w:rsid w:val="00CE4539"/>
    <w:rsid w:val="00CE493D"/>
    <w:rsid w:val="00CE5087"/>
    <w:rsid w:val="00CE541A"/>
    <w:rsid w:val="00CE6181"/>
    <w:rsid w:val="00CE6D42"/>
    <w:rsid w:val="00CE701A"/>
    <w:rsid w:val="00CE712C"/>
    <w:rsid w:val="00CE776B"/>
    <w:rsid w:val="00CE7C49"/>
    <w:rsid w:val="00CE7DF2"/>
    <w:rsid w:val="00CF07FA"/>
    <w:rsid w:val="00CF0BB2"/>
    <w:rsid w:val="00CF10F2"/>
    <w:rsid w:val="00CF129F"/>
    <w:rsid w:val="00CF1500"/>
    <w:rsid w:val="00CF1B34"/>
    <w:rsid w:val="00CF23BB"/>
    <w:rsid w:val="00CF2537"/>
    <w:rsid w:val="00CF276A"/>
    <w:rsid w:val="00CF28F4"/>
    <w:rsid w:val="00CF2DD0"/>
    <w:rsid w:val="00CF2DD2"/>
    <w:rsid w:val="00CF3558"/>
    <w:rsid w:val="00CF3EE8"/>
    <w:rsid w:val="00CF416C"/>
    <w:rsid w:val="00CF4B6C"/>
    <w:rsid w:val="00CF4BD4"/>
    <w:rsid w:val="00CF4C38"/>
    <w:rsid w:val="00CF4D51"/>
    <w:rsid w:val="00CF5313"/>
    <w:rsid w:val="00CF55FE"/>
    <w:rsid w:val="00CF574D"/>
    <w:rsid w:val="00CF5E57"/>
    <w:rsid w:val="00CF60A8"/>
    <w:rsid w:val="00CF6612"/>
    <w:rsid w:val="00CF6669"/>
    <w:rsid w:val="00CF6922"/>
    <w:rsid w:val="00CF6C48"/>
    <w:rsid w:val="00D004A5"/>
    <w:rsid w:val="00D0082F"/>
    <w:rsid w:val="00D0088C"/>
    <w:rsid w:val="00D00B33"/>
    <w:rsid w:val="00D00D2F"/>
    <w:rsid w:val="00D00E90"/>
    <w:rsid w:val="00D0116F"/>
    <w:rsid w:val="00D01BD1"/>
    <w:rsid w:val="00D01CA9"/>
    <w:rsid w:val="00D039C2"/>
    <w:rsid w:val="00D0448A"/>
    <w:rsid w:val="00D04B02"/>
    <w:rsid w:val="00D050E6"/>
    <w:rsid w:val="00D052C8"/>
    <w:rsid w:val="00D05510"/>
    <w:rsid w:val="00D06122"/>
    <w:rsid w:val="00D065D5"/>
    <w:rsid w:val="00D07A4F"/>
    <w:rsid w:val="00D10537"/>
    <w:rsid w:val="00D109EA"/>
    <w:rsid w:val="00D11834"/>
    <w:rsid w:val="00D11AC2"/>
    <w:rsid w:val="00D11FB8"/>
    <w:rsid w:val="00D12109"/>
    <w:rsid w:val="00D1260C"/>
    <w:rsid w:val="00D126C4"/>
    <w:rsid w:val="00D12788"/>
    <w:rsid w:val="00D127EE"/>
    <w:rsid w:val="00D13441"/>
    <w:rsid w:val="00D13598"/>
    <w:rsid w:val="00D14E52"/>
    <w:rsid w:val="00D15078"/>
    <w:rsid w:val="00D150E7"/>
    <w:rsid w:val="00D155F3"/>
    <w:rsid w:val="00D15874"/>
    <w:rsid w:val="00D15FAB"/>
    <w:rsid w:val="00D16E69"/>
    <w:rsid w:val="00D17472"/>
    <w:rsid w:val="00D178FE"/>
    <w:rsid w:val="00D17B25"/>
    <w:rsid w:val="00D20009"/>
    <w:rsid w:val="00D20A4B"/>
    <w:rsid w:val="00D20C85"/>
    <w:rsid w:val="00D20E0F"/>
    <w:rsid w:val="00D2119E"/>
    <w:rsid w:val="00D215E8"/>
    <w:rsid w:val="00D2203C"/>
    <w:rsid w:val="00D227C7"/>
    <w:rsid w:val="00D2285E"/>
    <w:rsid w:val="00D22FF3"/>
    <w:rsid w:val="00D24541"/>
    <w:rsid w:val="00D24B89"/>
    <w:rsid w:val="00D24BE9"/>
    <w:rsid w:val="00D24FF8"/>
    <w:rsid w:val="00D252F7"/>
    <w:rsid w:val="00D26047"/>
    <w:rsid w:val="00D26146"/>
    <w:rsid w:val="00D276A8"/>
    <w:rsid w:val="00D306F8"/>
    <w:rsid w:val="00D30BF7"/>
    <w:rsid w:val="00D31161"/>
    <w:rsid w:val="00D3142E"/>
    <w:rsid w:val="00D31AD8"/>
    <w:rsid w:val="00D31B67"/>
    <w:rsid w:val="00D3211A"/>
    <w:rsid w:val="00D32999"/>
    <w:rsid w:val="00D32D70"/>
    <w:rsid w:val="00D32F65"/>
    <w:rsid w:val="00D33743"/>
    <w:rsid w:val="00D33BCA"/>
    <w:rsid w:val="00D33CB1"/>
    <w:rsid w:val="00D341C4"/>
    <w:rsid w:val="00D3437C"/>
    <w:rsid w:val="00D3470D"/>
    <w:rsid w:val="00D349AE"/>
    <w:rsid w:val="00D34DCD"/>
    <w:rsid w:val="00D35036"/>
    <w:rsid w:val="00D368D8"/>
    <w:rsid w:val="00D36C31"/>
    <w:rsid w:val="00D375F8"/>
    <w:rsid w:val="00D37908"/>
    <w:rsid w:val="00D37983"/>
    <w:rsid w:val="00D40B03"/>
    <w:rsid w:val="00D40BC1"/>
    <w:rsid w:val="00D417E9"/>
    <w:rsid w:val="00D41A47"/>
    <w:rsid w:val="00D41E0E"/>
    <w:rsid w:val="00D42075"/>
    <w:rsid w:val="00D421E6"/>
    <w:rsid w:val="00D434A1"/>
    <w:rsid w:val="00D4372E"/>
    <w:rsid w:val="00D442A2"/>
    <w:rsid w:val="00D44915"/>
    <w:rsid w:val="00D4506D"/>
    <w:rsid w:val="00D45448"/>
    <w:rsid w:val="00D45FD1"/>
    <w:rsid w:val="00D473F5"/>
    <w:rsid w:val="00D51252"/>
    <w:rsid w:val="00D517AF"/>
    <w:rsid w:val="00D51F1F"/>
    <w:rsid w:val="00D52BD1"/>
    <w:rsid w:val="00D52C51"/>
    <w:rsid w:val="00D52DC2"/>
    <w:rsid w:val="00D535E1"/>
    <w:rsid w:val="00D53879"/>
    <w:rsid w:val="00D53AA2"/>
    <w:rsid w:val="00D53BCC"/>
    <w:rsid w:val="00D53D27"/>
    <w:rsid w:val="00D54933"/>
    <w:rsid w:val="00D54F8E"/>
    <w:rsid w:val="00D55029"/>
    <w:rsid w:val="00D5508C"/>
    <w:rsid w:val="00D55BE9"/>
    <w:rsid w:val="00D5757B"/>
    <w:rsid w:val="00D57954"/>
    <w:rsid w:val="00D60FB3"/>
    <w:rsid w:val="00D61439"/>
    <w:rsid w:val="00D62899"/>
    <w:rsid w:val="00D62911"/>
    <w:rsid w:val="00D6338F"/>
    <w:rsid w:val="00D63664"/>
    <w:rsid w:val="00D63ACF"/>
    <w:rsid w:val="00D63F09"/>
    <w:rsid w:val="00D646CA"/>
    <w:rsid w:val="00D647D5"/>
    <w:rsid w:val="00D648BB"/>
    <w:rsid w:val="00D649A5"/>
    <w:rsid w:val="00D64E2B"/>
    <w:rsid w:val="00D65DC2"/>
    <w:rsid w:val="00D6607F"/>
    <w:rsid w:val="00D66172"/>
    <w:rsid w:val="00D666E5"/>
    <w:rsid w:val="00D66B6E"/>
    <w:rsid w:val="00D6728C"/>
    <w:rsid w:val="00D67695"/>
    <w:rsid w:val="00D67833"/>
    <w:rsid w:val="00D678D4"/>
    <w:rsid w:val="00D678DC"/>
    <w:rsid w:val="00D702DE"/>
    <w:rsid w:val="00D7087F"/>
    <w:rsid w:val="00D70DFB"/>
    <w:rsid w:val="00D71B62"/>
    <w:rsid w:val="00D727E4"/>
    <w:rsid w:val="00D7289A"/>
    <w:rsid w:val="00D732EC"/>
    <w:rsid w:val="00D733A3"/>
    <w:rsid w:val="00D73C22"/>
    <w:rsid w:val="00D74CA5"/>
    <w:rsid w:val="00D74F45"/>
    <w:rsid w:val="00D753CE"/>
    <w:rsid w:val="00D75678"/>
    <w:rsid w:val="00D761DE"/>
    <w:rsid w:val="00D766DF"/>
    <w:rsid w:val="00D7736B"/>
    <w:rsid w:val="00D77661"/>
    <w:rsid w:val="00D77EC9"/>
    <w:rsid w:val="00D80212"/>
    <w:rsid w:val="00D808DB"/>
    <w:rsid w:val="00D812A9"/>
    <w:rsid w:val="00D81CF0"/>
    <w:rsid w:val="00D82B24"/>
    <w:rsid w:val="00D82C22"/>
    <w:rsid w:val="00D833F0"/>
    <w:rsid w:val="00D83BC8"/>
    <w:rsid w:val="00D8413F"/>
    <w:rsid w:val="00D84795"/>
    <w:rsid w:val="00D84C5B"/>
    <w:rsid w:val="00D86982"/>
    <w:rsid w:val="00D8759F"/>
    <w:rsid w:val="00D87686"/>
    <w:rsid w:val="00D87A7D"/>
    <w:rsid w:val="00D90669"/>
    <w:rsid w:val="00D90709"/>
    <w:rsid w:val="00D90E52"/>
    <w:rsid w:val="00D9142E"/>
    <w:rsid w:val="00D925D7"/>
    <w:rsid w:val="00D92FDC"/>
    <w:rsid w:val="00D93784"/>
    <w:rsid w:val="00D939A4"/>
    <w:rsid w:val="00D93FAC"/>
    <w:rsid w:val="00D94987"/>
    <w:rsid w:val="00D94A54"/>
    <w:rsid w:val="00D953C4"/>
    <w:rsid w:val="00D9542C"/>
    <w:rsid w:val="00D95803"/>
    <w:rsid w:val="00D95A89"/>
    <w:rsid w:val="00D95C73"/>
    <w:rsid w:val="00D96015"/>
    <w:rsid w:val="00D96837"/>
    <w:rsid w:val="00D96925"/>
    <w:rsid w:val="00D970A3"/>
    <w:rsid w:val="00D970FF"/>
    <w:rsid w:val="00D971A1"/>
    <w:rsid w:val="00D97346"/>
    <w:rsid w:val="00D977F2"/>
    <w:rsid w:val="00D9781E"/>
    <w:rsid w:val="00DA0504"/>
    <w:rsid w:val="00DA0B0B"/>
    <w:rsid w:val="00DA137D"/>
    <w:rsid w:val="00DA157F"/>
    <w:rsid w:val="00DA186E"/>
    <w:rsid w:val="00DA189E"/>
    <w:rsid w:val="00DA18D4"/>
    <w:rsid w:val="00DA1BE9"/>
    <w:rsid w:val="00DA2359"/>
    <w:rsid w:val="00DA390A"/>
    <w:rsid w:val="00DA3C42"/>
    <w:rsid w:val="00DA4116"/>
    <w:rsid w:val="00DA4307"/>
    <w:rsid w:val="00DA47E3"/>
    <w:rsid w:val="00DA4AEB"/>
    <w:rsid w:val="00DA4B0C"/>
    <w:rsid w:val="00DA5800"/>
    <w:rsid w:val="00DA58FC"/>
    <w:rsid w:val="00DA5AC6"/>
    <w:rsid w:val="00DA650A"/>
    <w:rsid w:val="00DA6FF7"/>
    <w:rsid w:val="00DA79A5"/>
    <w:rsid w:val="00DB0456"/>
    <w:rsid w:val="00DB09E7"/>
    <w:rsid w:val="00DB0A6E"/>
    <w:rsid w:val="00DB1566"/>
    <w:rsid w:val="00DB157F"/>
    <w:rsid w:val="00DB162B"/>
    <w:rsid w:val="00DB1BCA"/>
    <w:rsid w:val="00DB1EC2"/>
    <w:rsid w:val="00DB2469"/>
    <w:rsid w:val="00DB251C"/>
    <w:rsid w:val="00DB273B"/>
    <w:rsid w:val="00DB2752"/>
    <w:rsid w:val="00DB38AD"/>
    <w:rsid w:val="00DB3A05"/>
    <w:rsid w:val="00DB4630"/>
    <w:rsid w:val="00DB51FD"/>
    <w:rsid w:val="00DB5946"/>
    <w:rsid w:val="00DB5BBA"/>
    <w:rsid w:val="00DB5BC8"/>
    <w:rsid w:val="00DB63F3"/>
    <w:rsid w:val="00DB662E"/>
    <w:rsid w:val="00DB66CA"/>
    <w:rsid w:val="00DB77EB"/>
    <w:rsid w:val="00DC06DE"/>
    <w:rsid w:val="00DC0861"/>
    <w:rsid w:val="00DC1135"/>
    <w:rsid w:val="00DC11C1"/>
    <w:rsid w:val="00DC1402"/>
    <w:rsid w:val="00DC1808"/>
    <w:rsid w:val="00DC1A1D"/>
    <w:rsid w:val="00DC1A63"/>
    <w:rsid w:val="00DC1F09"/>
    <w:rsid w:val="00DC2156"/>
    <w:rsid w:val="00DC241B"/>
    <w:rsid w:val="00DC2781"/>
    <w:rsid w:val="00DC40F5"/>
    <w:rsid w:val="00DC41EE"/>
    <w:rsid w:val="00DC4445"/>
    <w:rsid w:val="00DC486E"/>
    <w:rsid w:val="00DC4F51"/>
    <w:rsid w:val="00DC4F88"/>
    <w:rsid w:val="00DC579C"/>
    <w:rsid w:val="00DC5852"/>
    <w:rsid w:val="00DC5D14"/>
    <w:rsid w:val="00DC5FDC"/>
    <w:rsid w:val="00DC61BF"/>
    <w:rsid w:val="00DC68A5"/>
    <w:rsid w:val="00DC6ABF"/>
    <w:rsid w:val="00DC6B29"/>
    <w:rsid w:val="00DC6F0A"/>
    <w:rsid w:val="00DC7330"/>
    <w:rsid w:val="00DC79E2"/>
    <w:rsid w:val="00DC7BD0"/>
    <w:rsid w:val="00DD0043"/>
    <w:rsid w:val="00DD1782"/>
    <w:rsid w:val="00DD1999"/>
    <w:rsid w:val="00DD4194"/>
    <w:rsid w:val="00DD4B09"/>
    <w:rsid w:val="00DD5684"/>
    <w:rsid w:val="00DD670D"/>
    <w:rsid w:val="00DD7106"/>
    <w:rsid w:val="00DD7C01"/>
    <w:rsid w:val="00DE01EC"/>
    <w:rsid w:val="00DE0A85"/>
    <w:rsid w:val="00DE0E1B"/>
    <w:rsid w:val="00DE12F1"/>
    <w:rsid w:val="00DE1498"/>
    <w:rsid w:val="00DE2009"/>
    <w:rsid w:val="00DE2320"/>
    <w:rsid w:val="00DE3447"/>
    <w:rsid w:val="00DE34D2"/>
    <w:rsid w:val="00DE40AF"/>
    <w:rsid w:val="00DE4178"/>
    <w:rsid w:val="00DE4262"/>
    <w:rsid w:val="00DE4479"/>
    <w:rsid w:val="00DE4B9D"/>
    <w:rsid w:val="00DE4C07"/>
    <w:rsid w:val="00DE5380"/>
    <w:rsid w:val="00DE5A98"/>
    <w:rsid w:val="00DE6DC5"/>
    <w:rsid w:val="00DE70E4"/>
    <w:rsid w:val="00DE79F9"/>
    <w:rsid w:val="00DE7AA4"/>
    <w:rsid w:val="00DE7D3B"/>
    <w:rsid w:val="00DE7DCB"/>
    <w:rsid w:val="00DF0CB7"/>
    <w:rsid w:val="00DF0D8B"/>
    <w:rsid w:val="00DF1189"/>
    <w:rsid w:val="00DF14DC"/>
    <w:rsid w:val="00DF2077"/>
    <w:rsid w:val="00DF2860"/>
    <w:rsid w:val="00DF29AE"/>
    <w:rsid w:val="00DF3745"/>
    <w:rsid w:val="00DF389A"/>
    <w:rsid w:val="00DF3B6B"/>
    <w:rsid w:val="00DF48E9"/>
    <w:rsid w:val="00DF4967"/>
    <w:rsid w:val="00DF4D99"/>
    <w:rsid w:val="00DF6A50"/>
    <w:rsid w:val="00DF6A76"/>
    <w:rsid w:val="00DF6A98"/>
    <w:rsid w:val="00DF6BBA"/>
    <w:rsid w:val="00DF74AC"/>
    <w:rsid w:val="00DF7BA6"/>
    <w:rsid w:val="00E0171E"/>
    <w:rsid w:val="00E02C47"/>
    <w:rsid w:val="00E030CD"/>
    <w:rsid w:val="00E0371A"/>
    <w:rsid w:val="00E03A00"/>
    <w:rsid w:val="00E03E58"/>
    <w:rsid w:val="00E04476"/>
    <w:rsid w:val="00E04921"/>
    <w:rsid w:val="00E04B0C"/>
    <w:rsid w:val="00E05704"/>
    <w:rsid w:val="00E05A1D"/>
    <w:rsid w:val="00E061F0"/>
    <w:rsid w:val="00E06267"/>
    <w:rsid w:val="00E06C0B"/>
    <w:rsid w:val="00E06CC3"/>
    <w:rsid w:val="00E11E44"/>
    <w:rsid w:val="00E11F86"/>
    <w:rsid w:val="00E12603"/>
    <w:rsid w:val="00E12DEC"/>
    <w:rsid w:val="00E12F66"/>
    <w:rsid w:val="00E13326"/>
    <w:rsid w:val="00E13AFA"/>
    <w:rsid w:val="00E14450"/>
    <w:rsid w:val="00E144A6"/>
    <w:rsid w:val="00E144F7"/>
    <w:rsid w:val="00E1450C"/>
    <w:rsid w:val="00E145E0"/>
    <w:rsid w:val="00E14738"/>
    <w:rsid w:val="00E158B6"/>
    <w:rsid w:val="00E160DE"/>
    <w:rsid w:val="00E165CE"/>
    <w:rsid w:val="00E167A1"/>
    <w:rsid w:val="00E16AB4"/>
    <w:rsid w:val="00E16D60"/>
    <w:rsid w:val="00E177B9"/>
    <w:rsid w:val="00E17BA6"/>
    <w:rsid w:val="00E200D9"/>
    <w:rsid w:val="00E202D7"/>
    <w:rsid w:val="00E20C2C"/>
    <w:rsid w:val="00E20F6B"/>
    <w:rsid w:val="00E210AE"/>
    <w:rsid w:val="00E213EB"/>
    <w:rsid w:val="00E2140B"/>
    <w:rsid w:val="00E214A0"/>
    <w:rsid w:val="00E21663"/>
    <w:rsid w:val="00E2168B"/>
    <w:rsid w:val="00E21F03"/>
    <w:rsid w:val="00E220CA"/>
    <w:rsid w:val="00E2265E"/>
    <w:rsid w:val="00E2298C"/>
    <w:rsid w:val="00E22E4A"/>
    <w:rsid w:val="00E22FB2"/>
    <w:rsid w:val="00E23045"/>
    <w:rsid w:val="00E247EF"/>
    <w:rsid w:val="00E24E41"/>
    <w:rsid w:val="00E25F82"/>
    <w:rsid w:val="00E260D3"/>
    <w:rsid w:val="00E2695F"/>
    <w:rsid w:val="00E27048"/>
    <w:rsid w:val="00E305E0"/>
    <w:rsid w:val="00E30960"/>
    <w:rsid w:val="00E309B8"/>
    <w:rsid w:val="00E30BC4"/>
    <w:rsid w:val="00E30EE0"/>
    <w:rsid w:val="00E31427"/>
    <w:rsid w:val="00E32F1F"/>
    <w:rsid w:val="00E338CE"/>
    <w:rsid w:val="00E338EF"/>
    <w:rsid w:val="00E33904"/>
    <w:rsid w:val="00E33A5F"/>
    <w:rsid w:val="00E34242"/>
    <w:rsid w:val="00E349BB"/>
    <w:rsid w:val="00E34A52"/>
    <w:rsid w:val="00E350DE"/>
    <w:rsid w:val="00E35C82"/>
    <w:rsid w:val="00E36272"/>
    <w:rsid w:val="00E364EC"/>
    <w:rsid w:val="00E36B6A"/>
    <w:rsid w:val="00E3735E"/>
    <w:rsid w:val="00E40959"/>
    <w:rsid w:val="00E40990"/>
    <w:rsid w:val="00E40FF8"/>
    <w:rsid w:val="00E41819"/>
    <w:rsid w:val="00E41A1A"/>
    <w:rsid w:val="00E41ACA"/>
    <w:rsid w:val="00E425D3"/>
    <w:rsid w:val="00E430FD"/>
    <w:rsid w:val="00E432AE"/>
    <w:rsid w:val="00E43730"/>
    <w:rsid w:val="00E43AD1"/>
    <w:rsid w:val="00E43E9F"/>
    <w:rsid w:val="00E4415E"/>
    <w:rsid w:val="00E44D46"/>
    <w:rsid w:val="00E44E6D"/>
    <w:rsid w:val="00E4563C"/>
    <w:rsid w:val="00E45CBA"/>
    <w:rsid w:val="00E4621B"/>
    <w:rsid w:val="00E479BD"/>
    <w:rsid w:val="00E500A3"/>
    <w:rsid w:val="00E50166"/>
    <w:rsid w:val="00E50FE5"/>
    <w:rsid w:val="00E5185D"/>
    <w:rsid w:val="00E529B9"/>
    <w:rsid w:val="00E530E0"/>
    <w:rsid w:val="00E5354A"/>
    <w:rsid w:val="00E535DA"/>
    <w:rsid w:val="00E536CC"/>
    <w:rsid w:val="00E53940"/>
    <w:rsid w:val="00E53D07"/>
    <w:rsid w:val="00E543C8"/>
    <w:rsid w:val="00E544BB"/>
    <w:rsid w:val="00E55873"/>
    <w:rsid w:val="00E55A4C"/>
    <w:rsid w:val="00E56B7D"/>
    <w:rsid w:val="00E56DEE"/>
    <w:rsid w:val="00E578EC"/>
    <w:rsid w:val="00E57E52"/>
    <w:rsid w:val="00E57F3A"/>
    <w:rsid w:val="00E60243"/>
    <w:rsid w:val="00E60423"/>
    <w:rsid w:val="00E607B6"/>
    <w:rsid w:val="00E60AB8"/>
    <w:rsid w:val="00E61917"/>
    <w:rsid w:val="00E61A26"/>
    <w:rsid w:val="00E62110"/>
    <w:rsid w:val="00E62649"/>
    <w:rsid w:val="00E629E3"/>
    <w:rsid w:val="00E62E65"/>
    <w:rsid w:val="00E649D7"/>
    <w:rsid w:val="00E64AA6"/>
    <w:rsid w:val="00E64B43"/>
    <w:rsid w:val="00E6591A"/>
    <w:rsid w:val="00E662CB"/>
    <w:rsid w:val="00E6702C"/>
    <w:rsid w:val="00E672FF"/>
    <w:rsid w:val="00E67443"/>
    <w:rsid w:val="00E676F2"/>
    <w:rsid w:val="00E67C4B"/>
    <w:rsid w:val="00E67CF5"/>
    <w:rsid w:val="00E67D4B"/>
    <w:rsid w:val="00E70281"/>
    <w:rsid w:val="00E70488"/>
    <w:rsid w:val="00E7164B"/>
    <w:rsid w:val="00E71671"/>
    <w:rsid w:val="00E720BC"/>
    <w:rsid w:val="00E7242D"/>
    <w:rsid w:val="00E73566"/>
    <w:rsid w:val="00E73D83"/>
    <w:rsid w:val="00E7485F"/>
    <w:rsid w:val="00E74DC7"/>
    <w:rsid w:val="00E74F9B"/>
    <w:rsid w:val="00E75BE8"/>
    <w:rsid w:val="00E75C6A"/>
    <w:rsid w:val="00E75D30"/>
    <w:rsid w:val="00E76414"/>
    <w:rsid w:val="00E7675D"/>
    <w:rsid w:val="00E7701D"/>
    <w:rsid w:val="00E80706"/>
    <w:rsid w:val="00E8075A"/>
    <w:rsid w:val="00E818A6"/>
    <w:rsid w:val="00E81EBB"/>
    <w:rsid w:val="00E81F91"/>
    <w:rsid w:val="00E82273"/>
    <w:rsid w:val="00E8308B"/>
    <w:rsid w:val="00E840EC"/>
    <w:rsid w:val="00E845A6"/>
    <w:rsid w:val="00E845FD"/>
    <w:rsid w:val="00E84919"/>
    <w:rsid w:val="00E85A6B"/>
    <w:rsid w:val="00E85A91"/>
    <w:rsid w:val="00E8620E"/>
    <w:rsid w:val="00E8666F"/>
    <w:rsid w:val="00E86DEC"/>
    <w:rsid w:val="00E870FB"/>
    <w:rsid w:val="00E8717F"/>
    <w:rsid w:val="00E87301"/>
    <w:rsid w:val="00E876EC"/>
    <w:rsid w:val="00E87718"/>
    <w:rsid w:val="00E87742"/>
    <w:rsid w:val="00E8776F"/>
    <w:rsid w:val="00E87AD8"/>
    <w:rsid w:val="00E87F52"/>
    <w:rsid w:val="00E90094"/>
    <w:rsid w:val="00E905E9"/>
    <w:rsid w:val="00E907AD"/>
    <w:rsid w:val="00E90A21"/>
    <w:rsid w:val="00E90E79"/>
    <w:rsid w:val="00E914AB"/>
    <w:rsid w:val="00E91F23"/>
    <w:rsid w:val="00E91F40"/>
    <w:rsid w:val="00E9257C"/>
    <w:rsid w:val="00E92AD9"/>
    <w:rsid w:val="00E9314E"/>
    <w:rsid w:val="00E93F82"/>
    <w:rsid w:val="00E94AD2"/>
    <w:rsid w:val="00E94C7D"/>
    <w:rsid w:val="00E94D5E"/>
    <w:rsid w:val="00E963F3"/>
    <w:rsid w:val="00E96736"/>
    <w:rsid w:val="00E96F2C"/>
    <w:rsid w:val="00E97A23"/>
    <w:rsid w:val="00EA03A8"/>
    <w:rsid w:val="00EA0BF6"/>
    <w:rsid w:val="00EA128A"/>
    <w:rsid w:val="00EA17A6"/>
    <w:rsid w:val="00EA2AFE"/>
    <w:rsid w:val="00EA2B6A"/>
    <w:rsid w:val="00EA2C8F"/>
    <w:rsid w:val="00EA2E8A"/>
    <w:rsid w:val="00EA303F"/>
    <w:rsid w:val="00EA39D1"/>
    <w:rsid w:val="00EA3B11"/>
    <w:rsid w:val="00EA439E"/>
    <w:rsid w:val="00EA5763"/>
    <w:rsid w:val="00EA5878"/>
    <w:rsid w:val="00EA671B"/>
    <w:rsid w:val="00EA7100"/>
    <w:rsid w:val="00EA7214"/>
    <w:rsid w:val="00EA75E8"/>
    <w:rsid w:val="00EA763D"/>
    <w:rsid w:val="00EA7F9F"/>
    <w:rsid w:val="00EA7FD7"/>
    <w:rsid w:val="00EB0725"/>
    <w:rsid w:val="00EB0E70"/>
    <w:rsid w:val="00EB0F45"/>
    <w:rsid w:val="00EB1274"/>
    <w:rsid w:val="00EB14EF"/>
    <w:rsid w:val="00EB1A5F"/>
    <w:rsid w:val="00EB28EA"/>
    <w:rsid w:val="00EB28FA"/>
    <w:rsid w:val="00EB2BD7"/>
    <w:rsid w:val="00EB3426"/>
    <w:rsid w:val="00EB3968"/>
    <w:rsid w:val="00EB4242"/>
    <w:rsid w:val="00EB46C8"/>
    <w:rsid w:val="00EB4B03"/>
    <w:rsid w:val="00EB517B"/>
    <w:rsid w:val="00EB54D9"/>
    <w:rsid w:val="00EB563B"/>
    <w:rsid w:val="00EB5B2F"/>
    <w:rsid w:val="00EB7207"/>
    <w:rsid w:val="00EB7B78"/>
    <w:rsid w:val="00EC06DF"/>
    <w:rsid w:val="00EC0C3E"/>
    <w:rsid w:val="00EC112D"/>
    <w:rsid w:val="00EC1486"/>
    <w:rsid w:val="00EC1ECB"/>
    <w:rsid w:val="00EC2B07"/>
    <w:rsid w:val="00EC2DAF"/>
    <w:rsid w:val="00EC3728"/>
    <w:rsid w:val="00EC3D02"/>
    <w:rsid w:val="00EC406F"/>
    <w:rsid w:val="00EC4757"/>
    <w:rsid w:val="00EC526A"/>
    <w:rsid w:val="00EC5720"/>
    <w:rsid w:val="00EC614D"/>
    <w:rsid w:val="00EC62F8"/>
    <w:rsid w:val="00EC6528"/>
    <w:rsid w:val="00EC7EDB"/>
    <w:rsid w:val="00ED00B4"/>
    <w:rsid w:val="00ED04F7"/>
    <w:rsid w:val="00ED069B"/>
    <w:rsid w:val="00ED0A73"/>
    <w:rsid w:val="00ED0D10"/>
    <w:rsid w:val="00ED1026"/>
    <w:rsid w:val="00ED14FB"/>
    <w:rsid w:val="00ED1960"/>
    <w:rsid w:val="00ED1A09"/>
    <w:rsid w:val="00ED1FB3"/>
    <w:rsid w:val="00ED27BC"/>
    <w:rsid w:val="00ED2BB6"/>
    <w:rsid w:val="00ED2C27"/>
    <w:rsid w:val="00ED2F43"/>
    <w:rsid w:val="00ED2FC5"/>
    <w:rsid w:val="00ED3257"/>
    <w:rsid w:val="00ED3413"/>
    <w:rsid w:val="00ED34E1"/>
    <w:rsid w:val="00ED3B8D"/>
    <w:rsid w:val="00ED458A"/>
    <w:rsid w:val="00ED4887"/>
    <w:rsid w:val="00ED4DAC"/>
    <w:rsid w:val="00ED5D14"/>
    <w:rsid w:val="00ED6317"/>
    <w:rsid w:val="00ED64D5"/>
    <w:rsid w:val="00ED6500"/>
    <w:rsid w:val="00ED65DA"/>
    <w:rsid w:val="00ED6A48"/>
    <w:rsid w:val="00ED796D"/>
    <w:rsid w:val="00ED79B3"/>
    <w:rsid w:val="00ED7B3A"/>
    <w:rsid w:val="00EE03EB"/>
    <w:rsid w:val="00EE0FE3"/>
    <w:rsid w:val="00EE1291"/>
    <w:rsid w:val="00EE1A82"/>
    <w:rsid w:val="00EE1A9A"/>
    <w:rsid w:val="00EE1B64"/>
    <w:rsid w:val="00EE21FE"/>
    <w:rsid w:val="00EE25E6"/>
    <w:rsid w:val="00EE33D2"/>
    <w:rsid w:val="00EE3B93"/>
    <w:rsid w:val="00EE3E29"/>
    <w:rsid w:val="00EE3EA1"/>
    <w:rsid w:val="00EE421D"/>
    <w:rsid w:val="00EE4469"/>
    <w:rsid w:val="00EE4E57"/>
    <w:rsid w:val="00EE535F"/>
    <w:rsid w:val="00EE641B"/>
    <w:rsid w:val="00EE6AB6"/>
    <w:rsid w:val="00EE7349"/>
    <w:rsid w:val="00EE78E6"/>
    <w:rsid w:val="00EE7DCE"/>
    <w:rsid w:val="00EF0752"/>
    <w:rsid w:val="00EF0B05"/>
    <w:rsid w:val="00EF0FC6"/>
    <w:rsid w:val="00EF1327"/>
    <w:rsid w:val="00EF15D3"/>
    <w:rsid w:val="00EF20C2"/>
    <w:rsid w:val="00EF26C2"/>
    <w:rsid w:val="00EF2A4B"/>
    <w:rsid w:val="00EF2AB7"/>
    <w:rsid w:val="00EF2DB4"/>
    <w:rsid w:val="00EF2E3A"/>
    <w:rsid w:val="00EF448C"/>
    <w:rsid w:val="00EF4FFF"/>
    <w:rsid w:val="00EF5648"/>
    <w:rsid w:val="00EF5A1F"/>
    <w:rsid w:val="00EF5B7D"/>
    <w:rsid w:val="00EF625D"/>
    <w:rsid w:val="00EF6265"/>
    <w:rsid w:val="00EF6308"/>
    <w:rsid w:val="00EF6F55"/>
    <w:rsid w:val="00EF7B59"/>
    <w:rsid w:val="00EF7B6A"/>
    <w:rsid w:val="00F00182"/>
    <w:rsid w:val="00F0045D"/>
    <w:rsid w:val="00F00FDE"/>
    <w:rsid w:val="00F0114D"/>
    <w:rsid w:val="00F01CF5"/>
    <w:rsid w:val="00F01FD1"/>
    <w:rsid w:val="00F0235C"/>
    <w:rsid w:val="00F029ED"/>
    <w:rsid w:val="00F02EC7"/>
    <w:rsid w:val="00F02EF8"/>
    <w:rsid w:val="00F02EF9"/>
    <w:rsid w:val="00F03082"/>
    <w:rsid w:val="00F03BB5"/>
    <w:rsid w:val="00F044F0"/>
    <w:rsid w:val="00F0450D"/>
    <w:rsid w:val="00F047D8"/>
    <w:rsid w:val="00F04907"/>
    <w:rsid w:val="00F04AE0"/>
    <w:rsid w:val="00F04BBB"/>
    <w:rsid w:val="00F04BD6"/>
    <w:rsid w:val="00F04EF8"/>
    <w:rsid w:val="00F04F3E"/>
    <w:rsid w:val="00F04FB4"/>
    <w:rsid w:val="00F05A9C"/>
    <w:rsid w:val="00F05C32"/>
    <w:rsid w:val="00F06367"/>
    <w:rsid w:val="00F0640A"/>
    <w:rsid w:val="00F06633"/>
    <w:rsid w:val="00F0671E"/>
    <w:rsid w:val="00F067AF"/>
    <w:rsid w:val="00F072A7"/>
    <w:rsid w:val="00F078DC"/>
    <w:rsid w:val="00F07BF6"/>
    <w:rsid w:val="00F101BF"/>
    <w:rsid w:val="00F10248"/>
    <w:rsid w:val="00F10533"/>
    <w:rsid w:val="00F109A8"/>
    <w:rsid w:val="00F10A8A"/>
    <w:rsid w:val="00F10C04"/>
    <w:rsid w:val="00F11766"/>
    <w:rsid w:val="00F11DC1"/>
    <w:rsid w:val="00F1241E"/>
    <w:rsid w:val="00F12D61"/>
    <w:rsid w:val="00F13095"/>
    <w:rsid w:val="00F130A1"/>
    <w:rsid w:val="00F134BB"/>
    <w:rsid w:val="00F13DE7"/>
    <w:rsid w:val="00F13FBE"/>
    <w:rsid w:val="00F14005"/>
    <w:rsid w:val="00F14593"/>
    <w:rsid w:val="00F14620"/>
    <w:rsid w:val="00F14B7C"/>
    <w:rsid w:val="00F1527D"/>
    <w:rsid w:val="00F1568F"/>
    <w:rsid w:val="00F15BDD"/>
    <w:rsid w:val="00F16169"/>
    <w:rsid w:val="00F16FE9"/>
    <w:rsid w:val="00F171A1"/>
    <w:rsid w:val="00F17552"/>
    <w:rsid w:val="00F201FB"/>
    <w:rsid w:val="00F20946"/>
    <w:rsid w:val="00F20993"/>
    <w:rsid w:val="00F20F25"/>
    <w:rsid w:val="00F22386"/>
    <w:rsid w:val="00F229AF"/>
    <w:rsid w:val="00F22C08"/>
    <w:rsid w:val="00F23119"/>
    <w:rsid w:val="00F23548"/>
    <w:rsid w:val="00F23971"/>
    <w:rsid w:val="00F2426B"/>
    <w:rsid w:val="00F24B1F"/>
    <w:rsid w:val="00F2558D"/>
    <w:rsid w:val="00F25FFC"/>
    <w:rsid w:val="00F264BA"/>
    <w:rsid w:val="00F2663A"/>
    <w:rsid w:val="00F26C87"/>
    <w:rsid w:val="00F27356"/>
    <w:rsid w:val="00F277C3"/>
    <w:rsid w:val="00F3074C"/>
    <w:rsid w:val="00F313CA"/>
    <w:rsid w:val="00F319E1"/>
    <w:rsid w:val="00F31ACC"/>
    <w:rsid w:val="00F31C37"/>
    <w:rsid w:val="00F3283E"/>
    <w:rsid w:val="00F328F7"/>
    <w:rsid w:val="00F32BA8"/>
    <w:rsid w:val="00F3314E"/>
    <w:rsid w:val="00F335AA"/>
    <w:rsid w:val="00F335E3"/>
    <w:rsid w:val="00F33C9F"/>
    <w:rsid w:val="00F344D6"/>
    <w:rsid w:val="00F346AE"/>
    <w:rsid w:val="00F34821"/>
    <w:rsid w:val="00F349F1"/>
    <w:rsid w:val="00F35E80"/>
    <w:rsid w:val="00F36301"/>
    <w:rsid w:val="00F36D18"/>
    <w:rsid w:val="00F36E1F"/>
    <w:rsid w:val="00F3705A"/>
    <w:rsid w:val="00F37CC8"/>
    <w:rsid w:val="00F37DC8"/>
    <w:rsid w:val="00F400A1"/>
    <w:rsid w:val="00F40E4D"/>
    <w:rsid w:val="00F41301"/>
    <w:rsid w:val="00F41655"/>
    <w:rsid w:val="00F41CB8"/>
    <w:rsid w:val="00F4215A"/>
    <w:rsid w:val="00F421A2"/>
    <w:rsid w:val="00F424C9"/>
    <w:rsid w:val="00F42685"/>
    <w:rsid w:val="00F42E2E"/>
    <w:rsid w:val="00F4350D"/>
    <w:rsid w:val="00F43A04"/>
    <w:rsid w:val="00F43DC9"/>
    <w:rsid w:val="00F444DF"/>
    <w:rsid w:val="00F455C2"/>
    <w:rsid w:val="00F457A1"/>
    <w:rsid w:val="00F45922"/>
    <w:rsid w:val="00F45B3C"/>
    <w:rsid w:val="00F45C3F"/>
    <w:rsid w:val="00F45C97"/>
    <w:rsid w:val="00F46947"/>
    <w:rsid w:val="00F46D28"/>
    <w:rsid w:val="00F474E6"/>
    <w:rsid w:val="00F47F24"/>
    <w:rsid w:val="00F47F65"/>
    <w:rsid w:val="00F50474"/>
    <w:rsid w:val="00F50532"/>
    <w:rsid w:val="00F5090F"/>
    <w:rsid w:val="00F50EF0"/>
    <w:rsid w:val="00F52A7A"/>
    <w:rsid w:val="00F52CA6"/>
    <w:rsid w:val="00F52FB6"/>
    <w:rsid w:val="00F5372C"/>
    <w:rsid w:val="00F53796"/>
    <w:rsid w:val="00F5383F"/>
    <w:rsid w:val="00F538A6"/>
    <w:rsid w:val="00F53FDA"/>
    <w:rsid w:val="00F54617"/>
    <w:rsid w:val="00F549B4"/>
    <w:rsid w:val="00F55001"/>
    <w:rsid w:val="00F5503F"/>
    <w:rsid w:val="00F55535"/>
    <w:rsid w:val="00F55C9C"/>
    <w:rsid w:val="00F56120"/>
    <w:rsid w:val="00F5638E"/>
    <w:rsid w:val="00F567F7"/>
    <w:rsid w:val="00F57472"/>
    <w:rsid w:val="00F601B0"/>
    <w:rsid w:val="00F60E38"/>
    <w:rsid w:val="00F61047"/>
    <w:rsid w:val="00F61A66"/>
    <w:rsid w:val="00F61B09"/>
    <w:rsid w:val="00F61BD3"/>
    <w:rsid w:val="00F61F07"/>
    <w:rsid w:val="00F62036"/>
    <w:rsid w:val="00F628C0"/>
    <w:rsid w:val="00F62DCD"/>
    <w:rsid w:val="00F63529"/>
    <w:rsid w:val="00F63A2C"/>
    <w:rsid w:val="00F644E6"/>
    <w:rsid w:val="00F65B52"/>
    <w:rsid w:val="00F662DA"/>
    <w:rsid w:val="00F671D1"/>
    <w:rsid w:val="00F67BCA"/>
    <w:rsid w:val="00F7007F"/>
    <w:rsid w:val="00F70617"/>
    <w:rsid w:val="00F709C9"/>
    <w:rsid w:val="00F71063"/>
    <w:rsid w:val="00F71295"/>
    <w:rsid w:val="00F71399"/>
    <w:rsid w:val="00F7288B"/>
    <w:rsid w:val="00F72AA6"/>
    <w:rsid w:val="00F73A56"/>
    <w:rsid w:val="00F73BD6"/>
    <w:rsid w:val="00F73DE3"/>
    <w:rsid w:val="00F74AA7"/>
    <w:rsid w:val="00F762FC"/>
    <w:rsid w:val="00F76BB0"/>
    <w:rsid w:val="00F773D2"/>
    <w:rsid w:val="00F77746"/>
    <w:rsid w:val="00F77A53"/>
    <w:rsid w:val="00F8007A"/>
    <w:rsid w:val="00F800C9"/>
    <w:rsid w:val="00F80ACD"/>
    <w:rsid w:val="00F81EF2"/>
    <w:rsid w:val="00F8209D"/>
    <w:rsid w:val="00F82B25"/>
    <w:rsid w:val="00F82D7B"/>
    <w:rsid w:val="00F83989"/>
    <w:rsid w:val="00F839AA"/>
    <w:rsid w:val="00F83DDB"/>
    <w:rsid w:val="00F8468B"/>
    <w:rsid w:val="00F8492A"/>
    <w:rsid w:val="00F84A7A"/>
    <w:rsid w:val="00F84BAB"/>
    <w:rsid w:val="00F85099"/>
    <w:rsid w:val="00F855A1"/>
    <w:rsid w:val="00F85F02"/>
    <w:rsid w:val="00F86091"/>
    <w:rsid w:val="00F8619F"/>
    <w:rsid w:val="00F866AC"/>
    <w:rsid w:val="00F86C36"/>
    <w:rsid w:val="00F8709D"/>
    <w:rsid w:val="00F8723F"/>
    <w:rsid w:val="00F8761F"/>
    <w:rsid w:val="00F87BF8"/>
    <w:rsid w:val="00F87D54"/>
    <w:rsid w:val="00F87E83"/>
    <w:rsid w:val="00F90ED4"/>
    <w:rsid w:val="00F91431"/>
    <w:rsid w:val="00F91BA5"/>
    <w:rsid w:val="00F92E81"/>
    <w:rsid w:val="00F9379C"/>
    <w:rsid w:val="00F945C6"/>
    <w:rsid w:val="00F94E83"/>
    <w:rsid w:val="00F95F76"/>
    <w:rsid w:val="00F9632C"/>
    <w:rsid w:val="00F96485"/>
    <w:rsid w:val="00F965DC"/>
    <w:rsid w:val="00F974B7"/>
    <w:rsid w:val="00F97DD7"/>
    <w:rsid w:val="00FA00C7"/>
    <w:rsid w:val="00FA0A69"/>
    <w:rsid w:val="00FA1154"/>
    <w:rsid w:val="00FA13A8"/>
    <w:rsid w:val="00FA13DC"/>
    <w:rsid w:val="00FA1E52"/>
    <w:rsid w:val="00FA1EAF"/>
    <w:rsid w:val="00FA2BE9"/>
    <w:rsid w:val="00FA31DE"/>
    <w:rsid w:val="00FA34F9"/>
    <w:rsid w:val="00FA35A8"/>
    <w:rsid w:val="00FA39CE"/>
    <w:rsid w:val="00FA3B31"/>
    <w:rsid w:val="00FA3D9A"/>
    <w:rsid w:val="00FA4B3F"/>
    <w:rsid w:val="00FA5991"/>
    <w:rsid w:val="00FA5CCE"/>
    <w:rsid w:val="00FA6ED8"/>
    <w:rsid w:val="00FA7D17"/>
    <w:rsid w:val="00FB0DA4"/>
    <w:rsid w:val="00FB11B5"/>
    <w:rsid w:val="00FB136F"/>
    <w:rsid w:val="00FB139C"/>
    <w:rsid w:val="00FB19E9"/>
    <w:rsid w:val="00FB1C63"/>
    <w:rsid w:val="00FB1FB4"/>
    <w:rsid w:val="00FB2A04"/>
    <w:rsid w:val="00FB2B7C"/>
    <w:rsid w:val="00FB3C24"/>
    <w:rsid w:val="00FB3D94"/>
    <w:rsid w:val="00FB4472"/>
    <w:rsid w:val="00FB45C7"/>
    <w:rsid w:val="00FB50A4"/>
    <w:rsid w:val="00FB5602"/>
    <w:rsid w:val="00FB5BA1"/>
    <w:rsid w:val="00FB5D68"/>
    <w:rsid w:val="00FB654A"/>
    <w:rsid w:val="00FB67D0"/>
    <w:rsid w:val="00FB6D3E"/>
    <w:rsid w:val="00FB705A"/>
    <w:rsid w:val="00FB71F3"/>
    <w:rsid w:val="00FB78E2"/>
    <w:rsid w:val="00FC0271"/>
    <w:rsid w:val="00FC0B39"/>
    <w:rsid w:val="00FC1556"/>
    <w:rsid w:val="00FC1612"/>
    <w:rsid w:val="00FC2472"/>
    <w:rsid w:val="00FC2489"/>
    <w:rsid w:val="00FC27F5"/>
    <w:rsid w:val="00FC3EB8"/>
    <w:rsid w:val="00FC3F55"/>
    <w:rsid w:val="00FC4495"/>
    <w:rsid w:val="00FC4700"/>
    <w:rsid w:val="00FC4CCB"/>
    <w:rsid w:val="00FC4CE0"/>
    <w:rsid w:val="00FC57C3"/>
    <w:rsid w:val="00FC6444"/>
    <w:rsid w:val="00FC6A5E"/>
    <w:rsid w:val="00FC6D88"/>
    <w:rsid w:val="00FC7D25"/>
    <w:rsid w:val="00FD06AC"/>
    <w:rsid w:val="00FD07FA"/>
    <w:rsid w:val="00FD0A91"/>
    <w:rsid w:val="00FD0AAA"/>
    <w:rsid w:val="00FD102B"/>
    <w:rsid w:val="00FD11C2"/>
    <w:rsid w:val="00FD13CC"/>
    <w:rsid w:val="00FD13E5"/>
    <w:rsid w:val="00FD14CC"/>
    <w:rsid w:val="00FD1816"/>
    <w:rsid w:val="00FD1E1F"/>
    <w:rsid w:val="00FD2A47"/>
    <w:rsid w:val="00FD2A4F"/>
    <w:rsid w:val="00FD2E53"/>
    <w:rsid w:val="00FD2EF1"/>
    <w:rsid w:val="00FD3B45"/>
    <w:rsid w:val="00FD52DF"/>
    <w:rsid w:val="00FD5476"/>
    <w:rsid w:val="00FD567A"/>
    <w:rsid w:val="00FD5731"/>
    <w:rsid w:val="00FD5FED"/>
    <w:rsid w:val="00FD76F1"/>
    <w:rsid w:val="00FD7775"/>
    <w:rsid w:val="00FE027D"/>
    <w:rsid w:val="00FE04B9"/>
    <w:rsid w:val="00FE073C"/>
    <w:rsid w:val="00FE0D65"/>
    <w:rsid w:val="00FE17B8"/>
    <w:rsid w:val="00FE1AE6"/>
    <w:rsid w:val="00FE1B67"/>
    <w:rsid w:val="00FE1C49"/>
    <w:rsid w:val="00FE1E15"/>
    <w:rsid w:val="00FE20FC"/>
    <w:rsid w:val="00FE253F"/>
    <w:rsid w:val="00FE2599"/>
    <w:rsid w:val="00FE28BF"/>
    <w:rsid w:val="00FE2D5D"/>
    <w:rsid w:val="00FE2DA1"/>
    <w:rsid w:val="00FE2FB8"/>
    <w:rsid w:val="00FE407B"/>
    <w:rsid w:val="00FE42DE"/>
    <w:rsid w:val="00FE43BA"/>
    <w:rsid w:val="00FE44E7"/>
    <w:rsid w:val="00FE4688"/>
    <w:rsid w:val="00FE4C6A"/>
    <w:rsid w:val="00FE4DF3"/>
    <w:rsid w:val="00FE5BA2"/>
    <w:rsid w:val="00FE65BA"/>
    <w:rsid w:val="00FE6B51"/>
    <w:rsid w:val="00FE6CD8"/>
    <w:rsid w:val="00FE6DA5"/>
    <w:rsid w:val="00FE722A"/>
    <w:rsid w:val="00FE72D6"/>
    <w:rsid w:val="00FE77EF"/>
    <w:rsid w:val="00FE77F7"/>
    <w:rsid w:val="00FE79D0"/>
    <w:rsid w:val="00FE7B32"/>
    <w:rsid w:val="00FE7DD5"/>
    <w:rsid w:val="00FF00B1"/>
    <w:rsid w:val="00FF023D"/>
    <w:rsid w:val="00FF0390"/>
    <w:rsid w:val="00FF0739"/>
    <w:rsid w:val="00FF0FA5"/>
    <w:rsid w:val="00FF2700"/>
    <w:rsid w:val="00FF2877"/>
    <w:rsid w:val="00FF28C1"/>
    <w:rsid w:val="00FF3858"/>
    <w:rsid w:val="00FF465C"/>
    <w:rsid w:val="00FF497E"/>
    <w:rsid w:val="00FF69FE"/>
    <w:rsid w:val="00FF6C2A"/>
    <w:rsid w:val="00FF72B4"/>
    <w:rsid w:val="00FF7521"/>
    <w:rsid w:val="00FF794B"/>
    <w:rsid w:val="00FF79BE"/>
    <w:rsid w:val="00FF7CBF"/>
    <w:rsid w:val="00FF7E6F"/>
    <w:rsid w:val="00FF7FE1"/>
    <w:rsid w:val="08B3949B"/>
    <w:rsid w:val="4D33D6CB"/>
    <w:rsid w:val="68D180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FD5B58D8-1DBF-4E0F-AF9A-B7711E43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0C4560"/>
    <w:pPr>
      <w:ind w:left="720"/>
      <w:contextualSpacing/>
    </w:pPr>
  </w:style>
  <w:style w:type="character" w:styleId="Mention">
    <w:name w:val="Mention"/>
    <w:basedOn w:val="DefaultParagraphFont"/>
    <w:uiPriority w:val="99"/>
    <w:unhideWhenUsed/>
    <w:rsid w:val="004E4E5F"/>
    <w:rPr>
      <w:color w:val="2B579A"/>
      <w:shd w:val="clear" w:color="auto" w:fill="E1DFDD"/>
    </w:rPr>
  </w:style>
  <w:style w:type="paragraph" w:styleId="Revision">
    <w:name w:val="Revision"/>
    <w:hidden/>
    <w:uiPriority w:val="99"/>
    <w:semiHidden/>
    <w:rsid w:val="001E17B8"/>
    <w:rPr>
      <w:sz w:val="22"/>
      <w:lang w:eastAsia="en-US"/>
    </w:rPr>
  </w:style>
  <w:style w:type="character" w:styleId="UnresolvedMention">
    <w:name w:val="Unresolved Mention"/>
    <w:basedOn w:val="DefaultParagraphFont"/>
    <w:uiPriority w:val="99"/>
    <w:semiHidden/>
    <w:unhideWhenUsed/>
    <w:rsid w:val="00845733"/>
    <w:rPr>
      <w:color w:val="605E5C"/>
      <w:shd w:val="clear" w:color="auto" w:fill="E1DFDD"/>
    </w:rPr>
  </w:style>
  <w:style w:type="paragraph" w:customStyle="1" w:styleId="MIRBodyText">
    <w:name w:val="MIR Body Text"/>
    <w:basedOn w:val="Normal"/>
    <w:link w:val="MIRBodyTextChar"/>
    <w:qFormat/>
    <w:rsid w:val="00184771"/>
    <w:pPr>
      <w:tabs>
        <w:tab w:val="left" w:pos="2205"/>
      </w:tabs>
      <w:spacing w:before="200" w:line="300" w:lineRule="atLeast"/>
      <w:ind w:left="851"/>
    </w:pPr>
    <w:rPr>
      <w:rFonts w:eastAsia="Times New Roman"/>
      <w:szCs w:val="22"/>
      <w:lang w:eastAsia="en-AU"/>
    </w:rPr>
  </w:style>
  <w:style w:type="character" w:customStyle="1" w:styleId="MIRBodyTextChar">
    <w:name w:val="MIR Body Text Char"/>
    <w:basedOn w:val="DefaultParagraphFont"/>
    <w:link w:val="MIRBodyText"/>
    <w:rsid w:val="00184771"/>
    <w:rPr>
      <w:rFonts w:eastAsia="Times New Roman"/>
      <w:sz w:val="22"/>
      <w:szCs w:val="22"/>
    </w:rPr>
  </w:style>
  <w:style w:type="paragraph" w:customStyle="1" w:styleId="MIRSubpara">
    <w:name w:val="MIR Subpara"/>
    <w:basedOn w:val="Normal"/>
    <w:link w:val="MIRSubparaChar"/>
    <w:qFormat/>
    <w:rsid w:val="00184771"/>
    <w:pPr>
      <w:tabs>
        <w:tab w:val="num" w:pos="1440"/>
      </w:tabs>
      <w:spacing w:before="100" w:line="300" w:lineRule="atLeast"/>
    </w:pPr>
    <w:rPr>
      <w:rFonts w:eastAsia="Times New Roman"/>
      <w:szCs w:val="22"/>
      <w:lang w:eastAsia="en-AU"/>
    </w:rPr>
  </w:style>
  <w:style w:type="character" w:customStyle="1" w:styleId="MIRSubparaChar">
    <w:name w:val="MIR Subpara Char"/>
    <w:basedOn w:val="DefaultParagraphFont"/>
    <w:link w:val="MIRSubpara"/>
    <w:rsid w:val="00184771"/>
    <w:rPr>
      <w:rFonts w:eastAsia="Times New Roman"/>
      <w:sz w:val="22"/>
      <w:szCs w:val="22"/>
    </w:rPr>
  </w:style>
  <w:style w:type="paragraph" w:styleId="FootnoteText">
    <w:name w:val="footnote text"/>
    <w:basedOn w:val="Normal"/>
    <w:link w:val="FootnoteTextChar"/>
    <w:uiPriority w:val="99"/>
    <w:semiHidden/>
    <w:unhideWhenUsed/>
    <w:rsid w:val="00C346D6"/>
    <w:pPr>
      <w:spacing w:line="240" w:lineRule="auto"/>
    </w:pPr>
    <w:rPr>
      <w:sz w:val="20"/>
    </w:rPr>
  </w:style>
  <w:style w:type="character" w:customStyle="1" w:styleId="FootnoteTextChar">
    <w:name w:val="Footnote Text Char"/>
    <w:basedOn w:val="DefaultParagraphFont"/>
    <w:link w:val="FootnoteText"/>
    <w:uiPriority w:val="99"/>
    <w:semiHidden/>
    <w:rsid w:val="00C346D6"/>
    <w:rPr>
      <w:lang w:eastAsia="en-US"/>
    </w:rPr>
  </w:style>
  <w:style w:type="character" w:styleId="FootnoteReference">
    <w:name w:val="footnote reference"/>
    <w:basedOn w:val="DefaultParagraphFont"/>
    <w:uiPriority w:val="99"/>
    <w:semiHidden/>
    <w:unhideWhenUsed/>
    <w:rsid w:val="00C346D6"/>
    <w:rPr>
      <w:vertAlign w:val="superscript"/>
    </w:rPr>
  </w:style>
  <w:style w:type="character" w:styleId="FollowedHyperlink">
    <w:name w:val="FollowedHyperlink"/>
    <w:basedOn w:val="DefaultParagraphFont"/>
    <w:uiPriority w:val="99"/>
    <w:semiHidden/>
    <w:unhideWhenUsed/>
    <w:rsid w:val="00854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31331864">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45312939">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04060721">
      <w:bodyDiv w:val="1"/>
      <w:marLeft w:val="0"/>
      <w:marRight w:val="0"/>
      <w:marTop w:val="0"/>
      <w:marBottom w:val="0"/>
      <w:divBdr>
        <w:top w:val="none" w:sz="0" w:space="0" w:color="auto"/>
        <w:left w:val="none" w:sz="0" w:space="0" w:color="auto"/>
        <w:bottom w:val="none" w:sz="0" w:space="0" w:color="auto"/>
        <w:right w:val="none" w:sz="0" w:space="0" w:color="auto"/>
      </w:divBdr>
    </w:div>
    <w:div w:id="1759131157">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C38E944B4DD3AA4C893F78595E4C0178" ma:contentTypeVersion="4" ma:contentTypeDescription="Create a new document." ma:contentTypeScope="" ma:versionID="1428549d7e6bd93db320bc3e9bb47dcd">
  <xsd:schema xmlns:xsd="http://www.w3.org/2001/XMLSchema" xmlns:xs="http://www.w3.org/2001/XMLSchema" xmlns:p="http://schemas.microsoft.com/office/2006/metadata/properties" xmlns:ns2="db2b92ca-6ed0-4085-802d-4c686a2e8c3f" targetNamespace="http://schemas.microsoft.com/office/2006/metadata/properties" ma:root="true" ma:fieldsID="925a891aea2f883c8107c8ec1a33369c" ns2:_="">
    <xsd:import namespace="db2b92ca-6ed0-4085-802d-4c686a2e8c3f"/>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499b681-ef89-459e-93d8-2782a21666a8}" ma:internalName="TaxCatchAll" ma:showField="CatchAllData" ma:web="3889dd10-8242-4e93-b59f-c16a300eae7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499b681-ef89-459e-93d8-2782a21666a8}" ma:internalName="TaxCatchAllLabel" ma:readOnly="true" ma:showField="CatchAllDataLabel" ma:web="3889dd10-8242-4e93-b59f-c16a300eae75">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f302855-5de3-48f9-83c2-fc1acc0f760b" ContentTypeId="0x010100B5F685A1365F544391EF8C813B164F3A" PreviousValue="false" LastSyncTimeStamp="2023-09-11T06:23:17.76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TaxCatchAll xmlns="db2b92ca-6ed0-4085-802d-4c686a2e8c3f">
      <Value>5</Value>
    </TaxCatchAll>
  </documentManagement>
</p:properties>
</file>

<file path=customXml/itemProps1.xml><?xml version="1.0" encoding="utf-8"?>
<ds:datastoreItem xmlns:ds="http://schemas.openxmlformats.org/officeDocument/2006/customXml" ds:itemID="{D17AEC5A-241A-4022-8D37-758755292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678B8-01F6-4928-8AD6-6C6573781A6C}">
  <ds:schemaRefs>
    <ds:schemaRef ds:uri="Microsoft.SharePoint.Taxonomy.ContentTypeSync"/>
  </ds:schemaRefs>
</ds:datastoreItem>
</file>

<file path=customXml/itemProps3.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4.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5.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6.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db2b92ca-6ed0-4085-802d-4c686a2e8c3f"/>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19</Pages>
  <Words>6294</Words>
  <Characters>35882</Characters>
  <Application>Microsoft Office Word</Application>
  <DocSecurity>0</DocSecurity>
  <PresentationFormat/>
  <Lines>299</Lines>
  <Paragraphs>84</Paragraphs>
  <ScaleCrop>false</ScaleCrop>
  <HeadingPairs>
    <vt:vector size="2" baseType="variant">
      <vt:variant>
        <vt:lpstr>Title</vt:lpstr>
      </vt:variant>
      <vt:variant>
        <vt:i4>1</vt:i4>
      </vt:variant>
    </vt:vector>
  </HeadingPairs>
  <TitlesOfParts>
    <vt:vector size="1" baseType="lpstr">
      <vt:lpstr>FINAL - ASIC CS Services Rules 2025 Explanatory Statement.docx</vt:lpstr>
    </vt:vector>
  </TitlesOfParts>
  <Company>ASIC</Company>
  <LinksUpToDate>false</LinksUpToDate>
  <CharactersWithSpaces>42092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ASIC CS Services Rules 2025 Explanatory Statement.docx</dc:title>
  <dc:subject/>
  <dc:creator>Liang Chen</dc:creator>
  <cp:keywords/>
  <cp:lastModifiedBy>Narelle Kane</cp:lastModifiedBy>
  <cp:revision>4</cp:revision>
  <cp:lastPrinted>2019-01-03T02:56:00Z</cp:lastPrinted>
  <dcterms:created xsi:type="dcterms:W3CDTF">2025-02-19T04:10:00Z</dcterms:created>
  <dcterms:modified xsi:type="dcterms:W3CDTF">2025-02-19T04:46:00Z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59abe7d9-3ed4-4979-bc99-8400f022ce6c</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0x010100B5F685A1365F544391EF8C813B164F3A00C38E944B4DD3AA4C893F78595E4C0178</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ies>
</file>