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9BB8C" w14:textId="43575AAC" w:rsidR="000E6C4E" w:rsidRPr="00822447" w:rsidRDefault="0057002B" w:rsidP="00EF77EE">
      <w:pPr>
        <w:pStyle w:val="ESTitleHeader"/>
        <w:rPr>
          <w:sz w:val="24"/>
          <w:szCs w:val="24"/>
        </w:rPr>
      </w:pPr>
      <w:bookmarkStart w:id="0" w:name="_GoBack"/>
      <w:bookmarkEnd w:id="0"/>
      <w:r w:rsidRPr="00822447">
        <w:rPr>
          <w:sz w:val="24"/>
          <w:szCs w:val="24"/>
        </w:rPr>
        <w:t>EXPLANATORY STATEMENT</w:t>
      </w:r>
    </w:p>
    <w:p w14:paraId="3E1CA31B" w14:textId="553B2D52" w:rsidR="0057002B" w:rsidRPr="00DE0E02" w:rsidRDefault="0057002B" w:rsidP="00EF77EE">
      <w:pPr>
        <w:pStyle w:val="ESTitleDecisionMaker"/>
        <w:spacing w:before="240" w:after="240"/>
        <w:rPr>
          <w:sz w:val="24"/>
          <w:szCs w:val="24"/>
        </w:rPr>
      </w:pPr>
      <w:r w:rsidRPr="00DE0E02">
        <w:rPr>
          <w:sz w:val="24"/>
          <w:szCs w:val="24"/>
        </w:rPr>
        <w:t xml:space="preserve">Issued by authority </w:t>
      </w:r>
      <w:r w:rsidRPr="0031435D">
        <w:rPr>
          <w:sz w:val="24"/>
          <w:szCs w:val="24"/>
        </w:rPr>
        <w:t xml:space="preserve">of </w:t>
      </w:r>
      <w:r w:rsidR="00DE0E02" w:rsidRPr="0031435D">
        <w:rPr>
          <w:sz w:val="24"/>
          <w:szCs w:val="24"/>
        </w:rPr>
        <w:t>the Minister for Home Affairs</w:t>
      </w:r>
    </w:p>
    <w:p w14:paraId="6BAA13F4" w14:textId="4C99C37E" w:rsidR="0057002B" w:rsidRPr="00DE0E02" w:rsidRDefault="00DE0E02" w:rsidP="00EF77EE">
      <w:pPr>
        <w:pStyle w:val="ESTitleEnablingLegislation"/>
        <w:spacing w:before="240" w:after="240"/>
        <w:rPr>
          <w:sz w:val="24"/>
          <w:szCs w:val="24"/>
        </w:rPr>
      </w:pPr>
      <w:r w:rsidRPr="00DE0E02">
        <w:rPr>
          <w:sz w:val="24"/>
          <w:szCs w:val="24"/>
        </w:rPr>
        <w:t>Customs Act 1901</w:t>
      </w:r>
    </w:p>
    <w:p w14:paraId="76CC6CFA" w14:textId="53C150A0" w:rsidR="0057002B" w:rsidRPr="00F346E0" w:rsidRDefault="00DE0E02" w:rsidP="00EF77EE">
      <w:pPr>
        <w:pStyle w:val="ESTitleInstrumentName"/>
        <w:spacing w:before="240" w:after="240"/>
        <w:rPr>
          <w:b w:val="0"/>
          <w:sz w:val="24"/>
          <w:szCs w:val="24"/>
        </w:rPr>
      </w:pPr>
      <w:r w:rsidRPr="00F346E0">
        <w:rPr>
          <w:b w:val="0"/>
          <w:sz w:val="24"/>
          <w:szCs w:val="24"/>
        </w:rPr>
        <w:t xml:space="preserve">Customs (Prohibited Exports) </w:t>
      </w:r>
      <w:r w:rsidR="00A140BA" w:rsidRPr="00F346E0">
        <w:rPr>
          <w:b w:val="0"/>
          <w:sz w:val="24"/>
          <w:szCs w:val="24"/>
        </w:rPr>
        <w:t xml:space="preserve">Amendment (Defence Trade Controls) </w:t>
      </w:r>
      <w:r w:rsidR="000F18F0" w:rsidRPr="00F346E0">
        <w:rPr>
          <w:b w:val="0"/>
          <w:sz w:val="24"/>
          <w:szCs w:val="24"/>
        </w:rPr>
        <w:t>Regulations</w:t>
      </w:r>
      <w:r w:rsidRPr="00F346E0">
        <w:rPr>
          <w:b w:val="0"/>
          <w:sz w:val="24"/>
          <w:szCs w:val="24"/>
        </w:rPr>
        <w:t xml:space="preserve"> 2025</w:t>
      </w:r>
    </w:p>
    <w:p w14:paraId="70463F92" w14:textId="77777777" w:rsidR="00370950" w:rsidRPr="00370950" w:rsidRDefault="00370950" w:rsidP="00EF77EE">
      <w:pPr>
        <w:pStyle w:val="ESPara"/>
        <w:jc w:val="both"/>
        <w:rPr>
          <w:sz w:val="24"/>
          <w:lang w:val="en-US"/>
        </w:rPr>
      </w:pPr>
      <w:r w:rsidRPr="00370950">
        <w:rPr>
          <w:sz w:val="24"/>
          <w:lang w:val="en-US"/>
        </w:rPr>
        <w:t xml:space="preserve">The </w:t>
      </w:r>
      <w:r w:rsidRPr="00370950">
        <w:rPr>
          <w:i/>
          <w:sz w:val="24"/>
          <w:lang w:val="en-US"/>
        </w:rPr>
        <w:t>Customs Act 1901</w:t>
      </w:r>
      <w:r w:rsidRPr="00370950">
        <w:rPr>
          <w:sz w:val="24"/>
          <w:lang w:val="en-US"/>
        </w:rPr>
        <w:t xml:space="preserve"> (the Act) concerns customs related functions and is the legislative authority that sets out the customs requirements for the importation, and exportation, of goods to and from Australia. </w:t>
      </w:r>
    </w:p>
    <w:p w14:paraId="5201B6E8" w14:textId="77777777" w:rsidR="00370950" w:rsidRPr="00370950" w:rsidRDefault="00370950" w:rsidP="00EF77EE">
      <w:pPr>
        <w:pStyle w:val="ESPara"/>
        <w:jc w:val="both"/>
        <w:rPr>
          <w:sz w:val="24"/>
          <w:lang w:val="en-US"/>
        </w:rPr>
      </w:pPr>
      <w:r w:rsidRPr="00370950">
        <w:rPr>
          <w:sz w:val="24"/>
          <w:lang w:val="en-US"/>
        </w:rPr>
        <w:t xml:space="preserve">Subsection 270(1) of the Act, provides, in part, that the Governor-General may make regulations, not inconsistent with the Act, prescribing all matters, which by the Act are required or permitted to be prescribed, or which are necessary or convenient to be prescribed for giving effect to the Act. </w:t>
      </w:r>
    </w:p>
    <w:p w14:paraId="7C2352F7" w14:textId="374CFA3A" w:rsidR="00370950" w:rsidRPr="00370950" w:rsidRDefault="00370950" w:rsidP="00EF77EE">
      <w:pPr>
        <w:pStyle w:val="ESPara"/>
        <w:jc w:val="both"/>
        <w:rPr>
          <w:sz w:val="24"/>
          <w:szCs w:val="24"/>
          <w:lang w:val="en-US"/>
        </w:rPr>
      </w:pPr>
      <w:r w:rsidRPr="00370950">
        <w:rPr>
          <w:sz w:val="24"/>
          <w:lang w:val="en-US"/>
        </w:rPr>
        <w:t xml:space="preserve">Section 112 of the Act provides, in part, that the Governor-General may, by regulation, prohibit the exportation of goods </w:t>
      </w:r>
      <w:r w:rsidRPr="00370950">
        <w:rPr>
          <w:sz w:val="24"/>
          <w:szCs w:val="24"/>
          <w:lang w:val="en-US"/>
        </w:rPr>
        <w:t>from Australia and that the power may be exercised by prohibiting the exportation of goods absolutely or by prohibiting the exportation of goods unless specified conditions or restrictions are complied with.</w:t>
      </w:r>
      <w:r w:rsidR="00CE0B99">
        <w:rPr>
          <w:sz w:val="24"/>
          <w:szCs w:val="24"/>
          <w:lang w:val="en-US"/>
        </w:rPr>
        <w:t xml:space="preserve"> The </w:t>
      </w:r>
      <w:r w:rsidR="00CE0B99" w:rsidRPr="00142CAD">
        <w:rPr>
          <w:i/>
          <w:sz w:val="24"/>
          <w:szCs w:val="24"/>
          <w:lang w:val="en-US"/>
        </w:rPr>
        <w:t>Customs (Prohibited Export) Regulations 1958</w:t>
      </w:r>
      <w:r w:rsidR="00CE0B99" w:rsidRPr="00142CAD">
        <w:rPr>
          <w:sz w:val="24"/>
          <w:szCs w:val="24"/>
          <w:lang w:val="en-US"/>
        </w:rPr>
        <w:t xml:space="preserve"> </w:t>
      </w:r>
      <w:r w:rsidR="00CE0B99">
        <w:rPr>
          <w:sz w:val="24"/>
          <w:szCs w:val="24"/>
          <w:lang w:val="en-US"/>
        </w:rPr>
        <w:t>(</w:t>
      </w:r>
      <w:r w:rsidR="00DE2856">
        <w:rPr>
          <w:sz w:val="24"/>
          <w:szCs w:val="24"/>
          <w:lang w:val="en-US"/>
        </w:rPr>
        <w:t xml:space="preserve">Prohibited Exports Regulations) </w:t>
      </w:r>
      <w:r w:rsidR="00CE0B99" w:rsidRPr="00142CAD">
        <w:rPr>
          <w:sz w:val="24"/>
          <w:szCs w:val="24"/>
          <w:lang w:val="en-US"/>
        </w:rPr>
        <w:t>control the exportation of goods from Australia in accordance with section 112 of the Customs Act</w:t>
      </w:r>
      <w:r w:rsidR="00CE0B99" w:rsidRPr="00CE0B99">
        <w:rPr>
          <w:sz w:val="24"/>
          <w:szCs w:val="24"/>
          <w:lang w:val="en-US"/>
        </w:rPr>
        <w:t>.</w:t>
      </w:r>
    </w:p>
    <w:p w14:paraId="1B7D9E0C" w14:textId="5E8E733B" w:rsidR="00BD598E" w:rsidRPr="00822447" w:rsidRDefault="00356408" w:rsidP="00EF77EE">
      <w:pPr>
        <w:pStyle w:val="ESPara"/>
        <w:jc w:val="both"/>
        <w:rPr>
          <w:sz w:val="24"/>
          <w:szCs w:val="24"/>
        </w:rPr>
      </w:pPr>
      <w:r w:rsidRPr="00822447">
        <w:rPr>
          <w:sz w:val="24"/>
          <w:szCs w:val="24"/>
        </w:rPr>
        <w:t xml:space="preserve">The </w:t>
      </w:r>
      <w:r w:rsidR="00DE0E02" w:rsidRPr="00DE0E02">
        <w:rPr>
          <w:i/>
          <w:sz w:val="24"/>
          <w:szCs w:val="24"/>
        </w:rPr>
        <w:t xml:space="preserve">Customs (Prohibited Exports) </w:t>
      </w:r>
      <w:r w:rsidR="000F18F0">
        <w:rPr>
          <w:i/>
          <w:sz w:val="24"/>
          <w:szCs w:val="24"/>
        </w:rPr>
        <w:t xml:space="preserve">Amendment </w:t>
      </w:r>
      <w:r w:rsidR="00A140BA">
        <w:rPr>
          <w:i/>
          <w:sz w:val="24"/>
          <w:szCs w:val="24"/>
        </w:rPr>
        <w:t xml:space="preserve">(Defence Trade Controls) </w:t>
      </w:r>
      <w:r w:rsidR="000F18F0">
        <w:rPr>
          <w:i/>
          <w:sz w:val="24"/>
          <w:szCs w:val="24"/>
        </w:rPr>
        <w:t>Regulations</w:t>
      </w:r>
      <w:r w:rsidR="00DE0E02" w:rsidRPr="00DE0E02">
        <w:rPr>
          <w:i/>
          <w:sz w:val="24"/>
          <w:szCs w:val="24"/>
        </w:rPr>
        <w:t xml:space="preserve"> 2025</w:t>
      </w:r>
      <w:r w:rsidR="00DE0E02" w:rsidRPr="00DE0E02">
        <w:rPr>
          <w:sz w:val="24"/>
          <w:szCs w:val="24"/>
        </w:rPr>
        <w:t xml:space="preserve"> </w:t>
      </w:r>
      <w:r w:rsidR="00DE0E02">
        <w:rPr>
          <w:sz w:val="24"/>
          <w:szCs w:val="24"/>
        </w:rPr>
        <w:t>(Regulations) are</w:t>
      </w:r>
      <w:r w:rsidR="0057002B" w:rsidRPr="00822447">
        <w:rPr>
          <w:sz w:val="24"/>
          <w:szCs w:val="24"/>
        </w:rPr>
        <w:t xml:space="preserve"> mad</w:t>
      </w:r>
      <w:r w:rsidR="0057002B" w:rsidRPr="00DE0E02">
        <w:rPr>
          <w:sz w:val="24"/>
          <w:szCs w:val="24"/>
        </w:rPr>
        <w:t>e under</w:t>
      </w:r>
      <w:r w:rsidR="0039109F" w:rsidRPr="00DE0E02">
        <w:rPr>
          <w:sz w:val="24"/>
          <w:szCs w:val="24"/>
        </w:rPr>
        <w:t xml:space="preserve"> </w:t>
      </w:r>
      <w:r w:rsidR="00142CAD">
        <w:rPr>
          <w:sz w:val="24"/>
          <w:szCs w:val="24"/>
        </w:rPr>
        <w:t>sub</w:t>
      </w:r>
      <w:r w:rsidR="00DE0E02" w:rsidRPr="00DE0E02">
        <w:rPr>
          <w:sz w:val="24"/>
          <w:szCs w:val="24"/>
        </w:rPr>
        <w:t>section</w:t>
      </w:r>
      <w:r w:rsidR="00142CAD">
        <w:rPr>
          <w:sz w:val="24"/>
          <w:szCs w:val="24"/>
        </w:rPr>
        <w:t>s</w:t>
      </w:r>
      <w:r w:rsidR="00DE0E02" w:rsidRPr="00DE0E02">
        <w:rPr>
          <w:sz w:val="24"/>
          <w:szCs w:val="24"/>
        </w:rPr>
        <w:t xml:space="preserve"> </w:t>
      </w:r>
      <w:r w:rsidR="00370950">
        <w:rPr>
          <w:sz w:val="24"/>
          <w:szCs w:val="24"/>
        </w:rPr>
        <w:t>112</w:t>
      </w:r>
      <w:r w:rsidR="00142CAD">
        <w:rPr>
          <w:sz w:val="24"/>
          <w:szCs w:val="24"/>
        </w:rPr>
        <w:t xml:space="preserve">(1) and </w:t>
      </w:r>
      <w:r w:rsidR="00DE0E02" w:rsidRPr="00DE0E02">
        <w:rPr>
          <w:sz w:val="24"/>
          <w:szCs w:val="24"/>
        </w:rPr>
        <w:t>270</w:t>
      </w:r>
      <w:r w:rsidR="00142CAD">
        <w:rPr>
          <w:sz w:val="24"/>
          <w:szCs w:val="24"/>
        </w:rPr>
        <w:t>(1)</w:t>
      </w:r>
      <w:r w:rsidR="0039109F" w:rsidRPr="00DE0E02">
        <w:rPr>
          <w:sz w:val="24"/>
          <w:szCs w:val="24"/>
        </w:rPr>
        <w:t xml:space="preserve"> of the Act</w:t>
      </w:r>
      <w:r w:rsidR="0057002B" w:rsidRPr="00DE0E02">
        <w:rPr>
          <w:sz w:val="24"/>
          <w:szCs w:val="24"/>
        </w:rPr>
        <w:t xml:space="preserve">. </w:t>
      </w:r>
      <w:r w:rsidR="00AA4557" w:rsidRPr="00822447">
        <w:rPr>
          <w:sz w:val="24"/>
          <w:szCs w:val="24"/>
        </w:rPr>
        <w:t xml:space="preserve">The </w:t>
      </w:r>
      <w:r w:rsidR="00DE0E02" w:rsidRPr="00206434">
        <w:rPr>
          <w:sz w:val="24"/>
          <w:szCs w:val="24"/>
        </w:rPr>
        <w:t>Regulations</w:t>
      </w:r>
      <w:r w:rsidR="00AA4557" w:rsidRPr="00206434">
        <w:rPr>
          <w:sz w:val="24"/>
          <w:szCs w:val="24"/>
        </w:rPr>
        <w:t xml:space="preserve"> </w:t>
      </w:r>
      <w:r w:rsidR="00DE0E02" w:rsidRPr="00206434">
        <w:rPr>
          <w:sz w:val="24"/>
          <w:szCs w:val="24"/>
        </w:rPr>
        <w:t>commenced</w:t>
      </w:r>
      <w:r w:rsidR="00AA4557" w:rsidRPr="00206434">
        <w:rPr>
          <w:sz w:val="24"/>
          <w:szCs w:val="24"/>
        </w:rPr>
        <w:t xml:space="preserve"> </w:t>
      </w:r>
      <w:r w:rsidR="00DE0E02" w:rsidRPr="00206434">
        <w:rPr>
          <w:sz w:val="24"/>
          <w:szCs w:val="24"/>
        </w:rPr>
        <w:t xml:space="preserve">on </w:t>
      </w:r>
      <w:r w:rsidR="00861AC9">
        <w:rPr>
          <w:sz w:val="24"/>
          <w:szCs w:val="24"/>
        </w:rPr>
        <w:t>the day after they were registered on the Federal Register of Legislation</w:t>
      </w:r>
      <w:r w:rsidR="00CB26CC" w:rsidRPr="00206434">
        <w:rPr>
          <w:sz w:val="24"/>
          <w:szCs w:val="24"/>
        </w:rPr>
        <w:t xml:space="preserve"> and </w:t>
      </w:r>
      <w:r w:rsidR="00DE0E02" w:rsidRPr="00206434">
        <w:rPr>
          <w:sz w:val="24"/>
          <w:szCs w:val="24"/>
        </w:rPr>
        <w:t>are</w:t>
      </w:r>
      <w:r w:rsidR="00BD598E" w:rsidRPr="00206434">
        <w:rPr>
          <w:sz w:val="24"/>
          <w:szCs w:val="24"/>
        </w:rPr>
        <w:t xml:space="preserve"> a </w:t>
      </w:r>
      <w:r w:rsidR="00AA4557" w:rsidRPr="00206434">
        <w:rPr>
          <w:sz w:val="24"/>
          <w:szCs w:val="24"/>
        </w:rPr>
        <w:t>legislative</w:t>
      </w:r>
      <w:r w:rsidR="00BD598E" w:rsidRPr="00206434">
        <w:rPr>
          <w:sz w:val="24"/>
          <w:szCs w:val="24"/>
        </w:rPr>
        <w:t xml:space="preserve"> instrument for </w:t>
      </w:r>
      <w:r w:rsidR="00AC5930" w:rsidRPr="00206434">
        <w:rPr>
          <w:sz w:val="24"/>
          <w:szCs w:val="24"/>
        </w:rPr>
        <w:t xml:space="preserve">the purposes of </w:t>
      </w:r>
      <w:r w:rsidR="00B75478" w:rsidRPr="00206434">
        <w:rPr>
          <w:sz w:val="24"/>
          <w:szCs w:val="24"/>
        </w:rPr>
        <w:t xml:space="preserve">the </w:t>
      </w:r>
      <w:r w:rsidR="00100DFC" w:rsidRPr="00206434">
        <w:rPr>
          <w:i/>
          <w:sz w:val="24"/>
          <w:szCs w:val="24"/>
        </w:rPr>
        <w:t>Legislation Act 20</w:t>
      </w:r>
      <w:r w:rsidR="00100DFC" w:rsidRPr="00822447">
        <w:rPr>
          <w:i/>
          <w:sz w:val="24"/>
          <w:szCs w:val="24"/>
        </w:rPr>
        <w:t>03</w:t>
      </w:r>
      <w:r w:rsidR="00100DFC" w:rsidRPr="00822447">
        <w:rPr>
          <w:sz w:val="24"/>
          <w:szCs w:val="24"/>
        </w:rPr>
        <w:t xml:space="preserve"> (Legislation Act)</w:t>
      </w:r>
      <w:r w:rsidR="00BD598E" w:rsidRPr="00822447">
        <w:rPr>
          <w:sz w:val="24"/>
          <w:szCs w:val="24"/>
        </w:rPr>
        <w:t xml:space="preserve">. </w:t>
      </w:r>
    </w:p>
    <w:p w14:paraId="3D24E323" w14:textId="77777777" w:rsidR="00EA12C9" w:rsidRPr="00822447" w:rsidRDefault="00BD598E" w:rsidP="00EF77EE">
      <w:pPr>
        <w:pStyle w:val="ESHeading"/>
        <w:rPr>
          <w:sz w:val="24"/>
          <w:szCs w:val="24"/>
        </w:rPr>
      </w:pPr>
      <w:r w:rsidRPr="00822447">
        <w:rPr>
          <w:sz w:val="24"/>
          <w:szCs w:val="24"/>
        </w:rPr>
        <w:t>Purpose</w:t>
      </w:r>
    </w:p>
    <w:p w14:paraId="10ABF8B5" w14:textId="34D369A3" w:rsidR="003979B0" w:rsidRPr="002E3189" w:rsidRDefault="003979B0" w:rsidP="00EF77EE">
      <w:pPr>
        <w:pStyle w:val="ESHeading"/>
        <w:jc w:val="both"/>
        <w:rPr>
          <w:b w:val="0"/>
          <w:i w:val="0"/>
          <w:sz w:val="24"/>
          <w:szCs w:val="24"/>
        </w:rPr>
      </w:pPr>
      <w:r w:rsidRPr="003979B0">
        <w:rPr>
          <w:b w:val="0"/>
          <w:i w:val="0"/>
          <w:sz w:val="24"/>
          <w:szCs w:val="24"/>
        </w:rPr>
        <w:t>The Regulations amend the exception set out at subregulation 13EA(5C) of the</w:t>
      </w:r>
      <w:r w:rsidR="00CE0B99">
        <w:rPr>
          <w:b w:val="0"/>
          <w:i w:val="0"/>
          <w:sz w:val="24"/>
          <w:szCs w:val="24"/>
        </w:rPr>
        <w:t xml:space="preserve"> </w:t>
      </w:r>
      <w:r w:rsidR="00F027C9" w:rsidRPr="00F027C9">
        <w:rPr>
          <w:b w:val="0"/>
          <w:i w:val="0"/>
          <w:sz w:val="24"/>
          <w:szCs w:val="24"/>
          <w:lang w:val="en-US"/>
        </w:rPr>
        <w:t>Prohibited Exports Regulations</w:t>
      </w:r>
      <w:r w:rsidRPr="003979B0">
        <w:rPr>
          <w:b w:val="0"/>
          <w:i w:val="0"/>
          <w:sz w:val="24"/>
          <w:szCs w:val="24"/>
        </w:rPr>
        <w:t xml:space="preserve">. This exception </w:t>
      </w:r>
      <w:r>
        <w:rPr>
          <w:b w:val="0"/>
          <w:i w:val="0"/>
          <w:sz w:val="24"/>
          <w:szCs w:val="24"/>
        </w:rPr>
        <w:t xml:space="preserve">currently </w:t>
      </w:r>
      <w:r w:rsidRPr="003979B0">
        <w:rPr>
          <w:b w:val="0"/>
          <w:i w:val="0"/>
          <w:sz w:val="24"/>
          <w:szCs w:val="24"/>
        </w:rPr>
        <w:t xml:space="preserve">provides that the prohibition on exporting defence and strategic goods does not apply to the exportation of </w:t>
      </w:r>
      <w:r w:rsidRPr="00A85236">
        <w:rPr>
          <w:b w:val="0"/>
          <w:i w:val="0"/>
          <w:sz w:val="24"/>
          <w:szCs w:val="24"/>
        </w:rPr>
        <w:t>Defence and Strategic Goods List</w:t>
      </w:r>
      <w:r>
        <w:rPr>
          <w:b w:val="0"/>
          <w:sz w:val="24"/>
          <w:szCs w:val="24"/>
        </w:rPr>
        <w:t xml:space="preserve"> </w:t>
      </w:r>
      <w:r>
        <w:rPr>
          <w:b w:val="0"/>
          <w:i w:val="0"/>
          <w:sz w:val="24"/>
          <w:szCs w:val="24"/>
        </w:rPr>
        <w:t>(</w:t>
      </w:r>
      <w:r w:rsidRPr="003979B0">
        <w:rPr>
          <w:b w:val="0"/>
          <w:i w:val="0"/>
          <w:sz w:val="24"/>
          <w:szCs w:val="24"/>
        </w:rPr>
        <w:t>DSGL</w:t>
      </w:r>
      <w:r>
        <w:rPr>
          <w:b w:val="0"/>
          <w:i w:val="0"/>
          <w:sz w:val="24"/>
          <w:szCs w:val="24"/>
        </w:rPr>
        <w:t>)</w:t>
      </w:r>
      <w:r w:rsidRPr="003979B0">
        <w:rPr>
          <w:b w:val="0"/>
          <w:i w:val="0"/>
          <w:sz w:val="24"/>
          <w:szCs w:val="24"/>
        </w:rPr>
        <w:t xml:space="preserve"> goods or </w:t>
      </w:r>
      <w:r w:rsidR="00F91629">
        <w:rPr>
          <w:b w:val="0"/>
          <w:i w:val="0"/>
          <w:sz w:val="24"/>
          <w:szCs w:val="24"/>
        </w:rPr>
        <w:t xml:space="preserve">goods containing </w:t>
      </w:r>
      <w:r w:rsidRPr="00A85236">
        <w:rPr>
          <w:b w:val="0"/>
          <w:i w:val="0"/>
          <w:sz w:val="24"/>
          <w:szCs w:val="24"/>
        </w:rPr>
        <w:t>DSGL technology</w:t>
      </w:r>
      <w:r w:rsidRPr="003979B0">
        <w:rPr>
          <w:b w:val="0"/>
          <w:i w:val="0"/>
          <w:sz w:val="24"/>
          <w:szCs w:val="24"/>
        </w:rPr>
        <w:t xml:space="preserve"> that are an Australian Military Sales Program item</w:t>
      </w:r>
      <w:r w:rsidR="00261E8E">
        <w:rPr>
          <w:b w:val="0"/>
          <w:i w:val="0"/>
          <w:sz w:val="24"/>
          <w:szCs w:val="24"/>
        </w:rPr>
        <w:t xml:space="preserve"> (AMSP item)</w:t>
      </w:r>
      <w:r w:rsidRPr="003979B0">
        <w:rPr>
          <w:b w:val="0"/>
          <w:i w:val="0"/>
          <w:sz w:val="24"/>
          <w:szCs w:val="24"/>
        </w:rPr>
        <w:t xml:space="preserve">, provided that the goods are exported in the course of a supply made in accordance with an agreement or arrangement between Australia and </w:t>
      </w:r>
      <w:r>
        <w:rPr>
          <w:b w:val="0"/>
          <w:i w:val="0"/>
          <w:sz w:val="24"/>
          <w:szCs w:val="24"/>
        </w:rPr>
        <w:t xml:space="preserve">one or more foreign countries. </w:t>
      </w:r>
      <w:r w:rsidR="00261E8E">
        <w:rPr>
          <w:b w:val="0"/>
          <w:i w:val="0"/>
          <w:sz w:val="24"/>
          <w:szCs w:val="24"/>
        </w:rPr>
        <w:t xml:space="preserve">DSGL goods, DSGL technology and AMSP items are all defined </w:t>
      </w:r>
      <w:r w:rsidR="002E3189">
        <w:rPr>
          <w:b w:val="0"/>
          <w:i w:val="0"/>
          <w:sz w:val="24"/>
          <w:szCs w:val="24"/>
        </w:rPr>
        <w:t xml:space="preserve">in </w:t>
      </w:r>
      <w:r w:rsidR="00261E8E">
        <w:rPr>
          <w:b w:val="0"/>
          <w:i w:val="0"/>
          <w:sz w:val="24"/>
          <w:szCs w:val="24"/>
        </w:rPr>
        <w:t xml:space="preserve">the </w:t>
      </w:r>
      <w:r w:rsidR="002E3189" w:rsidRPr="002E3189">
        <w:rPr>
          <w:b w:val="0"/>
          <w:sz w:val="24"/>
          <w:szCs w:val="24"/>
        </w:rPr>
        <w:t>Defence Trade Controls Act 2012</w:t>
      </w:r>
      <w:r w:rsidR="002E3189">
        <w:rPr>
          <w:b w:val="0"/>
          <w:i w:val="0"/>
          <w:sz w:val="24"/>
          <w:szCs w:val="24"/>
        </w:rPr>
        <w:t xml:space="preserve"> (DTC Act)</w:t>
      </w:r>
      <w:r w:rsidR="00740AD8">
        <w:rPr>
          <w:b w:val="0"/>
          <w:i w:val="0"/>
          <w:sz w:val="24"/>
          <w:szCs w:val="24"/>
        </w:rPr>
        <w:t xml:space="preserve"> and constitute items listed on the </w:t>
      </w:r>
      <w:r w:rsidR="00F715EA">
        <w:rPr>
          <w:b w:val="0"/>
          <w:i w:val="0"/>
          <w:sz w:val="24"/>
          <w:szCs w:val="24"/>
        </w:rPr>
        <w:t xml:space="preserve">DSGL. </w:t>
      </w:r>
      <w:r w:rsidR="00F715EA" w:rsidRPr="00F715EA">
        <w:rPr>
          <w:b w:val="0"/>
          <w:i w:val="0"/>
          <w:sz w:val="24"/>
          <w:szCs w:val="24"/>
        </w:rPr>
        <w:t xml:space="preserve">The </w:t>
      </w:r>
      <w:r w:rsidR="00F715EA">
        <w:rPr>
          <w:b w:val="0"/>
          <w:i w:val="0"/>
          <w:sz w:val="24"/>
          <w:szCs w:val="24"/>
        </w:rPr>
        <w:t>DSGL</w:t>
      </w:r>
      <w:r w:rsidR="00F715EA" w:rsidRPr="00F715EA">
        <w:rPr>
          <w:b w:val="0"/>
          <w:i w:val="0"/>
          <w:sz w:val="24"/>
          <w:szCs w:val="24"/>
        </w:rPr>
        <w:t xml:space="preserve"> is a legislative instrume</w:t>
      </w:r>
      <w:r w:rsidR="00F715EA">
        <w:rPr>
          <w:b w:val="0"/>
          <w:i w:val="0"/>
          <w:sz w:val="24"/>
          <w:szCs w:val="24"/>
        </w:rPr>
        <w:t>nt specifying goods, technology</w:t>
      </w:r>
      <w:r w:rsidR="00F715EA" w:rsidRPr="00F715EA">
        <w:rPr>
          <w:b w:val="0"/>
          <w:i w:val="0"/>
          <w:sz w:val="24"/>
          <w:szCs w:val="24"/>
        </w:rPr>
        <w:t xml:space="preserve"> and software regulated under Australian export control laws. The DSGL is amended to reflect changes in the various multilateral non‑proliferation and export control regimes of which Australia is a member.</w:t>
      </w:r>
    </w:p>
    <w:p w14:paraId="01CFE4EA" w14:textId="08B94524" w:rsidR="00846EB1" w:rsidRPr="00C96501" w:rsidRDefault="003979B0" w:rsidP="00EF77EE">
      <w:pPr>
        <w:pStyle w:val="ESHeading"/>
        <w:jc w:val="both"/>
        <w:rPr>
          <w:b w:val="0"/>
          <w:i w:val="0"/>
          <w:sz w:val="24"/>
          <w:szCs w:val="24"/>
        </w:rPr>
      </w:pPr>
      <w:r w:rsidRPr="003979B0">
        <w:rPr>
          <w:b w:val="0"/>
          <w:i w:val="0"/>
          <w:sz w:val="24"/>
          <w:szCs w:val="24"/>
        </w:rPr>
        <w:t xml:space="preserve">The Regulations expand this exception to cover any DSGL goods and goods containing DSGL technology that are not excluded by a determination in force under subsection 5C(3) of the </w:t>
      </w:r>
      <w:r w:rsidR="002E3189">
        <w:rPr>
          <w:b w:val="0"/>
          <w:i w:val="0"/>
          <w:sz w:val="24"/>
          <w:szCs w:val="24"/>
        </w:rPr>
        <w:t>DTC Act</w:t>
      </w:r>
      <w:r w:rsidRPr="003979B0">
        <w:rPr>
          <w:b w:val="0"/>
          <w:i w:val="0"/>
          <w:sz w:val="24"/>
          <w:szCs w:val="24"/>
        </w:rPr>
        <w:t xml:space="preserve">. The effect of this </w:t>
      </w:r>
      <w:r>
        <w:rPr>
          <w:b w:val="0"/>
          <w:i w:val="0"/>
          <w:sz w:val="24"/>
          <w:szCs w:val="24"/>
        </w:rPr>
        <w:t>is that</w:t>
      </w:r>
      <w:r w:rsidRPr="003979B0">
        <w:rPr>
          <w:b w:val="0"/>
          <w:i w:val="0"/>
          <w:sz w:val="24"/>
          <w:szCs w:val="24"/>
        </w:rPr>
        <w:t xml:space="preserve"> these </w:t>
      </w:r>
      <w:r w:rsidR="00A140BA">
        <w:rPr>
          <w:b w:val="0"/>
          <w:i w:val="0"/>
          <w:sz w:val="24"/>
          <w:szCs w:val="24"/>
        </w:rPr>
        <w:t xml:space="preserve">additional </w:t>
      </w:r>
      <w:r w:rsidRPr="003979B0">
        <w:rPr>
          <w:b w:val="0"/>
          <w:i w:val="0"/>
          <w:sz w:val="24"/>
          <w:szCs w:val="24"/>
        </w:rPr>
        <w:t xml:space="preserve">goods </w:t>
      </w:r>
      <w:r>
        <w:rPr>
          <w:b w:val="0"/>
          <w:i w:val="0"/>
          <w:sz w:val="24"/>
          <w:szCs w:val="24"/>
        </w:rPr>
        <w:t>are</w:t>
      </w:r>
      <w:r w:rsidRPr="003979B0">
        <w:rPr>
          <w:b w:val="0"/>
          <w:i w:val="0"/>
          <w:sz w:val="24"/>
          <w:szCs w:val="24"/>
        </w:rPr>
        <w:t xml:space="preserve"> not subject to the prohibition on exportation </w:t>
      </w:r>
      <w:r w:rsidR="00AA6454">
        <w:rPr>
          <w:b w:val="0"/>
          <w:i w:val="0"/>
          <w:sz w:val="24"/>
          <w:szCs w:val="24"/>
        </w:rPr>
        <w:t xml:space="preserve">and do not require a permission for exportation from Australia </w:t>
      </w:r>
      <w:r w:rsidRPr="003979B0">
        <w:rPr>
          <w:b w:val="0"/>
          <w:i w:val="0"/>
          <w:sz w:val="24"/>
          <w:szCs w:val="24"/>
        </w:rPr>
        <w:t xml:space="preserve">in circumstances where these goods are </w:t>
      </w:r>
      <w:r w:rsidRPr="003979B0">
        <w:rPr>
          <w:b w:val="0"/>
          <w:i w:val="0"/>
          <w:sz w:val="24"/>
          <w:szCs w:val="24"/>
        </w:rPr>
        <w:lastRenderedPageBreak/>
        <w:t>exported in the course of a supply made in accordance with an agreement or arrangement between Australia and one or more foreign countries.</w:t>
      </w:r>
      <w:r>
        <w:rPr>
          <w:b w:val="0"/>
          <w:i w:val="0"/>
          <w:sz w:val="24"/>
          <w:szCs w:val="24"/>
        </w:rPr>
        <w:t xml:space="preserve"> </w:t>
      </w:r>
    </w:p>
    <w:p w14:paraId="3C3F1BD5" w14:textId="404713D0" w:rsidR="00AA4557" w:rsidRPr="00822447" w:rsidRDefault="00464080" w:rsidP="00EF77EE">
      <w:pPr>
        <w:pStyle w:val="ESHeading"/>
        <w:rPr>
          <w:sz w:val="24"/>
          <w:szCs w:val="24"/>
        </w:rPr>
      </w:pPr>
      <w:r w:rsidRPr="00822447">
        <w:rPr>
          <w:sz w:val="24"/>
          <w:szCs w:val="24"/>
        </w:rPr>
        <w:t>Details</w:t>
      </w:r>
      <w:r w:rsidR="00AA4557" w:rsidRPr="00822447">
        <w:rPr>
          <w:sz w:val="24"/>
          <w:szCs w:val="24"/>
        </w:rPr>
        <w:t xml:space="preserve"> of the instrument</w:t>
      </w:r>
    </w:p>
    <w:p w14:paraId="5C1BA17B" w14:textId="3D74DBAC" w:rsidR="00E03DCC" w:rsidRPr="00822447" w:rsidRDefault="007E4691" w:rsidP="00EF77EE">
      <w:pPr>
        <w:pStyle w:val="ESPara"/>
        <w:rPr>
          <w:sz w:val="24"/>
          <w:szCs w:val="24"/>
        </w:rPr>
      </w:pPr>
      <w:r w:rsidRPr="00822447">
        <w:rPr>
          <w:sz w:val="24"/>
          <w:szCs w:val="24"/>
        </w:rPr>
        <w:t xml:space="preserve">Details of the </w:t>
      </w:r>
      <w:r w:rsidR="00EC1B11">
        <w:rPr>
          <w:sz w:val="24"/>
          <w:szCs w:val="24"/>
        </w:rPr>
        <w:t>Regulation</w:t>
      </w:r>
      <w:r w:rsidR="00B441B9">
        <w:rPr>
          <w:sz w:val="24"/>
          <w:szCs w:val="24"/>
        </w:rPr>
        <w:t>s</w:t>
      </w:r>
      <w:r w:rsidRPr="00822447">
        <w:rPr>
          <w:sz w:val="24"/>
          <w:szCs w:val="24"/>
        </w:rPr>
        <w:t xml:space="preserve"> are set out in </w:t>
      </w:r>
      <w:r w:rsidRPr="00822447">
        <w:rPr>
          <w:b/>
          <w:sz w:val="24"/>
          <w:szCs w:val="24"/>
        </w:rPr>
        <w:t xml:space="preserve">Attachment </w:t>
      </w:r>
      <w:r w:rsidR="00735916" w:rsidRPr="00822447">
        <w:rPr>
          <w:b/>
          <w:sz w:val="24"/>
          <w:szCs w:val="24"/>
        </w:rPr>
        <w:t>A</w:t>
      </w:r>
      <w:r w:rsidR="00783BFA" w:rsidRPr="00822447">
        <w:rPr>
          <w:sz w:val="24"/>
          <w:szCs w:val="24"/>
        </w:rPr>
        <w:t>.</w:t>
      </w:r>
    </w:p>
    <w:p w14:paraId="2E6E7830" w14:textId="3911C8E9" w:rsidR="003D5ECA" w:rsidRPr="004B45EA" w:rsidRDefault="00233597" w:rsidP="00EF77EE">
      <w:pPr>
        <w:pStyle w:val="ESHeading"/>
        <w:rPr>
          <w:sz w:val="24"/>
          <w:szCs w:val="24"/>
        </w:rPr>
      </w:pPr>
      <w:r w:rsidRPr="00822447">
        <w:rPr>
          <w:sz w:val="24"/>
          <w:szCs w:val="24"/>
        </w:rPr>
        <w:t>Consultation</w:t>
      </w:r>
    </w:p>
    <w:p w14:paraId="1977E1EB" w14:textId="2E928EC9" w:rsidR="003D5ECA" w:rsidRDefault="007719FA" w:rsidP="00EF77EE">
      <w:pPr>
        <w:pStyle w:val="ESHeading"/>
        <w:jc w:val="both"/>
        <w:rPr>
          <w:b w:val="0"/>
          <w:i w:val="0"/>
          <w:sz w:val="24"/>
          <w:szCs w:val="24"/>
        </w:rPr>
      </w:pPr>
      <w:r>
        <w:rPr>
          <w:b w:val="0"/>
          <w:i w:val="0"/>
          <w:sz w:val="24"/>
          <w:szCs w:val="24"/>
        </w:rPr>
        <w:t>Th</w:t>
      </w:r>
      <w:r w:rsidR="003D5ECA">
        <w:rPr>
          <w:b w:val="0"/>
          <w:i w:val="0"/>
          <w:sz w:val="24"/>
          <w:szCs w:val="24"/>
        </w:rPr>
        <w:t xml:space="preserve">e amendments to the </w:t>
      </w:r>
      <w:r w:rsidR="00F027C9" w:rsidRPr="00F027C9">
        <w:rPr>
          <w:b w:val="0"/>
          <w:i w:val="0"/>
          <w:sz w:val="24"/>
          <w:szCs w:val="24"/>
          <w:lang w:val="en-US"/>
        </w:rPr>
        <w:t>Prohibited Exports Regulations</w:t>
      </w:r>
      <w:r w:rsidR="00F027C9">
        <w:rPr>
          <w:b w:val="0"/>
          <w:i w:val="0"/>
          <w:sz w:val="24"/>
          <w:szCs w:val="24"/>
        </w:rPr>
        <w:t xml:space="preserve"> </w:t>
      </w:r>
      <w:r w:rsidR="003D5ECA">
        <w:rPr>
          <w:b w:val="0"/>
          <w:i w:val="0"/>
          <w:sz w:val="24"/>
          <w:szCs w:val="24"/>
        </w:rPr>
        <w:t xml:space="preserve">were triggered by a need for the </w:t>
      </w:r>
      <w:r w:rsidR="007F56B5">
        <w:rPr>
          <w:b w:val="0"/>
          <w:i w:val="0"/>
          <w:sz w:val="24"/>
          <w:szCs w:val="24"/>
        </w:rPr>
        <w:t xml:space="preserve">exception </w:t>
      </w:r>
      <w:r w:rsidR="003D5ECA">
        <w:rPr>
          <w:b w:val="0"/>
          <w:i w:val="0"/>
          <w:sz w:val="24"/>
          <w:szCs w:val="24"/>
        </w:rPr>
        <w:t>in the regulations to align</w:t>
      </w:r>
      <w:r w:rsidR="00DA54A8">
        <w:rPr>
          <w:b w:val="0"/>
          <w:i w:val="0"/>
          <w:sz w:val="24"/>
          <w:szCs w:val="24"/>
        </w:rPr>
        <w:t xml:space="preserve"> in scope</w:t>
      </w:r>
      <w:r w:rsidR="003D5ECA">
        <w:rPr>
          <w:b w:val="0"/>
          <w:i w:val="0"/>
          <w:sz w:val="24"/>
          <w:szCs w:val="24"/>
        </w:rPr>
        <w:t xml:space="preserve"> with the same </w:t>
      </w:r>
      <w:r w:rsidR="007F56B5">
        <w:rPr>
          <w:b w:val="0"/>
          <w:i w:val="0"/>
          <w:sz w:val="24"/>
          <w:szCs w:val="24"/>
        </w:rPr>
        <w:t xml:space="preserve">exception </w:t>
      </w:r>
      <w:r w:rsidR="003D5ECA">
        <w:rPr>
          <w:b w:val="0"/>
          <w:i w:val="0"/>
          <w:sz w:val="24"/>
          <w:szCs w:val="24"/>
        </w:rPr>
        <w:t xml:space="preserve">in </w:t>
      </w:r>
      <w:r w:rsidR="003F0EB7">
        <w:rPr>
          <w:b w:val="0"/>
          <w:i w:val="0"/>
          <w:sz w:val="24"/>
          <w:szCs w:val="24"/>
        </w:rPr>
        <w:t>sub</w:t>
      </w:r>
      <w:r w:rsidR="003D5ECA">
        <w:rPr>
          <w:b w:val="0"/>
          <w:i w:val="0"/>
          <w:sz w:val="24"/>
          <w:szCs w:val="24"/>
        </w:rPr>
        <w:t>section 5C(1</w:t>
      </w:r>
      <w:r w:rsidR="00B406B6">
        <w:rPr>
          <w:b w:val="0"/>
          <w:i w:val="0"/>
          <w:sz w:val="24"/>
          <w:szCs w:val="24"/>
        </w:rPr>
        <w:t>B</w:t>
      </w:r>
      <w:r w:rsidR="003D5ECA">
        <w:rPr>
          <w:b w:val="0"/>
          <w:i w:val="0"/>
          <w:sz w:val="24"/>
          <w:szCs w:val="24"/>
        </w:rPr>
        <w:t xml:space="preserve">) of the </w:t>
      </w:r>
      <w:r w:rsidR="00B406B6">
        <w:rPr>
          <w:b w:val="0"/>
          <w:i w:val="0"/>
          <w:sz w:val="24"/>
          <w:szCs w:val="24"/>
        </w:rPr>
        <w:t>DTC Act</w:t>
      </w:r>
      <w:r w:rsidR="007F56B5">
        <w:rPr>
          <w:b w:val="0"/>
          <w:i w:val="0"/>
          <w:sz w:val="24"/>
          <w:szCs w:val="24"/>
        </w:rPr>
        <w:t xml:space="preserve"> which relates to supply</w:t>
      </w:r>
      <w:r w:rsidR="003D5ECA">
        <w:rPr>
          <w:b w:val="0"/>
          <w:i w:val="0"/>
          <w:sz w:val="24"/>
          <w:szCs w:val="24"/>
        </w:rPr>
        <w:t>.</w:t>
      </w:r>
      <w:r>
        <w:rPr>
          <w:b w:val="0"/>
          <w:i w:val="0"/>
          <w:sz w:val="24"/>
          <w:szCs w:val="24"/>
        </w:rPr>
        <w:t xml:space="preserve"> </w:t>
      </w:r>
      <w:r w:rsidR="00DA54A8">
        <w:rPr>
          <w:b w:val="0"/>
          <w:i w:val="0"/>
          <w:sz w:val="24"/>
          <w:szCs w:val="24"/>
        </w:rPr>
        <w:t xml:space="preserve">This amendment would expand the </w:t>
      </w:r>
      <w:r w:rsidR="007F56B5">
        <w:rPr>
          <w:b w:val="0"/>
          <w:i w:val="0"/>
          <w:sz w:val="24"/>
          <w:szCs w:val="24"/>
        </w:rPr>
        <w:t xml:space="preserve">exceptions </w:t>
      </w:r>
      <w:r w:rsidR="00DA54A8">
        <w:rPr>
          <w:b w:val="0"/>
          <w:i w:val="0"/>
          <w:sz w:val="24"/>
          <w:szCs w:val="24"/>
        </w:rPr>
        <w:t>available to the regulated community and remove the requirement to obtain a permit for</w:t>
      </w:r>
      <w:r w:rsidR="00DA54A8" w:rsidRPr="00DA54A8">
        <w:rPr>
          <w:b w:val="0"/>
          <w:i w:val="0"/>
          <w:sz w:val="24"/>
          <w:szCs w:val="24"/>
        </w:rPr>
        <w:t xml:space="preserve"> </w:t>
      </w:r>
      <w:r w:rsidR="00DA54A8">
        <w:rPr>
          <w:b w:val="0"/>
          <w:i w:val="0"/>
          <w:sz w:val="24"/>
          <w:szCs w:val="24"/>
        </w:rPr>
        <w:t>not only the</w:t>
      </w:r>
      <w:r w:rsidR="00DA54A8" w:rsidRPr="00DA54A8">
        <w:rPr>
          <w:b w:val="0"/>
          <w:i w:val="0"/>
          <w:sz w:val="24"/>
          <w:szCs w:val="24"/>
        </w:rPr>
        <w:t xml:space="preserve"> supply</w:t>
      </w:r>
      <w:r w:rsidR="00DA54A8">
        <w:rPr>
          <w:b w:val="0"/>
          <w:i w:val="0"/>
          <w:sz w:val="24"/>
          <w:szCs w:val="24"/>
        </w:rPr>
        <w:t xml:space="preserve"> of, but also the </w:t>
      </w:r>
      <w:r w:rsidR="00DA54A8" w:rsidRPr="00DA54A8">
        <w:rPr>
          <w:b w:val="0"/>
          <w:i w:val="0"/>
          <w:sz w:val="24"/>
          <w:szCs w:val="24"/>
        </w:rPr>
        <w:t>export of</w:t>
      </w:r>
      <w:r w:rsidR="00DA54A8">
        <w:rPr>
          <w:b w:val="0"/>
          <w:i w:val="0"/>
          <w:sz w:val="24"/>
          <w:szCs w:val="24"/>
        </w:rPr>
        <w:t>,</w:t>
      </w:r>
      <w:r w:rsidR="00DA54A8" w:rsidRPr="00DA54A8">
        <w:rPr>
          <w:b w:val="0"/>
          <w:i w:val="0"/>
          <w:sz w:val="24"/>
          <w:szCs w:val="24"/>
        </w:rPr>
        <w:t xml:space="preserve"> DSGL goods and DSGL technology made in accordance with an agreement or arrangement between Australia and one or more foreign countries.</w:t>
      </w:r>
      <w:r w:rsidR="00DA54A8">
        <w:rPr>
          <w:b w:val="0"/>
          <w:i w:val="0"/>
          <w:sz w:val="24"/>
          <w:szCs w:val="24"/>
        </w:rPr>
        <w:t xml:space="preserve"> </w:t>
      </w:r>
      <w:r w:rsidR="00D719F8" w:rsidRPr="00D719F8">
        <w:rPr>
          <w:b w:val="0"/>
          <w:i w:val="0"/>
          <w:sz w:val="24"/>
          <w:szCs w:val="24"/>
        </w:rPr>
        <w:t xml:space="preserve">The Department of Defence undertook targeted public engagement </w:t>
      </w:r>
      <w:r w:rsidR="00CE2641">
        <w:rPr>
          <w:b w:val="0"/>
          <w:i w:val="0"/>
          <w:sz w:val="24"/>
          <w:szCs w:val="24"/>
        </w:rPr>
        <w:t xml:space="preserve">on the amendments </w:t>
      </w:r>
      <w:r w:rsidR="00D719F8" w:rsidRPr="00D719F8">
        <w:rPr>
          <w:b w:val="0"/>
          <w:i w:val="0"/>
          <w:sz w:val="24"/>
          <w:szCs w:val="24"/>
        </w:rPr>
        <w:t xml:space="preserve">with members of the Defence Industry and Investment Working Group who were directly impacted by the misalignment between the </w:t>
      </w:r>
      <w:r w:rsidR="00F027C9" w:rsidRPr="00F027C9">
        <w:rPr>
          <w:b w:val="0"/>
          <w:i w:val="0"/>
          <w:sz w:val="24"/>
          <w:szCs w:val="24"/>
        </w:rPr>
        <w:t xml:space="preserve">Prohibited Exports Regulations </w:t>
      </w:r>
      <w:r w:rsidR="00D719F8" w:rsidRPr="00D719F8">
        <w:rPr>
          <w:b w:val="0"/>
          <w:i w:val="0"/>
          <w:sz w:val="24"/>
          <w:szCs w:val="24"/>
        </w:rPr>
        <w:t>and DTC Act, to ensure the changes are fit-for-purpose. The Working Group is made up of representatives from peak bodies, individuals and organisations who have engaged with Defence during the development of the legislation.</w:t>
      </w:r>
    </w:p>
    <w:p w14:paraId="27843B42" w14:textId="7217BBCB" w:rsidR="003D5ECA" w:rsidRPr="003D5ECA" w:rsidRDefault="003D5ECA" w:rsidP="00EF77EE">
      <w:pPr>
        <w:pStyle w:val="ESHeading"/>
        <w:jc w:val="both"/>
        <w:rPr>
          <w:b w:val="0"/>
          <w:i w:val="0"/>
          <w:sz w:val="24"/>
          <w:szCs w:val="24"/>
        </w:rPr>
      </w:pPr>
      <w:r>
        <w:rPr>
          <w:b w:val="0"/>
          <w:i w:val="0"/>
          <w:sz w:val="24"/>
          <w:szCs w:val="24"/>
        </w:rPr>
        <w:t xml:space="preserve">The exemption in </w:t>
      </w:r>
      <w:r w:rsidR="003F0EB7">
        <w:rPr>
          <w:b w:val="0"/>
          <w:i w:val="0"/>
          <w:sz w:val="24"/>
          <w:szCs w:val="24"/>
        </w:rPr>
        <w:t>sub</w:t>
      </w:r>
      <w:r>
        <w:rPr>
          <w:b w:val="0"/>
          <w:i w:val="0"/>
          <w:sz w:val="24"/>
          <w:szCs w:val="24"/>
        </w:rPr>
        <w:t>section 5C(1</w:t>
      </w:r>
      <w:r w:rsidR="00B406B6">
        <w:rPr>
          <w:b w:val="0"/>
          <w:i w:val="0"/>
          <w:sz w:val="24"/>
          <w:szCs w:val="24"/>
        </w:rPr>
        <w:t>B</w:t>
      </w:r>
      <w:r>
        <w:rPr>
          <w:b w:val="0"/>
          <w:i w:val="0"/>
          <w:sz w:val="24"/>
          <w:szCs w:val="24"/>
        </w:rPr>
        <w:t xml:space="preserve">) of the </w:t>
      </w:r>
      <w:r w:rsidR="00B406B6" w:rsidRPr="004B45EA">
        <w:rPr>
          <w:b w:val="0"/>
          <w:i w:val="0"/>
          <w:sz w:val="24"/>
          <w:szCs w:val="24"/>
        </w:rPr>
        <w:t>DTC Act</w:t>
      </w:r>
      <w:r w:rsidR="00B406B6">
        <w:rPr>
          <w:b w:val="0"/>
          <w:sz w:val="24"/>
          <w:szCs w:val="24"/>
        </w:rPr>
        <w:t>,</w:t>
      </w:r>
      <w:r w:rsidR="00DA54A8">
        <w:rPr>
          <w:b w:val="0"/>
          <w:i w:val="0"/>
          <w:sz w:val="24"/>
          <w:szCs w:val="24"/>
        </w:rPr>
        <w:t xml:space="preserve"> that is now </w:t>
      </w:r>
      <w:r w:rsidR="007F56B5">
        <w:rPr>
          <w:b w:val="0"/>
          <w:i w:val="0"/>
          <w:sz w:val="24"/>
          <w:szCs w:val="24"/>
        </w:rPr>
        <w:t xml:space="preserve">reflected </w:t>
      </w:r>
      <w:r w:rsidR="00DA54A8">
        <w:rPr>
          <w:b w:val="0"/>
          <w:i w:val="0"/>
          <w:sz w:val="24"/>
          <w:szCs w:val="24"/>
        </w:rPr>
        <w:t xml:space="preserve">in the </w:t>
      </w:r>
      <w:r w:rsidR="00F027C9" w:rsidRPr="00F027C9">
        <w:rPr>
          <w:b w:val="0"/>
          <w:i w:val="0"/>
          <w:sz w:val="24"/>
          <w:szCs w:val="24"/>
        </w:rPr>
        <w:t>Prohibited Exports Regulations</w:t>
      </w:r>
      <w:r w:rsidR="00B406B6">
        <w:rPr>
          <w:b w:val="0"/>
          <w:i w:val="0"/>
          <w:sz w:val="24"/>
          <w:szCs w:val="24"/>
        </w:rPr>
        <w:t>,</w:t>
      </w:r>
      <w:r w:rsidR="00DA54A8">
        <w:rPr>
          <w:b w:val="0"/>
          <w:i w:val="0"/>
          <w:sz w:val="24"/>
          <w:szCs w:val="24"/>
        </w:rPr>
        <w:t xml:space="preserve"> </w:t>
      </w:r>
      <w:r>
        <w:rPr>
          <w:b w:val="0"/>
          <w:i w:val="0"/>
          <w:sz w:val="24"/>
          <w:szCs w:val="24"/>
        </w:rPr>
        <w:t xml:space="preserve">was consulted as part of </w:t>
      </w:r>
      <w:r w:rsidRPr="004B45EA">
        <w:rPr>
          <w:b w:val="0"/>
          <w:sz w:val="24"/>
          <w:szCs w:val="24"/>
        </w:rPr>
        <w:t>Defence Trade Controls Amendment Act 2024</w:t>
      </w:r>
      <w:r w:rsidR="00B406B6">
        <w:rPr>
          <w:b w:val="0"/>
          <w:sz w:val="24"/>
          <w:szCs w:val="24"/>
        </w:rPr>
        <w:t xml:space="preserve"> </w:t>
      </w:r>
      <w:r w:rsidR="00B406B6">
        <w:rPr>
          <w:b w:val="0"/>
          <w:i w:val="0"/>
          <w:sz w:val="24"/>
          <w:szCs w:val="24"/>
        </w:rPr>
        <w:t>(DTC Amendment Act). Defence undertook extensive public consultation on the amendments in the DTC Amendment Act f</w:t>
      </w:r>
      <w:r w:rsidR="00656652" w:rsidRPr="00656652">
        <w:rPr>
          <w:b w:val="0"/>
          <w:i w:val="0"/>
          <w:sz w:val="24"/>
          <w:szCs w:val="24"/>
        </w:rPr>
        <w:t>rom late 2</w:t>
      </w:r>
      <w:r w:rsidR="00B406B6">
        <w:rPr>
          <w:b w:val="0"/>
          <w:i w:val="0"/>
          <w:sz w:val="24"/>
          <w:szCs w:val="24"/>
        </w:rPr>
        <w:t xml:space="preserve">022 through until passage of the </w:t>
      </w:r>
      <w:r w:rsidR="00B406B6" w:rsidRPr="00656652">
        <w:rPr>
          <w:b w:val="0"/>
          <w:i w:val="0"/>
          <w:sz w:val="24"/>
          <w:szCs w:val="24"/>
        </w:rPr>
        <w:t>Defence Trad</w:t>
      </w:r>
      <w:r w:rsidR="00B406B6">
        <w:rPr>
          <w:b w:val="0"/>
          <w:i w:val="0"/>
          <w:sz w:val="24"/>
          <w:szCs w:val="24"/>
        </w:rPr>
        <w:t>e Controls Amendment Bill 2023 on 27 March 2024.</w:t>
      </w:r>
      <w:r w:rsidR="00656652" w:rsidRPr="00656652">
        <w:rPr>
          <w:b w:val="0"/>
          <w:i w:val="0"/>
          <w:sz w:val="24"/>
          <w:szCs w:val="24"/>
        </w:rPr>
        <w:t xml:space="preserve"> This consultation included in person and</w:t>
      </w:r>
      <w:r w:rsidR="00B406B6">
        <w:rPr>
          <w:b w:val="0"/>
          <w:i w:val="0"/>
          <w:sz w:val="24"/>
          <w:szCs w:val="24"/>
        </w:rPr>
        <w:t xml:space="preserve"> online briefings and meetings as well as </w:t>
      </w:r>
      <w:r w:rsidR="00656652" w:rsidRPr="00656652">
        <w:rPr>
          <w:b w:val="0"/>
          <w:i w:val="0"/>
          <w:sz w:val="24"/>
          <w:szCs w:val="24"/>
        </w:rPr>
        <w:t>provision of material</w:t>
      </w:r>
      <w:r w:rsidR="00B406B6">
        <w:rPr>
          <w:b w:val="0"/>
          <w:i w:val="0"/>
          <w:sz w:val="24"/>
          <w:szCs w:val="24"/>
        </w:rPr>
        <w:t>s to government, industry, higher education and research sectors for consideration and comment</w:t>
      </w:r>
      <w:r w:rsidR="00656652" w:rsidRPr="00656652">
        <w:rPr>
          <w:b w:val="0"/>
          <w:i w:val="0"/>
          <w:sz w:val="24"/>
          <w:szCs w:val="24"/>
        </w:rPr>
        <w:t xml:space="preserve">. The purpose of consultation was to ensure legislative amendments to the DTC Act were fit-for-purpose and addressed the policy problem and objectives of the Australian Government. </w:t>
      </w:r>
    </w:p>
    <w:p w14:paraId="012AC8A3" w14:textId="46BAFB9B" w:rsidR="009D7C48" w:rsidRDefault="00206434" w:rsidP="00EF77EE">
      <w:pPr>
        <w:pStyle w:val="ESPara"/>
        <w:jc w:val="both"/>
        <w:rPr>
          <w:sz w:val="24"/>
          <w:szCs w:val="24"/>
        </w:rPr>
      </w:pPr>
      <w:r w:rsidRPr="00206434">
        <w:rPr>
          <w:sz w:val="24"/>
          <w:szCs w:val="24"/>
        </w:rPr>
        <w:t xml:space="preserve">A full Impact Analysis was prepared as part of the </w:t>
      </w:r>
      <w:r w:rsidR="005230A8" w:rsidRPr="005230A8">
        <w:rPr>
          <w:sz w:val="24"/>
          <w:szCs w:val="24"/>
        </w:rPr>
        <w:t>DTC Amendment Act</w:t>
      </w:r>
      <w:r w:rsidRPr="00206434">
        <w:rPr>
          <w:sz w:val="24"/>
          <w:szCs w:val="24"/>
        </w:rPr>
        <w:t xml:space="preserve">, which considered the measures being progressed as part of the </w:t>
      </w:r>
      <w:r w:rsidR="000F18F0">
        <w:rPr>
          <w:sz w:val="24"/>
          <w:szCs w:val="24"/>
        </w:rPr>
        <w:t>Regulations</w:t>
      </w:r>
      <w:r w:rsidRPr="00206434">
        <w:rPr>
          <w:sz w:val="24"/>
          <w:szCs w:val="24"/>
        </w:rPr>
        <w:t xml:space="preserve">. The full </w:t>
      </w:r>
      <w:r w:rsidR="000F18F0">
        <w:rPr>
          <w:sz w:val="24"/>
          <w:szCs w:val="24"/>
        </w:rPr>
        <w:t>Impact Analysis is available at </w:t>
      </w:r>
      <w:r w:rsidRPr="00206434">
        <w:rPr>
          <w:sz w:val="24"/>
          <w:szCs w:val="24"/>
        </w:rPr>
        <w:t>https://www.defence.gov.au/about/reviews-inquiries/defence-tra</w:t>
      </w:r>
      <w:r>
        <w:rPr>
          <w:sz w:val="24"/>
          <w:szCs w:val="24"/>
        </w:rPr>
        <w:t>de-controls-amendment-bill-2023.</w:t>
      </w:r>
    </w:p>
    <w:p w14:paraId="406E5495" w14:textId="77777777" w:rsidR="00AA4557" w:rsidRPr="00822447" w:rsidRDefault="009B14AE" w:rsidP="00EF77EE">
      <w:pPr>
        <w:pStyle w:val="ESHeading"/>
        <w:rPr>
          <w:sz w:val="24"/>
          <w:szCs w:val="24"/>
        </w:rPr>
      </w:pPr>
      <w:r w:rsidRPr="00822447">
        <w:rPr>
          <w:sz w:val="24"/>
          <w:szCs w:val="24"/>
        </w:rPr>
        <w:t>Parliamentary scrutiny</w:t>
      </w:r>
    </w:p>
    <w:p w14:paraId="5C49EEA4" w14:textId="4A94611E" w:rsidR="004641E4" w:rsidRDefault="006D1554" w:rsidP="00EF77EE">
      <w:pPr>
        <w:pStyle w:val="ESSubparaHeader"/>
        <w:rPr>
          <w:sz w:val="24"/>
          <w:szCs w:val="24"/>
        </w:rPr>
      </w:pPr>
      <w:r w:rsidRPr="006D1554">
        <w:rPr>
          <w:sz w:val="24"/>
          <w:szCs w:val="24"/>
        </w:rPr>
        <w:t xml:space="preserve">The Regulations are a legislative instrument for the purposes of the Legislation Act </w:t>
      </w:r>
      <w:r>
        <w:rPr>
          <w:sz w:val="24"/>
          <w:szCs w:val="24"/>
        </w:rPr>
        <w:t xml:space="preserve">and </w:t>
      </w:r>
      <w:r w:rsidR="004641E4">
        <w:rPr>
          <w:sz w:val="24"/>
          <w:szCs w:val="24"/>
        </w:rPr>
        <w:t>are</w:t>
      </w:r>
      <w:r w:rsidR="007D32D3" w:rsidRPr="00E07DDB">
        <w:rPr>
          <w:sz w:val="24"/>
          <w:szCs w:val="24"/>
        </w:rPr>
        <w:t xml:space="preserve"> </w:t>
      </w:r>
      <w:r w:rsidR="007D32D3" w:rsidRPr="00822447">
        <w:rPr>
          <w:sz w:val="24"/>
          <w:szCs w:val="24"/>
        </w:rPr>
        <w:t xml:space="preserve">subject to disallowance under section 42 of the Legislation Act. </w:t>
      </w:r>
    </w:p>
    <w:p w14:paraId="63AFC0CD" w14:textId="29018C15" w:rsidR="00C56A7D" w:rsidRPr="00822447" w:rsidRDefault="00637D2D" w:rsidP="00EF77EE">
      <w:pPr>
        <w:pStyle w:val="ESSubparaHeader"/>
        <w:jc w:val="both"/>
        <w:rPr>
          <w:sz w:val="24"/>
          <w:szCs w:val="24"/>
        </w:rPr>
      </w:pPr>
      <w:r w:rsidRPr="00642A90">
        <w:rPr>
          <w:rFonts w:eastAsia="Times New Roman"/>
          <w:sz w:val="24"/>
          <w:lang w:eastAsia="en-AU"/>
        </w:rPr>
        <w:t xml:space="preserve">Division 1 of Part 3 of Chapter 3 of the Legislation Act operates to automatically repeal a legislative instrument that has the sole purpose of amending or repealing another instrument. That Division </w:t>
      </w:r>
      <w:r>
        <w:rPr>
          <w:rFonts w:eastAsia="Times New Roman"/>
          <w:sz w:val="24"/>
          <w:lang w:eastAsia="en-AU"/>
        </w:rPr>
        <w:t xml:space="preserve">would apply </w:t>
      </w:r>
      <w:r w:rsidRPr="00642A90">
        <w:rPr>
          <w:rFonts w:eastAsia="Times New Roman"/>
          <w:sz w:val="24"/>
          <w:lang w:eastAsia="en-AU"/>
        </w:rPr>
        <w:t xml:space="preserve">to automatically repeal the Regulations. As the Regulations </w:t>
      </w:r>
      <w:r>
        <w:rPr>
          <w:rFonts w:eastAsia="Times New Roman"/>
          <w:sz w:val="24"/>
          <w:lang w:eastAsia="en-AU"/>
        </w:rPr>
        <w:t xml:space="preserve">would </w:t>
      </w:r>
      <w:r w:rsidRPr="00642A90">
        <w:rPr>
          <w:rFonts w:eastAsia="Times New Roman"/>
          <w:sz w:val="24"/>
          <w:lang w:eastAsia="en-AU"/>
        </w:rPr>
        <w:t xml:space="preserve">be automatically repealed, the </w:t>
      </w:r>
      <w:r>
        <w:rPr>
          <w:rFonts w:eastAsia="Times New Roman"/>
          <w:sz w:val="24"/>
          <w:lang w:eastAsia="en-AU"/>
        </w:rPr>
        <w:t>sunsetting framework under Part </w:t>
      </w:r>
      <w:r w:rsidRPr="00642A90">
        <w:rPr>
          <w:rFonts w:eastAsia="Times New Roman"/>
          <w:sz w:val="24"/>
          <w:lang w:eastAsia="en-AU"/>
        </w:rPr>
        <w:t xml:space="preserve">4 of the Legislation Act </w:t>
      </w:r>
      <w:r>
        <w:rPr>
          <w:rFonts w:eastAsia="Times New Roman"/>
          <w:sz w:val="24"/>
          <w:lang w:eastAsia="en-AU"/>
        </w:rPr>
        <w:t xml:space="preserve">would </w:t>
      </w:r>
      <w:r w:rsidRPr="00642A90">
        <w:rPr>
          <w:rFonts w:eastAsia="Times New Roman"/>
          <w:sz w:val="24"/>
          <w:lang w:eastAsia="en-AU"/>
        </w:rPr>
        <w:t xml:space="preserve">not </w:t>
      </w:r>
      <w:r>
        <w:rPr>
          <w:rFonts w:eastAsia="Times New Roman"/>
          <w:sz w:val="24"/>
          <w:lang w:eastAsia="en-AU"/>
        </w:rPr>
        <w:t xml:space="preserve">be </w:t>
      </w:r>
      <w:r w:rsidRPr="00642A90">
        <w:rPr>
          <w:rFonts w:eastAsia="Times New Roman"/>
          <w:sz w:val="24"/>
          <w:lang w:eastAsia="en-AU"/>
        </w:rPr>
        <w:t>engaged</w:t>
      </w:r>
      <w:r>
        <w:rPr>
          <w:rFonts w:eastAsia="Times New Roman"/>
          <w:sz w:val="24"/>
          <w:lang w:eastAsia="en-AU"/>
        </w:rPr>
        <w:t xml:space="preserve">. Additionally, </w:t>
      </w:r>
      <w:r>
        <w:rPr>
          <w:sz w:val="24"/>
          <w:szCs w:val="24"/>
        </w:rPr>
        <w:t>t</w:t>
      </w:r>
      <w:r w:rsidRPr="00E07DDB">
        <w:rPr>
          <w:sz w:val="24"/>
          <w:szCs w:val="24"/>
        </w:rPr>
        <w:t xml:space="preserve">he </w:t>
      </w:r>
      <w:r w:rsidR="00E07DDB" w:rsidRPr="00E07DDB">
        <w:rPr>
          <w:sz w:val="24"/>
          <w:szCs w:val="24"/>
        </w:rPr>
        <w:t xml:space="preserve">provisions of the </w:t>
      </w:r>
      <w:r w:rsidR="000F18F0">
        <w:rPr>
          <w:sz w:val="24"/>
          <w:szCs w:val="24"/>
        </w:rPr>
        <w:t>Regulations</w:t>
      </w:r>
      <w:r w:rsidR="00E07DDB" w:rsidRPr="00E07DDB">
        <w:rPr>
          <w:sz w:val="24"/>
          <w:szCs w:val="24"/>
        </w:rPr>
        <w:t xml:space="preserve"> </w:t>
      </w:r>
      <w:r w:rsidR="004641E4">
        <w:rPr>
          <w:sz w:val="24"/>
          <w:szCs w:val="24"/>
        </w:rPr>
        <w:t>are</w:t>
      </w:r>
      <w:r w:rsidR="00E07DDB" w:rsidRPr="00E07DDB">
        <w:rPr>
          <w:sz w:val="24"/>
          <w:szCs w:val="24"/>
        </w:rPr>
        <w:t xml:space="preserve"> exempt from sunsetting, as the</w:t>
      </w:r>
      <w:r w:rsidR="008255B5">
        <w:rPr>
          <w:sz w:val="24"/>
          <w:szCs w:val="24"/>
        </w:rPr>
        <w:t>y amend the</w:t>
      </w:r>
      <w:r w:rsidR="00E07DDB" w:rsidRPr="00E07DDB">
        <w:rPr>
          <w:sz w:val="24"/>
          <w:szCs w:val="24"/>
        </w:rPr>
        <w:t xml:space="preserve"> </w:t>
      </w:r>
      <w:r w:rsidR="00F027C9" w:rsidRPr="00F027C9">
        <w:rPr>
          <w:sz w:val="24"/>
          <w:szCs w:val="24"/>
        </w:rPr>
        <w:t>Prohibited Exports Regulations</w:t>
      </w:r>
      <w:r w:rsidR="008255B5">
        <w:rPr>
          <w:sz w:val="24"/>
          <w:szCs w:val="24"/>
        </w:rPr>
        <w:t>, which</w:t>
      </w:r>
      <w:r w:rsidR="00E07DDB" w:rsidRPr="00E07DDB">
        <w:rPr>
          <w:sz w:val="24"/>
          <w:szCs w:val="24"/>
        </w:rPr>
        <w:t xml:space="preserve"> are exempt from sunsetting under section 12, item 21 of the </w:t>
      </w:r>
      <w:r w:rsidR="00E07DDB" w:rsidRPr="004641E4">
        <w:rPr>
          <w:i/>
          <w:sz w:val="24"/>
          <w:szCs w:val="24"/>
        </w:rPr>
        <w:t xml:space="preserve">Legislation </w:t>
      </w:r>
      <w:r w:rsidR="00E07DDB" w:rsidRPr="004641E4">
        <w:rPr>
          <w:i/>
          <w:sz w:val="24"/>
          <w:szCs w:val="24"/>
        </w:rPr>
        <w:lastRenderedPageBreak/>
        <w:t>(Exemptions and Other Matters) Regulation 2015</w:t>
      </w:r>
      <w:r w:rsidR="00E07DDB" w:rsidRPr="00E07DDB">
        <w:rPr>
          <w:sz w:val="24"/>
          <w:szCs w:val="24"/>
        </w:rPr>
        <w:t xml:space="preserve">. </w:t>
      </w:r>
      <w:r w:rsidR="008255B5">
        <w:rPr>
          <w:sz w:val="24"/>
          <w:szCs w:val="24"/>
        </w:rPr>
        <w:t>T</w:t>
      </w:r>
      <w:r w:rsidR="00E07DDB" w:rsidRPr="00E07DDB">
        <w:rPr>
          <w:sz w:val="24"/>
          <w:szCs w:val="24"/>
        </w:rPr>
        <w:t xml:space="preserve">he </w:t>
      </w:r>
      <w:r w:rsidR="00F027C9" w:rsidRPr="00F027C9">
        <w:rPr>
          <w:sz w:val="24"/>
          <w:szCs w:val="24"/>
        </w:rPr>
        <w:t xml:space="preserve">Prohibited Exports Regulations </w:t>
      </w:r>
      <w:r w:rsidR="00E07DDB" w:rsidRPr="00E07DDB">
        <w:rPr>
          <w:sz w:val="24"/>
          <w:szCs w:val="24"/>
        </w:rPr>
        <w:t xml:space="preserve">relate to intergovernmental schemes or have a primary purpose of giving effect to an international obligation of Australia. Subjecting the </w:t>
      </w:r>
      <w:r w:rsidR="00F027C9" w:rsidRPr="00F027C9">
        <w:rPr>
          <w:sz w:val="24"/>
          <w:szCs w:val="24"/>
        </w:rPr>
        <w:t xml:space="preserve">Prohibited Exports Regulations </w:t>
      </w:r>
      <w:r w:rsidR="00E07DDB" w:rsidRPr="00E07DDB">
        <w:rPr>
          <w:sz w:val="24"/>
          <w:szCs w:val="24"/>
        </w:rPr>
        <w:t>to sunsetting may conflict with Australia’s international obligations and with ongoing intergovernmental arrangements.</w:t>
      </w:r>
    </w:p>
    <w:p w14:paraId="3BA946F2" w14:textId="149A0EA6" w:rsidR="00452948" w:rsidRPr="00822447" w:rsidRDefault="000D2A4A" w:rsidP="00EF77EE">
      <w:pPr>
        <w:pStyle w:val="ESPara"/>
        <w:jc w:val="both"/>
        <w:rPr>
          <w:sz w:val="24"/>
          <w:szCs w:val="24"/>
        </w:rPr>
      </w:pPr>
      <w:r w:rsidRPr="000D2A4A">
        <w:rPr>
          <w:sz w:val="24"/>
          <w:szCs w:val="24"/>
        </w:rPr>
        <w:t xml:space="preserve">The </w:t>
      </w:r>
      <w:r w:rsidR="000F18F0">
        <w:rPr>
          <w:sz w:val="24"/>
          <w:szCs w:val="24"/>
        </w:rPr>
        <w:t>Regulations</w:t>
      </w:r>
      <w:r>
        <w:rPr>
          <w:sz w:val="24"/>
          <w:szCs w:val="24"/>
        </w:rPr>
        <w:t xml:space="preserve"> are</w:t>
      </w:r>
      <w:r w:rsidRPr="000D2A4A">
        <w:rPr>
          <w:sz w:val="24"/>
          <w:szCs w:val="24"/>
        </w:rPr>
        <w:t xml:space="preserve"> compatible with the human rights and freedoms recognised or declared in the international instruments listed in section 3 of the </w:t>
      </w:r>
      <w:r w:rsidRPr="000D2A4A">
        <w:rPr>
          <w:i/>
          <w:sz w:val="24"/>
          <w:szCs w:val="24"/>
        </w:rPr>
        <w:t>Human Rights (Parliamentary Scrutiny) Act 2011</w:t>
      </w:r>
      <w:r w:rsidRPr="000D2A4A">
        <w:rPr>
          <w:sz w:val="24"/>
          <w:szCs w:val="24"/>
        </w:rPr>
        <w:t xml:space="preserve">. A full Statement of Compatibility with Human Rights is included at </w:t>
      </w:r>
      <w:r>
        <w:rPr>
          <w:b/>
          <w:sz w:val="24"/>
          <w:szCs w:val="24"/>
        </w:rPr>
        <w:t>Attachment </w:t>
      </w:r>
      <w:r w:rsidRPr="000D2A4A">
        <w:rPr>
          <w:b/>
          <w:sz w:val="24"/>
          <w:szCs w:val="24"/>
        </w:rPr>
        <w:t>B</w:t>
      </w:r>
      <w:r w:rsidRPr="000D2A4A">
        <w:rPr>
          <w:sz w:val="24"/>
          <w:szCs w:val="24"/>
        </w:rPr>
        <w:t>.</w:t>
      </w:r>
    </w:p>
    <w:p w14:paraId="68137D97" w14:textId="77777777" w:rsidR="004F5CE4" w:rsidRPr="00EF77EE" w:rsidRDefault="007E4691" w:rsidP="00EF77EE">
      <w:pPr>
        <w:pStyle w:val="ESAttAttName"/>
        <w:pageBreakBefore/>
        <w:rPr>
          <w:sz w:val="24"/>
          <w:szCs w:val="24"/>
        </w:rPr>
      </w:pPr>
      <w:r w:rsidRPr="00EF77EE">
        <w:rPr>
          <w:sz w:val="24"/>
          <w:szCs w:val="24"/>
        </w:rPr>
        <w:lastRenderedPageBreak/>
        <w:t xml:space="preserve">Attachment </w:t>
      </w:r>
      <w:r w:rsidR="00564A6D" w:rsidRPr="00EF77EE">
        <w:rPr>
          <w:sz w:val="24"/>
          <w:szCs w:val="24"/>
        </w:rPr>
        <w:t>A</w:t>
      </w:r>
    </w:p>
    <w:p w14:paraId="4EC5F53A" w14:textId="16AF5F46" w:rsidR="007E4691" w:rsidRPr="00822447" w:rsidRDefault="007E4691" w:rsidP="00EF77EE">
      <w:pPr>
        <w:pStyle w:val="ESAttHeading"/>
        <w:rPr>
          <w:sz w:val="24"/>
          <w:szCs w:val="24"/>
        </w:rPr>
      </w:pPr>
      <w:r w:rsidRPr="00822447">
        <w:rPr>
          <w:sz w:val="24"/>
          <w:szCs w:val="24"/>
        </w:rPr>
        <w:t>Details of the</w:t>
      </w:r>
      <w:r w:rsidR="00B35546" w:rsidRPr="00822447">
        <w:rPr>
          <w:i/>
          <w:sz w:val="24"/>
          <w:szCs w:val="24"/>
        </w:rPr>
        <w:t xml:space="preserve"> </w:t>
      </w:r>
      <w:r w:rsidR="0044749D" w:rsidRPr="0044749D">
        <w:rPr>
          <w:i/>
          <w:sz w:val="24"/>
          <w:szCs w:val="24"/>
        </w:rPr>
        <w:t>Customs (Prohibited Exports) Amendment (Defence T</w:t>
      </w:r>
      <w:r w:rsidR="0044749D">
        <w:rPr>
          <w:i/>
          <w:sz w:val="24"/>
          <w:szCs w:val="24"/>
        </w:rPr>
        <w:t>rade Controls) Regulations 2025</w:t>
      </w:r>
      <w:r w:rsidR="00B35546" w:rsidRPr="008B083F">
        <w:rPr>
          <w:i/>
          <w:sz w:val="24"/>
          <w:szCs w:val="24"/>
          <w:highlight w:val="yellow"/>
        </w:rPr>
        <w:t xml:space="preserve"> </w:t>
      </w:r>
    </w:p>
    <w:p w14:paraId="1B5D9714" w14:textId="77777777" w:rsidR="007E4691" w:rsidRPr="00822447" w:rsidRDefault="007E4691" w:rsidP="00EF77EE">
      <w:pPr>
        <w:pStyle w:val="ESAttHeading"/>
        <w:rPr>
          <w:sz w:val="24"/>
          <w:szCs w:val="24"/>
        </w:rPr>
      </w:pPr>
      <w:r w:rsidRPr="00822447">
        <w:rPr>
          <w:sz w:val="24"/>
          <w:szCs w:val="24"/>
        </w:rPr>
        <w:t>Section 1</w:t>
      </w:r>
      <w:r w:rsidRPr="00822447">
        <w:rPr>
          <w:sz w:val="24"/>
          <w:szCs w:val="24"/>
        </w:rPr>
        <w:tab/>
        <w:t>Name</w:t>
      </w:r>
    </w:p>
    <w:p w14:paraId="7079880B" w14:textId="6C7B090E" w:rsidR="00356408" w:rsidRPr="00720363" w:rsidRDefault="00720363" w:rsidP="00EF77EE">
      <w:pPr>
        <w:pStyle w:val="ESAttParagraph"/>
        <w:ind w:left="851" w:hanging="851"/>
      </w:pPr>
      <w:r w:rsidRPr="0048296C">
        <w:t xml:space="preserve">Section 1 provides that the name of the instrument is the </w:t>
      </w:r>
      <w:r w:rsidR="0044749D" w:rsidRPr="0044749D">
        <w:rPr>
          <w:i/>
        </w:rPr>
        <w:t>Customs (Prohibited Exports) Amendment (Defence T</w:t>
      </w:r>
      <w:r w:rsidR="0044749D">
        <w:rPr>
          <w:i/>
        </w:rPr>
        <w:t>rade Controls) Regulations 2025</w:t>
      </w:r>
      <w:r w:rsidRPr="0048296C">
        <w:t xml:space="preserve"> (</w:t>
      </w:r>
      <w:r w:rsidR="002C5104">
        <w:t xml:space="preserve">the </w:t>
      </w:r>
      <w:r w:rsidR="000F18F0">
        <w:t>Regulations</w:t>
      </w:r>
      <w:r w:rsidRPr="0048296C">
        <w:t>).</w:t>
      </w:r>
    </w:p>
    <w:p w14:paraId="01650D87" w14:textId="77777777" w:rsidR="007E4691" w:rsidRPr="00822447" w:rsidRDefault="007E4691" w:rsidP="00EF77EE">
      <w:pPr>
        <w:pStyle w:val="ESAttHeading"/>
        <w:rPr>
          <w:sz w:val="24"/>
          <w:szCs w:val="24"/>
        </w:rPr>
      </w:pPr>
      <w:r w:rsidRPr="00822447">
        <w:rPr>
          <w:sz w:val="24"/>
          <w:szCs w:val="24"/>
        </w:rPr>
        <w:t>Section 2</w:t>
      </w:r>
      <w:r w:rsidRPr="00822447">
        <w:rPr>
          <w:sz w:val="24"/>
          <w:szCs w:val="24"/>
        </w:rPr>
        <w:tab/>
        <w:t>Commencement</w:t>
      </w:r>
    </w:p>
    <w:p w14:paraId="1CC4AD84" w14:textId="576669F3" w:rsidR="00356408" w:rsidRPr="00720363" w:rsidRDefault="00720363" w:rsidP="00EF77EE">
      <w:pPr>
        <w:pStyle w:val="ESAttParagraph"/>
        <w:ind w:left="851" w:hanging="851"/>
      </w:pPr>
      <w:r w:rsidRPr="00720363">
        <w:t xml:space="preserve">Section 2 provides that the provisions in the </w:t>
      </w:r>
      <w:r w:rsidR="000F18F0">
        <w:t>Regulations</w:t>
      </w:r>
      <w:r w:rsidRPr="00720363">
        <w:t xml:space="preserve"> commenced in accordance with the commencement information set out in the table</w:t>
      </w:r>
      <w:r w:rsidRPr="00887601">
        <w:t xml:space="preserve">. Item 1 of that table provides that the whole of the </w:t>
      </w:r>
      <w:r w:rsidR="000F18F0" w:rsidRPr="00887601">
        <w:t>Regulations</w:t>
      </w:r>
      <w:r w:rsidR="006063EB" w:rsidRPr="00887601">
        <w:t xml:space="preserve"> commenced on the day after this instrument was registered on the Federal Register of Legislation.</w:t>
      </w:r>
      <w:r w:rsidRPr="00720363">
        <w:t xml:space="preserve"> </w:t>
      </w:r>
    </w:p>
    <w:p w14:paraId="404160A5" w14:textId="335355E8" w:rsidR="007D1C3F" w:rsidRDefault="00133207" w:rsidP="00EF77EE">
      <w:pPr>
        <w:pStyle w:val="ESAttHeading"/>
        <w:rPr>
          <w:sz w:val="24"/>
          <w:szCs w:val="24"/>
        </w:rPr>
      </w:pPr>
      <w:r w:rsidRPr="00822447">
        <w:rPr>
          <w:sz w:val="24"/>
          <w:szCs w:val="24"/>
        </w:rPr>
        <w:t>Section 3</w:t>
      </w:r>
      <w:r w:rsidRPr="00822447">
        <w:rPr>
          <w:sz w:val="24"/>
          <w:szCs w:val="24"/>
        </w:rPr>
        <w:tab/>
        <w:t>Authority</w:t>
      </w:r>
    </w:p>
    <w:p w14:paraId="1F137336" w14:textId="25DA9C35" w:rsidR="009F0F4D" w:rsidRDefault="00720363" w:rsidP="00EF77EE">
      <w:pPr>
        <w:pStyle w:val="ESAttParagraph"/>
        <w:ind w:left="851" w:hanging="851"/>
      </w:pPr>
      <w:r w:rsidRPr="00720363">
        <w:t xml:space="preserve">Section 3 provides that the </w:t>
      </w:r>
      <w:r w:rsidR="000F18F0">
        <w:t>Regulations</w:t>
      </w:r>
      <w:r w:rsidRPr="00720363">
        <w:t xml:space="preserve"> are made under</w:t>
      </w:r>
      <w:r>
        <w:t xml:space="preserve"> </w:t>
      </w:r>
      <w:r w:rsidRPr="00720363">
        <w:t xml:space="preserve">the </w:t>
      </w:r>
      <w:r w:rsidRPr="00720363">
        <w:rPr>
          <w:i/>
        </w:rPr>
        <w:t>Customs Act 1901</w:t>
      </w:r>
      <w:r w:rsidRPr="00720363">
        <w:t xml:space="preserve"> (Customs Act).</w:t>
      </w:r>
    </w:p>
    <w:p w14:paraId="24FB3B5E" w14:textId="789CCCD6" w:rsidR="00494E72" w:rsidRPr="000C2A42" w:rsidRDefault="00494E72" w:rsidP="00EF77EE">
      <w:pPr>
        <w:pStyle w:val="ESAttHeading"/>
        <w:rPr>
          <w:sz w:val="24"/>
          <w:szCs w:val="24"/>
        </w:rPr>
      </w:pPr>
      <w:r w:rsidRPr="000C2A42">
        <w:rPr>
          <w:sz w:val="24"/>
          <w:szCs w:val="24"/>
        </w:rPr>
        <w:t>Section 4</w:t>
      </w:r>
      <w:r w:rsidRPr="000C2A42">
        <w:rPr>
          <w:sz w:val="24"/>
          <w:szCs w:val="24"/>
        </w:rPr>
        <w:tab/>
        <w:t>Schedules</w:t>
      </w:r>
    </w:p>
    <w:p w14:paraId="7F2886B2" w14:textId="725F1420" w:rsidR="00FE1E00" w:rsidRPr="00CD47C9" w:rsidRDefault="00494E72" w:rsidP="00EF77EE">
      <w:pPr>
        <w:pStyle w:val="ESAttParagraph"/>
        <w:ind w:left="851" w:hanging="851"/>
      </w:pPr>
      <w:r>
        <w:t xml:space="preserve">Section 4 provides that </w:t>
      </w:r>
      <w:r w:rsidRPr="00494E72">
        <w:t xml:space="preserve">the instruments specified in a Schedule to the </w:t>
      </w:r>
      <w:r w:rsidR="000F18F0">
        <w:t>Regulations</w:t>
      </w:r>
      <w:r w:rsidRPr="00494E72">
        <w:t xml:space="preserve"> are amended or repealed as set out in the applicable items in the Schedule concerned, and any other item in a Schedule to the </w:t>
      </w:r>
      <w:r w:rsidR="00F5477F">
        <w:t xml:space="preserve">Customs </w:t>
      </w:r>
      <w:r w:rsidRPr="00494E72">
        <w:t>Act has effect according to its terms</w:t>
      </w:r>
      <w:r w:rsidR="008F4615">
        <w:t>.</w:t>
      </w:r>
    </w:p>
    <w:p w14:paraId="0EF8CA1B" w14:textId="4CBAE5C9" w:rsidR="00FE1E00" w:rsidRDefault="00CD47C9" w:rsidP="00EF77EE">
      <w:pPr>
        <w:pStyle w:val="ES-SCHEDULEHEADING"/>
      </w:pPr>
      <w:r>
        <w:t>SCHEDULE 1—AMENDMENTs</w:t>
      </w:r>
    </w:p>
    <w:p w14:paraId="44442BD1" w14:textId="24D10C77" w:rsidR="00FE1E00" w:rsidRDefault="00FE1E00" w:rsidP="00EF77EE">
      <w:pPr>
        <w:pStyle w:val="ESAtt-Heading"/>
        <w:rPr>
          <w:i w:val="0"/>
        </w:rPr>
      </w:pPr>
      <w:r w:rsidRPr="00C70D81">
        <w:t xml:space="preserve">Customs (Prohibited Exports) Regulations </w:t>
      </w:r>
      <w:r w:rsidR="00C70D81" w:rsidRPr="00C70D81">
        <w:t>1958</w:t>
      </w:r>
    </w:p>
    <w:p w14:paraId="7FA272DA" w14:textId="64114C08" w:rsidR="008255B5" w:rsidRDefault="00CD47C9" w:rsidP="00EF77EE">
      <w:pPr>
        <w:pStyle w:val="ESAtt-Item"/>
        <w:rPr>
          <w:b w:val="0"/>
        </w:rPr>
      </w:pPr>
      <w:r>
        <w:t>Item 1</w:t>
      </w:r>
      <w:r w:rsidR="008255B5">
        <w:tab/>
      </w:r>
      <w:r w:rsidR="008255B5">
        <w:tab/>
        <w:t>Subregulation 13EA(5C)</w:t>
      </w:r>
    </w:p>
    <w:p w14:paraId="77424962" w14:textId="2AB767B9" w:rsidR="00046F2A" w:rsidRPr="006E1926" w:rsidRDefault="008E5455" w:rsidP="00EF77EE">
      <w:pPr>
        <w:pStyle w:val="ESAttParagraph"/>
        <w:ind w:left="851" w:hanging="851"/>
      </w:pPr>
      <w:r w:rsidRPr="006E1926">
        <w:t xml:space="preserve">Regulation 13E of the </w:t>
      </w:r>
      <w:r w:rsidR="00F5477F" w:rsidRPr="00A85236">
        <w:rPr>
          <w:i/>
        </w:rPr>
        <w:t>Customs (Prohibited Exports) Regulations 1958</w:t>
      </w:r>
      <w:r w:rsidR="00F5477F">
        <w:t xml:space="preserve"> (</w:t>
      </w:r>
      <w:r w:rsidR="00F027C9">
        <w:t>Prohibited Exports</w:t>
      </w:r>
      <w:r w:rsidRPr="006E1926">
        <w:t xml:space="preserve"> Regulations</w:t>
      </w:r>
      <w:r w:rsidR="00F5477F">
        <w:t>)</w:t>
      </w:r>
      <w:r w:rsidRPr="006E1926">
        <w:t xml:space="preserve"> prohibits the export of</w:t>
      </w:r>
      <w:r w:rsidR="00EA2E38" w:rsidRPr="006E1926">
        <w:t xml:space="preserve"> </w:t>
      </w:r>
      <w:r w:rsidRPr="006E1926">
        <w:t xml:space="preserve">goods specified in the </w:t>
      </w:r>
      <w:r w:rsidR="00F91629" w:rsidRPr="00A85236">
        <w:t>Defence and Strategic Goods List</w:t>
      </w:r>
      <w:r w:rsidR="00F91629">
        <w:t xml:space="preserve"> (</w:t>
      </w:r>
      <w:r w:rsidRPr="006E1926">
        <w:t>DSGL</w:t>
      </w:r>
      <w:r w:rsidR="00F91629">
        <w:t>)</w:t>
      </w:r>
      <w:r w:rsidR="00EA2E38" w:rsidRPr="006E1926">
        <w:t xml:space="preserve"> and </w:t>
      </w:r>
      <w:r w:rsidRPr="006E1926">
        <w:t xml:space="preserve">goods containing </w:t>
      </w:r>
      <w:r w:rsidRPr="00F346E0">
        <w:t>DSGL technology</w:t>
      </w:r>
      <w:r w:rsidRPr="006E1926">
        <w:t xml:space="preserve"> without permission. </w:t>
      </w:r>
      <w:r w:rsidR="00F5477F" w:rsidRPr="006E1926">
        <w:t>Subregulation</w:t>
      </w:r>
      <w:r w:rsidR="00F5477F">
        <w:t> </w:t>
      </w:r>
      <w:r w:rsidR="00046F2A" w:rsidRPr="006E1926">
        <w:t xml:space="preserve">13EA(5C) </w:t>
      </w:r>
      <w:r w:rsidR="00441664" w:rsidRPr="006E1926">
        <w:t>currently</w:t>
      </w:r>
      <w:r w:rsidR="00046F2A" w:rsidRPr="006E1926">
        <w:t xml:space="preserve"> </w:t>
      </w:r>
      <w:r w:rsidR="007D54AB" w:rsidRPr="006E1926">
        <w:t>provides</w:t>
      </w:r>
      <w:r w:rsidR="00046F2A" w:rsidRPr="006E1926">
        <w:t xml:space="preserve"> an exception from </w:t>
      </w:r>
      <w:r w:rsidR="001370B8" w:rsidRPr="006E1926">
        <w:t>this</w:t>
      </w:r>
      <w:r w:rsidR="00046F2A" w:rsidRPr="006E1926">
        <w:t xml:space="preserve"> prohibition in relation to </w:t>
      </w:r>
      <w:r w:rsidR="0006711E">
        <w:t xml:space="preserve">exports of </w:t>
      </w:r>
      <w:r w:rsidR="001370B8" w:rsidRPr="006E1926">
        <w:t>specified</w:t>
      </w:r>
      <w:r w:rsidR="00046F2A" w:rsidRPr="006E1926">
        <w:t xml:space="preserve"> sovereign military technologies </w:t>
      </w:r>
      <w:r w:rsidR="006C4986">
        <w:t xml:space="preserve">defined in the </w:t>
      </w:r>
      <w:r w:rsidR="006C4986">
        <w:rPr>
          <w:i/>
        </w:rPr>
        <w:t>Defence Trade Controls Act 2012</w:t>
      </w:r>
      <w:r w:rsidR="006C4986">
        <w:t xml:space="preserve"> (DTC Act)</w:t>
      </w:r>
      <w:r w:rsidR="00046F2A" w:rsidRPr="006E1926">
        <w:t xml:space="preserve"> as </w:t>
      </w:r>
      <w:r w:rsidR="006E1926">
        <w:t>‘</w:t>
      </w:r>
      <w:r w:rsidR="00046F2A" w:rsidRPr="006E1926">
        <w:t>Australian Military Sales Program items</w:t>
      </w:r>
      <w:r w:rsidR="006E1926">
        <w:t>’</w:t>
      </w:r>
      <w:r w:rsidR="007F4841">
        <w:t xml:space="preserve"> (AMSP items). This</w:t>
      </w:r>
      <w:r w:rsidR="00046F2A" w:rsidRPr="006E1926">
        <w:t xml:space="preserve"> exception applies provided the exportation occurs in </w:t>
      </w:r>
      <w:r w:rsidR="00AF4BFD" w:rsidRPr="006E1926">
        <w:t xml:space="preserve">the course of a supply made in </w:t>
      </w:r>
      <w:r w:rsidR="00046F2A" w:rsidRPr="006E1926">
        <w:t xml:space="preserve">accordance with an agreement or arrangement between Australia and one or more foreign countries. </w:t>
      </w:r>
    </w:p>
    <w:p w14:paraId="7A194326" w14:textId="6DD07857" w:rsidR="00EE678A" w:rsidRDefault="00046F2A" w:rsidP="00EF77EE">
      <w:pPr>
        <w:pStyle w:val="ESAttParagraph"/>
        <w:ind w:left="851" w:hanging="851"/>
      </w:pPr>
      <w:r w:rsidRPr="006C4986">
        <w:t xml:space="preserve">Item </w:t>
      </w:r>
      <w:r w:rsidR="006C4986" w:rsidRPr="006C4986">
        <w:t>1</w:t>
      </w:r>
      <w:r w:rsidRPr="00FF4DEC">
        <w:t xml:space="preserve"> </w:t>
      </w:r>
      <w:r>
        <w:t xml:space="preserve">repeals </w:t>
      </w:r>
      <w:r w:rsidR="007D54AB">
        <w:t>the existing</w:t>
      </w:r>
      <w:r>
        <w:t xml:space="preserve"> exception </w:t>
      </w:r>
      <w:r w:rsidR="007D54AB">
        <w:t xml:space="preserve">at subregulation 13EA(5C) and substitutes it with an </w:t>
      </w:r>
      <w:r w:rsidR="00856926">
        <w:t>amended</w:t>
      </w:r>
      <w:r w:rsidR="007D54AB">
        <w:t xml:space="preserve"> </w:t>
      </w:r>
      <w:r w:rsidR="00D76EB6">
        <w:t>exception titled ‘</w:t>
      </w:r>
      <w:r w:rsidR="00D76EB6" w:rsidRPr="00021163">
        <w:rPr>
          <w:i/>
        </w:rPr>
        <w:t xml:space="preserve">Goods exported in the course of </w:t>
      </w:r>
      <w:r w:rsidR="00F91629">
        <w:rPr>
          <w:i/>
        </w:rPr>
        <w:t xml:space="preserve">certain </w:t>
      </w:r>
      <w:r w:rsidR="00F91629" w:rsidRPr="00021163">
        <w:rPr>
          <w:i/>
        </w:rPr>
        <w:t>suppl</w:t>
      </w:r>
      <w:r w:rsidR="00F91629">
        <w:rPr>
          <w:i/>
        </w:rPr>
        <w:t>ies</w:t>
      </w:r>
      <w:r w:rsidR="00F91629">
        <w:t>’</w:t>
      </w:r>
      <w:r w:rsidR="007D54AB">
        <w:t xml:space="preserve">. </w:t>
      </w:r>
      <w:r w:rsidR="00EE678A">
        <w:t xml:space="preserve">Paragraph </w:t>
      </w:r>
      <w:r w:rsidR="00F5477F">
        <w:t>5C</w:t>
      </w:r>
      <w:r w:rsidR="00EE678A">
        <w:t>(</w:t>
      </w:r>
      <w:r w:rsidR="00120A24" w:rsidRPr="001F2896">
        <w:t>a</w:t>
      </w:r>
      <w:r w:rsidR="00EE678A">
        <w:t xml:space="preserve">) of the </w:t>
      </w:r>
      <w:r w:rsidR="00856926">
        <w:t>amended</w:t>
      </w:r>
      <w:r w:rsidR="003E70FD">
        <w:t xml:space="preserve"> </w:t>
      </w:r>
      <w:r w:rsidR="00EE678A">
        <w:t>exception requires that the goods are:</w:t>
      </w:r>
    </w:p>
    <w:p w14:paraId="7A174246" w14:textId="6AB44C7F" w:rsidR="00EE678A" w:rsidRDefault="00EC5118" w:rsidP="00EF77EE">
      <w:pPr>
        <w:pStyle w:val="ESAtt-Subparagraph"/>
        <w:numPr>
          <w:ilvl w:val="0"/>
          <w:numId w:val="52"/>
        </w:numPr>
      </w:pPr>
      <w:r>
        <w:t>DSGL goods</w:t>
      </w:r>
      <w:r w:rsidR="000E4E49">
        <w:t xml:space="preserve"> (within the meaning of the DTC Act)</w:t>
      </w:r>
      <w:r>
        <w:t>; or</w:t>
      </w:r>
    </w:p>
    <w:p w14:paraId="5718E1FA" w14:textId="0BDC0CF3" w:rsidR="00DD4137" w:rsidRDefault="00EC5118" w:rsidP="00EF77EE">
      <w:pPr>
        <w:pStyle w:val="ESAtt-Subparagraph"/>
        <w:numPr>
          <w:ilvl w:val="0"/>
          <w:numId w:val="52"/>
        </w:numPr>
      </w:pPr>
      <w:r>
        <w:lastRenderedPageBreak/>
        <w:t>goods containing DSGL technology</w:t>
      </w:r>
      <w:r w:rsidR="007B3ABA">
        <w:t>.</w:t>
      </w:r>
    </w:p>
    <w:p w14:paraId="0371243A" w14:textId="37572084" w:rsidR="00FE43DA" w:rsidRDefault="007D54AB" w:rsidP="00EF77EE">
      <w:pPr>
        <w:pStyle w:val="ESAttParagraph"/>
        <w:ind w:left="851" w:hanging="851"/>
      </w:pPr>
      <w:r>
        <w:t>Paragraph </w:t>
      </w:r>
      <w:r w:rsidR="00F5477F">
        <w:t>5C</w:t>
      </w:r>
      <w:r w:rsidRPr="00AE6335">
        <w:t>(</w:t>
      </w:r>
      <w:r w:rsidR="00120A24" w:rsidRPr="00AE6335">
        <w:t>b</w:t>
      </w:r>
      <w:r w:rsidRPr="00AE6335">
        <w:t>)</w:t>
      </w:r>
      <w:r>
        <w:t xml:space="preserve"> of the </w:t>
      </w:r>
      <w:r w:rsidR="00856926">
        <w:t xml:space="preserve">amended </w:t>
      </w:r>
      <w:r>
        <w:t xml:space="preserve">exception requires that the </w:t>
      </w:r>
      <w:r w:rsidR="00C31E9E">
        <w:t xml:space="preserve">DSGL </w:t>
      </w:r>
      <w:r>
        <w:t>goods</w:t>
      </w:r>
      <w:r w:rsidR="00906125">
        <w:t xml:space="preserve"> </w:t>
      </w:r>
      <w:r>
        <w:t xml:space="preserve">or </w:t>
      </w:r>
      <w:r w:rsidR="00C31E9E">
        <w:t>DSGL technology</w:t>
      </w:r>
      <w:r>
        <w:t xml:space="preserve"> </w:t>
      </w:r>
      <w:r w:rsidR="00906125">
        <w:t>is</w:t>
      </w:r>
      <w:r w:rsidR="00FE43DA">
        <w:t>:</w:t>
      </w:r>
    </w:p>
    <w:p w14:paraId="6B18A065" w14:textId="074A90C9" w:rsidR="00FE43DA" w:rsidRDefault="00FE43DA" w:rsidP="00EF77EE">
      <w:pPr>
        <w:pStyle w:val="ESAtt-Subparagraph"/>
        <w:numPr>
          <w:ilvl w:val="0"/>
          <w:numId w:val="53"/>
        </w:numPr>
      </w:pPr>
      <w:r>
        <w:t xml:space="preserve">an </w:t>
      </w:r>
      <w:r w:rsidR="002D6CA5">
        <w:t xml:space="preserve">AMSP </w:t>
      </w:r>
      <w:r w:rsidR="00AE6335">
        <w:t>item (</w:t>
      </w:r>
      <w:r>
        <w:t xml:space="preserve">within the meaning of section 5AA of the </w:t>
      </w:r>
      <w:r w:rsidR="00AE6335">
        <w:t>DTC </w:t>
      </w:r>
      <w:r>
        <w:t>Act (subparagraph (</w:t>
      </w:r>
      <w:r w:rsidRPr="00AE6335">
        <w:t>i)</w:t>
      </w:r>
      <w:r>
        <w:t>); or</w:t>
      </w:r>
    </w:p>
    <w:p w14:paraId="28EB48B1" w14:textId="39D1B658" w:rsidR="00FE43DA" w:rsidRPr="00FE43DA" w:rsidRDefault="00906125" w:rsidP="00EF77EE">
      <w:pPr>
        <w:pStyle w:val="ESAtt-Subparagraph"/>
        <w:numPr>
          <w:ilvl w:val="0"/>
          <w:numId w:val="53"/>
        </w:numPr>
      </w:pPr>
      <w:r>
        <w:t xml:space="preserve">any other DSGL goods or DSGL technology </w:t>
      </w:r>
      <w:r w:rsidR="00FE43DA" w:rsidRPr="00FE43DA">
        <w:t>not excluded by a determination in force under subsection 5C(3) of the DTC Act</w:t>
      </w:r>
      <w:r w:rsidR="00FE43DA">
        <w:t xml:space="preserve"> (</w:t>
      </w:r>
      <w:r w:rsidR="00FE43DA" w:rsidRPr="00C021BF">
        <w:t>subparagraph (ii)).</w:t>
      </w:r>
    </w:p>
    <w:p w14:paraId="6F21A299" w14:textId="117CF716" w:rsidR="00DB6713" w:rsidRDefault="00977D8E" w:rsidP="00EF77EE">
      <w:pPr>
        <w:pStyle w:val="ESAttParagraph"/>
        <w:ind w:left="851" w:hanging="851"/>
      </w:pPr>
      <w:r>
        <w:t xml:space="preserve">Paragraph </w:t>
      </w:r>
      <w:r w:rsidR="00F5477F">
        <w:t>5C</w:t>
      </w:r>
      <w:r w:rsidRPr="00437BCD">
        <w:t>(</w:t>
      </w:r>
      <w:r w:rsidR="00120A24" w:rsidRPr="00437BCD">
        <w:t>c</w:t>
      </w:r>
      <w:r w:rsidRPr="00437BCD">
        <w:t xml:space="preserve">) </w:t>
      </w:r>
      <w:r w:rsidR="00856926" w:rsidRPr="00437BCD">
        <w:t>of</w:t>
      </w:r>
      <w:r w:rsidR="00856926">
        <w:t xml:space="preserve"> the amended exception </w:t>
      </w:r>
      <w:r>
        <w:t xml:space="preserve">requires that the exportation of these goods occurs in the course of a supply </w:t>
      </w:r>
      <w:r w:rsidRPr="002D672A">
        <w:t xml:space="preserve">(within the meaning of </w:t>
      </w:r>
      <w:r>
        <w:t>the DTC</w:t>
      </w:r>
      <w:r w:rsidRPr="002D672A">
        <w:t xml:space="preserve"> Act) made in accordance with an agreement or arrangement between Australia and one or more foreign countries</w:t>
      </w:r>
      <w:r w:rsidR="000A446D">
        <w:t xml:space="preserve">, </w:t>
      </w:r>
      <w:r w:rsidR="000A446D" w:rsidRPr="000A446D">
        <w:t>including an agreement, arrangement or understanding between a Minister and an official or authority of one or more foreign countries.</w:t>
      </w:r>
      <w:r w:rsidR="00727A8C">
        <w:t xml:space="preserve"> </w:t>
      </w:r>
      <w:r w:rsidR="00417ABF" w:rsidRPr="00417ABF">
        <w:t xml:space="preserve">An agreement means a treaty status agreement, binding under international law, as between </w:t>
      </w:r>
      <w:r w:rsidR="00602422">
        <w:t>countries</w:t>
      </w:r>
      <w:r w:rsidR="00417ABF" w:rsidRPr="00417ABF">
        <w:t>; whereas, an arrangement is a written understanding between governments of less than treaty status, such as a memorandum of understanding or exchange of letters.</w:t>
      </w:r>
    </w:p>
    <w:p w14:paraId="6115B59A" w14:textId="60A6778A" w:rsidR="00822447" w:rsidRPr="002D672A" w:rsidRDefault="004A360D" w:rsidP="00EF77EE">
      <w:pPr>
        <w:pStyle w:val="ESAttParagraph"/>
        <w:ind w:left="851" w:hanging="851"/>
      </w:pPr>
      <w:r w:rsidRPr="004A360D">
        <w:t xml:space="preserve">The purpose of </w:t>
      </w:r>
      <w:r w:rsidR="006C7BB5">
        <w:t>this amendment</w:t>
      </w:r>
      <w:r w:rsidRPr="004A360D">
        <w:t xml:space="preserve"> </w:t>
      </w:r>
      <w:r>
        <w:t>is</w:t>
      </w:r>
      <w:r w:rsidRPr="004A360D">
        <w:t xml:space="preserve"> to expand the </w:t>
      </w:r>
      <w:r w:rsidR="00416F32">
        <w:t>coverage</w:t>
      </w:r>
      <w:r w:rsidRPr="004A360D">
        <w:t xml:space="preserve"> of the </w:t>
      </w:r>
      <w:r w:rsidR="00B64D60">
        <w:t>current</w:t>
      </w:r>
      <w:r>
        <w:t xml:space="preserve"> exception at subregulation </w:t>
      </w:r>
      <w:r w:rsidRPr="004A360D">
        <w:t>13EA(5C) to additionally cover any DSGL goods and goods containing DSGL technology, excluding those covered by a determination in force under s</w:t>
      </w:r>
      <w:r w:rsidR="00AC3269">
        <w:t>ubsection 5C(3) of the DTC Act.</w:t>
      </w:r>
      <w:r w:rsidR="003F5584">
        <w:t xml:space="preserve"> </w:t>
      </w:r>
      <w:r w:rsidR="006E4520">
        <w:t>Previously, this exception only covered DSGL goods and goods containing DSGL technology that were an AMSP item</w:t>
      </w:r>
      <w:r w:rsidR="008B18CA">
        <w:t xml:space="preserve">. </w:t>
      </w:r>
      <w:r w:rsidRPr="004A360D">
        <w:t xml:space="preserve">The effect of expanding the exception to cover these additional goods </w:t>
      </w:r>
      <w:r>
        <w:t xml:space="preserve">is </w:t>
      </w:r>
      <w:r w:rsidR="0024684A">
        <w:t>that permission under regulation 13E</w:t>
      </w:r>
      <w:r w:rsidR="005B5409">
        <w:t xml:space="preserve"> of the </w:t>
      </w:r>
      <w:r w:rsidR="00F027C9">
        <w:t>Prohibited Exports</w:t>
      </w:r>
      <w:r w:rsidR="005B5409">
        <w:t xml:space="preserve"> Regulations</w:t>
      </w:r>
      <w:r w:rsidRPr="004A360D">
        <w:t xml:space="preserve"> </w:t>
      </w:r>
      <w:r w:rsidR="0024684A">
        <w:t>is not required to</w:t>
      </w:r>
      <w:r w:rsidRPr="004A360D">
        <w:t xml:space="preserve"> </w:t>
      </w:r>
      <w:r w:rsidR="0024684A">
        <w:t>authorise the export</w:t>
      </w:r>
      <w:r w:rsidRPr="004A360D">
        <w:t xml:space="preserve"> </w:t>
      </w:r>
      <w:r w:rsidR="0024684A">
        <w:t xml:space="preserve">of these goods </w:t>
      </w:r>
      <w:r w:rsidRPr="004A360D">
        <w:t xml:space="preserve">from Australia, provided </w:t>
      </w:r>
      <w:r w:rsidR="00EA2882">
        <w:t xml:space="preserve">that </w:t>
      </w:r>
      <w:r w:rsidRPr="004A360D">
        <w:t xml:space="preserve">the exportation occurs in the course of a supply </w:t>
      </w:r>
      <w:r w:rsidR="00ED62A7">
        <w:t xml:space="preserve">(within the meaning of the DTC Act) </w:t>
      </w:r>
      <w:r w:rsidRPr="004A360D">
        <w:t>made in accordance with an agreement or arrangement between Australia and one or more foreign countries.</w:t>
      </w:r>
    </w:p>
    <w:p w14:paraId="4946C7A7" w14:textId="6521B10B" w:rsidR="00822447" w:rsidRPr="00EF77EE" w:rsidRDefault="00330708" w:rsidP="00EF77EE">
      <w:pPr>
        <w:pStyle w:val="ESAttAttName"/>
        <w:pageBreakBefore/>
      </w:pPr>
      <w:r w:rsidRPr="00EF77EE">
        <w:rPr>
          <w:sz w:val="24"/>
        </w:rPr>
        <w:lastRenderedPageBreak/>
        <w:t>Attachment</w:t>
      </w:r>
      <w:r w:rsidR="00822447" w:rsidRPr="00EF77EE">
        <w:rPr>
          <w:sz w:val="24"/>
        </w:rPr>
        <w:t xml:space="preserve"> </w:t>
      </w:r>
      <w:r w:rsidR="00822447" w:rsidRPr="00EF77EE">
        <w:t>B</w:t>
      </w:r>
    </w:p>
    <w:p w14:paraId="26AFACFC" w14:textId="3BC680C5" w:rsidR="00822447" w:rsidRPr="00822447" w:rsidRDefault="00822447" w:rsidP="00EF77EE">
      <w:pPr>
        <w:spacing w:before="240" w:after="240" w:line="276" w:lineRule="auto"/>
        <w:jc w:val="center"/>
        <w:rPr>
          <w:rFonts w:ascii="Times New Roman" w:hAnsi="Times New Roman" w:cs="Times New Roman"/>
          <w:b/>
        </w:rPr>
      </w:pPr>
      <w:r w:rsidRPr="00822447">
        <w:rPr>
          <w:rFonts w:ascii="Times New Roman" w:hAnsi="Times New Roman" w:cs="Times New Roman"/>
          <w:b/>
          <w:sz w:val="28"/>
          <w:szCs w:val="28"/>
        </w:rPr>
        <w:t>Statement of Compatibility with Human Rights</w:t>
      </w:r>
    </w:p>
    <w:p w14:paraId="6024FCC8" w14:textId="4EC33DC4" w:rsidR="00822447" w:rsidRPr="00822447" w:rsidRDefault="00822447" w:rsidP="00EF77EE">
      <w:pPr>
        <w:spacing w:before="240" w:after="240" w:line="276" w:lineRule="auto"/>
        <w:jc w:val="center"/>
        <w:rPr>
          <w:rFonts w:ascii="Times New Roman" w:hAnsi="Times New Roman" w:cs="Times New Roman"/>
          <w:sz w:val="24"/>
          <w:szCs w:val="24"/>
        </w:rPr>
      </w:pPr>
      <w:r w:rsidRPr="00822447">
        <w:rPr>
          <w:rFonts w:ascii="Times New Roman" w:hAnsi="Times New Roman" w:cs="Times New Roman"/>
          <w:i/>
          <w:sz w:val="24"/>
          <w:szCs w:val="24"/>
        </w:rPr>
        <w:t>Prepared in accordance with Part 3 of the Human Rights (Parliamentary Scrutiny) Act 2011</w:t>
      </w:r>
    </w:p>
    <w:p w14:paraId="257CADF7" w14:textId="0D5D7626" w:rsidR="00822447" w:rsidRPr="00F17414" w:rsidRDefault="00CA381D" w:rsidP="00EF77EE">
      <w:pPr>
        <w:spacing w:before="240" w:after="240" w:line="276" w:lineRule="auto"/>
        <w:jc w:val="center"/>
        <w:rPr>
          <w:rFonts w:ascii="Times New Roman" w:hAnsi="Times New Roman" w:cs="Times New Roman"/>
          <w:b/>
          <w:i/>
          <w:sz w:val="24"/>
          <w:szCs w:val="24"/>
        </w:rPr>
      </w:pPr>
      <w:r w:rsidRPr="00CA381D">
        <w:rPr>
          <w:rFonts w:ascii="Times New Roman" w:hAnsi="Times New Roman" w:cs="Times New Roman"/>
          <w:b/>
          <w:i/>
          <w:sz w:val="24"/>
          <w:szCs w:val="24"/>
        </w:rPr>
        <w:t xml:space="preserve">Customs (Prohibited Exports) Amendment (Defence Trade Controls) Regulations </w:t>
      </w:r>
      <w:r>
        <w:rPr>
          <w:rFonts w:ascii="Times New Roman" w:hAnsi="Times New Roman" w:cs="Times New Roman"/>
          <w:b/>
          <w:i/>
          <w:sz w:val="24"/>
          <w:szCs w:val="24"/>
        </w:rPr>
        <w:t>2025</w:t>
      </w:r>
    </w:p>
    <w:p w14:paraId="6BDC880F" w14:textId="1050952A" w:rsidR="00822447" w:rsidRPr="00F17414" w:rsidRDefault="00F17414" w:rsidP="00EF77EE">
      <w:pPr>
        <w:spacing w:before="240" w:after="240" w:line="276" w:lineRule="auto"/>
        <w:jc w:val="center"/>
        <w:rPr>
          <w:rFonts w:ascii="Times New Roman" w:hAnsi="Times New Roman" w:cs="Times New Roman"/>
          <w:i/>
          <w:sz w:val="24"/>
          <w:szCs w:val="24"/>
        </w:rPr>
      </w:pPr>
      <w:r>
        <w:rPr>
          <w:rFonts w:ascii="Times New Roman" w:hAnsi="Times New Roman" w:cs="Times New Roman"/>
          <w:sz w:val="24"/>
          <w:szCs w:val="24"/>
        </w:rPr>
        <w:t xml:space="preserve">This </w:t>
      </w:r>
      <w:r w:rsidR="00822447" w:rsidRPr="00822447">
        <w:rPr>
          <w:rFonts w:ascii="Times New Roman" w:hAnsi="Times New Roman" w:cs="Times New Roman"/>
          <w:sz w:val="24"/>
          <w:szCs w:val="24"/>
        </w:rPr>
        <w:t xml:space="preserve">instrument is compatible with the human rights and freedoms recognised or declared in the international instruments listed in section 3 of the </w:t>
      </w:r>
      <w:r w:rsidR="00822447" w:rsidRPr="00822447">
        <w:rPr>
          <w:rFonts w:ascii="Times New Roman" w:hAnsi="Times New Roman" w:cs="Times New Roman"/>
          <w:i/>
          <w:sz w:val="24"/>
          <w:szCs w:val="24"/>
        </w:rPr>
        <w:t xml:space="preserve">Human </w:t>
      </w:r>
      <w:r>
        <w:rPr>
          <w:rFonts w:ascii="Times New Roman" w:hAnsi="Times New Roman" w:cs="Times New Roman"/>
          <w:i/>
          <w:sz w:val="24"/>
          <w:szCs w:val="24"/>
        </w:rPr>
        <w:t xml:space="preserve">Rights (Parliamentary Scrutiny) </w:t>
      </w:r>
      <w:r w:rsidR="00822447" w:rsidRPr="00822447">
        <w:rPr>
          <w:rFonts w:ascii="Times New Roman" w:hAnsi="Times New Roman" w:cs="Times New Roman"/>
          <w:i/>
          <w:sz w:val="24"/>
          <w:szCs w:val="24"/>
        </w:rPr>
        <w:t>Act 2011</w:t>
      </w:r>
      <w:r w:rsidR="00822447" w:rsidRPr="00822447">
        <w:rPr>
          <w:rFonts w:ascii="Times New Roman" w:hAnsi="Times New Roman" w:cs="Times New Roman"/>
          <w:sz w:val="24"/>
          <w:szCs w:val="24"/>
        </w:rPr>
        <w:t>.</w:t>
      </w:r>
    </w:p>
    <w:p w14:paraId="2B64C5BF" w14:textId="2FA6222C" w:rsidR="00822447" w:rsidRPr="00822447" w:rsidRDefault="00822447" w:rsidP="00EF77EE">
      <w:pPr>
        <w:spacing w:before="120" w:line="276" w:lineRule="auto"/>
        <w:jc w:val="both"/>
        <w:outlineLvl w:val="2"/>
        <w:rPr>
          <w:rFonts w:ascii="Times New Roman" w:hAnsi="Times New Roman" w:cs="Times New Roman"/>
          <w:b/>
          <w:sz w:val="24"/>
          <w:szCs w:val="24"/>
        </w:rPr>
      </w:pPr>
      <w:r w:rsidRPr="00822447">
        <w:rPr>
          <w:rFonts w:ascii="Times New Roman" w:hAnsi="Times New Roman" w:cs="Times New Roman"/>
          <w:b/>
          <w:sz w:val="24"/>
          <w:szCs w:val="24"/>
        </w:rPr>
        <w:t>O</w:t>
      </w:r>
      <w:r w:rsidR="00F17414">
        <w:rPr>
          <w:rFonts w:ascii="Times New Roman" w:hAnsi="Times New Roman" w:cs="Times New Roman"/>
          <w:b/>
          <w:sz w:val="24"/>
          <w:szCs w:val="24"/>
        </w:rPr>
        <w:t xml:space="preserve">verview of the </w:t>
      </w:r>
      <w:r w:rsidRPr="00822447">
        <w:rPr>
          <w:rFonts w:ascii="Times New Roman" w:hAnsi="Times New Roman" w:cs="Times New Roman"/>
          <w:b/>
          <w:sz w:val="24"/>
          <w:szCs w:val="24"/>
        </w:rPr>
        <w:t>Instrument</w:t>
      </w:r>
    </w:p>
    <w:p w14:paraId="7718466D" w14:textId="7C47033E" w:rsidR="00F346E0" w:rsidRPr="00F346E0" w:rsidRDefault="00F346E0" w:rsidP="00EF77EE">
      <w:pPr>
        <w:keepNext/>
        <w:spacing w:before="240" w:after="240" w:line="276" w:lineRule="auto"/>
        <w:jc w:val="both"/>
        <w:rPr>
          <w:rFonts w:ascii="Times New Roman" w:hAnsi="Times New Roman" w:cs="Times New Roman"/>
          <w:sz w:val="24"/>
          <w:szCs w:val="24"/>
        </w:rPr>
      </w:pPr>
      <w:r w:rsidRPr="00F346E0">
        <w:rPr>
          <w:rFonts w:ascii="Times New Roman" w:hAnsi="Times New Roman" w:cs="Times New Roman"/>
          <w:sz w:val="24"/>
          <w:szCs w:val="24"/>
        </w:rPr>
        <w:t xml:space="preserve">The </w:t>
      </w:r>
      <w:r w:rsidR="00EF77EE" w:rsidRPr="00EF77EE">
        <w:rPr>
          <w:rFonts w:ascii="Times New Roman" w:hAnsi="Times New Roman" w:cs="Times New Roman"/>
          <w:i/>
          <w:sz w:val="24"/>
          <w:szCs w:val="24"/>
        </w:rPr>
        <w:t>Customs (Prohibited Exports) Amendment (Defence Trade Controls) Regulations 2025</w:t>
      </w:r>
      <w:r w:rsidR="00EF77EE">
        <w:rPr>
          <w:rFonts w:ascii="Times New Roman" w:hAnsi="Times New Roman" w:cs="Times New Roman"/>
          <w:sz w:val="24"/>
          <w:szCs w:val="24"/>
        </w:rPr>
        <w:t xml:space="preserve"> </w:t>
      </w:r>
      <w:r w:rsidRPr="00F346E0">
        <w:rPr>
          <w:rFonts w:ascii="Times New Roman" w:hAnsi="Times New Roman" w:cs="Times New Roman"/>
          <w:sz w:val="24"/>
          <w:szCs w:val="24"/>
        </w:rPr>
        <w:t xml:space="preserve">amend the exception set out at subregulation 13EA(5C) of the </w:t>
      </w:r>
      <w:r w:rsidR="00EF77EE" w:rsidRPr="00EF77EE">
        <w:rPr>
          <w:rFonts w:ascii="Times New Roman" w:hAnsi="Times New Roman" w:cs="Times New Roman"/>
          <w:i/>
          <w:sz w:val="24"/>
          <w:szCs w:val="24"/>
        </w:rPr>
        <w:t>Customs (Prohibited Exports) Regulations 1958</w:t>
      </w:r>
      <w:r w:rsidR="00EF77EE" w:rsidRPr="00EF77EE">
        <w:rPr>
          <w:rFonts w:ascii="Times New Roman" w:hAnsi="Times New Roman" w:cs="Times New Roman"/>
          <w:sz w:val="24"/>
          <w:szCs w:val="24"/>
        </w:rPr>
        <w:t xml:space="preserve"> (Prohibited Exports Regulations)</w:t>
      </w:r>
      <w:r w:rsidRPr="00F346E0">
        <w:rPr>
          <w:rFonts w:ascii="Times New Roman" w:hAnsi="Times New Roman" w:cs="Times New Roman"/>
          <w:sz w:val="24"/>
          <w:szCs w:val="24"/>
        </w:rPr>
        <w:t xml:space="preserve">. This exception currently provides that the prohibition on exporting defence and strategic goods does not apply to the exportation of </w:t>
      </w:r>
      <w:r w:rsidRPr="00F346E0">
        <w:rPr>
          <w:rFonts w:ascii="Times New Roman" w:hAnsi="Times New Roman" w:cs="Times New Roman"/>
          <w:i/>
          <w:sz w:val="24"/>
          <w:szCs w:val="24"/>
        </w:rPr>
        <w:t>Defence and Strategic Goods List</w:t>
      </w:r>
      <w:r w:rsidRPr="00F346E0">
        <w:rPr>
          <w:rFonts w:ascii="Times New Roman" w:hAnsi="Times New Roman" w:cs="Times New Roman"/>
          <w:sz w:val="24"/>
          <w:szCs w:val="24"/>
        </w:rPr>
        <w:t xml:space="preserve"> (DSGL) goods or goods containing DSGL technology that are an Australian Military Sales Program item, provided that the goods are exported in the course of a supply made in accordance with an agreement or arrangement between Australia and one or more foreign countries. </w:t>
      </w:r>
    </w:p>
    <w:p w14:paraId="64DCD760" w14:textId="0353FEEF" w:rsidR="00F346E0" w:rsidRDefault="00F346E0" w:rsidP="00EF77EE">
      <w:pPr>
        <w:keepNext/>
        <w:spacing w:before="240" w:after="240" w:line="276" w:lineRule="auto"/>
        <w:jc w:val="both"/>
        <w:rPr>
          <w:rFonts w:ascii="Times New Roman" w:hAnsi="Times New Roman" w:cs="Times New Roman"/>
          <w:sz w:val="24"/>
          <w:szCs w:val="24"/>
        </w:rPr>
      </w:pPr>
      <w:r w:rsidRPr="00F346E0">
        <w:rPr>
          <w:rFonts w:ascii="Times New Roman" w:hAnsi="Times New Roman" w:cs="Times New Roman"/>
          <w:sz w:val="24"/>
          <w:szCs w:val="24"/>
        </w:rPr>
        <w:t xml:space="preserve">The </w:t>
      </w:r>
      <w:r w:rsidR="00EF77EE">
        <w:rPr>
          <w:rFonts w:ascii="Times New Roman" w:hAnsi="Times New Roman" w:cs="Times New Roman"/>
          <w:sz w:val="24"/>
          <w:szCs w:val="24"/>
        </w:rPr>
        <w:t xml:space="preserve">amendment </w:t>
      </w:r>
      <w:r w:rsidRPr="00F346E0">
        <w:rPr>
          <w:rFonts w:ascii="Times New Roman" w:hAnsi="Times New Roman" w:cs="Times New Roman"/>
          <w:sz w:val="24"/>
          <w:szCs w:val="24"/>
        </w:rPr>
        <w:t xml:space="preserve">Regulations expand this exception to cover any DSGL goods and goods containing DSGL technology that are not excluded by a determination in force under subsection 5C(3) of the </w:t>
      </w:r>
      <w:r w:rsidRPr="00B441B9">
        <w:rPr>
          <w:rFonts w:ascii="Times New Roman" w:hAnsi="Times New Roman" w:cs="Times New Roman"/>
          <w:i/>
          <w:sz w:val="24"/>
          <w:szCs w:val="24"/>
        </w:rPr>
        <w:t>Defence Trade Controls Act 2012</w:t>
      </w:r>
      <w:r w:rsidRPr="00552AFF">
        <w:rPr>
          <w:rFonts w:ascii="Times New Roman" w:hAnsi="Times New Roman" w:cs="Times New Roman"/>
          <w:sz w:val="24"/>
          <w:szCs w:val="24"/>
        </w:rPr>
        <w:t xml:space="preserve">. </w:t>
      </w:r>
      <w:r w:rsidRPr="00F346E0">
        <w:rPr>
          <w:rFonts w:ascii="Times New Roman" w:hAnsi="Times New Roman" w:cs="Times New Roman"/>
          <w:sz w:val="24"/>
          <w:szCs w:val="24"/>
        </w:rPr>
        <w:t xml:space="preserve">The effect of this is that these additional goods are not subject to the prohibition on exportation and do not require a permission for exportation from Australia in circumstances where these goods are exported in the course of a supply made in accordance with an agreement or arrangement between Australia and one or more foreign countries. </w:t>
      </w:r>
    </w:p>
    <w:p w14:paraId="61CAD7AE" w14:textId="736AD791" w:rsidR="00822447" w:rsidRPr="00EC1B11" w:rsidRDefault="00822447" w:rsidP="00EF77EE">
      <w:pPr>
        <w:spacing w:before="120" w:line="276" w:lineRule="auto"/>
        <w:jc w:val="both"/>
        <w:outlineLvl w:val="2"/>
        <w:rPr>
          <w:rFonts w:ascii="Times New Roman" w:hAnsi="Times New Roman" w:cs="Times New Roman"/>
          <w:b/>
          <w:sz w:val="24"/>
          <w:szCs w:val="24"/>
        </w:rPr>
      </w:pPr>
      <w:r w:rsidRPr="00822447">
        <w:rPr>
          <w:rFonts w:ascii="Times New Roman" w:hAnsi="Times New Roman" w:cs="Times New Roman"/>
          <w:b/>
          <w:sz w:val="24"/>
          <w:szCs w:val="24"/>
        </w:rPr>
        <w:t>Human rights implications</w:t>
      </w:r>
    </w:p>
    <w:p w14:paraId="3DC10EA5" w14:textId="4274F22A" w:rsidR="00822447" w:rsidRPr="004E5F4D" w:rsidRDefault="00822447" w:rsidP="00EF77EE">
      <w:pPr>
        <w:keepNext/>
        <w:spacing w:before="240" w:after="240" w:line="276" w:lineRule="auto"/>
        <w:jc w:val="both"/>
        <w:rPr>
          <w:rFonts w:ascii="Times New Roman" w:hAnsi="Times New Roman" w:cs="Times New Roman"/>
          <w:sz w:val="24"/>
          <w:szCs w:val="24"/>
        </w:rPr>
      </w:pPr>
      <w:r w:rsidRPr="00822447">
        <w:rPr>
          <w:rFonts w:ascii="Times New Roman" w:hAnsi="Times New Roman" w:cs="Times New Roman"/>
          <w:sz w:val="24"/>
          <w:szCs w:val="24"/>
        </w:rPr>
        <w:t>T</w:t>
      </w:r>
      <w:r w:rsidR="00F17414">
        <w:rPr>
          <w:rFonts w:ascii="Times New Roman" w:hAnsi="Times New Roman" w:cs="Times New Roman"/>
          <w:sz w:val="24"/>
          <w:szCs w:val="24"/>
        </w:rPr>
        <w:t xml:space="preserve">his </w:t>
      </w:r>
      <w:r w:rsidR="009953D3">
        <w:rPr>
          <w:rFonts w:ascii="Times New Roman" w:hAnsi="Times New Roman" w:cs="Times New Roman"/>
          <w:sz w:val="24"/>
          <w:szCs w:val="24"/>
        </w:rPr>
        <w:t>instrument</w:t>
      </w:r>
      <w:r w:rsidRPr="00822447">
        <w:rPr>
          <w:rFonts w:ascii="Times New Roman" w:hAnsi="Times New Roman" w:cs="Times New Roman"/>
          <w:sz w:val="24"/>
          <w:szCs w:val="24"/>
        </w:rPr>
        <w:t xml:space="preserve"> does not engage any of th</w:t>
      </w:r>
      <w:r w:rsidR="00774A98">
        <w:rPr>
          <w:rFonts w:ascii="Times New Roman" w:hAnsi="Times New Roman" w:cs="Times New Roman"/>
          <w:sz w:val="24"/>
          <w:szCs w:val="24"/>
        </w:rPr>
        <w:t xml:space="preserve">e applicable rights or freedoms. </w:t>
      </w:r>
    </w:p>
    <w:p w14:paraId="398B1FD1" w14:textId="61E319A3" w:rsidR="00822447" w:rsidRPr="00EC1B11" w:rsidRDefault="00822447" w:rsidP="00EF77EE">
      <w:pPr>
        <w:spacing w:after="0" w:line="276" w:lineRule="auto"/>
        <w:rPr>
          <w:rFonts w:ascii="Times New Roman" w:eastAsia="Calibri" w:hAnsi="Times New Roman" w:cs="Times New Roman"/>
          <w:b/>
          <w:bCs/>
          <w:i/>
          <w:iCs/>
          <w:sz w:val="24"/>
          <w:szCs w:val="24"/>
        </w:rPr>
      </w:pPr>
      <w:r w:rsidRPr="00822447">
        <w:rPr>
          <w:rFonts w:ascii="Times New Roman" w:eastAsia="Calibri" w:hAnsi="Times New Roman" w:cs="Times New Roman"/>
          <w:b/>
          <w:bCs/>
          <w:iCs/>
          <w:sz w:val="24"/>
          <w:szCs w:val="24"/>
        </w:rPr>
        <w:t xml:space="preserve">Conclusion </w:t>
      </w:r>
    </w:p>
    <w:p w14:paraId="2A845186" w14:textId="4910A58C" w:rsidR="00822447" w:rsidRPr="00822447" w:rsidRDefault="009953D3" w:rsidP="00EF77EE">
      <w:pPr>
        <w:keepNext/>
        <w:spacing w:before="240" w:after="240" w:line="276" w:lineRule="auto"/>
        <w:jc w:val="both"/>
        <w:rPr>
          <w:rFonts w:ascii="Times New Roman" w:hAnsi="Times New Roman" w:cs="Times New Roman"/>
          <w:sz w:val="24"/>
          <w:szCs w:val="24"/>
        </w:rPr>
      </w:pPr>
      <w:r>
        <w:rPr>
          <w:rFonts w:ascii="Times New Roman" w:hAnsi="Times New Roman" w:cs="Times New Roman"/>
          <w:sz w:val="24"/>
          <w:szCs w:val="24"/>
        </w:rPr>
        <w:t>This instrument</w:t>
      </w:r>
      <w:r w:rsidR="00822447" w:rsidRPr="00822447">
        <w:rPr>
          <w:rFonts w:ascii="Times New Roman" w:hAnsi="Times New Roman" w:cs="Times New Roman"/>
          <w:sz w:val="24"/>
          <w:szCs w:val="24"/>
        </w:rPr>
        <w:t xml:space="preserve"> is compatible with human rights as it does not raise any human rights issues.</w:t>
      </w:r>
      <w:r w:rsidR="00EC1B11" w:rsidRPr="00822447">
        <w:rPr>
          <w:rFonts w:ascii="Times New Roman" w:hAnsi="Times New Roman" w:cs="Times New Roman"/>
          <w:sz w:val="24"/>
          <w:szCs w:val="24"/>
        </w:rPr>
        <w:t xml:space="preserve"> </w:t>
      </w:r>
    </w:p>
    <w:p w14:paraId="4FB7925B" w14:textId="77777777" w:rsidR="00EF77EE" w:rsidRDefault="00EF77EE" w:rsidP="00EF77EE">
      <w:pPr>
        <w:spacing w:after="0" w:line="276" w:lineRule="auto"/>
        <w:jc w:val="center"/>
        <w:rPr>
          <w:rFonts w:ascii="Times New Roman" w:hAnsi="Times New Roman"/>
          <w:b/>
          <w:sz w:val="24"/>
          <w:szCs w:val="24"/>
        </w:rPr>
      </w:pPr>
    </w:p>
    <w:p w14:paraId="76A368A7" w14:textId="2309F2E2" w:rsidR="009439FB" w:rsidRPr="0005147D" w:rsidRDefault="009439FB" w:rsidP="00EF77EE">
      <w:pPr>
        <w:spacing w:after="0" w:line="276" w:lineRule="auto"/>
        <w:jc w:val="center"/>
        <w:rPr>
          <w:rFonts w:ascii="Times New Roman" w:hAnsi="Times New Roman"/>
          <w:b/>
          <w:sz w:val="24"/>
          <w:szCs w:val="24"/>
        </w:rPr>
      </w:pPr>
      <w:r w:rsidRPr="0005147D">
        <w:rPr>
          <w:rFonts w:ascii="Times New Roman" w:hAnsi="Times New Roman"/>
          <w:b/>
          <w:sz w:val="24"/>
          <w:szCs w:val="24"/>
        </w:rPr>
        <w:t>The Hon Tony Burke</w:t>
      </w:r>
      <w:r>
        <w:rPr>
          <w:rFonts w:ascii="Times New Roman" w:hAnsi="Times New Roman"/>
          <w:b/>
          <w:sz w:val="24"/>
          <w:szCs w:val="24"/>
        </w:rPr>
        <w:t xml:space="preserve"> MP</w:t>
      </w:r>
    </w:p>
    <w:p w14:paraId="75F2C61A" w14:textId="77777777" w:rsidR="009439FB" w:rsidRDefault="009439FB" w:rsidP="00EF77EE">
      <w:pPr>
        <w:pStyle w:val="ESPara"/>
        <w:spacing w:before="0" w:after="0"/>
        <w:jc w:val="center"/>
        <w:rPr>
          <w:b/>
          <w:sz w:val="24"/>
          <w:szCs w:val="24"/>
        </w:rPr>
      </w:pPr>
      <w:r w:rsidRPr="0005147D">
        <w:rPr>
          <w:b/>
          <w:sz w:val="24"/>
          <w:szCs w:val="24"/>
        </w:rPr>
        <w:t>Minister for Home Affairs</w:t>
      </w:r>
    </w:p>
    <w:sectPr w:rsidR="009439FB" w:rsidSect="004F5CE4">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6201D" w14:textId="77777777" w:rsidR="007B07ED" w:rsidRDefault="007B07ED" w:rsidP="00B77D97">
      <w:pPr>
        <w:spacing w:after="0" w:line="240" w:lineRule="auto"/>
      </w:pPr>
      <w:r>
        <w:separator/>
      </w:r>
    </w:p>
  </w:endnote>
  <w:endnote w:type="continuationSeparator" w:id="0">
    <w:p w14:paraId="46247723" w14:textId="77777777" w:rsidR="007B07ED" w:rsidRDefault="007B07ED" w:rsidP="00B77D97">
      <w:pPr>
        <w:spacing w:after="0" w:line="240" w:lineRule="auto"/>
      </w:pPr>
      <w:r>
        <w:continuationSeparator/>
      </w:r>
    </w:p>
  </w:endnote>
  <w:endnote w:type="continuationNotice" w:id="1">
    <w:p w14:paraId="654BBC94" w14:textId="77777777" w:rsidR="007B07ED" w:rsidRDefault="007B07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8DB7F" w14:textId="77777777" w:rsidR="001654D7" w:rsidRDefault="00165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A93DE" w14:textId="456333E5" w:rsidR="00B42446" w:rsidRPr="00B77D97" w:rsidRDefault="00B42446" w:rsidP="00B77D97">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861A26">
      <w:rPr>
        <w:rFonts w:ascii="Times New Roman" w:hAnsi="Times New Roman" w:cs="Times New Roman"/>
        <w:noProof/>
      </w:rPr>
      <w:t>1</w:t>
    </w:r>
    <w:r>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0F507" w14:textId="77777777" w:rsidR="001654D7" w:rsidRDefault="00165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0EE82" w14:textId="77777777" w:rsidR="007B07ED" w:rsidRDefault="007B07ED" w:rsidP="00B77D97">
      <w:pPr>
        <w:spacing w:after="0" w:line="240" w:lineRule="auto"/>
      </w:pPr>
      <w:r>
        <w:separator/>
      </w:r>
    </w:p>
  </w:footnote>
  <w:footnote w:type="continuationSeparator" w:id="0">
    <w:p w14:paraId="503E411D" w14:textId="77777777" w:rsidR="007B07ED" w:rsidRDefault="007B07ED" w:rsidP="00B77D97">
      <w:pPr>
        <w:spacing w:after="0" w:line="240" w:lineRule="auto"/>
      </w:pPr>
      <w:r>
        <w:continuationSeparator/>
      </w:r>
    </w:p>
  </w:footnote>
  <w:footnote w:type="continuationNotice" w:id="1">
    <w:p w14:paraId="76B8041C" w14:textId="77777777" w:rsidR="007B07ED" w:rsidRDefault="007B07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D0CAE" w14:textId="77777777" w:rsidR="001654D7" w:rsidRDefault="001654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AA35D" w14:textId="4EE0D5C2" w:rsidR="00B42446" w:rsidRPr="00B77D97" w:rsidRDefault="00B42446" w:rsidP="00B77D97">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7F48A" w14:textId="77777777" w:rsidR="001654D7" w:rsidRDefault="00165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 w15:restartNumberingAfterBreak="0">
    <w:nsid w:val="082F15B7"/>
    <w:multiLevelType w:val="hybridMultilevel"/>
    <w:tmpl w:val="1450BD54"/>
    <w:lvl w:ilvl="0" w:tplc="841243BE">
      <w:start w:val="1"/>
      <w:numFmt w:val="decimal"/>
      <w:pStyle w:val="ESAttParagraph"/>
      <w:lvlText w:val="%1."/>
      <w:lvlJc w:val="left"/>
      <w:pPr>
        <w:ind w:left="360" w:hanging="360"/>
      </w:pPr>
      <w:rPr>
        <w:b w:val="0"/>
      </w:rPr>
    </w:lvl>
    <w:lvl w:ilvl="1" w:tplc="D6F02F26">
      <w:start w:val="1"/>
      <w:numFmt w:val="lowerLetter"/>
      <w:pStyle w:val="ESAtt-Subparagraph"/>
      <w:lvlText w:val="%2."/>
      <w:lvlJc w:val="left"/>
      <w:pPr>
        <w:ind w:left="1080" w:hanging="360"/>
      </w:pPr>
    </w:lvl>
    <w:lvl w:ilvl="2" w:tplc="4A065A02">
      <w:start w:val="1"/>
      <w:numFmt w:val="lowerRoman"/>
      <w:pStyle w:val="ESAtt-Point"/>
      <w:lvlText w:val="%3."/>
      <w:lvlJc w:val="right"/>
      <w:pPr>
        <w:ind w:left="1800" w:hanging="180"/>
      </w:pPr>
    </w:lvl>
    <w:lvl w:ilvl="3" w:tplc="3DE85F26">
      <w:start w:val="1"/>
      <w:numFmt w:val="decimal"/>
      <w:pStyle w:val="ESAtt-Subpoint"/>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D457C5"/>
    <w:multiLevelType w:val="multilevel"/>
    <w:tmpl w:val="624681D2"/>
    <w:numStyleLink w:val="ListTableBullet"/>
  </w:abstractNum>
  <w:abstractNum w:abstractNumId="3" w15:restartNumberingAfterBreak="0">
    <w:nsid w:val="09843EE5"/>
    <w:multiLevelType w:val="hybridMultilevel"/>
    <w:tmpl w:val="42807E76"/>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start w:val="1"/>
      <w:numFmt w:val="bullet"/>
      <w:lvlText w:val=""/>
      <w:lvlJc w:val="left"/>
      <w:pPr>
        <w:ind w:left="2218" w:hanging="360"/>
      </w:pPr>
      <w:rPr>
        <w:rFonts w:ascii="Wingdings" w:hAnsi="Wingdings" w:hint="default"/>
      </w:rPr>
    </w:lvl>
    <w:lvl w:ilvl="3" w:tplc="0C090001">
      <w:start w:val="1"/>
      <w:numFmt w:val="bullet"/>
      <w:lvlText w:val=""/>
      <w:lvlJc w:val="left"/>
      <w:pPr>
        <w:ind w:left="2938" w:hanging="360"/>
      </w:pPr>
      <w:rPr>
        <w:rFonts w:ascii="Symbol" w:hAnsi="Symbol" w:hint="default"/>
      </w:rPr>
    </w:lvl>
    <w:lvl w:ilvl="4" w:tplc="0C090003">
      <w:start w:val="1"/>
      <w:numFmt w:val="bullet"/>
      <w:lvlText w:val="o"/>
      <w:lvlJc w:val="left"/>
      <w:pPr>
        <w:ind w:left="3658" w:hanging="360"/>
      </w:pPr>
      <w:rPr>
        <w:rFonts w:ascii="Courier New" w:hAnsi="Courier New" w:cs="Courier New" w:hint="default"/>
      </w:rPr>
    </w:lvl>
    <w:lvl w:ilvl="5" w:tplc="0C090005">
      <w:start w:val="1"/>
      <w:numFmt w:val="bullet"/>
      <w:lvlText w:val=""/>
      <w:lvlJc w:val="left"/>
      <w:pPr>
        <w:ind w:left="4378" w:hanging="360"/>
      </w:pPr>
      <w:rPr>
        <w:rFonts w:ascii="Wingdings" w:hAnsi="Wingdings" w:hint="default"/>
      </w:rPr>
    </w:lvl>
    <w:lvl w:ilvl="6" w:tplc="0C090001">
      <w:start w:val="1"/>
      <w:numFmt w:val="bullet"/>
      <w:lvlText w:val=""/>
      <w:lvlJc w:val="left"/>
      <w:pPr>
        <w:ind w:left="5098" w:hanging="360"/>
      </w:pPr>
      <w:rPr>
        <w:rFonts w:ascii="Symbol" w:hAnsi="Symbol" w:hint="default"/>
      </w:rPr>
    </w:lvl>
    <w:lvl w:ilvl="7" w:tplc="0C090003">
      <w:start w:val="1"/>
      <w:numFmt w:val="bullet"/>
      <w:lvlText w:val="o"/>
      <w:lvlJc w:val="left"/>
      <w:pPr>
        <w:ind w:left="5818" w:hanging="360"/>
      </w:pPr>
      <w:rPr>
        <w:rFonts w:ascii="Courier New" w:hAnsi="Courier New" w:cs="Courier New" w:hint="default"/>
      </w:rPr>
    </w:lvl>
    <w:lvl w:ilvl="8" w:tplc="0C090005">
      <w:start w:val="1"/>
      <w:numFmt w:val="bullet"/>
      <w:lvlText w:val=""/>
      <w:lvlJc w:val="left"/>
      <w:pPr>
        <w:ind w:left="6538" w:hanging="360"/>
      </w:pPr>
      <w:rPr>
        <w:rFonts w:ascii="Wingdings" w:hAnsi="Wingdings" w:hint="default"/>
      </w:rPr>
    </w:lvl>
  </w:abstractNum>
  <w:abstractNum w:abstractNumId="4" w15:restartNumberingAfterBreak="0">
    <w:nsid w:val="0A4D6793"/>
    <w:multiLevelType w:val="hybridMultilevel"/>
    <w:tmpl w:val="67F6B424"/>
    <w:lvl w:ilvl="0" w:tplc="4D763EF0">
      <w:start w:val="1"/>
      <w:numFmt w:val="bullet"/>
      <w:pStyle w:val="Bullet1stlevel"/>
      <w:lvlText w:val=""/>
      <w:lvlJc w:val="left"/>
      <w:pPr>
        <w:tabs>
          <w:tab w:val="num" w:pos="340"/>
        </w:tabs>
        <w:ind w:left="340" w:hanging="340"/>
      </w:pPr>
      <w:rPr>
        <w:rFonts w:ascii="Symbol" w:hAnsi="Symbol" w:hint="default"/>
        <w:color w:val="auto"/>
        <w:sz w:val="22"/>
      </w:rPr>
    </w:lvl>
    <w:lvl w:ilvl="1" w:tplc="C5223D38">
      <w:numFmt w:val="decimal"/>
      <w:lvlText w:val=""/>
      <w:lvlJc w:val="left"/>
    </w:lvl>
    <w:lvl w:ilvl="2" w:tplc="02142D5C">
      <w:numFmt w:val="decimal"/>
      <w:lvlText w:val=""/>
      <w:lvlJc w:val="left"/>
    </w:lvl>
    <w:lvl w:ilvl="3" w:tplc="81DC3DAA">
      <w:numFmt w:val="decimal"/>
      <w:lvlText w:val=""/>
      <w:lvlJc w:val="left"/>
    </w:lvl>
    <w:lvl w:ilvl="4" w:tplc="0AE8BAEA">
      <w:numFmt w:val="decimal"/>
      <w:lvlText w:val=""/>
      <w:lvlJc w:val="left"/>
    </w:lvl>
    <w:lvl w:ilvl="5" w:tplc="186670A4">
      <w:numFmt w:val="decimal"/>
      <w:lvlText w:val=""/>
      <w:lvlJc w:val="left"/>
    </w:lvl>
    <w:lvl w:ilvl="6" w:tplc="E5941FE0">
      <w:numFmt w:val="decimal"/>
      <w:lvlText w:val=""/>
      <w:lvlJc w:val="left"/>
    </w:lvl>
    <w:lvl w:ilvl="7" w:tplc="4EB6076C">
      <w:numFmt w:val="decimal"/>
      <w:lvlText w:val=""/>
      <w:lvlJc w:val="left"/>
    </w:lvl>
    <w:lvl w:ilvl="8" w:tplc="091CCC24">
      <w:numFmt w:val="decimal"/>
      <w:lvlText w:val=""/>
      <w:lvlJc w:val="left"/>
    </w:lvl>
  </w:abstractNum>
  <w:abstractNum w:abstractNumId="5"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3BE0D62"/>
    <w:multiLevelType w:val="multilevel"/>
    <w:tmpl w:val="1C6243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4647FA6"/>
    <w:multiLevelType w:val="hybridMultilevel"/>
    <w:tmpl w:val="9878D78E"/>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8" w15:restartNumberingAfterBreak="0">
    <w:nsid w:val="16F44A63"/>
    <w:multiLevelType w:val="multilevel"/>
    <w:tmpl w:val="E4CE520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1C977AF4"/>
    <w:multiLevelType w:val="hybridMultilevel"/>
    <w:tmpl w:val="8A5EB69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0" w15:restartNumberingAfterBreak="0">
    <w:nsid w:val="27A1752C"/>
    <w:multiLevelType w:val="hybridMultilevel"/>
    <w:tmpl w:val="6F14E6D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C8E7606"/>
    <w:multiLevelType w:val="hybridMultilevel"/>
    <w:tmpl w:val="3818411C"/>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2" w15:restartNumberingAfterBreak="0">
    <w:nsid w:val="36C97F4D"/>
    <w:multiLevelType w:val="hybridMultilevel"/>
    <w:tmpl w:val="1F021A48"/>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 w15:restartNumberingAfterBreak="0">
    <w:nsid w:val="3AE532A9"/>
    <w:multiLevelType w:val="hybridMultilevel"/>
    <w:tmpl w:val="16DE8FA2"/>
    <w:lvl w:ilvl="0" w:tplc="C80632DA">
      <w:start w:val="1"/>
      <w:numFmt w:val="decimal"/>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BA2238"/>
    <w:multiLevelType w:val="hybridMultilevel"/>
    <w:tmpl w:val="FEA81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425A7F"/>
    <w:multiLevelType w:val="hybridMultilevel"/>
    <w:tmpl w:val="2904C4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C8B22CF"/>
    <w:multiLevelType w:val="hybridMultilevel"/>
    <w:tmpl w:val="2CCABABA"/>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B93B97"/>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18" w15:restartNumberingAfterBreak="0">
    <w:nsid w:val="5F7C6369"/>
    <w:multiLevelType w:val="hybridMultilevel"/>
    <w:tmpl w:val="24705510"/>
    <w:lvl w:ilvl="0" w:tplc="B868045A">
      <w:start w:val="1"/>
      <w:numFmt w:val="decimal"/>
      <w:lvlText w:val="%1."/>
      <w:lvlJc w:val="left"/>
      <w:pPr>
        <w:ind w:left="720" w:hanging="360"/>
      </w:pPr>
      <w:rPr>
        <w:rFonts w:ascii="Times New Roman" w:hAnsi="Times New Roman" w:cs="Times New Roman" w:hint="default"/>
        <w:sz w:val="24"/>
        <w:szCs w:val="24"/>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3C3696"/>
    <w:multiLevelType w:val="hybridMultilevel"/>
    <w:tmpl w:val="888A9BF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1" w15:restartNumberingAfterBreak="0">
    <w:nsid w:val="65402428"/>
    <w:multiLevelType w:val="hybridMultilevel"/>
    <w:tmpl w:val="B4D4B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C97204"/>
    <w:multiLevelType w:val="hybridMultilevel"/>
    <w:tmpl w:val="C41272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4C9058B"/>
    <w:multiLevelType w:val="hybridMultilevel"/>
    <w:tmpl w:val="BA8E7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D94BA1"/>
    <w:multiLevelType w:val="hybridMultilevel"/>
    <w:tmpl w:val="6EC2A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4"/>
  </w:num>
  <w:num w:numId="4">
    <w:abstractNumId w:val="23"/>
  </w:num>
  <w:num w:numId="5">
    <w:abstractNumId w:val="21"/>
  </w:num>
  <w:num w:numId="6">
    <w:abstractNumId w:val="24"/>
  </w:num>
  <w:num w:numId="7">
    <w:abstractNumId w:val="3"/>
  </w:num>
  <w:num w:numId="8">
    <w:abstractNumId w:val="19"/>
  </w:num>
  <w:num w:numId="9">
    <w:abstractNumId w:val="9"/>
  </w:num>
  <w:num w:numId="10">
    <w:abstractNumId w:val="18"/>
  </w:num>
  <w:num w:numId="11">
    <w:abstractNumId w:val="22"/>
  </w:num>
  <w:num w:numId="12">
    <w:abstractNumId w:val="10"/>
  </w:num>
  <w:num w:numId="13">
    <w:abstractNumId w:val="13"/>
    <w:lvlOverride w:ilvl="0">
      <w:startOverride w:val="1"/>
    </w:lvlOverride>
  </w:num>
  <w:num w:numId="14">
    <w:abstractNumId w:val="0"/>
  </w:num>
  <w:num w:numId="15">
    <w:abstractNumId w:val="17"/>
  </w:num>
  <w:num w:numId="16">
    <w:abstractNumId w:val="2"/>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17">
    <w:abstractNumId w:val="4"/>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3"/>
  </w:num>
  <w:num w:numId="30">
    <w:abstractNumId w:val="13"/>
    <w:lvlOverride w:ilvl="0">
      <w:startOverride w:val="1"/>
    </w:lvlOverride>
  </w:num>
  <w:num w:numId="31">
    <w:abstractNumId w:val="13"/>
  </w:num>
  <w:num w:numId="32">
    <w:abstractNumId w:val="5"/>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8"/>
  </w:num>
  <w:num w:numId="37">
    <w:abstractNumId w:val="15"/>
  </w:num>
  <w:num w:numId="38">
    <w:abstractNumId w:val="1"/>
    <w:lvlOverride w:ilvl="0">
      <w:startOverride w:val="1"/>
    </w:lvlOverride>
  </w:num>
  <w:num w:numId="39">
    <w:abstractNumId w:val="1"/>
  </w:num>
  <w:num w:numId="40">
    <w:abstractNumId w:val="1"/>
  </w:num>
  <w:num w:numId="41">
    <w:abstractNumId w:val="1"/>
  </w:num>
  <w:num w:numId="42">
    <w:abstractNumId w:val="12"/>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1"/>
  </w:num>
  <w:num w:numId="53">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trackedChanges"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23"/>
    <w:rsid w:val="00000934"/>
    <w:rsid w:val="00000D04"/>
    <w:rsid w:val="00012E42"/>
    <w:rsid w:val="00017433"/>
    <w:rsid w:val="00021163"/>
    <w:rsid w:val="00024370"/>
    <w:rsid w:val="000248AF"/>
    <w:rsid w:val="00025217"/>
    <w:rsid w:val="000257B9"/>
    <w:rsid w:val="0003124D"/>
    <w:rsid w:val="00032ACD"/>
    <w:rsid w:val="00032E7B"/>
    <w:rsid w:val="00034421"/>
    <w:rsid w:val="00042701"/>
    <w:rsid w:val="0004349C"/>
    <w:rsid w:val="00046837"/>
    <w:rsid w:val="00046F2A"/>
    <w:rsid w:val="00050C25"/>
    <w:rsid w:val="00052AE0"/>
    <w:rsid w:val="00054C05"/>
    <w:rsid w:val="000556B1"/>
    <w:rsid w:val="00056129"/>
    <w:rsid w:val="00057705"/>
    <w:rsid w:val="00060AC8"/>
    <w:rsid w:val="00060E31"/>
    <w:rsid w:val="0006262D"/>
    <w:rsid w:val="00062A03"/>
    <w:rsid w:val="00064E14"/>
    <w:rsid w:val="0006687A"/>
    <w:rsid w:val="0006711E"/>
    <w:rsid w:val="00071128"/>
    <w:rsid w:val="000712AB"/>
    <w:rsid w:val="00071818"/>
    <w:rsid w:val="000731AB"/>
    <w:rsid w:val="00075236"/>
    <w:rsid w:val="000759D6"/>
    <w:rsid w:val="00076454"/>
    <w:rsid w:val="00081DB8"/>
    <w:rsid w:val="00085544"/>
    <w:rsid w:val="00097B67"/>
    <w:rsid w:val="000A1147"/>
    <w:rsid w:val="000A190E"/>
    <w:rsid w:val="000A2039"/>
    <w:rsid w:val="000A20D2"/>
    <w:rsid w:val="000A2BB7"/>
    <w:rsid w:val="000A446D"/>
    <w:rsid w:val="000A4EB2"/>
    <w:rsid w:val="000A6CED"/>
    <w:rsid w:val="000B2EFA"/>
    <w:rsid w:val="000B4122"/>
    <w:rsid w:val="000C2A42"/>
    <w:rsid w:val="000C3BF2"/>
    <w:rsid w:val="000C7AC3"/>
    <w:rsid w:val="000D014F"/>
    <w:rsid w:val="000D2A4A"/>
    <w:rsid w:val="000D4410"/>
    <w:rsid w:val="000D5591"/>
    <w:rsid w:val="000E060E"/>
    <w:rsid w:val="000E2061"/>
    <w:rsid w:val="000E4E49"/>
    <w:rsid w:val="000E6C4E"/>
    <w:rsid w:val="000F18F0"/>
    <w:rsid w:val="000F1D54"/>
    <w:rsid w:val="000F304F"/>
    <w:rsid w:val="000F3A8C"/>
    <w:rsid w:val="000F5892"/>
    <w:rsid w:val="000F63DE"/>
    <w:rsid w:val="000F686F"/>
    <w:rsid w:val="000F6BF4"/>
    <w:rsid w:val="00100DFC"/>
    <w:rsid w:val="00102DC4"/>
    <w:rsid w:val="00103EF3"/>
    <w:rsid w:val="001042A5"/>
    <w:rsid w:val="00105913"/>
    <w:rsid w:val="0010677B"/>
    <w:rsid w:val="00106A96"/>
    <w:rsid w:val="001076FE"/>
    <w:rsid w:val="00114450"/>
    <w:rsid w:val="00120A24"/>
    <w:rsid w:val="00120D7D"/>
    <w:rsid w:val="00125B7A"/>
    <w:rsid w:val="001265BA"/>
    <w:rsid w:val="001265C4"/>
    <w:rsid w:val="00131E1A"/>
    <w:rsid w:val="0013281D"/>
    <w:rsid w:val="00133207"/>
    <w:rsid w:val="00136E34"/>
    <w:rsid w:val="001370B8"/>
    <w:rsid w:val="00137392"/>
    <w:rsid w:val="0014153B"/>
    <w:rsid w:val="00141B05"/>
    <w:rsid w:val="00142CAD"/>
    <w:rsid w:val="00155535"/>
    <w:rsid w:val="001577F7"/>
    <w:rsid w:val="00160EDF"/>
    <w:rsid w:val="001654D7"/>
    <w:rsid w:val="0016583D"/>
    <w:rsid w:val="00166FEA"/>
    <w:rsid w:val="001678C6"/>
    <w:rsid w:val="0017149A"/>
    <w:rsid w:val="00171B4B"/>
    <w:rsid w:val="0017272F"/>
    <w:rsid w:val="00173B12"/>
    <w:rsid w:val="0017463E"/>
    <w:rsid w:val="001748FE"/>
    <w:rsid w:val="00181130"/>
    <w:rsid w:val="001830DE"/>
    <w:rsid w:val="00184A3F"/>
    <w:rsid w:val="001850D3"/>
    <w:rsid w:val="00187756"/>
    <w:rsid w:val="00187A14"/>
    <w:rsid w:val="001906B0"/>
    <w:rsid w:val="0019164E"/>
    <w:rsid w:val="00191E28"/>
    <w:rsid w:val="001947AB"/>
    <w:rsid w:val="001A083A"/>
    <w:rsid w:val="001A3078"/>
    <w:rsid w:val="001A4584"/>
    <w:rsid w:val="001B1424"/>
    <w:rsid w:val="001C01FD"/>
    <w:rsid w:val="001C565F"/>
    <w:rsid w:val="001D2732"/>
    <w:rsid w:val="001D4295"/>
    <w:rsid w:val="001E0597"/>
    <w:rsid w:val="001E3E18"/>
    <w:rsid w:val="001E4116"/>
    <w:rsid w:val="001E4DCB"/>
    <w:rsid w:val="001F2896"/>
    <w:rsid w:val="001F3D67"/>
    <w:rsid w:val="001F3E95"/>
    <w:rsid w:val="001F45C4"/>
    <w:rsid w:val="001F7D0A"/>
    <w:rsid w:val="00200F0F"/>
    <w:rsid w:val="0020526A"/>
    <w:rsid w:val="002056D1"/>
    <w:rsid w:val="0020594E"/>
    <w:rsid w:val="00205E08"/>
    <w:rsid w:val="00206434"/>
    <w:rsid w:val="00210AEB"/>
    <w:rsid w:val="00211E90"/>
    <w:rsid w:val="00215DA3"/>
    <w:rsid w:val="00221D3C"/>
    <w:rsid w:val="00222AD0"/>
    <w:rsid w:val="00223912"/>
    <w:rsid w:val="00223D30"/>
    <w:rsid w:val="00224357"/>
    <w:rsid w:val="0022590B"/>
    <w:rsid w:val="002308F6"/>
    <w:rsid w:val="00231CE5"/>
    <w:rsid w:val="00233597"/>
    <w:rsid w:val="002366CE"/>
    <w:rsid w:val="00236B58"/>
    <w:rsid w:val="002402E0"/>
    <w:rsid w:val="00241DE2"/>
    <w:rsid w:val="00245376"/>
    <w:rsid w:val="00246548"/>
    <w:rsid w:val="0024684A"/>
    <w:rsid w:val="00256024"/>
    <w:rsid w:val="002573D3"/>
    <w:rsid w:val="002603D3"/>
    <w:rsid w:val="00261E8E"/>
    <w:rsid w:val="00265A55"/>
    <w:rsid w:val="002748F6"/>
    <w:rsid w:val="00277BC6"/>
    <w:rsid w:val="00287573"/>
    <w:rsid w:val="00287D13"/>
    <w:rsid w:val="00287FB7"/>
    <w:rsid w:val="00291653"/>
    <w:rsid w:val="00291AD1"/>
    <w:rsid w:val="00291FBB"/>
    <w:rsid w:val="00295872"/>
    <w:rsid w:val="00295EED"/>
    <w:rsid w:val="00297A28"/>
    <w:rsid w:val="002A298D"/>
    <w:rsid w:val="002A5318"/>
    <w:rsid w:val="002A6090"/>
    <w:rsid w:val="002A6487"/>
    <w:rsid w:val="002B2418"/>
    <w:rsid w:val="002B6BED"/>
    <w:rsid w:val="002B6C7A"/>
    <w:rsid w:val="002B7D04"/>
    <w:rsid w:val="002B7E5B"/>
    <w:rsid w:val="002C44E4"/>
    <w:rsid w:val="002C5104"/>
    <w:rsid w:val="002D0BE9"/>
    <w:rsid w:val="002D1416"/>
    <w:rsid w:val="002D167E"/>
    <w:rsid w:val="002D50BC"/>
    <w:rsid w:val="002D672A"/>
    <w:rsid w:val="002D6CA5"/>
    <w:rsid w:val="002E3189"/>
    <w:rsid w:val="002F00F1"/>
    <w:rsid w:val="002F73C1"/>
    <w:rsid w:val="003109CD"/>
    <w:rsid w:val="00310BA9"/>
    <w:rsid w:val="00311F1B"/>
    <w:rsid w:val="0031435D"/>
    <w:rsid w:val="00314F3E"/>
    <w:rsid w:val="00322990"/>
    <w:rsid w:val="00323E75"/>
    <w:rsid w:val="00324AA4"/>
    <w:rsid w:val="00325B0F"/>
    <w:rsid w:val="00330708"/>
    <w:rsid w:val="00333A25"/>
    <w:rsid w:val="003345F8"/>
    <w:rsid w:val="00334FCE"/>
    <w:rsid w:val="00335FF6"/>
    <w:rsid w:val="00336B12"/>
    <w:rsid w:val="00337DEA"/>
    <w:rsid w:val="00340400"/>
    <w:rsid w:val="0034158B"/>
    <w:rsid w:val="00342C01"/>
    <w:rsid w:val="00344A87"/>
    <w:rsid w:val="0034510F"/>
    <w:rsid w:val="0035107A"/>
    <w:rsid w:val="003520DC"/>
    <w:rsid w:val="0035220A"/>
    <w:rsid w:val="003560BF"/>
    <w:rsid w:val="00356408"/>
    <w:rsid w:val="00357AB7"/>
    <w:rsid w:val="003617D7"/>
    <w:rsid w:val="00365EC3"/>
    <w:rsid w:val="003664F2"/>
    <w:rsid w:val="0036703C"/>
    <w:rsid w:val="00370950"/>
    <w:rsid w:val="00371D79"/>
    <w:rsid w:val="00375139"/>
    <w:rsid w:val="003829CF"/>
    <w:rsid w:val="0038409E"/>
    <w:rsid w:val="003846B4"/>
    <w:rsid w:val="00385AA9"/>
    <w:rsid w:val="0039109F"/>
    <w:rsid w:val="00392CEC"/>
    <w:rsid w:val="00394FC4"/>
    <w:rsid w:val="003951D5"/>
    <w:rsid w:val="003979B0"/>
    <w:rsid w:val="003A070F"/>
    <w:rsid w:val="003A0D03"/>
    <w:rsid w:val="003A1569"/>
    <w:rsid w:val="003A3392"/>
    <w:rsid w:val="003A3771"/>
    <w:rsid w:val="003B05D5"/>
    <w:rsid w:val="003B1945"/>
    <w:rsid w:val="003B57CB"/>
    <w:rsid w:val="003B5BDC"/>
    <w:rsid w:val="003B7EEE"/>
    <w:rsid w:val="003C48F6"/>
    <w:rsid w:val="003C65C5"/>
    <w:rsid w:val="003D3EB0"/>
    <w:rsid w:val="003D5B02"/>
    <w:rsid w:val="003D5ECA"/>
    <w:rsid w:val="003D6372"/>
    <w:rsid w:val="003D65C9"/>
    <w:rsid w:val="003D670E"/>
    <w:rsid w:val="003E0EFD"/>
    <w:rsid w:val="003E2210"/>
    <w:rsid w:val="003E2CFB"/>
    <w:rsid w:val="003E48D6"/>
    <w:rsid w:val="003E563C"/>
    <w:rsid w:val="003E70FD"/>
    <w:rsid w:val="003F0A82"/>
    <w:rsid w:val="003F0EB7"/>
    <w:rsid w:val="003F0F53"/>
    <w:rsid w:val="003F2C1A"/>
    <w:rsid w:val="003F3231"/>
    <w:rsid w:val="003F5584"/>
    <w:rsid w:val="00401333"/>
    <w:rsid w:val="00401BDF"/>
    <w:rsid w:val="00404B2A"/>
    <w:rsid w:val="00416AB8"/>
    <w:rsid w:val="00416E2D"/>
    <w:rsid w:val="00416F32"/>
    <w:rsid w:val="00417ABF"/>
    <w:rsid w:val="004227F7"/>
    <w:rsid w:val="004229D4"/>
    <w:rsid w:val="00422BAB"/>
    <w:rsid w:val="0042373B"/>
    <w:rsid w:val="00426168"/>
    <w:rsid w:val="00426282"/>
    <w:rsid w:val="00433DF3"/>
    <w:rsid w:val="00435645"/>
    <w:rsid w:val="00435972"/>
    <w:rsid w:val="004361A8"/>
    <w:rsid w:val="00437BCD"/>
    <w:rsid w:val="00440F2E"/>
    <w:rsid w:val="004413E3"/>
    <w:rsid w:val="00441448"/>
    <w:rsid w:val="00441664"/>
    <w:rsid w:val="00442788"/>
    <w:rsid w:val="00442EC5"/>
    <w:rsid w:val="004472D1"/>
    <w:rsid w:val="0044749D"/>
    <w:rsid w:val="00451FB3"/>
    <w:rsid w:val="00452948"/>
    <w:rsid w:val="0045504D"/>
    <w:rsid w:val="00455314"/>
    <w:rsid w:val="00455C28"/>
    <w:rsid w:val="00456708"/>
    <w:rsid w:val="00456825"/>
    <w:rsid w:val="00457601"/>
    <w:rsid w:val="00457765"/>
    <w:rsid w:val="00457D4A"/>
    <w:rsid w:val="00463D3E"/>
    <w:rsid w:val="00464080"/>
    <w:rsid w:val="004641E4"/>
    <w:rsid w:val="00464E95"/>
    <w:rsid w:val="004726B8"/>
    <w:rsid w:val="00472938"/>
    <w:rsid w:val="00475753"/>
    <w:rsid w:val="00476446"/>
    <w:rsid w:val="00481227"/>
    <w:rsid w:val="004825CD"/>
    <w:rsid w:val="0048269E"/>
    <w:rsid w:val="00482E05"/>
    <w:rsid w:val="00483F54"/>
    <w:rsid w:val="004912E1"/>
    <w:rsid w:val="00492855"/>
    <w:rsid w:val="00494E72"/>
    <w:rsid w:val="00497394"/>
    <w:rsid w:val="004A184D"/>
    <w:rsid w:val="004A360D"/>
    <w:rsid w:val="004A40F9"/>
    <w:rsid w:val="004A426C"/>
    <w:rsid w:val="004A5368"/>
    <w:rsid w:val="004A58EB"/>
    <w:rsid w:val="004B0C67"/>
    <w:rsid w:val="004B399B"/>
    <w:rsid w:val="004B3E4D"/>
    <w:rsid w:val="004B45EA"/>
    <w:rsid w:val="004B727D"/>
    <w:rsid w:val="004B7F53"/>
    <w:rsid w:val="004C782D"/>
    <w:rsid w:val="004C7FC6"/>
    <w:rsid w:val="004D3149"/>
    <w:rsid w:val="004D34E7"/>
    <w:rsid w:val="004D3EB4"/>
    <w:rsid w:val="004D5AE4"/>
    <w:rsid w:val="004D70FD"/>
    <w:rsid w:val="004D7854"/>
    <w:rsid w:val="004E0F25"/>
    <w:rsid w:val="004E143E"/>
    <w:rsid w:val="004E17BA"/>
    <w:rsid w:val="004E5F4D"/>
    <w:rsid w:val="004E703C"/>
    <w:rsid w:val="004F5CE4"/>
    <w:rsid w:val="0050317B"/>
    <w:rsid w:val="005044CC"/>
    <w:rsid w:val="0050506F"/>
    <w:rsid w:val="00505C27"/>
    <w:rsid w:val="00507F62"/>
    <w:rsid w:val="005120D0"/>
    <w:rsid w:val="00512C47"/>
    <w:rsid w:val="00512F3A"/>
    <w:rsid w:val="005132E0"/>
    <w:rsid w:val="005151BF"/>
    <w:rsid w:val="00521813"/>
    <w:rsid w:val="00521C5E"/>
    <w:rsid w:val="005230A8"/>
    <w:rsid w:val="005259FF"/>
    <w:rsid w:val="005264E6"/>
    <w:rsid w:val="00537222"/>
    <w:rsid w:val="005407E4"/>
    <w:rsid w:val="00540F38"/>
    <w:rsid w:val="00541316"/>
    <w:rsid w:val="0054406A"/>
    <w:rsid w:val="00550D98"/>
    <w:rsid w:val="0055174E"/>
    <w:rsid w:val="005518FF"/>
    <w:rsid w:val="00552AFF"/>
    <w:rsid w:val="00560B24"/>
    <w:rsid w:val="00564A54"/>
    <w:rsid w:val="00564A6D"/>
    <w:rsid w:val="00564F94"/>
    <w:rsid w:val="0056719F"/>
    <w:rsid w:val="0057002B"/>
    <w:rsid w:val="00571D02"/>
    <w:rsid w:val="00575D4E"/>
    <w:rsid w:val="005766C4"/>
    <w:rsid w:val="005768F2"/>
    <w:rsid w:val="00582E9F"/>
    <w:rsid w:val="005879DE"/>
    <w:rsid w:val="00587F74"/>
    <w:rsid w:val="0059165D"/>
    <w:rsid w:val="005926BA"/>
    <w:rsid w:val="00592CE3"/>
    <w:rsid w:val="0059324B"/>
    <w:rsid w:val="00593783"/>
    <w:rsid w:val="005A0253"/>
    <w:rsid w:val="005A0E59"/>
    <w:rsid w:val="005A4462"/>
    <w:rsid w:val="005A45B2"/>
    <w:rsid w:val="005A5FD9"/>
    <w:rsid w:val="005A625A"/>
    <w:rsid w:val="005A7D65"/>
    <w:rsid w:val="005B0503"/>
    <w:rsid w:val="005B2CFF"/>
    <w:rsid w:val="005B3793"/>
    <w:rsid w:val="005B4F9E"/>
    <w:rsid w:val="005B5409"/>
    <w:rsid w:val="005C143B"/>
    <w:rsid w:val="005C1918"/>
    <w:rsid w:val="005C4357"/>
    <w:rsid w:val="005C4E7F"/>
    <w:rsid w:val="005C615D"/>
    <w:rsid w:val="005C7BF2"/>
    <w:rsid w:val="005D02EE"/>
    <w:rsid w:val="005D0FE9"/>
    <w:rsid w:val="005D2128"/>
    <w:rsid w:val="005D3528"/>
    <w:rsid w:val="005D44CE"/>
    <w:rsid w:val="005D543B"/>
    <w:rsid w:val="005E152F"/>
    <w:rsid w:val="005E5065"/>
    <w:rsid w:val="005F0603"/>
    <w:rsid w:val="005F3F10"/>
    <w:rsid w:val="005F5995"/>
    <w:rsid w:val="00602422"/>
    <w:rsid w:val="006029B9"/>
    <w:rsid w:val="00602A11"/>
    <w:rsid w:val="0060408B"/>
    <w:rsid w:val="00604E06"/>
    <w:rsid w:val="006063EB"/>
    <w:rsid w:val="00607446"/>
    <w:rsid w:val="006137B5"/>
    <w:rsid w:val="00614883"/>
    <w:rsid w:val="006204B0"/>
    <w:rsid w:val="00620787"/>
    <w:rsid w:val="0062098B"/>
    <w:rsid w:val="00623B00"/>
    <w:rsid w:val="00637D2D"/>
    <w:rsid w:val="0064022D"/>
    <w:rsid w:val="0064692B"/>
    <w:rsid w:val="006546BE"/>
    <w:rsid w:val="00654AE0"/>
    <w:rsid w:val="006557FA"/>
    <w:rsid w:val="00656652"/>
    <w:rsid w:val="00661B12"/>
    <w:rsid w:val="00663D5A"/>
    <w:rsid w:val="00674810"/>
    <w:rsid w:val="00676205"/>
    <w:rsid w:val="0068671C"/>
    <w:rsid w:val="006878E2"/>
    <w:rsid w:val="006902F8"/>
    <w:rsid w:val="006913E2"/>
    <w:rsid w:val="0069144D"/>
    <w:rsid w:val="00694A43"/>
    <w:rsid w:val="006A11ED"/>
    <w:rsid w:val="006A19EC"/>
    <w:rsid w:val="006A209F"/>
    <w:rsid w:val="006A35E1"/>
    <w:rsid w:val="006A5473"/>
    <w:rsid w:val="006B0EE7"/>
    <w:rsid w:val="006C4986"/>
    <w:rsid w:val="006C7BA1"/>
    <w:rsid w:val="006C7BB5"/>
    <w:rsid w:val="006D1554"/>
    <w:rsid w:val="006D157A"/>
    <w:rsid w:val="006D25DC"/>
    <w:rsid w:val="006D31D9"/>
    <w:rsid w:val="006D368E"/>
    <w:rsid w:val="006D469E"/>
    <w:rsid w:val="006E043E"/>
    <w:rsid w:val="006E1926"/>
    <w:rsid w:val="006E1B4C"/>
    <w:rsid w:val="006E33DD"/>
    <w:rsid w:val="006E4520"/>
    <w:rsid w:val="006E5A59"/>
    <w:rsid w:val="006F084A"/>
    <w:rsid w:val="006F12BD"/>
    <w:rsid w:val="006F233E"/>
    <w:rsid w:val="006F4472"/>
    <w:rsid w:val="006F5F11"/>
    <w:rsid w:val="0070000D"/>
    <w:rsid w:val="007017CD"/>
    <w:rsid w:val="00702592"/>
    <w:rsid w:val="007040BB"/>
    <w:rsid w:val="00711642"/>
    <w:rsid w:val="00711A3C"/>
    <w:rsid w:val="007136F8"/>
    <w:rsid w:val="00713829"/>
    <w:rsid w:val="00720363"/>
    <w:rsid w:val="007211A4"/>
    <w:rsid w:val="007241BF"/>
    <w:rsid w:val="00727A8C"/>
    <w:rsid w:val="00731CD8"/>
    <w:rsid w:val="00731DBC"/>
    <w:rsid w:val="0073230D"/>
    <w:rsid w:val="00735916"/>
    <w:rsid w:val="00736145"/>
    <w:rsid w:val="007402AD"/>
    <w:rsid w:val="00740AD8"/>
    <w:rsid w:val="00741836"/>
    <w:rsid w:val="007431E0"/>
    <w:rsid w:val="0075132D"/>
    <w:rsid w:val="00751A9A"/>
    <w:rsid w:val="00755995"/>
    <w:rsid w:val="00755D24"/>
    <w:rsid w:val="00757433"/>
    <w:rsid w:val="00757800"/>
    <w:rsid w:val="00761C95"/>
    <w:rsid w:val="007654AA"/>
    <w:rsid w:val="007657F3"/>
    <w:rsid w:val="0077064F"/>
    <w:rsid w:val="007719FA"/>
    <w:rsid w:val="00771F53"/>
    <w:rsid w:val="00772974"/>
    <w:rsid w:val="00773780"/>
    <w:rsid w:val="00773C25"/>
    <w:rsid w:val="00774A98"/>
    <w:rsid w:val="007750BC"/>
    <w:rsid w:val="007824EC"/>
    <w:rsid w:val="007839B9"/>
    <w:rsid w:val="00783BFA"/>
    <w:rsid w:val="007852C5"/>
    <w:rsid w:val="00786289"/>
    <w:rsid w:val="007863E0"/>
    <w:rsid w:val="00786B2C"/>
    <w:rsid w:val="007873AE"/>
    <w:rsid w:val="00794FA4"/>
    <w:rsid w:val="007951AD"/>
    <w:rsid w:val="007A0818"/>
    <w:rsid w:val="007A2140"/>
    <w:rsid w:val="007A28D7"/>
    <w:rsid w:val="007A3034"/>
    <w:rsid w:val="007A5FDC"/>
    <w:rsid w:val="007B07ED"/>
    <w:rsid w:val="007B0B34"/>
    <w:rsid w:val="007B3ABA"/>
    <w:rsid w:val="007B5608"/>
    <w:rsid w:val="007B7C4D"/>
    <w:rsid w:val="007C0EB7"/>
    <w:rsid w:val="007C3879"/>
    <w:rsid w:val="007C58D3"/>
    <w:rsid w:val="007D1C3F"/>
    <w:rsid w:val="007D32D3"/>
    <w:rsid w:val="007D54AB"/>
    <w:rsid w:val="007E041D"/>
    <w:rsid w:val="007E179E"/>
    <w:rsid w:val="007E4691"/>
    <w:rsid w:val="007E4808"/>
    <w:rsid w:val="007E5A08"/>
    <w:rsid w:val="007E5ABF"/>
    <w:rsid w:val="007E5F22"/>
    <w:rsid w:val="007E6F52"/>
    <w:rsid w:val="007E78BA"/>
    <w:rsid w:val="007F092E"/>
    <w:rsid w:val="007F22C1"/>
    <w:rsid w:val="007F3615"/>
    <w:rsid w:val="007F46D9"/>
    <w:rsid w:val="007F4841"/>
    <w:rsid w:val="007F56B5"/>
    <w:rsid w:val="00801BB8"/>
    <w:rsid w:val="008067A1"/>
    <w:rsid w:val="00810B52"/>
    <w:rsid w:val="00810D54"/>
    <w:rsid w:val="00813BD3"/>
    <w:rsid w:val="00816FE9"/>
    <w:rsid w:val="00817C0C"/>
    <w:rsid w:val="00822447"/>
    <w:rsid w:val="00823123"/>
    <w:rsid w:val="0082533C"/>
    <w:rsid w:val="008255B5"/>
    <w:rsid w:val="00825D56"/>
    <w:rsid w:val="00826F7E"/>
    <w:rsid w:val="00831249"/>
    <w:rsid w:val="0083399E"/>
    <w:rsid w:val="00835A9D"/>
    <w:rsid w:val="00841ECD"/>
    <w:rsid w:val="00845928"/>
    <w:rsid w:val="00846EB1"/>
    <w:rsid w:val="0085331A"/>
    <w:rsid w:val="00853D06"/>
    <w:rsid w:val="0085595F"/>
    <w:rsid w:val="008567E6"/>
    <w:rsid w:val="00856926"/>
    <w:rsid w:val="00861A26"/>
    <w:rsid w:val="00861AC9"/>
    <w:rsid w:val="008630DF"/>
    <w:rsid w:val="00863E1A"/>
    <w:rsid w:val="008700B6"/>
    <w:rsid w:val="00870DB9"/>
    <w:rsid w:val="00872152"/>
    <w:rsid w:val="00873647"/>
    <w:rsid w:val="00873B1C"/>
    <w:rsid w:val="00874AB9"/>
    <w:rsid w:val="00875474"/>
    <w:rsid w:val="008810E4"/>
    <w:rsid w:val="008811BB"/>
    <w:rsid w:val="0088407D"/>
    <w:rsid w:val="00887601"/>
    <w:rsid w:val="008909E6"/>
    <w:rsid w:val="00892E84"/>
    <w:rsid w:val="00895CD7"/>
    <w:rsid w:val="00897927"/>
    <w:rsid w:val="00897CB6"/>
    <w:rsid w:val="008A7F97"/>
    <w:rsid w:val="008B083F"/>
    <w:rsid w:val="008B18CA"/>
    <w:rsid w:val="008B24C8"/>
    <w:rsid w:val="008B3502"/>
    <w:rsid w:val="008B74C6"/>
    <w:rsid w:val="008B792F"/>
    <w:rsid w:val="008C4244"/>
    <w:rsid w:val="008C76BA"/>
    <w:rsid w:val="008D21BE"/>
    <w:rsid w:val="008D2448"/>
    <w:rsid w:val="008D434F"/>
    <w:rsid w:val="008D61D4"/>
    <w:rsid w:val="008D6214"/>
    <w:rsid w:val="008E5455"/>
    <w:rsid w:val="008F0CEF"/>
    <w:rsid w:val="008F14EA"/>
    <w:rsid w:val="008F1B57"/>
    <w:rsid w:val="008F1D09"/>
    <w:rsid w:val="008F3DEB"/>
    <w:rsid w:val="008F45B3"/>
    <w:rsid w:val="008F4615"/>
    <w:rsid w:val="008F7C23"/>
    <w:rsid w:val="00900747"/>
    <w:rsid w:val="009037D5"/>
    <w:rsid w:val="00906125"/>
    <w:rsid w:val="00913452"/>
    <w:rsid w:val="009136AB"/>
    <w:rsid w:val="00914D11"/>
    <w:rsid w:val="00915032"/>
    <w:rsid w:val="00915B45"/>
    <w:rsid w:val="00920BC8"/>
    <w:rsid w:val="00920C50"/>
    <w:rsid w:val="00924E67"/>
    <w:rsid w:val="00926040"/>
    <w:rsid w:val="0092768B"/>
    <w:rsid w:val="00927747"/>
    <w:rsid w:val="00934C64"/>
    <w:rsid w:val="009417D5"/>
    <w:rsid w:val="00942BEF"/>
    <w:rsid w:val="009439FB"/>
    <w:rsid w:val="009459AC"/>
    <w:rsid w:val="009463D9"/>
    <w:rsid w:val="009532EC"/>
    <w:rsid w:val="00954ED8"/>
    <w:rsid w:val="009567F0"/>
    <w:rsid w:val="0096378B"/>
    <w:rsid w:val="00964A1F"/>
    <w:rsid w:val="00971433"/>
    <w:rsid w:val="009762DB"/>
    <w:rsid w:val="0097781C"/>
    <w:rsid w:val="00977D8E"/>
    <w:rsid w:val="00981005"/>
    <w:rsid w:val="0098125D"/>
    <w:rsid w:val="00982AAC"/>
    <w:rsid w:val="00983EE1"/>
    <w:rsid w:val="00985B72"/>
    <w:rsid w:val="00992613"/>
    <w:rsid w:val="00994DD8"/>
    <w:rsid w:val="009953D3"/>
    <w:rsid w:val="00996396"/>
    <w:rsid w:val="009A1D5F"/>
    <w:rsid w:val="009A28A3"/>
    <w:rsid w:val="009A33CA"/>
    <w:rsid w:val="009A41A0"/>
    <w:rsid w:val="009A6E43"/>
    <w:rsid w:val="009A6F1D"/>
    <w:rsid w:val="009B1207"/>
    <w:rsid w:val="009B14AE"/>
    <w:rsid w:val="009B49E4"/>
    <w:rsid w:val="009B776D"/>
    <w:rsid w:val="009C1BF5"/>
    <w:rsid w:val="009C551D"/>
    <w:rsid w:val="009C67B4"/>
    <w:rsid w:val="009C7102"/>
    <w:rsid w:val="009C7EA3"/>
    <w:rsid w:val="009D1F88"/>
    <w:rsid w:val="009D3C5E"/>
    <w:rsid w:val="009D4881"/>
    <w:rsid w:val="009D7C48"/>
    <w:rsid w:val="009E0755"/>
    <w:rsid w:val="009E129E"/>
    <w:rsid w:val="009E21DD"/>
    <w:rsid w:val="009E4958"/>
    <w:rsid w:val="009E623F"/>
    <w:rsid w:val="009F0F4D"/>
    <w:rsid w:val="009F2DE1"/>
    <w:rsid w:val="00A03E19"/>
    <w:rsid w:val="00A140BA"/>
    <w:rsid w:val="00A14B4F"/>
    <w:rsid w:val="00A20FC0"/>
    <w:rsid w:val="00A24732"/>
    <w:rsid w:val="00A2642F"/>
    <w:rsid w:val="00A267C1"/>
    <w:rsid w:val="00A267F8"/>
    <w:rsid w:val="00A3109C"/>
    <w:rsid w:val="00A3437A"/>
    <w:rsid w:val="00A34FB3"/>
    <w:rsid w:val="00A36525"/>
    <w:rsid w:val="00A3768C"/>
    <w:rsid w:val="00A37C96"/>
    <w:rsid w:val="00A41C34"/>
    <w:rsid w:val="00A4288C"/>
    <w:rsid w:val="00A42F39"/>
    <w:rsid w:val="00A55057"/>
    <w:rsid w:val="00A55527"/>
    <w:rsid w:val="00A6170A"/>
    <w:rsid w:val="00A70559"/>
    <w:rsid w:val="00A71606"/>
    <w:rsid w:val="00A71737"/>
    <w:rsid w:val="00A72596"/>
    <w:rsid w:val="00A72E1A"/>
    <w:rsid w:val="00A7312C"/>
    <w:rsid w:val="00A80232"/>
    <w:rsid w:val="00A8116A"/>
    <w:rsid w:val="00A81AC6"/>
    <w:rsid w:val="00A81C28"/>
    <w:rsid w:val="00A81EE9"/>
    <w:rsid w:val="00A82418"/>
    <w:rsid w:val="00A82F2C"/>
    <w:rsid w:val="00A83D3C"/>
    <w:rsid w:val="00A8400B"/>
    <w:rsid w:val="00A85236"/>
    <w:rsid w:val="00A867F0"/>
    <w:rsid w:val="00A94DD4"/>
    <w:rsid w:val="00A95DAC"/>
    <w:rsid w:val="00A966A8"/>
    <w:rsid w:val="00A977F3"/>
    <w:rsid w:val="00AA2605"/>
    <w:rsid w:val="00AA3E3D"/>
    <w:rsid w:val="00AA4557"/>
    <w:rsid w:val="00AA46D9"/>
    <w:rsid w:val="00AA6454"/>
    <w:rsid w:val="00AA656E"/>
    <w:rsid w:val="00AB2165"/>
    <w:rsid w:val="00AB33F4"/>
    <w:rsid w:val="00AB4884"/>
    <w:rsid w:val="00AC3269"/>
    <w:rsid w:val="00AC32A8"/>
    <w:rsid w:val="00AC33A4"/>
    <w:rsid w:val="00AC5908"/>
    <w:rsid w:val="00AC5930"/>
    <w:rsid w:val="00AC6B47"/>
    <w:rsid w:val="00AD23ED"/>
    <w:rsid w:val="00AD2E1C"/>
    <w:rsid w:val="00AD4AB9"/>
    <w:rsid w:val="00AD4BB8"/>
    <w:rsid w:val="00AE0BF0"/>
    <w:rsid w:val="00AE1CCF"/>
    <w:rsid w:val="00AE4B6C"/>
    <w:rsid w:val="00AE606E"/>
    <w:rsid w:val="00AE6335"/>
    <w:rsid w:val="00AE72FA"/>
    <w:rsid w:val="00AF03EA"/>
    <w:rsid w:val="00AF3976"/>
    <w:rsid w:val="00AF4BFD"/>
    <w:rsid w:val="00AF5251"/>
    <w:rsid w:val="00AF5CB4"/>
    <w:rsid w:val="00B00278"/>
    <w:rsid w:val="00B003DB"/>
    <w:rsid w:val="00B01F6E"/>
    <w:rsid w:val="00B02FCD"/>
    <w:rsid w:val="00B034F6"/>
    <w:rsid w:val="00B040EB"/>
    <w:rsid w:val="00B0434F"/>
    <w:rsid w:val="00B051CF"/>
    <w:rsid w:val="00B05FEC"/>
    <w:rsid w:val="00B13252"/>
    <w:rsid w:val="00B13F19"/>
    <w:rsid w:val="00B17842"/>
    <w:rsid w:val="00B20899"/>
    <w:rsid w:val="00B230D1"/>
    <w:rsid w:val="00B23D41"/>
    <w:rsid w:val="00B24793"/>
    <w:rsid w:val="00B250CD"/>
    <w:rsid w:val="00B35546"/>
    <w:rsid w:val="00B406B6"/>
    <w:rsid w:val="00B42446"/>
    <w:rsid w:val="00B42DC7"/>
    <w:rsid w:val="00B441B9"/>
    <w:rsid w:val="00B445D9"/>
    <w:rsid w:val="00B45FF4"/>
    <w:rsid w:val="00B5027B"/>
    <w:rsid w:val="00B51AB4"/>
    <w:rsid w:val="00B52146"/>
    <w:rsid w:val="00B538EB"/>
    <w:rsid w:val="00B55311"/>
    <w:rsid w:val="00B55D00"/>
    <w:rsid w:val="00B5684B"/>
    <w:rsid w:val="00B57B2C"/>
    <w:rsid w:val="00B60ADA"/>
    <w:rsid w:val="00B62BB3"/>
    <w:rsid w:val="00B645EC"/>
    <w:rsid w:val="00B64D60"/>
    <w:rsid w:val="00B64E82"/>
    <w:rsid w:val="00B65247"/>
    <w:rsid w:val="00B65962"/>
    <w:rsid w:val="00B65A06"/>
    <w:rsid w:val="00B663CB"/>
    <w:rsid w:val="00B665E8"/>
    <w:rsid w:val="00B66D12"/>
    <w:rsid w:val="00B67018"/>
    <w:rsid w:val="00B72C7E"/>
    <w:rsid w:val="00B75478"/>
    <w:rsid w:val="00B763A2"/>
    <w:rsid w:val="00B77515"/>
    <w:rsid w:val="00B77D97"/>
    <w:rsid w:val="00B81829"/>
    <w:rsid w:val="00B8261F"/>
    <w:rsid w:val="00B8294A"/>
    <w:rsid w:val="00B83A3C"/>
    <w:rsid w:val="00B84FBB"/>
    <w:rsid w:val="00B90317"/>
    <w:rsid w:val="00B91161"/>
    <w:rsid w:val="00B918F0"/>
    <w:rsid w:val="00B9463F"/>
    <w:rsid w:val="00B961CC"/>
    <w:rsid w:val="00BA044D"/>
    <w:rsid w:val="00BA5D64"/>
    <w:rsid w:val="00BB0CF2"/>
    <w:rsid w:val="00BB317C"/>
    <w:rsid w:val="00BB3D51"/>
    <w:rsid w:val="00BB4337"/>
    <w:rsid w:val="00BB72B5"/>
    <w:rsid w:val="00BC0ED0"/>
    <w:rsid w:val="00BC1139"/>
    <w:rsid w:val="00BC2C49"/>
    <w:rsid w:val="00BC3DE1"/>
    <w:rsid w:val="00BC544A"/>
    <w:rsid w:val="00BD3B95"/>
    <w:rsid w:val="00BD598E"/>
    <w:rsid w:val="00BD7CFD"/>
    <w:rsid w:val="00BE5E50"/>
    <w:rsid w:val="00BE7188"/>
    <w:rsid w:val="00BE781B"/>
    <w:rsid w:val="00BF14FC"/>
    <w:rsid w:val="00BF4099"/>
    <w:rsid w:val="00C021BF"/>
    <w:rsid w:val="00C02BB8"/>
    <w:rsid w:val="00C02FF5"/>
    <w:rsid w:val="00C03556"/>
    <w:rsid w:val="00C0397C"/>
    <w:rsid w:val="00C109CA"/>
    <w:rsid w:val="00C12BE7"/>
    <w:rsid w:val="00C131FA"/>
    <w:rsid w:val="00C17E16"/>
    <w:rsid w:val="00C21DDE"/>
    <w:rsid w:val="00C22395"/>
    <w:rsid w:val="00C233EC"/>
    <w:rsid w:val="00C24059"/>
    <w:rsid w:val="00C2432C"/>
    <w:rsid w:val="00C24E52"/>
    <w:rsid w:val="00C264AE"/>
    <w:rsid w:val="00C268AA"/>
    <w:rsid w:val="00C30944"/>
    <w:rsid w:val="00C30CD9"/>
    <w:rsid w:val="00C30E26"/>
    <w:rsid w:val="00C31E9E"/>
    <w:rsid w:val="00C32057"/>
    <w:rsid w:val="00C35AEF"/>
    <w:rsid w:val="00C35E66"/>
    <w:rsid w:val="00C365AF"/>
    <w:rsid w:val="00C36B0F"/>
    <w:rsid w:val="00C40019"/>
    <w:rsid w:val="00C41DA0"/>
    <w:rsid w:val="00C45763"/>
    <w:rsid w:val="00C46935"/>
    <w:rsid w:val="00C50CAD"/>
    <w:rsid w:val="00C5148D"/>
    <w:rsid w:val="00C51B34"/>
    <w:rsid w:val="00C55688"/>
    <w:rsid w:val="00C55A1D"/>
    <w:rsid w:val="00C55AEF"/>
    <w:rsid w:val="00C56776"/>
    <w:rsid w:val="00C56A7D"/>
    <w:rsid w:val="00C57FD5"/>
    <w:rsid w:val="00C634BB"/>
    <w:rsid w:val="00C70D81"/>
    <w:rsid w:val="00C81A5E"/>
    <w:rsid w:val="00C85DF1"/>
    <w:rsid w:val="00C871DF"/>
    <w:rsid w:val="00C90C25"/>
    <w:rsid w:val="00C918BD"/>
    <w:rsid w:val="00C930F2"/>
    <w:rsid w:val="00C93684"/>
    <w:rsid w:val="00C945C9"/>
    <w:rsid w:val="00C96501"/>
    <w:rsid w:val="00C97C72"/>
    <w:rsid w:val="00CA1277"/>
    <w:rsid w:val="00CA2FA3"/>
    <w:rsid w:val="00CA381D"/>
    <w:rsid w:val="00CA39B8"/>
    <w:rsid w:val="00CA60FB"/>
    <w:rsid w:val="00CB03E1"/>
    <w:rsid w:val="00CB26CC"/>
    <w:rsid w:val="00CB2B9C"/>
    <w:rsid w:val="00CB38ED"/>
    <w:rsid w:val="00CB3FE8"/>
    <w:rsid w:val="00CC1A8D"/>
    <w:rsid w:val="00CC1AB5"/>
    <w:rsid w:val="00CC46F2"/>
    <w:rsid w:val="00CC6FEB"/>
    <w:rsid w:val="00CD0424"/>
    <w:rsid w:val="00CD3C33"/>
    <w:rsid w:val="00CD4470"/>
    <w:rsid w:val="00CD47C9"/>
    <w:rsid w:val="00CD6616"/>
    <w:rsid w:val="00CE0040"/>
    <w:rsid w:val="00CE0B99"/>
    <w:rsid w:val="00CE1191"/>
    <w:rsid w:val="00CE2641"/>
    <w:rsid w:val="00CE384B"/>
    <w:rsid w:val="00CF0588"/>
    <w:rsid w:val="00CF06E6"/>
    <w:rsid w:val="00CF425B"/>
    <w:rsid w:val="00D01F86"/>
    <w:rsid w:val="00D023AB"/>
    <w:rsid w:val="00D02D30"/>
    <w:rsid w:val="00D04656"/>
    <w:rsid w:val="00D061B4"/>
    <w:rsid w:val="00D06BAA"/>
    <w:rsid w:val="00D11C94"/>
    <w:rsid w:val="00D12C84"/>
    <w:rsid w:val="00D145B5"/>
    <w:rsid w:val="00D21B55"/>
    <w:rsid w:val="00D225D2"/>
    <w:rsid w:val="00D3105A"/>
    <w:rsid w:val="00D3118E"/>
    <w:rsid w:val="00D32F6A"/>
    <w:rsid w:val="00D3789D"/>
    <w:rsid w:val="00D37CEB"/>
    <w:rsid w:val="00D40A0F"/>
    <w:rsid w:val="00D40E1E"/>
    <w:rsid w:val="00D44A37"/>
    <w:rsid w:val="00D44D7F"/>
    <w:rsid w:val="00D44E89"/>
    <w:rsid w:val="00D500B3"/>
    <w:rsid w:val="00D53C3E"/>
    <w:rsid w:val="00D54366"/>
    <w:rsid w:val="00D55DC1"/>
    <w:rsid w:val="00D6038E"/>
    <w:rsid w:val="00D64668"/>
    <w:rsid w:val="00D657CD"/>
    <w:rsid w:val="00D719F8"/>
    <w:rsid w:val="00D75FBE"/>
    <w:rsid w:val="00D76EB6"/>
    <w:rsid w:val="00D80E87"/>
    <w:rsid w:val="00D822F5"/>
    <w:rsid w:val="00D8356B"/>
    <w:rsid w:val="00D838F5"/>
    <w:rsid w:val="00D83975"/>
    <w:rsid w:val="00D85F07"/>
    <w:rsid w:val="00D86649"/>
    <w:rsid w:val="00D8756C"/>
    <w:rsid w:val="00DA54A8"/>
    <w:rsid w:val="00DB1424"/>
    <w:rsid w:val="00DB35D4"/>
    <w:rsid w:val="00DB37F6"/>
    <w:rsid w:val="00DB5203"/>
    <w:rsid w:val="00DB6080"/>
    <w:rsid w:val="00DB6713"/>
    <w:rsid w:val="00DC3033"/>
    <w:rsid w:val="00DC6103"/>
    <w:rsid w:val="00DD3EF3"/>
    <w:rsid w:val="00DD4137"/>
    <w:rsid w:val="00DD4FC6"/>
    <w:rsid w:val="00DD5CD5"/>
    <w:rsid w:val="00DD74DE"/>
    <w:rsid w:val="00DE0E02"/>
    <w:rsid w:val="00DE2856"/>
    <w:rsid w:val="00DE56FA"/>
    <w:rsid w:val="00DE7933"/>
    <w:rsid w:val="00DE7C09"/>
    <w:rsid w:val="00DF5997"/>
    <w:rsid w:val="00E0119C"/>
    <w:rsid w:val="00E016EB"/>
    <w:rsid w:val="00E03A94"/>
    <w:rsid w:val="00E03DCC"/>
    <w:rsid w:val="00E04271"/>
    <w:rsid w:val="00E062D0"/>
    <w:rsid w:val="00E07A59"/>
    <w:rsid w:val="00E07DDB"/>
    <w:rsid w:val="00E10DF7"/>
    <w:rsid w:val="00E11A07"/>
    <w:rsid w:val="00E145EB"/>
    <w:rsid w:val="00E14855"/>
    <w:rsid w:val="00E14E98"/>
    <w:rsid w:val="00E153F3"/>
    <w:rsid w:val="00E17194"/>
    <w:rsid w:val="00E21F1A"/>
    <w:rsid w:val="00E27A02"/>
    <w:rsid w:val="00E30068"/>
    <w:rsid w:val="00E30B54"/>
    <w:rsid w:val="00E31716"/>
    <w:rsid w:val="00E32EB4"/>
    <w:rsid w:val="00E3722C"/>
    <w:rsid w:val="00E428FF"/>
    <w:rsid w:val="00E4322D"/>
    <w:rsid w:val="00E4369E"/>
    <w:rsid w:val="00E440A5"/>
    <w:rsid w:val="00E45FE2"/>
    <w:rsid w:val="00E47603"/>
    <w:rsid w:val="00E47C5B"/>
    <w:rsid w:val="00E5216B"/>
    <w:rsid w:val="00E53797"/>
    <w:rsid w:val="00E5383C"/>
    <w:rsid w:val="00E539BD"/>
    <w:rsid w:val="00E57BB6"/>
    <w:rsid w:val="00E61CB7"/>
    <w:rsid w:val="00E62B8D"/>
    <w:rsid w:val="00E63874"/>
    <w:rsid w:val="00E6537A"/>
    <w:rsid w:val="00E66172"/>
    <w:rsid w:val="00E66B69"/>
    <w:rsid w:val="00E71E08"/>
    <w:rsid w:val="00E74083"/>
    <w:rsid w:val="00E7541B"/>
    <w:rsid w:val="00E835D1"/>
    <w:rsid w:val="00E83CE6"/>
    <w:rsid w:val="00E8489B"/>
    <w:rsid w:val="00E85AA9"/>
    <w:rsid w:val="00E872BA"/>
    <w:rsid w:val="00E92F8E"/>
    <w:rsid w:val="00EA12C9"/>
    <w:rsid w:val="00EA1F09"/>
    <w:rsid w:val="00EA2666"/>
    <w:rsid w:val="00EA2882"/>
    <w:rsid w:val="00EA2E38"/>
    <w:rsid w:val="00EA3334"/>
    <w:rsid w:val="00EA524F"/>
    <w:rsid w:val="00EA54C5"/>
    <w:rsid w:val="00EA5BBF"/>
    <w:rsid w:val="00EA6E33"/>
    <w:rsid w:val="00EA77D3"/>
    <w:rsid w:val="00EB0EE8"/>
    <w:rsid w:val="00EB1147"/>
    <w:rsid w:val="00EB30D8"/>
    <w:rsid w:val="00EB78E5"/>
    <w:rsid w:val="00EB7CC2"/>
    <w:rsid w:val="00EC1B11"/>
    <w:rsid w:val="00EC2658"/>
    <w:rsid w:val="00EC5118"/>
    <w:rsid w:val="00EC52A5"/>
    <w:rsid w:val="00EC7D6F"/>
    <w:rsid w:val="00ED2738"/>
    <w:rsid w:val="00ED3EA0"/>
    <w:rsid w:val="00ED57DD"/>
    <w:rsid w:val="00ED5B47"/>
    <w:rsid w:val="00ED62A7"/>
    <w:rsid w:val="00EE48E3"/>
    <w:rsid w:val="00EE678A"/>
    <w:rsid w:val="00EE6E2C"/>
    <w:rsid w:val="00EF0FA2"/>
    <w:rsid w:val="00EF1E33"/>
    <w:rsid w:val="00EF3B60"/>
    <w:rsid w:val="00EF5B91"/>
    <w:rsid w:val="00EF77EE"/>
    <w:rsid w:val="00F027C9"/>
    <w:rsid w:val="00F04BAB"/>
    <w:rsid w:val="00F1063D"/>
    <w:rsid w:val="00F14894"/>
    <w:rsid w:val="00F15FCA"/>
    <w:rsid w:val="00F16E91"/>
    <w:rsid w:val="00F17414"/>
    <w:rsid w:val="00F17FBE"/>
    <w:rsid w:val="00F21933"/>
    <w:rsid w:val="00F22A0A"/>
    <w:rsid w:val="00F24FA1"/>
    <w:rsid w:val="00F26573"/>
    <w:rsid w:val="00F27417"/>
    <w:rsid w:val="00F27B57"/>
    <w:rsid w:val="00F32B45"/>
    <w:rsid w:val="00F346E0"/>
    <w:rsid w:val="00F3593B"/>
    <w:rsid w:val="00F53337"/>
    <w:rsid w:val="00F5477F"/>
    <w:rsid w:val="00F5490E"/>
    <w:rsid w:val="00F54AB6"/>
    <w:rsid w:val="00F56D8F"/>
    <w:rsid w:val="00F57771"/>
    <w:rsid w:val="00F62731"/>
    <w:rsid w:val="00F62951"/>
    <w:rsid w:val="00F715EA"/>
    <w:rsid w:val="00F7243F"/>
    <w:rsid w:val="00F73AEA"/>
    <w:rsid w:val="00F74D3E"/>
    <w:rsid w:val="00F77A40"/>
    <w:rsid w:val="00F77FC9"/>
    <w:rsid w:val="00F815EA"/>
    <w:rsid w:val="00F81835"/>
    <w:rsid w:val="00F83701"/>
    <w:rsid w:val="00F85DF6"/>
    <w:rsid w:val="00F903BF"/>
    <w:rsid w:val="00F91629"/>
    <w:rsid w:val="00F91815"/>
    <w:rsid w:val="00F970D8"/>
    <w:rsid w:val="00FA255A"/>
    <w:rsid w:val="00FA396D"/>
    <w:rsid w:val="00FA4206"/>
    <w:rsid w:val="00FA53CD"/>
    <w:rsid w:val="00FC4310"/>
    <w:rsid w:val="00FC442C"/>
    <w:rsid w:val="00FD04C1"/>
    <w:rsid w:val="00FD1F53"/>
    <w:rsid w:val="00FD45DF"/>
    <w:rsid w:val="00FD4604"/>
    <w:rsid w:val="00FD4FFC"/>
    <w:rsid w:val="00FD5103"/>
    <w:rsid w:val="00FD51E1"/>
    <w:rsid w:val="00FD5F87"/>
    <w:rsid w:val="00FE0FEE"/>
    <w:rsid w:val="00FE1E00"/>
    <w:rsid w:val="00FE2172"/>
    <w:rsid w:val="00FE3823"/>
    <w:rsid w:val="00FE43DA"/>
    <w:rsid w:val="00FE4B2D"/>
    <w:rsid w:val="00FE72A0"/>
    <w:rsid w:val="00FE7AFB"/>
    <w:rsid w:val="00FF0CCE"/>
    <w:rsid w:val="00FF11B9"/>
    <w:rsid w:val="00FF2A6E"/>
    <w:rsid w:val="00FF2D3B"/>
    <w:rsid w:val="00FF340B"/>
    <w:rsid w:val="00FF475C"/>
    <w:rsid w:val="00FF4DEC"/>
    <w:rsid w:val="00FF50D2"/>
    <w:rsid w:val="00FF6A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3940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B11"/>
  </w:style>
  <w:style w:type="paragraph" w:styleId="Heading1">
    <w:name w:val="heading 1"/>
    <w:basedOn w:val="Normal"/>
    <w:next w:val="Normal"/>
    <w:link w:val="Heading1Char"/>
    <w:uiPriority w:val="9"/>
    <w:qFormat/>
    <w:rsid w:val="000A4E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A4E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link w:val="Heading3Char"/>
    <w:uiPriority w:val="9"/>
    <w:qFormat/>
    <w:rsid w:val="00711A3C"/>
    <w:pPr>
      <w:keepNext/>
      <w:keepLines/>
      <w:spacing w:before="240" w:after="120" w:line="264" w:lineRule="auto"/>
      <w:outlineLvl w:val="2"/>
    </w:pPr>
    <w:rPr>
      <w:rFonts w:asciiTheme="majorHAnsi" w:eastAsia="Times New Roman" w:hAnsiTheme="majorHAns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356408"/>
    <w:pPr>
      <w:keepNext/>
      <w:spacing w:before="240" w:after="240" w:line="276" w:lineRule="auto"/>
      <w:ind w:left="0"/>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356408"/>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39109F"/>
    <w:rPr>
      <w:sz w:val="16"/>
      <w:szCs w:val="16"/>
    </w:rPr>
  </w:style>
  <w:style w:type="paragraph" w:styleId="CommentText">
    <w:name w:val="annotation text"/>
    <w:basedOn w:val="Normal"/>
    <w:link w:val="CommentTextChar"/>
    <w:uiPriority w:val="99"/>
    <w:unhideWhenUsed/>
    <w:rsid w:val="0039109F"/>
    <w:pPr>
      <w:spacing w:line="240" w:lineRule="auto"/>
    </w:pPr>
    <w:rPr>
      <w:sz w:val="20"/>
      <w:szCs w:val="20"/>
    </w:rPr>
  </w:style>
  <w:style w:type="character" w:customStyle="1" w:styleId="CommentTextChar">
    <w:name w:val="Comment Text Char"/>
    <w:basedOn w:val="DefaultParagraphFont"/>
    <w:link w:val="CommentText"/>
    <w:uiPriority w:val="99"/>
    <w:rsid w:val="0039109F"/>
    <w:rPr>
      <w:sz w:val="20"/>
      <w:szCs w:val="20"/>
    </w:rPr>
  </w:style>
  <w:style w:type="paragraph" w:styleId="CommentSubject">
    <w:name w:val="annotation subject"/>
    <w:basedOn w:val="CommentText"/>
    <w:next w:val="CommentText"/>
    <w:link w:val="CommentSubjectChar"/>
    <w:uiPriority w:val="99"/>
    <w:semiHidden/>
    <w:unhideWhenUsed/>
    <w:rsid w:val="0039109F"/>
    <w:rPr>
      <w:b/>
      <w:bCs/>
    </w:rPr>
  </w:style>
  <w:style w:type="character" w:customStyle="1" w:styleId="CommentSubjectChar">
    <w:name w:val="Comment Subject Char"/>
    <w:basedOn w:val="CommentTextChar"/>
    <w:link w:val="CommentSubject"/>
    <w:uiPriority w:val="99"/>
    <w:semiHidden/>
    <w:rsid w:val="0039109F"/>
    <w:rPr>
      <w:b/>
      <w:bCs/>
      <w:sz w:val="20"/>
      <w:szCs w:val="20"/>
    </w:rPr>
  </w:style>
  <w:style w:type="paragraph" w:styleId="BalloonText">
    <w:name w:val="Balloon Text"/>
    <w:basedOn w:val="Normal"/>
    <w:link w:val="BalloonTextChar"/>
    <w:uiPriority w:val="99"/>
    <w:semiHidden/>
    <w:unhideWhenUsed/>
    <w:rsid w:val="00391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09F"/>
    <w:rPr>
      <w:rFonts w:ascii="Segoe UI" w:hAnsi="Segoe UI" w:cs="Segoe UI"/>
      <w:sz w:val="18"/>
      <w:szCs w:val="18"/>
    </w:rPr>
  </w:style>
  <w:style w:type="paragraph" w:customStyle="1" w:styleId="LDP1a">
    <w:name w:val="LDP1(a)"/>
    <w:link w:val="LDP1aChar"/>
    <w:rsid w:val="003E48D6"/>
    <w:pPr>
      <w:tabs>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a) Char"/>
    <w:link w:val="LDP1a"/>
    <w:locked/>
    <w:rsid w:val="003E48D6"/>
    <w:rPr>
      <w:rFonts w:ascii="Times New Roman" w:eastAsia="Times New Roman" w:hAnsi="Times New Roman" w:cs="Times New Roman"/>
      <w:sz w:val="24"/>
      <w:szCs w:val="24"/>
    </w:rPr>
  </w:style>
  <w:style w:type="paragraph" w:styleId="Revision">
    <w:name w:val="Revision"/>
    <w:hidden/>
    <w:uiPriority w:val="99"/>
    <w:semiHidden/>
    <w:rsid w:val="00971433"/>
    <w:pPr>
      <w:spacing w:after="0" w:line="240" w:lineRule="auto"/>
    </w:pPr>
  </w:style>
  <w:style w:type="character" w:customStyle="1" w:styleId="LDItal">
    <w:name w:val="LDItal"/>
    <w:basedOn w:val="DefaultParagraphFont"/>
    <w:uiPriority w:val="1"/>
    <w:rsid w:val="00FD04C1"/>
    <w:rPr>
      <w:i/>
    </w:rPr>
  </w:style>
  <w:style w:type="paragraph" w:styleId="Header">
    <w:name w:val="header"/>
    <w:basedOn w:val="Normal"/>
    <w:link w:val="HeaderChar"/>
    <w:uiPriority w:val="99"/>
    <w:unhideWhenUsed/>
    <w:rsid w:val="00B77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D97"/>
  </w:style>
  <w:style w:type="paragraph" w:styleId="Footer">
    <w:name w:val="footer"/>
    <w:basedOn w:val="Normal"/>
    <w:link w:val="FooterChar"/>
    <w:uiPriority w:val="99"/>
    <w:unhideWhenUsed/>
    <w:rsid w:val="00B77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D97"/>
  </w:style>
  <w:style w:type="paragraph" w:customStyle="1" w:styleId="Default">
    <w:name w:val="Default"/>
    <w:rsid w:val="00297A28"/>
    <w:pPr>
      <w:autoSpaceDE w:val="0"/>
      <w:autoSpaceDN w:val="0"/>
      <w:adjustRightInd w:val="0"/>
      <w:spacing w:after="0" w:line="240" w:lineRule="auto"/>
    </w:pPr>
    <w:rPr>
      <w:rFonts w:ascii="Arial" w:hAnsi="Arial" w:cs="Arial"/>
      <w:color w:val="000000"/>
      <w:sz w:val="24"/>
      <w:szCs w:val="24"/>
    </w:rPr>
  </w:style>
  <w:style w:type="character" w:customStyle="1" w:styleId="LDP2iChar">
    <w:name w:val="LDP2(i) Char"/>
    <w:link w:val="LDP2i"/>
    <w:locked/>
    <w:rsid w:val="00FE2172"/>
    <w:rPr>
      <w:rFonts w:ascii="Times New Roman" w:eastAsia="Times New Roman" w:hAnsi="Times New Roman" w:cs="Times New Roman"/>
      <w:sz w:val="24"/>
      <w:szCs w:val="24"/>
    </w:rPr>
  </w:style>
  <w:style w:type="paragraph" w:customStyle="1" w:styleId="LDP2i">
    <w:name w:val="LDP2(i)"/>
    <w:link w:val="LDP2iChar"/>
    <w:rsid w:val="00FE2172"/>
    <w:pPr>
      <w:tabs>
        <w:tab w:val="right" w:pos="1418"/>
        <w:tab w:val="left" w:pos="1559"/>
      </w:tabs>
      <w:spacing w:after="0" w:line="240" w:lineRule="auto"/>
      <w:ind w:left="1588" w:hanging="1134"/>
    </w:pPr>
    <w:rPr>
      <w:rFonts w:ascii="Times New Roman" w:eastAsia="Times New Roman" w:hAnsi="Times New Roman" w:cs="Times New Roman"/>
      <w:sz w:val="24"/>
      <w:szCs w:val="24"/>
    </w:rPr>
  </w:style>
  <w:style w:type="paragraph" w:customStyle="1" w:styleId="LDSec1">
    <w:name w:val="LDSec(1)"/>
    <w:link w:val="LDSec1Char"/>
    <w:rsid w:val="003A3771"/>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Sec1Char">
    <w:name w:val="LDSec(1) Char"/>
    <w:basedOn w:val="DefaultParagraphFont"/>
    <w:link w:val="LDSec1"/>
    <w:rsid w:val="003A377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11A3C"/>
    <w:rPr>
      <w:rFonts w:asciiTheme="majorHAnsi" w:eastAsia="Times New Roman" w:hAnsiTheme="majorHAnsi" w:cs="Times New Roman"/>
      <w:b/>
      <w:bCs/>
      <w:lang w:eastAsia="en-AU"/>
    </w:rPr>
  </w:style>
  <w:style w:type="paragraph" w:customStyle="1" w:styleId="ListParagraph2">
    <w:name w:val="List Paragraph 2"/>
    <w:basedOn w:val="ListParagraph"/>
    <w:uiPriority w:val="19"/>
    <w:semiHidden/>
    <w:rsid w:val="00711A3C"/>
    <w:pPr>
      <w:tabs>
        <w:tab w:val="num" w:pos="1134"/>
      </w:tabs>
      <w:spacing w:before="120" w:after="120" w:line="264" w:lineRule="auto"/>
      <w:ind w:left="568"/>
      <w:contextualSpacing w:val="0"/>
    </w:pPr>
    <w:rPr>
      <w:rFonts w:eastAsia="Times New Roman" w:cs="Times New Roman"/>
      <w:sz w:val="20"/>
      <w:szCs w:val="24"/>
      <w:lang w:eastAsia="en-AU"/>
    </w:rPr>
  </w:style>
  <w:style w:type="paragraph" w:customStyle="1" w:styleId="ListParagraph3">
    <w:name w:val="List Paragraph 3"/>
    <w:basedOn w:val="ListParagraph"/>
    <w:uiPriority w:val="19"/>
    <w:semiHidden/>
    <w:rsid w:val="00711A3C"/>
    <w:pPr>
      <w:tabs>
        <w:tab w:val="num" w:pos="1701"/>
      </w:tabs>
      <w:spacing w:before="120" w:after="120" w:line="264" w:lineRule="auto"/>
      <w:ind w:left="852"/>
      <w:contextualSpacing w:val="0"/>
    </w:pPr>
    <w:rPr>
      <w:rFonts w:eastAsia="Times New Roman" w:cs="Times New Roman"/>
      <w:sz w:val="20"/>
      <w:szCs w:val="24"/>
      <w:lang w:eastAsia="en-AU"/>
    </w:rPr>
  </w:style>
  <w:style w:type="paragraph" w:customStyle="1" w:styleId="ListParagraph4">
    <w:name w:val="List Paragraph 4"/>
    <w:basedOn w:val="ListParagraph"/>
    <w:uiPriority w:val="19"/>
    <w:semiHidden/>
    <w:rsid w:val="00711A3C"/>
    <w:pPr>
      <w:tabs>
        <w:tab w:val="num" w:pos="2268"/>
      </w:tabs>
      <w:spacing w:before="120" w:after="120" w:line="264" w:lineRule="auto"/>
      <w:ind w:left="1136"/>
      <w:contextualSpacing w:val="0"/>
    </w:pPr>
    <w:rPr>
      <w:rFonts w:eastAsia="Times New Roman" w:cs="Times New Roman"/>
      <w:sz w:val="20"/>
      <w:szCs w:val="24"/>
      <w:lang w:eastAsia="en-AU"/>
    </w:rPr>
  </w:style>
  <w:style w:type="paragraph" w:customStyle="1" w:styleId="ListParagraph5">
    <w:name w:val="List Paragraph 5"/>
    <w:basedOn w:val="ListParagraph"/>
    <w:uiPriority w:val="19"/>
    <w:semiHidden/>
    <w:rsid w:val="00711A3C"/>
    <w:pPr>
      <w:tabs>
        <w:tab w:val="num" w:pos="2835"/>
      </w:tabs>
      <w:spacing w:before="120" w:after="120" w:line="264" w:lineRule="auto"/>
      <w:ind w:left="1420"/>
      <w:contextualSpacing w:val="0"/>
    </w:pPr>
    <w:rPr>
      <w:rFonts w:eastAsia="Times New Roman" w:cs="Times New Roman"/>
      <w:sz w:val="20"/>
      <w:szCs w:val="24"/>
      <w:lang w:eastAsia="en-AU"/>
    </w:rPr>
  </w:style>
  <w:style w:type="paragraph" w:customStyle="1" w:styleId="ListParagraph6">
    <w:name w:val="List Paragraph 6"/>
    <w:basedOn w:val="ListParagraph"/>
    <w:uiPriority w:val="19"/>
    <w:semiHidden/>
    <w:rsid w:val="00711A3C"/>
    <w:pPr>
      <w:tabs>
        <w:tab w:val="num" w:pos="3402"/>
      </w:tabs>
      <w:spacing w:before="120" w:after="120" w:line="264" w:lineRule="auto"/>
      <w:ind w:left="1704"/>
      <w:contextualSpacing w:val="0"/>
    </w:pPr>
    <w:rPr>
      <w:rFonts w:eastAsia="Times New Roman" w:cs="Times New Roman"/>
      <w:sz w:val="20"/>
      <w:szCs w:val="24"/>
      <w:lang w:eastAsia="en-AU"/>
    </w:rPr>
  </w:style>
  <w:style w:type="paragraph" w:styleId="BodyText">
    <w:name w:val="Body Text"/>
    <w:basedOn w:val="Normal"/>
    <w:link w:val="BodyTextChar"/>
    <w:uiPriority w:val="99"/>
    <w:semiHidden/>
    <w:unhideWhenUsed/>
    <w:rsid w:val="00711A3C"/>
    <w:pPr>
      <w:spacing w:after="120"/>
    </w:pPr>
  </w:style>
  <w:style w:type="character" w:customStyle="1" w:styleId="BodyTextChar">
    <w:name w:val="Body Text Char"/>
    <w:basedOn w:val="DefaultParagraphFont"/>
    <w:link w:val="BodyText"/>
    <w:uiPriority w:val="1"/>
    <w:rsid w:val="00711A3C"/>
  </w:style>
  <w:style w:type="character" w:customStyle="1" w:styleId="Heading1Char">
    <w:name w:val="Heading 1 Char"/>
    <w:basedOn w:val="DefaultParagraphFont"/>
    <w:link w:val="Heading1"/>
    <w:uiPriority w:val="9"/>
    <w:rsid w:val="000A4E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A4EB2"/>
    <w:rPr>
      <w:rFonts w:asciiTheme="majorHAnsi" w:eastAsiaTheme="majorEastAsia" w:hAnsiTheme="majorHAnsi" w:cstheme="majorBidi"/>
      <w:color w:val="2E74B5" w:themeColor="accent1" w:themeShade="BF"/>
      <w:sz w:val="26"/>
      <w:szCs w:val="26"/>
    </w:rPr>
  </w:style>
  <w:style w:type="paragraph" w:styleId="Title">
    <w:name w:val="Title"/>
    <w:basedOn w:val="Heading1"/>
    <w:next w:val="BodyText"/>
    <w:link w:val="TitleChar"/>
    <w:rsid w:val="000A4EB2"/>
    <w:pPr>
      <w:widowControl w:val="0"/>
      <w:spacing w:before="0" w:after="360" w:line="264" w:lineRule="auto"/>
    </w:pPr>
    <w:rPr>
      <w:rFonts w:ascii="Arial" w:eastAsia="Times New Roman" w:hAnsi="Arial" w:cs="Arial"/>
      <w:b/>
      <w:bCs/>
      <w:color w:val="auto"/>
      <w:sz w:val="52"/>
      <w:szCs w:val="52"/>
      <w:lang w:eastAsia="en-AU"/>
    </w:rPr>
  </w:style>
  <w:style w:type="character" w:customStyle="1" w:styleId="TitleChar">
    <w:name w:val="Title Char"/>
    <w:basedOn w:val="DefaultParagraphFont"/>
    <w:link w:val="Title"/>
    <w:rsid w:val="000A4EB2"/>
    <w:rPr>
      <w:rFonts w:ascii="Arial" w:eastAsia="Times New Roman" w:hAnsi="Arial" w:cs="Arial"/>
      <w:b/>
      <w:bCs/>
      <w:sz w:val="52"/>
      <w:szCs w:val="52"/>
      <w:lang w:eastAsia="en-AU"/>
    </w:rPr>
  </w:style>
  <w:style w:type="paragraph" w:styleId="TOCHeading">
    <w:name w:val="TOC Heading"/>
    <w:basedOn w:val="Heading1"/>
    <w:next w:val="Normal"/>
    <w:uiPriority w:val="39"/>
    <w:rsid w:val="000A4EB2"/>
    <w:pPr>
      <w:widowControl w:val="0"/>
      <w:spacing w:before="0" w:after="480" w:line="264" w:lineRule="auto"/>
    </w:pPr>
    <w:rPr>
      <w:rFonts w:eastAsia="Times New Roman" w:cs="Arial"/>
      <w:b/>
      <w:bCs/>
      <w:color w:val="5B9BD5" w:themeColor="accent1"/>
      <w:sz w:val="48"/>
      <w:szCs w:val="40"/>
      <w:lang w:eastAsia="en-AU"/>
    </w:rPr>
  </w:style>
  <w:style w:type="paragraph" w:customStyle="1" w:styleId="TableHeading">
    <w:name w:val="Table Heading"/>
    <w:basedOn w:val="Normal"/>
    <w:next w:val="BodyText"/>
    <w:uiPriority w:val="11"/>
    <w:qFormat/>
    <w:rsid w:val="000A4EB2"/>
    <w:pPr>
      <w:keepNext/>
      <w:spacing w:before="120" w:after="120" w:line="240" w:lineRule="auto"/>
    </w:pPr>
    <w:rPr>
      <w:b/>
      <w:color w:val="FFFFFF" w:themeColor="background1"/>
      <w:sz w:val="20"/>
    </w:rPr>
  </w:style>
  <w:style w:type="paragraph" w:customStyle="1" w:styleId="TableBullet">
    <w:name w:val="Table Bullet"/>
    <w:basedOn w:val="Normal"/>
    <w:uiPriority w:val="4"/>
    <w:qFormat/>
    <w:rsid w:val="000A4EB2"/>
    <w:pPr>
      <w:numPr>
        <w:numId w:val="16"/>
      </w:numPr>
      <w:spacing w:before="60" w:after="60" w:line="240" w:lineRule="auto"/>
      <w:ind w:left="284" w:hanging="284"/>
    </w:pPr>
    <w:rPr>
      <w:rFonts w:eastAsia="Times New Roman" w:cs="Times New Roman"/>
      <w:sz w:val="20"/>
      <w:szCs w:val="24"/>
      <w:lang w:eastAsia="en-AU"/>
    </w:rPr>
  </w:style>
  <w:style w:type="paragraph" w:styleId="Quote">
    <w:name w:val="Quote"/>
    <w:basedOn w:val="Normal"/>
    <w:next w:val="Normal"/>
    <w:link w:val="QuoteChar"/>
    <w:uiPriority w:val="83"/>
    <w:qFormat/>
    <w:rsid w:val="000A4EB2"/>
    <w:pPr>
      <w:spacing w:before="120"/>
      <w:ind w:left="426" w:right="566"/>
    </w:pPr>
    <w:rPr>
      <w:rFonts w:ascii="Arial" w:eastAsia="Calibri" w:hAnsi="Arial" w:cs="Arial"/>
      <w:i/>
      <w:iCs/>
      <w:color w:val="5B9BD5" w:themeColor="accent1"/>
      <w:szCs w:val="26"/>
    </w:rPr>
  </w:style>
  <w:style w:type="character" w:customStyle="1" w:styleId="QuoteChar">
    <w:name w:val="Quote Char"/>
    <w:basedOn w:val="DefaultParagraphFont"/>
    <w:link w:val="Quote"/>
    <w:uiPriority w:val="83"/>
    <w:rsid w:val="000A4EB2"/>
    <w:rPr>
      <w:rFonts w:ascii="Arial" w:eastAsia="Calibri" w:hAnsi="Arial" w:cs="Arial"/>
      <w:i/>
      <w:iCs/>
      <w:color w:val="5B9BD5" w:themeColor="accent1"/>
      <w:szCs w:val="26"/>
    </w:rPr>
  </w:style>
  <w:style w:type="paragraph" w:styleId="Caption">
    <w:name w:val="caption"/>
    <w:basedOn w:val="Normal"/>
    <w:next w:val="Normal"/>
    <w:uiPriority w:val="35"/>
    <w:qFormat/>
    <w:rsid w:val="000A4EB2"/>
    <w:pPr>
      <w:keepNext/>
      <w:tabs>
        <w:tab w:val="left" w:pos="1134"/>
      </w:tabs>
      <w:spacing w:before="240" w:after="120" w:line="240" w:lineRule="auto"/>
    </w:pPr>
    <w:rPr>
      <w:i/>
      <w:color w:val="5B9BD5" w:themeColor="accent1"/>
      <w:sz w:val="18"/>
      <w:szCs w:val="18"/>
      <w:lang w:eastAsia="en-AU"/>
    </w:rPr>
  </w:style>
  <w:style w:type="paragraph" w:customStyle="1" w:styleId="TableBody">
    <w:name w:val="Table Body"/>
    <w:basedOn w:val="Normal"/>
    <w:uiPriority w:val="11"/>
    <w:qFormat/>
    <w:rsid w:val="000A4EB2"/>
    <w:pPr>
      <w:spacing w:before="60" w:after="60" w:line="240" w:lineRule="auto"/>
    </w:pPr>
    <w:rPr>
      <w:rFonts w:eastAsia="MS Mincho" w:cs="Times New Roman"/>
      <w:color w:val="000000" w:themeColor="text1"/>
      <w:sz w:val="20"/>
      <w:szCs w:val="20"/>
      <w:lang w:val="en-US"/>
    </w:rPr>
  </w:style>
  <w:style w:type="numbering" w:customStyle="1" w:styleId="ListAlpha">
    <w:name w:val="List_Alpha"/>
    <w:uiPriority w:val="99"/>
    <w:rsid w:val="000A4EB2"/>
    <w:pPr>
      <w:numPr>
        <w:numId w:val="14"/>
      </w:numPr>
    </w:pPr>
  </w:style>
  <w:style w:type="numbering" w:customStyle="1" w:styleId="ListTableBullet">
    <w:name w:val="List_TableBullet"/>
    <w:uiPriority w:val="99"/>
    <w:rsid w:val="000A4EB2"/>
    <w:pPr>
      <w:numPr>
        <w:numId w:val="15"/>
      </w:numPr>
    </w:pPr>
  </w:style>
  <w:style w:type="paragraph" w:customStyle="1" w:styleId="TableBullet2">
    <w:name w:val="Table Bullet 2"/>
    <w:basedOn w:val="TableBullet"/>
    <w:uiPriority w:val="4"/>
    <w:rsid w:val="000A4EB2"/>
    <w:pPr>
      <w:numPr>
        <w:ilvl w:val="1"/>
      </w:numPr>
    </w:pPr>
  </w:style>
  <w:style w:type="paragraph" w:customStyle="1" w:styleId="Protection">
    <w:name w:val="Protection"/>
    <w:basedOn w:val="Normal"/>
    <w:semiHidden/>
    <w:rsid w:val="000A4EB2"/>
    <w:pPr>
      <w:spacing w:before="120" w:after="120" w:line="240" w:lineRule="auto"/>
      <w:jc w:val="center"/>
    </w:pPr>
    <w:rPr>
      <w:rFonts w:ascii="Arial" w:hAnsi="Arial" w:cs="Arial"/>
      <w:b/>
      <w:color w:val="C00000"/>
      <w:sz w:val="28"/>
      <w:szCs w:val="28"/>
    </w:rPr>
  </w:style>
  <w:style w:type="paragraph" w:styleId="Subtitle">
    <w:name w:val="Subtitle"/>
    <w:basedOn w:val="Normal"/>
    <w:next w:val="Normal"/>
    <w:link w:val="SubtitleChar"/>
    <w:rsid w:val="000A4EB2"/>
    <w:pPr>
      <w:numPr>
        <w:ilvl w:val="1"/>
      </w:numPr>
      <w:spacing w:before="120" w:line="240" w:lineRule="auto"/>
    </w:pPr>
    <w:rPr>
      <w:rFonts w:eastAsiaTheme="minorEastAsia"/>
      <w:color w:val="000000" w:themeColor="text1"/>
      <w:spacing w:val="15"/>
      <w:sz w:val="36"/>
    </w:rPr>
  </w:style>
  <w:style w:type="character" w:customStyle="1" w:styleId="SubtitleChar">
    <w:name w:val="Subtitle Char"/>
    <w:basedOn w:val="DefaultParagraphFont"/>
    <w:link w:val="Subtitle"/>
    <w:rsid w:val="000A4EB2"/>
    <w:rPr>
      <w:rFonts w:eastAsiaTheme="minorEastAsia"/>
      <w:color w:val="000000" w:themeColor="text1"/>
      <w:spacing w:val="15"/>
      <w:sz w:val="36"/>
    </w:rPr>
  </w:style>
  <w:style w:type="paragraph" w:styleId="FootnoteText">
    <w:name w:val="footnote text"/>
    <w:basedOn w:val="Normal"/>
    <w:link w:val="FootnoteTextChar"/>
    <w:uiPriority w:val="99"/>
    <w:unhideWhenUsed/>
    <w:rsid w:val="000A4EB2"/>
    <w:pPr>
      <w:spacing w:before="60" w:after="60" w:line="240" w:lineRule="auto"/>
    </w:pPr>
    <w:rPr>
      <w:sz w:val="16"/>
      <w:szCs w:val="20"/>
    </w:rPr>
  </w:style>
  <w:style w:type="character" w:customStyle="1" w:styleId="FootnoteTextChar">
    <w:name w:val="Footnote Text Char"/>
    <w:basedOn w:val="DefaultParagraphFont"/>
    <w:link w:val="FootnoteText"/>
    <w:uiPriority w:val="99"/>
    <w:rsid w:val="000A4EB2"/>
    <w:rPr>
      <w:sz w:val="16"/>
      <w:szCs w:val="20"/>
    </w:rPr>
  </w:style>
  <w:style w:type="character" w:styleId="FootnoteReference">
    <w:name w:val="footnote reference"/>
    <w:basedOn w:val="DefaultParagraphFont"/>
    <w:uiPriority w:val="99"/>
    <w:semiHidden/>
    <w:unhideWhenUsed/>
    <w:rsid w:val="000A4EB2"/>
    <w:rPr>
      <w:vertAlign w:val="superscript"/>
    </w:rPr>
  </w:style>
  <w:style w:type="table" w:customStyle="1" w:styleId="TableGrid3">
    <w:name w:val="Table Grid3"/>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0A4EB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stlevel">
    <w:name w:val="Bullet 1st level"/>
    <w:basedOn w:val="BodyText"/>
    <w:link w:val="Bullet1stlevelChar"/>
    <w:qFormat/>
    <w:rsid w:val="000A4EB2"/>
    <w:pPr>
      <w:numPr>
        <w:numId w:val="17"/>
      </w:numPr>
      <w:spacing w:before="120" w:line="240" w:lineRule="auto"/>
    </w:pPr>
    <w:rPr>
      <w:rFonts w:cstheme="majorHAnsi"/>
    </w:rPr>
  </w:style>
  <w:style w:type="character" w:customStyle="1" w:styleId="Bullet1stlevelChar">
    <w:name w:val="Bullet 1st level Char"/>
    <w:link w:val="Bullet1stlevel"/>
    <w:rsid w:val="000A4EB2"/>
    <w:rPr>
      <w:rFonts w:cstheme="majorHAnsi"/>
    </w:rPr>
  </w:style>
  <w:style w:type="paragraph" w:customStyle="1" w:styleId="Note">
    <w:name w:val="Note"/>
    <w:basedOn w:val="Normal"/>
    <w:uiPriority w:val="39"/>
    <w:rsid w:val="000A4EB2"/>
    <w:pPr>
      <w:spacing w:before="120" w:after="240" w:line="240" w:lineRule="auto"/>
    </w:pPr>
    <w:rPr>
      <w:rFonts w:ascii="Arial" w:eastAsia="Calibri" w:hAnsi="Arial" w:cs="Arial"/>
      <w:bCs/>
      <w:sz w:val="18"/>
    </w:rPr>
  </w:style>
  <w:style w:type="paragraph" w:customStyle="1" w:styleId="Divider">
    <w:name w:val="Divider"/>
    <w:basedOn w:val="BodyText"/>
    <w:uiPriority w:val="39"/>
    <w:rsid w:val="000A4EB2"/>
    <w:pPr>
      <w:spacing w:before="1200" w:line="240" w:lineRule="auto"/>
    </w:pPr>
    <w:rPr>
      <w:rFonts w:cstheme="majorHAnsi"/>
      <w:b/>
      <w:bCs/>
      <w:color w:val="FFFFFF" w:themeColor="background1"/>
      <w:sz w:val="72"/>
      <w:szCs w:val="72"/>
    </w:rPr>
  </w:style>
  <w:style w:type="paragraph" w:customStyle="1" w:styleId="Introtext">
    <w:name w:val="Intro text"/>
    <w:basedOn w:val="BodyText"/>
    <w:uiPriority w:val="39"/>
    <w:rsid w:val="000A4EB2"/>
    <w:pPr>
      <w:spacing w:before="120" w:after="360"/>
    </w:pPr>
    <w:rPr>
      <w:rFonts w:cstheme="majorHAnsi"/>
      <w:color w:val="ED7D31" w:themeColor="accent2"/>
      <w:sz w:val="24"/>
      <w:szCs w:val="32"/>
    </w:rPr>
  </w:style>
  <w:style w:type="table" w:styleId="TableGrid">
    <w:name w:val="Table Grid"/>
    <w:basedOn w:val="TableNormal"/>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A4EB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822447"/>
    <w:rPr>
      <w:color w:val="0563C1" w:themeColor="hyperlink"/>
      <w:u w:val="single"/>
    </w:rPr>
  </w:style>
  <w:style w:type="paragraph" w:customStyle="1" w:styleId="ESAttParagraph">
    <w:name w:val="ESAtt_Paragraph"/>
    <w:basedOn w:val="Normal"/>
    <w:link w:val="ESAttParagraphChar"/>
    <w:qFormat/>
    <w:rsid w:val="00720363"/>
    <w:pPr>
      <w:numPr>
        <w:numId w:val="34"/>
      </w:numPr>
      <w:spacing w:before="240" w:after="240" w:line="276" w:lineRule="auto"/>
      <w:jc w:val="both"/>
    </w:pPr>
    <w:rPr>
      <w:rFonts w:ascii="Times New Roman" w:hAnsi="Times New Roman" w:cs="Times New Roman"/>
      <w:sz w:val="24"/>
      <w:szCs w:val="24"/>
    </w:rPr>
  </w:style>
  <w:style w:type="character" w:customStyle="1" w:styleId="ESAttParagraphChar">
    <w:name w:val="ESAtt_Paragraph Char"/>
    <w:basedOn w:val="DefaultParagraphFont"/>
    <w:link w:val="ESAttParagraph"/>
    <w:rsid w:val="00720363"/>
    <w:rPr>
      <w:rFonts w:ascii="Times New Roman" w:hAnsi="Times New Roman" w:cs="Times New Roman"/>
      <w:sz w:val="24"/>
      <w:szCs w:val="24"/>
    </w:rPr>
  </w:style>
  <w:style w:type="paragraph" w:customStyle="1" w:styleId="ESAtt-Subparagraph">
    <w:name w:val="ESAtt - Subparagraph"/>
    <w:basedOn w:val="ESAttParagraph"/>
    <w:qFormat/>
    <w:rsid w:val="00EA6E33"/>
    <w:pPr>
      <w:numPr>
        <w:ilvl w:val="1"/>
      </w:numPr>
      <w:tabs>
        <w:tab w:val="num" w:pos="360"/>
      </w:tabs>
      <w:spacing w:before="120" w:after="120"/>
      <w:ind w:left="1134" w:hanging="425"/>
    </w:pPr>
  </w:style>
  <w:style w:type="paragraph" w:customStyle="1" w:styleId="ESAtt-Point">
    <w:name w:val="ESAtt - Point"/>
    <w:basedOn w:val="ESAtt-Subparagraph"/>
    <w:qFormat/>
    <w:rsid w:val="00720363"/>
    <w:pPr>
      <w:numPr>
        <w:ilvl w:val="2"/>
      </w:numPr>
      <w:tabs>
        <w:tab w:val="num" w:pos="360"/>
      </w:tabs>
      <w:ind w:left="2127" w:hanging="567"/>
    </w:pPr>
  </w:style>
  <w:style w:type="paragraph" w:customStyle="1" w:styleId="ESAtt-Subpoint">
    <w:name w:val="ESAtt - Subpoint"/>
    <w:basedOn w:val="ESAtt-Point"/>
    <w:qFormat/>
    <w:rsid w:val="00720363"/>
    <w:pPr>
      <w:numPr>
        <w:ilvl w:val="3"/>
      </w:numPr>
      <w:tabs>
        <w:tab w:val="num" w:pos="360"/>
      </w:tabs>
      <w:ind w:left="2694" w:hanging="612"/>
    </w:pPr>
  </w:style>
  <w:style w:type="paragraph" w:customStyle="1" w:styleId="ESAtt-Heading">
    <w:name w:val="ESAtt - Heading"/>
    <w:basedOn w:val="Normal"/>
    <w:qFormat/>
    <w:rsid w:val="00FE1E00"/>
    <w:pPr>
      <w:keepNext/>
      <w:spacing w:before="240" w:after="240" w:line="276" w:lineRule="auto"/>
      <w:ind w:left="1560" w:hanging="1560"/>
    </w:pPr>
    <w:rPr>
      <w:rFonts w:ascii="Times New Roman" w:hAnsi="Times New Roman" w:cs="Times New Roman"/>
      <w:b/>
      <w:i/>
      <w:sz w:val="24"/>
    </w:rPr>
  </w:style>
  <w:style w:type="paragraph" w:customStyle="1" w:styleId="ES-SCHEDULEHEADING">
    <w:name w:val="ES - SCHEDULE HEADING"/>
    <w:basedOn w:val="Normal"/>
    <w:qFormat/>
    <w:rsid w:val="00FE1E00"/>
    <w:pPr>
      <w:keepNext/>
      <w:spacing w:before="240" w:after="240" w:line="276" w:lineRule="auto"/>
      <w:outlineLvl w:val="2"/>
    </w:pPr>
    <w:rPr>
      <w:rFonts w:ascii="Times New Roman" w:hAnsi="Times New Roman" w:cs="Times New Roman"/>
      <w:b/>
      <w:caps/>
      <w:sz w:val="24"/>
    </w:rPr>
  </w:style>
  <w:style w:type="paragraph" w:customStyle="1" w:styleId="ESAtt-Item">
    <w:name w:val="ES Att - Item"/>
    <w:basedOn w:val="Normal"/>
    <w:qFormat/>
    <w:rsid w:val="00FE1E00"/>
    <w:pPr>
      <w:keepNext/>
      <w:spacing w:before="120" w:after="120" w:line="276" w:lineRule="auto"/>
      <w:outlineLvl w:val="3"/>
    </w:pPr>
    <w:rPr>
      <w:rFonts w:ascii="Times New Roman" w:hAnsi="Times New Roman" w:cs="Times New Roman"/>
      <w:b/>
      <w:sz w:val="24"/>
    </w:rPr>
  </w:style>
  <w:style w:type="paragraph" w:customStyle="1" w:styleId="espara0">
    <w:name w:val="espara"/>
    <w:basedOn w:val="Normal"/>
    <w:rsid w:val="00841EC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7F56B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7F56B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12389">
      <w:bodyDiv w:val="1"/>
      <w:marLeft w:val="0"/>
      <w:marRight w:val="0"/>
      <w:marTop w:val="0"/>
      <w:marBottom w:val="0"/>
      <w:divBdr>
        <w:top w:val="none" w:sz="0" w:space="0" w:color="auto"/>
        <w:left w:val="none" w:sz="0" w:space="0" w:color="auto"/>
        <w:bottom w:val="none" w:sz="0" w:space="0" w:color="auto"/>
        <w:right w:val="none" w:sz="0" w:space="0" w:color="auto"/>
      </w:divBdr>
    </w:div>
    <w:div w:id="489951908">
      <w:bodyDiv w:val="1"/>
      <w:marLeft w:val="0"/>
      <w:marRight w:val="0"/>
      <w:marTop w:val="0"/>
      <w:marBottom w:val="0"/>
      <w:divBdr>
        <w:top w:val="none" w:sz="0" w:space="0" w:color="auto"/>
        <w:left w:val="none" w:sz="0" w:space="0" w:color="auto"/>
        <w:bottom w:val="none" w:sz="0" w:space="0" w:color="auto"/>
        <w:right w:val="none" w:sz="0" w:space="0" w:color="auto"/>
      </w:divBdr>
    </w:div>
    <w:div w:id="589657123">
      <w:bodyDiv w:val="1"/>
      <w:marLeft w:val="0"/>
      <w:marRight w:val="0"/>
      <w:marTop w:val="0"/>
      <w:marBottom w:val="0"/>
      <w:divBdr>
        <w:top w:val="none" w:sz="0" w:space="0" w:color="auto"/>
        <w:left w:val="none" w:sz="0" w:space="0" w:color="auto"/>
        <w:bottom w:val="none" w:sz="0" w:space="0" w:color="auto"/>
        <w:right w:val="none" w:sz="0" w:space="0" w:color="auto"/>
      </w:divBdr>
    </w:div>
    <w:div w:id="608051645">
      <w:bodyDiv w:val="1"/>
      <w:marLeft w:val="0"/>
      <w:marRight w:val="0"/>
      <w:marTop w:val="0"/>
      <w:marBottom w:val="0"/>
      <w:divBdr>
        <w:top w:val="none" w:sz="0" w:space="0" w:color="auto"/>
        <w:left w:val="none" w:sz="0" w:space="0" w:color="auto"/>
        <w:bottom w:val="none" w:sz="0" w:space="0" w:color="auto"/>
        <w:right w:val="none" w:sz="0" w:space="0" w:color="auto"/>
      </w:divBdr>
    </w:div>
    <w:div w:id="718864396">
      <w:bodyDiv w:val="1"/>
      <w:marLeft w:val="0"/>
      <w:marRight w:val="0"/>
      <w:marTop w:val="0"/>
      <w:marBottom w:val="0"/>
      <w:divBdr>
        <w:top w:val="none" w:sz="0" w:space="0" w:color="auto"/>
        <w:left w:val="none" w:sz="0" w:space="0" w:color="auto"/>
        <w:bottom w:val="none" w:sz="0" w:space="0" w:color="auto"/>
        <w:right w:val="none" w:sz="0" w:space="0" w:color="auto"/>
      </w:divBdr>
      <w:divsChild>
        <w:div w:id="474295060">
          <w:marLeft w:val="0"/>
          <w:marRight w:val="0"/>
          <w:marTop w:val="0"/>
          <w:marBottom w:val="0"/>
          <w:divBdr>
            <w:top w:val="none" w:sz="0" w:space="0" w:color="auto"/>
            <w:left w:val="none" w:sz="0" w:space="0" w:color="auto"/>
            <w:bottom w:val="none" w:sz="0" w:space="0" w:color="auto"/>
            <w:right w:val="none" w:sz="0" w:space="0" w:color="auto"/>
          </w:divBdr>
          <w:divsChild>
            <w:div w:id="9676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58750">
      <w:bodyDiv w:val="1"/>
      <w:marLeft w:val="0"/>
      <w:marRight w:val="0"/>
      <w:marTop w:val="0"/>
      <w:marBottom w:val="0"/>
      <w:divBdr>
        <w:top w:val="none" w:sz="0" w:space="0" w:color="auto"/>
        <w:left w:val="none" w:sz="0" w:space="0" w:color="auto"/>
        <w:bottom w:val="none" w:sz="0" w:space="0" w:color="auto"/>
        <w:right w:val="none" w:sz="0" w:space="0" w:color="auto"/>
      </w:divBdr>
    </w:div>
    <w:div w:id="830486528">
      <w:bodyDiv w:val="1"/>
      <w:marLeft w:val="0"/>
      <w:marRight w:val="0"/>
      <w:marTop w:val="0"/>
      <w:marBottom w:val="0"/>
      <w:divBdr>
        <w:top w:val="none" w:sz="0" w:space="0" w:color="auto"/>
        <w:left w:val="none" w:sz="0" w:space="0" w:color="auto"/>
        <w:bottom w:val="none" w:sz="0" w:space="0" w:color="auto"/>
        <w:right w:val="none" w:sz="0" w:space="0" w:color="auto"/>
      </w:divBdr>
    </w:div>
    <w:div w:id="855076324">
      <w:bodyDiv w:val="1"/>
      <w:marLeft w:val="0"/>
      <w:marRight w:val="0"/>
      <w:marTop w:val="0"/>
      <w:marBottom w:val="0"/>
      <w:divBdr>
        <w:top w:val="none" w:sz="0" w:space="0" w:color="auto"/>
        <w:left w:val="none" w:sz="0" w:space="0" w:color="auto"/>
        <w:bottom w:val="none" w:sz="0" w:space="0" w:color="auto"/>
        <w:right w:val="none" w:sz="0" w:space="0" w:color="auto"/>
      </w:divBdr>
    </w:div>
    <w:div w:id="921371020">
      <w:bodyDiv w:val="1"/>
      <w:marLeft w:val="0"/>
      <w:marRight w:val="0"/>
      <w:marTop w:val="0"/>
      <w:marBottom w:val="0"/>
      <w:divBdr>
        <w:top w:val="none" w:sz="0" w:space="0" w:color="auto"/>
        <w:left w:val="none" w:sz="0" w:space="0" w:color="auto"/>
        <w:bottom w:val="none" w:sz="0" w:space="0" w:color="auto"/>
        <w:right w:val="none" w:sz="0" w:space="0" w:color="auto"/>
      </w:divBdr>
    </w:div>
    <w:div w:id="1107892015">
      <w:bodyDiv w:val="1"/>
      <w:marLeft w:val="0"/>
      <w:marRight w:val="0"/>
      <w:marTop w:val="0"/>
      <w:marBottom w:val="0"/>
      <w:divBdr>
        <w:top w:val="none" w:sz="0" w:space="0" w:color="auto"/>
        <w:left w:val="none" w:sz="0" w:space="0" w:color="auto"/>
        <w:bottom w:val="none" w:sz="0" w:space="0" w:color="auto"/>
        <w:right w:val="none" w:sz="0" w:space="0" w:color="auto"/>
      </w:divBdr>
    </w:div>
    <w:div w:id="1177038749">
      <w:bodyDiv w:val="1"/>
      <w:marLeft w:val="0"/>
      <w:marRight w:val="0"/>
      <w:marTop w:val="0"/>
      <w:marBottom w:val="0"/>
      <w:divBdr>
        <w:top w:val="none" w:sz="0" w:space="0" w:color="auto"/>
        <w:left w:val="none" w:sz="0" w:space="0" w:color="auto"/>
        <w:bottom w:val="none" w:sz="0" w:space="0" w:color="auto"/>
        <w:right w:val="none" w:sz="0" w:space="0" w:color="auto"/>
      </w:divBdr>
      <w:divsChild>
        <w:div w:id="89084292">
          <w:marLeft w:val="0"/>
          <w:marRight w:val="0"/>
          <w:marTop w:val="0"/>
          <w:marBottom w:val="0"/>
          <w:divBdr>
            <w:top w:val="none" w:sz="0" w:space="0" w:color="auto"/>
            <w:left w:val="none" w:sz="0" w:space="0" w:color="auto"/>
            <w:bottom w:val="none" w:sz="0" w:space="0" w:color="auto"/>
            <w:right w:val="none" w:sz="0" w:space="0" w:color="auto"/>
          </w:divBdr>
          <w:divsChild>
            <w:div w:id="3751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3140">
      <w:bodyDiv w:val="1"/>
      <w:marLeft w:val="0"/>
      <w:marRight w:val="0"/>
      <w:marTop w:val="0"/>
      <w:marBottom w:val="0"/>
      <w:divBdr>
        <w:top w:val="none" w:sz="0" w:space="0" w:color="auto"/>
        <w:left w:val="none" w:sz="0" w:space="0" w:color="auto"/>
        <w:bottom w:val="none" w:sz="0" w:space="0" w:color="auto"/>
        <w:right w:val="none" w:sz="0" w:space="0" w:color="auto"/>
      </w:divBdr>
    </w:div>
    <w:div w:id="1271744144">
      <w:bodyDiv w:val="1"/>
      <w:marLeft w:val="0"/>
      <w:marRight w:val="0"/>
      <w:marTop w:val="0"/>
      <w:marBottom w:val="0"/>
      <w:divBdr>
        <w:top w:val="none" w:sz="0" w:space="0" w:color="auto"/>
        <w:left w:val="none" w:sz="0" w:space="0" w:color="auto"/>
        <w:bottom w:val="none" w:sz="0" w:space="0" w:color="auto"/>
        <w:right w:val="none" w:sz="0" w:space="0" w:color="auto"/>
      </w:divBdr>
    </w:div>
    <w:div w:id="1283339311">
      <w:bodyDiv w:val="1"/>
      <w:marLeft w:val="0"/>
      <w:marRight w:val="0"/>
      <w:marTop w:val="0"/>
      <w:marBottom w:val="0"/>
      <w:divBdr>
        <w:top w:val="none" w:sz="0" w:space="0" w:color="auto"/>
        <w:left w:val="none" w:sz="0" w:space="0" w:color="auto"/>
        <w:bottom w:val="none" w:sz="0" w:space="0" w:color="auto"/>
        <w:right w:val="none" w:sz="0" w:space="0" w:color="auto"/>
      </w:divBdr>
    </w:div>
    <w:div w:id="1333142462">
      <w:bodyDiv w:val="1"/>
      <w:marLeft w:val="0"/>
      <w:marRight w:val="0"/>
      <w:marTop w:val="0"/>
      <w:marBottom w:val="0"/>
      <w:divBdr>
        <w:top w:val="none" w:sz="0" w:space="0" w:color="auto"/>
        <w:left w:val="none" w:sz="0" w:space="0" w:color="auto"/>
        <w:bottom w:val="none" w:sz="0" w:space="0" w:color="auto"/>
        <w:right w:val="none" w:sz="0" w:space="0" w:color="auto"/>
      </w:divBdr>
    </w:div>
    <w:div w:id="1395009614">
      <w:bodyDiv w:val="1"/>
      <w:marLeft w:val="0"/>
      <w:marRight w:val="0"/>
      <w:marTop w:val="0"/>
      <w:marBottom w:val="0"/>
      <w:divBdr>
        <w:top w:val="none" w:sz="0" w:space="0" w:color="auto"/>
        <w:left w:val="none" w:sz="0" w:space="0" w:color="auto"/>
        <w:bottom w:val="none" w:sz="0" w:space="0" w:color="auto"/>
        <w:right w:val="none" w:sz="0" w:space="0" w:color="auto"/>
      </w:divBdr>
    </w:div>
    <w:div w:id="1472286441">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636328872">
      <w:bodyDiv w:val="1"/>
      <w:marLeft w:val="0"/>
      <w:marRight w:val="0"/>
      <w:marTop w:val="0"/>
      <w:marBottom w:val="0"/>
      <w:divBdr>
        <w:top w:val="none" w:sz="0" w:space="0" w:color="auto"/>
        <w:left w:val="none" w:sz="0" w:space="0" w:color="auto"/>
        <w:bottom w:val="none" w:sz="0" w:space="0" w:color="auto"/>
        <w:right w:val="none" w:sz="0" w:space="0" w:color="auto"/>
      </w:divBdr>
    </w:div>
    <w:div w:id="1757509336">
      <w:bodyDiv w:val="1"/>
      <w:marLeft w:val="0"/>
      <w:marRight w:val="0"/>
      <w:marTop w:val="0"/>
      <w:marBottom w:val="0"/>
      <w:divBdr>
        <w:top w:val="none" w:sz="0" w:space="0" w:color="auto"/>
        <w:left w:val="none" w:sz="0" w:space="0" w:color="auto"/>
        <w:bottom w:val="none" w:sz="0" w:space="0" w:color="auto"/>
        <w:right w:val="none" w:sz="0" w:space="0" w:color="auto"/>
      </w:divBdr>
    </w:div>
    <w:div w:id="1846285520">
      <w:bodyDiv w:val="1"/>
      <w:marLeft w:val="0"/>
      <w:marRight w:val="0"/>
      <w:marTop w:val="0"/>
      <w:marBottom w:val="0"/>
      <w:divBdr>
        <w:top w:val="none" w:sz="0" w:space="0" w:color="auto"/>
        <w:left w:val="none" w:sz="0" w:space="0" w:color="auto"/>
        <w:bottom w:val="none" w:sz="0" w:space="0" w:color="auto"/>
        <w:right w:val="none" w:sz="0" w:space="0" w:color="auto"/>
      </w:divBdr>
    </w:div>
    <w:div w:id="1860586843">
      <w:bodyDiv w:val="1"/>
      <w:marLeft w:val="0"/>
      <w:marRight w:val="0"/>
      <w:marTop w:val="0"/>
      <w:marBottom w:val="0"/>
      <w:divBdr>
        <w:top w:val="none" w:sz="0" w:space="0" w:color="auto"/>
        <w:left w:val="none" w:sz="0" w:space="0" w:color="auto"/>
        <w:bottom w:val="none" w:sz="0" w:space="0" w:color="auto"/>
        <w:right w:val="none" w:sz="0" w:space="0" w:color="auto"/>
      </w:divBdr>
    </w:div>
    <w:div w:id="1886867440">
      <w:bodyDiv w:val="1"/>
      <w:marLeft w:val="0"/>
      <w:marRight w:val="0"/>
      <w:marTop w:val="0"/>
      <w:marBottom w:val="0"/>
      <w:divBdr>
        <w:top w:val="none" w:sz="0" w:space="0" w:color="auto"/>
        <w:left w:val="none" w:sz="0" w:space="0" w:color="auto"/>
        <w:bottom w:val="none" w:sz="0" w:space="0" w:color="auto"/>
        <w:right w:val="none" w:sz="0" w:space="0" w:color="auto"/>
      </w:divBdr>
    </w:div>
    <w:div w:id="1936132457">
      <w:bodyDiv w:val="1"/>
      <w:marLeft w:val="0"/>
      <w:marRight w:val="0"/>
      <w:marTop w:val="0"/>
      <w:marBottom w:val="0"/>
      <w:divBdr>
        <w:top w:val="none" w:sz="0" w:space="0" w:color="auto"/>
        <w:left w:val="none" w:sz="0" w:space="0" w:color="auto"/>
        <w:bottom w:val="none" w:sz="0" w:space="0" w:color="auto"/>
        <w:right w:val="none" w:sz="0" w:space="0" w:color="auto"/>
      </w:divBdr>
    </w:div>
    <w:div w:id="21203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CBB7030-DB5A-45AE-B52A-4361B5F50E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E57B2C3D851DD4993EB059ED3807044" ma:contentTypeVersion="" ma:contentTypeDescription="PDMS Document Site Content Type" ma:contentTypeScope="" ma:versionID="8201f54aa8ea171ac984f01781246b1d">
  <xsd:schema xmlns:xsd="http://www.w3.org/2001/XMLSchema" xmlns:xs="http://www.w3.org/2001/XMLSchema" xmlns:p="http://schemas.microsoft.com/office/2006/metadata/properties" xmlns:ns2="DCBB7030-DB5A-45AE-B52A-4361B5F50EBF" targetNamespace="http://schemas.microsoft.com/office/2006/metadata/properties" ma:root="true" ma:fieldsID="00955b53cf89d7c2cf07464c988c8875" ns2:_="">
    <xsd:import namespace="DCBB7030-DB5A-45AE-B52A-4361B5F50EB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B7030-DB5A-45AE-B52A-4361B5F50EB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4C6CA-0DEE-4040-99ED-8B8BCECBA39A}">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DCBB7030-DB5A-45AE-B52A-4361B5F50EBF"/>
    <ds:schemaRef ds:uri="http://purl.org/dc/dcmitype/"/>
  </ds:schemaRefs>
</ds:datastoreItem>
</file>

<file path=customXml/itemProps2.xml><?xml version="1.0" encoding="utf-8"?>
<ds:datastoreItem xmlns:ds="http://schemas.openxmlformats.org/officeDocument/2006/customXml" ds:itemID="{70405034-92FF-4C5F-9D8F-9538919BEF41}">
  <ds:schemaRefs>
    <ds:schemaRef ds:uri="http://schemas.microsoft.com/sharepoint/v3/contenttype/forms"/>
  </ds:schemaRefs>
</ds:datastoreItem>
</file>

<file path=customXml/itemProps3.xml><?xml version="1.0" encoding="utf-8"?>
<ds:datastoreItem xmlns:ds="http://schemas.openxmlformats.org/officeDocument/2006/customXml" ds:itemID="{D932E827-6E66-44A4-9B6A-062CB6C02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B7030-DB5A-45AE-B52A-4361B5F50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FABF18-EB85-410A-B6C5-13117C26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1859</Words>
  <Characters>10602</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2025-02-20T01:22:00Z</dcterms:created>
  <dcterms:modified xsi:type="dcterms:W3CDTF">2025-02-20T01:22:00Z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0x010100266966F133664895A6EE3632470D45F500FE57B2C3D851DD4993EB059ED3807044</vt:lpwstr>
  </property>
</Properties>
</file>