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DD14" w14:textId="77777777" w:rsidR="003C7B82" w:rsidRDefault="003C7B82">
      <w:pPr>
        <w:pStyle w:val="Bullet"/>
        <w:numPr>
          <w:ilvl w:val="0"/>
          <w:numId w:val="0"/>
        </w:numPr>
        <w:spacing w:before="0"/>
        <w:rPr>
          <w:rFonts w:ascii="Arial" w:hAnsi="Arial" w:cs="Arial"/>
          <w:color w:val="FF0000"/>
          <w:sz w:val="22"/>
          <w:szCs w:val="22"/>
        </w:rPr>
      </w:pPr>
    </w:p>
    <w:p w14:paraId="717DFBF7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09381950" w14:textId="78CB2E4C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247E6574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5A0C8B6AF2134D0B8ED41990DC4FA05E"/>
          </w:placeholder>
          <w:dropDownList>
            <w:listItem w:displayText="the Treasurer" w:value="the Treasurer"/>
            <w:listItem w:displayText="the Minister for Agriculture, Fisheries and Forestry and Minister for Small Business" w:value="the Minister for Agriculture, Fisheries and Forestry and Minister for Small Business"/>
            <w:listItem w:displayText="the Minister for Housing and Minister for Homelessness" w:value="the Minister for Housing and Minister for Homeless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Content>
          <w:r w:rsidR="00655890">
            <w:rPr>
              <w:rStyle w:val="DefaultChar"/>
            </w:rPr>
            <w:t>the Assistant Minister for Competition, Charities and Treasury</w:t>
          </w:r>
        </w:sdtContent>
      </w:sdt>
      <w:r w:rsidR="00076178" w:rsidRPr="247E6574">
        <w:rPr>
          <w:sz w:val="24"/>
          <w:szCs w:val="24"/>
        </w:rPr>
        <w:t xml:space="preserve"> </w:t>
      </w:r>
    </w:p>
    <w:p w14:paraId="482FB8CD" w14:textId="07ED3627" w:rsidR="00F109D4" w:rsidRPr="003C5719" w:rsidRDefault="00F950E7" w:rsidP="004A27A8">
      <w:pPr>
        <w:spacing w:before="240" w:after="240"/>
        <w:jc w:val="center"/>
        <w:rPr>
          <w:i/>
        </w:rPr>
      </w:pPr>
      <w:r>
        <w:rPr>
          <w:i/>
          <w:iCs/>
        </w:rPr>
        <w:t>Australian Charities and Not-for-profits Commission (Consequential and Transitional) Act 201</w:t>
      </w:r>
      <w:r w:rsidR="00A80DA3">
        <w:rPr>
          <w:i/>
          <w:iCs/>
        </w:rPr>
        <w:t>2</w:t>
      </w:r>
    </w:p>
    <w:p w14:paraId="3276BAA1" w14:textId="0A4C328E" w:rsidR="006F6E71" w:rsidRDefault="006F6E71" w:rsidP="279F73B8">
      <w:pPr>
        <w:spacing w:before="240" w:after="240"/>
        <w:jc w:val="center"/>
        <w:rPr>
          <w:i/>
          <w:iCs/>
        </w:rPr>
      </w:pPr>
      <w:r w:rsidRPr="279F73B8">
        <w:rPr>
          <w:i/>
          <w:iCs/>
        </w:rPr>
        <w:t>Australian Charities and Not-for-</w:t>
      </w:r>
      <w:r w:rsidR="009216CE" w:rsidRPr="279F73B8">
        <w:rPr>
          <w:i/>
          <w:iCs/>
        </w:rPr>
        <w:t>p</w:t>
      </w:r>
      <w:r w:rsidRPr="279F73B8">
        <w:rPr>
          <w:i/>
          <w:iCs/>
        </w:rPr>
        <w:t>rofits Commission (Consequential and Transitional) Regulation</w:t>
      </w:r>
      <w:r w:rsidR="009216CE" w:rsidRPr="279F73B8">
        <w:rPr>
          <w:i/>
          <w:iCs/>
        </w:rPr>
        <w:t>s</w:t>
      </w:r>
      <w:r w:rsidRPr="279F73B8">
        <w:rPr>
          <w:i/>
          <w:iCs/>
        </w:rPr>
        <w:t xml:space="preserve"> 2025</w:t>
      </w:r>
    </w:p>
    <w:p w14:paraId="216136D1" w14:textId="261D7BF6" w:rsidR="00892D3B" w:rsidRPr="00F950E7" w:rsidRDefault="00C55D29" w:rsidP="279F73B8">
      <w:pPr>
        <w:spacing w:before="240" w:after="240"/>
        <w:rPr>
          <w:i/>
          <w:iCs/>
        </w:rPr>
      </w:pPr>
      <w:r w:rsidRPr="003C5719">
        <w:t xml:space="preserve">Section </w:t>
      </w:r>
      <w:r w:rsidR="00F950E7">
        <w:t>4</w:t>
      </w:r>
      <w:r w:rsidR="005E4BAC" w:rsidRPr="003C5719">
        <w:t xml:space="preserve"> </w:t>
      </w:r>
      <w:r w:rsidR="00F109D4" w:rsidRPr="003C5719">
        <w:t xml:space="preserve">of the </w:t>
      </w:r>
      <w:r w:rsidR="00F950E7" w:rsidRPr="279F73B8">
        <w:rPr>
          <w:i/>
          <w:iCs/>
        </w:rPr>
        <w:t>Australian Charities and Not-for-profits Commission (Consequential and Transitional) Act 201</w:t>
      </w:r>
      <w:r w:rsidR="00A80DA3">
        <w:rPr>
          <w:i/>
          <w:iCs/>
        </w:rPr>
        <w:t>2</w:t>
      </w:r>
      <w:r w:rsidR="00F109D4" w:rsidRPr="003C5719">
        <w:t xml:space="preserve"> (</w:t>
      </w:r>
      <w:r w:rsidR="00C7296A">
        <w:t xml:space="preserve">Transitional </w:t>
      </w:r>
      <w:r w:rsidR="00F109D4" w:rsidRPr="003C5719">
        <w:t>Act) provides that the Governor</w:t>
      </w:r>
      <w:r w:rsidR="43BA08EB" w:rsidRPr="003C5719">
        <w:t xml:space="preserve"> </w:t>
      </w:r>
      <w:r w:rsidR="00F109D4" w:rsidRPr="003C5719">
        <w:t>General may make regulations</w:t>
      </w:r>
      <w:r w:rsidR="00F950E7">
        <w:t xml:space="preserve"> </w:t>
      </w:r>
      <w:r w:rsidR="00F109D4" w:rsidRPr="003C5719">
        <w:t xml:space="preserve">prescribing matters required or permitted by the </w:t>
      </w:r>
      <w:r w:rsidR="00AE3028">
        <w:t>Transitional</w:t>
      </w:r>
      <w:r w:rsidR="00445784">
        <w:t xml:space="preserve"> </w:t>
      </w:r>
      <w:r w:rsidR="00F109D4" w:rsidRPr="003C5719">
        <w:t xml:space="preserve">Act to be prescribed, or necessary or convenient to be prescribed for carrying out or giving effect to the </w:t>
      </w:r>
      <w:r w:rsidR="00C7296A">
        <w:t xml:space="preserve">Transitional </w:t>
      </w:r>
      <w:r w:rsidR="00F109D4" w:rsidRPr="003C5719">
        <w:t>Act.</w:t>
      </w:r>
    </w:p>
    <w:p w14:paraId="5706AB2C" w14:textId="77E36F7D" w:rsidR="00F950E7" w:rsidRDefault="00F950E7" w:rsidP="00F950E7">
      <w:pPr>
        <w:pStyle w:val="base-text-paragraph"/>
        <w:tabs>
          <w:tab w:val="clear" w:pos="1987"/>
          <w:tab w:val="num" w:pos="1984"/>
        </w:tabs>
        <w:ind w:left="0"/>
        <w:rPr>
          <w:color w:val="000000"/>
        </w:rPr>
      </w:pPr>
      <w:r w:rsidRPr="4025EE85">
        <w:rPr>
          <w:color w:val="000000" w:themeColor="text1"/>
        </w:rPr>
        <w:t>The </w:t>
      </w:r>
      <w:r w:rsidRPr="4025EE85">
        <w:rPr>
          <w:i/>
          <w:iCs/>
          <w:color w:val="000000" w:themeColor="text1"/>
        </w:rPr>
        <w:t>Australian Charities and Not-for-profits Commission Act 2012</w:t>
      </w:r>
      <w:r w:rsidRPr="4025EE85">
        <w:rPr>
          <w:color w:val="000000" w:themeColor="text1"/>
        </w:rPr>
        <w:t xml:space="preserve"> (ACNC Act) </w:t>
      </w:r>
      <w:r w:rsidR="00E81F44" w:rsidRPr="4025EE85">
        <w:rPr>
          <w:color w:val="000000" w:themeColor="text1"/>
        </w:rPr>
        <w:t>establishes a framework for the registration and regulation of charities</w:t>
      </w:r>
      <w:r w:rsidR="008561B5" w:rsidRPr="4025EE85">
        <w:rPr>
          <w:color w:val="000000" w:themeColor="text1"/>
        </w:rPr>
        <w:t xml:space="preserve"> and </w:t>
      </w:r>
      <w:r w:rsidR="0070506E" w:rsidRPr="4025EE85">
        <w:rPr>
          <w:color w:val="000000" w:themeColor="text1"/>
        </w:rPr>
        <w:t>n</w:t>
      </w:r>
      <w:r w:rsidR="008561B5" w:rsidRPr="4025EE85">
        <w:rPr>
          <w:color w:val="000000" w:themeColor="text1"/>
        </w:rPr>
        <w:t>ot-for</w:t>
      </w:r>
      <w:r w:rsidR="3B64E12D" w:rsidRPr="4025EE85">
        <w:rPr>
          <w:color w:val="000000" w:themeColor="text1"/>
        </w:rPr>
        <w:t>-</w:t>
      </w:r>
      <w:r w:rsidR="008561B5" w:rsidRPr="4025EE85">
        <w:rPr>
          <w:color w:val="000000" w:themeColor="text1"/>
        </w:rPr>
        <w:t>profit</w:t>
      </w:r>
      <w:r w:rsidR="0070506E" w:rsidRPr="4025EE85">
        <w:rPr>
          <w:color w:val="000000" w:themeColor="text1"/>
        </w:rPr>
        <w:t xml:space="preserve"> entities</w:t>
      </w:r>
      <w:r w:rsidR="00E81F44" w:rsidRPr="4025EE85">
        <w:rPr>
          <w:color w:val="000000" w:themeColor="text1"/>
        </w:rPr>
        <w:t xml:space="preserve">. </w:t>
      </w:r>
      <w:r w:rsidR="00554100" w:rsidRPr="4025EE85">
        <w:rPr>
          <w:color w:val="000000" w:themeColor="text1"/>
        </w:rPr>
        <w:t>Under the framework, c</w:t>
      </w:r>
      <w:r w:rsidR="00E81F44" w:rsidRPr="4025EE85">
        <w:rPr>
          <w:color w:val="000000" w:themeColor="text1"/>
        </w:rPr>
        <w:t>ertain not-for-profit entities (</w:t>
      </w:r>
      <w:r w:rsidR="00325B83" w:rsidRPr="4025EE85">
        <w:rPr>
          <w:color w:val="000000" w:themeColor="text1"/>
        </w:rPr>
        <w:t>‘</w:t>
      </w:r>
      <w:r w:rsidR="00E81F44" w:rsidRPr="4025EE85">
        <w:rPr>
          <w:color w:val="000000" w:themeColor="text1"/>
        </w:rPr>
        <w:t>registered entities’) are required to report annually to the Commissioner of the Australian Charities and Not-for-profits Commission (ACNC).</w:t>
      </w:r>
    </w:p>
    <w:p w14:paraId="26309F51" w14:textId="6B39113C" w:rsidR="00C7296A" w:rsidRDefault="001962A7" w:rsidP="4DACC94A">
      <w:pPr>
        <w:pStyle w:val="base-text-paragraph"/>
        <w:tabs>
          <w:tab w:val="clear" w:pos="1987"/>
          <w:tab w:val="num" w:pos="1984"/>
        </w:tabs>
        <w:ind w:left="0"/>
        <w:rPr>
          <w:sz w:val="22"/>
          <w:szCs w:val="22"/>
        </w:rPr>
      </w:pPr>
      <w:r>
        <w:t>T</w:t>
      </w:r>
      <w:r w:rsidR="00C7296A">
        <w:t xml:space="preserve">he Transitional Act </w:t>
      </w:r>
      <w:r w:rsidR="0058054B">
        <w:t xml:space="preserve">provides </w:t>
      </w:r>
      <w:r w:rsidR="00C7296A">
        <w:t>that the Commissioner of the ACNC</w:t>
      </w:r>
      <w:r w:rsidR="00605599">
        <w:t xml:space="preserve"> (Commissioner)</w:t>
      </w:r>
      <w:r w:rsidR="00C7296A">
        <w:t xml:space="preserve"> may treat statements, reports or other documents given under an Australian law to another Australian government agency by a registered entity as being annual information statements or financial reports for the purposes of the ACNC Act</w:t>
      </w:r>
      <w:r w:rsidR="001849DA">
        <w:t xml:space="preserve">, thus exempting certain registered entities from </w:t>
      </w:r>
      <w:r w:rsidR="009E6719">
        <w:t xml:space="preserve">further reporting </w:t>
      </w:r>
      <w:r w:rsidR="0050030F">
        <w:t>obligations</w:t>
      </w:r>
      <w:r w:rsidR="00D77837">
        <w:t xml:space="preserve">. This </w:t>
      </w:r>
      <w:r w:rsidR="008B30DF">
        <w:t xml:space="preserve">exemption </w:t>
      </w:r>
      <w:r w:rsidR="00D77837">
        <w:t>applies</w:t>
      </w:r>
      <w:r w:rsidR="00190309">
        <w:t xml:space="preserve"> for certain financial years</w:t>
      </w:r>
      <w:r w:rsidR="00437722">
        <w:t>, w</w:t>
      </w:r>
      <w:r w:rsidR="00420DF4">
        <w:t>ith a power to</w:t>
      </w:r>
      <w:r w:rsidR="00437722">
        <w:t xml:space="preserve"> ex</w:t>
      </w:r>
      <w:r w:rsidR="00420DF4">
        <w:t>tend</w:t>
      </w:r>
      <w:r w:rsidR="00010A66">
        <w:t xml:space="preserve"> the exemption</w:t>
      </w:r>
      <w:r w:rsidR="00420DF4">
        <w:t xml:space="preserve"> t</w:t>
      </w:r>
      <w:r w:rsidR="00E91602">
        <w:t>o later</w:t>
      </w:r>
      <w:r w:rsidR="00420DF4">
        <w:t xml:space="preserve"> financial year</w:t>
      </w:r>
      <w:r w:rsidR="00D970B7">
        <w:t>s</w:t>
      </w:r>
      <w:r w:rsidR="00420DF4">
        <w:t xml:space="preserve"> </w:t>
      </w:r>
      <w:r w:rsidR="00010A66">
        <w:t xml:space="preserve">through </w:t>
      </w:r>
      <w:r w:rsidR="00437722">
        <w:t>regulations</w:t>
      </w:r>
      <w:r w:rsidR="00C7296A">
        <w:t>.</w:t>
      </w:r>
      <w:r w:rsidR="003F0093" w:rsidRPr="1C61A10E">
        <w:rPr>
          <w:szCs w:val="24"/>
        </w:rPr>
        <w:t xml:space="preserve"> </w:t>
      </w:r>
      <w:r w:rsidR="2B24C9C1" w:rsidRPr="1C61A10E">
        <w:rPr>
          <w:szCs w:val="24"/>
        </w:rPr>
        <w:t xml:space="preserve">The </w:t>
      </w:r>
      <w:r w:rsidR="2B24C9C1" w:rsidRPr="1C61A10E">
        <w:rPr>
          <w:i/>
          <w:iCs/>
          <w:szCs w:val="24"/>
        </w:rPr>
        <w:t xml:space="preserve">Australian Charities and Not‑for‑profits Commission (Consequential and Transitional) Regulation 2016 </w:t>
      </w:r>
      <w:r w:rsidR="2B24C9C1" w:rsidRPr="1C61A10E">
        <w:rPr>
          <w:szCs w:val="24"/>
        </w:rPr>
        <w:t xml:space="preserve">provides that this exemption applies for financial years between 2015 and 2024. </w:t>
      </w:r>
    </w:p>
    <w:p w14:paraId="6ABB21E1" w14:textId="1EE0B628" w:rsidR="009036D3" w:rsidRPr="000D6E03" w:rsidRDefault="1DA1DA52" w:rsidP="62C8BA14">
      <w:pPr>
        <w:tabs>
          <w:tab w:val="left" w:pos="1418"/>
        </w:tabs>
        <w:spacing w:before="0" w:after="240"/>
      </w:pPr>
      <w:r>
        <w:t xml:space="preserve">The purpose of the </w:t>
      </w:r>
      <w:r w:rsidR="24C7C45E" w:rsidRPr="1C61A10E">
        <w:rPr>
          <w:i/>
          <w:iCs/>
        </w:rPr>
        <w:t>Australian Charities and Not-for-Profits Commission (Consequential and Transitional) Regulation</w:t>
      </w:r>
      <w:r w:rsidR="3799DA89" w:rsidRPr="1C61A10E">
        <w:rPr>
          <w:i/>
          <w:iCs/>
        </w:rPr>
        <w:t>s</w:t>
      </w:r>
      <w:r w:rsidR="24C7C45E" w:rsidRPr="1C61A10E">
        <w:rPr>
          <w:i/>
          <w:iCs/>
        </w:rPr>
        <w:t xml:space="preserve"> 20</w:t>
      </w:r>
      <w:r w:rsidR="5554CF40" w:rsidRPr="1C61A10E">
        <w:rPr>
          <w:i/>
          <w:iCs/>
        </w:rPr>
        <w:t>25</w:t>
      </w:r>
      <w:r w:rsidR="24C7C45E">
        <w:t xml:space="preserve"> (Regulation</w:t>
      </w:r>
      <w:r w:rsidR="5BA6E193">
        <w:t>s</w:t>
      </w:r>
      <w:r w:rsidR="24C7C45E">
        <w:t xml:space="preserve">) is to </w:t>
      </w:r>
      <w:r w:rsidR="730D51D7">
        <w:t>ensure the Commissioner can t</w:t>
      </w:r>
      <w:r w:rsidR="2EC88F38">
        <w:t xml:space="preserve">reat these </w:t>
      </w:r>
      <w:r w:rsidR="00837423">
        <w:t xml:space="preserve">statements, </w:t>
      </w:r>
      <w:r w:rsidR="00BC36D1">
        <w:t>reports and other documents</w:t>
      </w:r>
      <w:r w:rsidR="2EC88F38">
        <w:t xml:space="preserve"> as </w:t>
      </w:r>
      <w:r w:rsidR="497A9F4C">
        <w:t>annual information statements or financial reports for the purposes of the ACNC Act</w:t>
      </w:r>
      <w:r w:rsidR="24C7C45E">
        <w:t xml:space="preserve"> </w:t>
      </w:r>
      <w:r w:rsidR="4901E47E">
        <w:t xml:space="preserve">up </w:t>
      </w:r>
      <w:r w:rsidR="24C7C45E">
        <w:t>to</w:t>
      </w:r>
      <w:r w:rsidR="4901E47E">
        <w:t xml:space="preserve"> and including</w:t>
      </w:r>
      <w:r w:rsidR="24C7C45E">
        <w:t xml:space="preserve"> the </w:t>
      </w:r>
      <w:r w:rsidR="402FB311">
        <w:t>2028-29</w:t>
      </w:r>
      <w:r w:rsidR="24C7C45E">
        <w:t xml:space="preserve"> financial year</w:t>
      </w:r>
      <w:r w:rsidR="3160138F">
        <w:t>.</w:t>
      </w:r>
      <w:r w:rsidR="0B98D7FC">
        <w:t xml:space="preserve"> </w:t>
      </w:r>
      <w:r w:rsidR="3160138F">
        <w:t xml:space="preserve">This maintains the </w:t>
      </w:r>
      <w:r w:rsidR="403912D4">
        <w:t>existing</w:t>
      </w:r>
      <w:r w:rsidR="3160138F">
        <w:t xml:space="preserve"> reporting arrangements </w:t>
      </w:r>
      <w:r w:rsidR="61D5A716">
        <w:t>and</w:t>
      </w:r>
      <w:r w:rsidR="3160138F">
        <w:t xml:space="preserve"> reduc</w:t>
      </w:r>
      <w:r w:rsidR="61D5A716">
        <w:t>es</w:t>
      </w:r>
      <w:r w:rsidR="3160138F">
        <w:t xml:space="preserve"> duplicative regulatory burdens on </w:t>
      </w:r>
      <w:r w:rsidR="61D5A716">
        <w:t>registered entities</w:t>
      </w:r>
      <w:r w:rsidR="3160138F">
        <w:t xml:space="preserve"> </w:t>
      </w:r>
      <w:r w:rsidR="2258913B">
        <w:t>for</w:t>
      </w:r>
      <w:r w:rsidR="3160138F">
        <w:t xml:space="preserve"> </w:t>
      </w:r>
      <w:r w:rsidR="145F7E53">
        <w:t>this period. This</w:t>
      </w:r>
      <w:r w:rsidR="22B9C0E0">
        <w:t xml:space="preserve"> </w:t>
      </w:r>
      <w:r w:rsidR="00E53303">
        <w:t xml:space="preserve">furthermore </w:t>
      </w:r>
      <w:r w:rsidR="22B9C0E0">
        <w:t>allow</w:t>
      </w:r>
      <w:r w:rsidR="145F7E53">
        <w:t>s</w:t>
      </w:r>
      <w:r w:rsidR="3160138F">
        <w:t xml:space="preserve"> existing administrative processes the ACNC has established with other government agencies to share financial reporting information for the purposes of the ACNC Act</w:t>
      </w:r>
      <w:r w:rsidR="012C23B1">
        <w:t xml:space="preserve"> </w:t>
      </w:r>
      <w:r w:rsidR="664908F8">
        <w:t xml:space="preserve">to </w:t>
      </w:r>
      <w:r w:rsidR="012C23B1">
        <w:t>continue to app</w:t>
      </w:r>
      <w:r w:rsidR="6E3515C9">
        <w:t>l</w:t>
      </w:r>
      <w:r w:rsidR="012C23B1">
        <w:t>y</w:t>
      </w:r>
      <w:r w:rsidR="3160138F">
        <w:t xml:space="preserve">. </w:t>
      </w:r>
    </w:p>
    <w:p w14:paraId="2CE1A469" w14:textId="1AE4DC02" w:rsidR="00D220A5" w:rsidRDefault="00D220A5" w:rsidP="004A27A8">
      <w:pPr>
        <w:pStyle w:val="Bullet"/>
        <w:numPr>
          <w:ilvl w:val="0"/>
          <w:numId w:val="0"/>
        </w:numPr>
      </w:pPr>
      <w:r w:rsidRPr="004C37FE">
        <w:t xml:space="preserve">An exposure draft of the Regulations </w:t>
      </w:r>
      <w:r>
        <w:t>was</w:t>
      </w:r>
      <w:r w:rsidRPr="004C37FE">
        <w:t xml:space="preserve"> released for public consultation</w:t>
      </w:r>
      <w:r w:rsidR="00A87E68">
        <w:t xml:space="preserve"> </w:t>
      </w:r>
      <w:r w:rsidR="00A87E68" w:rsidRPr="00A87E68">
        <w:t>as well as consultation with the Australian Charities and Not-for-profits Commission</w:t>
      </w:r>
      <w:r w:rsidRPr="004C37FE">
        <w:t xml:space="preserve"> between </w:t>
      </w:r>
      <w:r w:rsidRPr="001F2C38">
        <w:t>3 December</w:t>
      </w:r>
      <w:r>
        <w:t xml:space="preserve"> 2024</w:t>
      </w:r>
      <w:r w:rsidRPr="001F2C38">
        <w:t xml:space="preserve"> and 14 January 2025</w:t>
      </w:r>
      <w:r w:rsidRPr="004C37FE">
        <w:t xml:space="preserve">. </w:t>
      </w:r>
      <w:r>
        <w:t>Eleven</w:t>
      </w:r>
      <w:r w:rsidRPr="004C37FE">
        <w:t xml:space="preserve"> submissions</w:t>
      </w:r>
      <w:r>
        <w:t xml:space="preserve"> </w:t>
      </w:r>
      <w:r w:rsidRPr="004C37FE">
        <w:t xml:space="preserve">were received, </w:t>
      </w:r>
      <w:r>
        <w:t>which were broadly supportive of the Regulations.</w:t>
      </w:r>
    </w:p>
    <w:p w14:paraId="5196ACE2" w14:textId="430834E2" w:rsidR="00F343AA" w:rsidRDefault="00F343AA" w:rsidP="004A27A8">
      <w:pPr>
        <w:pStyle w:val="Bullet"/>
        <w:numPr>
          <w:ilvl w:val="0"/>
          <w:numId w:val="0"/>
        </w:numPr>
        <w:rPr>
          <w:color w:val="FF0000"/>
        </w:rPr>
      </w:pPr>
      <w:r>
        <w:t xml:space="preserve">The Act </w:t>
      </w:r>
      <w:r w:rsidR="008B33DF">
        <w:t xml:space="preserve">does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 xml:space="preserve">conditions that need to be satisfied before the power to make the </w:t>
      </w:r>
      <w:r w:rsidR="004219A2">
        <w:t>Regulation</w:t>
      </w:r>
      <w:r w:rsidR="00F0730B">
        <w:t>s</w:t>
      </w:r>
      <w:r>
        <w:t xml:space="preserve"> may be exercised.</w:t>
      </w:r>
      <w:r w:rsidR="007D6771">
        <w:t xml:space="preserve"> </w:t>
      </w:r>
    </w:p>
    <w:p w14:paraId="490549B3" w14:textId="19554F10" w:rsidR="00C5201E" w:rsidRDefault="00C5201E" w:rsidP="1F5285DB">
      <w:pPr>
        <w:pStyle w:val="Bullet"/>
        <w:numPr>
          <w:ilvl w:val="0"/>
          <w:numId w:val="0"/>
        </w:numPr>
        <w:rPr>
          <w:sz w:val="22"/>
          <w:szCs w:val="22"/>
        </w:rPr>
      </w:pPr>
      <w:r>
        <w:lastRenderedPageBreak/>
        <w:t>The Regulation</w:t>
      </w:r>
      <w:r w:rsidR="00A46DBE">
        <w:t>s</w:t>
      </w:r>
      <w:r>
        <w:t xml:space="preserve"> </w:t>
      </w:r>
      <w:r w:rsidR="00A46DBE">
        <w:t>are</w:t>
      </w:r>
      <w:r>
        <w:t xml:space="preserve"> a legislative instrument for the purposes of the </w:t>
      </w:r>
      <w:r w:rsidRPr="62C8BA14">
        <w:rPr>
          <w:i/>
          <w:iCs/>
        </w:rPr>
        <w:t xml:space="preserve">Legislation Act 2003 </w:t>
      </w:r>
      <w:r>
        <w:t xml:space="preserve">and </w:t>
      </w:r>
      <w:r w:rsidR="00A46DBE">
        <w:t>are</w:t>
      </w:r>
      <w:r>
        <w:t xml:space="preserve"> subject to disallowance </w:t>
      </w:r>
      <w:r w:rsidR="000F2C22">
        <w:t>by Parliament</w:t>
      </w:r>
      <w:r>
        <w:t xml:space="preserve">. </w:t>
      </w:r>
    </w:p>
    <w:p w14:paraId="3A522BA3" w14:textId="62516879" w:rsidR="00F40451" w:rsidRDefault="00F109D4" w:rsidP="695B5B91">
      <w:pPr>
        <w:spacing w:before="240"/>
        <w:rPr>
          <w:i/>
          <w:iCs/>
        </w:rPr>
      </w:pPr>
      <w:r>
        <w:t>The Regulation</w:t>
      </w:r>
      <w:r w:rsidR="00A27DC6">
        <w:t>s</w:t>
      </w:r>
      <w:r>
        <w:t xml:space="preserve"> commence</w:t>
      </w:r>
      <w:r w:rsidR="00FB1235">
        <w:t>d</w:t>
      </w:r>
      <w:r w:rsidR="00C5201E">
        <w:t xml:space="preserve"> </w:t>
      </w:r>
      <w:r w:rsidR="004139FD">
        <w:t>and appl</w:t>
      </w:r>
      <w:r w:rsidR="00FB1235">
        <w:t>ied</w:t>
      </w:r>
      <w:r w:rsidR="004139FD">
        <w:t xml:space="preserve"> from </w:t>
      </w:r>
      <w:r w:rsidR="00B22061">
        <w:t xml:space="preserve">the day after registration. </w:t>
      </w:r>
    </w:p>
    <w:p w14:paraId="7A759A66" w14:textId="5993A7D8" w:rsidR="00F40451" w:rsidRDefault="1C5CC347" w:rsidP="695B5B91">
      <w:pPr>
        <w:spacing w:before="240"/>
        <w:rPr>
          <w:i/>
          <w:iCs/>
        </w:rPr>
      </w:pPr>
      <w:r>
        <w:t xml:space="preserve">The Regulations </w:t>
      </w:r>
      <w:r w:rsidR="4D61C0EB">
        <w:t xml:space="preserve">are subject to </w:t>
      </w:r>
      <w:r>
        <w:t>sunset</w:t>
      </w:r>
      <w:r w:rsidR="5309E88E">
        <w:t>ting</w:t>
      </w:r>
      <w:r>
        <w:t xml:space="preserve"> </w:t>
      </w:r>
      <w:r w:rsidR="480E65AE">
        <w:t xml:space="preserve">under section 50 of the </w:t>
      </w:r>
      <w:r w:rsidR="480E65AE" w:rsidRPr="695B5B91">
        <w:rPr>
          <w:i/>
          <w:iCs/>
        </w:rPr>
        <w:t>Legislation Act 2003</w:t>
      </w:r>
      <w:r w:rsidR="000F2C22">
        <w:rPr>
          <w:i/>
          <w:iCs/>
        </w:rPr>
        <w:t>.</w:t>
      </w:r>
    </w:p>
    <w:p w14:paraId="2E45CEDE" w14:textId="631C3260" w:rsidR="0011527C" w:rsidRDefault="0011527C" w:rsidP="004A27A8">
      <w:pPr>
        <w:spacing w:before="240"/>
      </w:pPr>
      <w:r>
        <w:t>Details of the Regulation</w:t>
      </w:r>
      <w:r w:rsidR="00EA4E32">
        <w:t>s</w:t>
      </w:r>
      <w:r>
        <w:t xml:space="preserve"> are set out in </w:t>
      </w:r>
      <w:r w:rsidRPr="137C54B1">
        <w:rPr>
          <w:u w:val="single"/>
        </w:rPr>
        <w:t xml:space="preserve">Attachment </w:t>
      </w:r>
      <w:r w:rsidR="00B22061" w:rsidRPr="137C54B1">
        <w:rPr>
          <w:u w:val="single"/>
        </w:rPr>
        <w:t>A</w:t>
      </w:r>
      <w:r>
        <w:t xml:space="preserve">. </w:t>
      </w:r>
    </w:p>
    <w:p w14:paraId="444CCCAD" w14:textId="239C0BFE" w:rsidR="00613D47" w:rsidRDefault="00613D47" w:rsidP="004A27A8">
      <w:pPr>
        <w:spacing w:before="240"/>
        <w:rPr>
          <w:u w:val="single"/>
        </w:rPr>
      </w:pPr>
      <w:r>
        <w:t xml:space="preserve">A statement of Compatibility with Human Rights is at </w:t>
      </w:r>
      <w:r w:rsidRPr="00A901B4">
        <w:rPr>
          <w:u w:val="single"/>
        </w:rPr>
        <w:t>Attachment B.</w:t>
      </w:r>
    </w:p>
    <w:p w14:paraId="623262EF" w14:textId="391AD76B" w:rsidR="00B17526" w:rsidRDefault="00B17526" w:rsidP="004A27A8">
      <w:pPr>
        <w:spacing w:before="240"/>
      </w:pPr>
      <w:r w:rsidRPr="00B13A21">
        <w:t xml:space="preserve">The </w:t>
      </w:r>
      <w:r w:rsidR="00F93928" w:rsidRPr="00B13A21">
        <w:t>O</w:t>
      </w:r>
      <w:r w:rsidRPr="00B13A21">
        <w:t xml:space="preserve">ffice of </w:t>
      </w:r>
      <w:r w:rsidR="00F93928" w:rsidRPr="00B13A21">
        <w:t>I</w:t>
      </w:r>
      <w:r w:rsidRPr="00B13A21">
        <w:t xml:space="preserve">mpact </w:t>
      </w:r>
      <w:r w:rsidR="00F93928" w:rsidRPr="00B13A21">
        <w:t>A</w:t>
      </w:r>
      <w:r w:rsidRPr="00B13A21">
        <w:t xml:space="preserve">nalysis has been consulted and agreed that an Impact Analysis is not required. </w:t>
      </w:r>
      <w:r w:rsidR="00F93928">
        <w:t>The measure has no impact on compliance costs</w:t>
      </w:r>
      <w:r w:rsidR="00F93928" w:rsidRPr="003C5719">
        <w:t>.</w:t>
      </w:r>
    </w:p>
    <w:p w14:paraId="07C7A526" w14:textId="18BA5640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CC1ED1">
        <w:rPr>
          <w:b/>
          <w:u w:val="single"/>
        </w:rPr>
        <w:t>A</w:t>
      </w:r>
    </w:p>
    <w:p w14:paraId="11175190" w14:textId="3BB6341B" w:rsidR="00EA4DD8" w:rsidRPr="003C5719" w:rsidRDefault="00EA4DD8" w:rsidP="279F73B8">
      <w:pPr>
        <w:spacing w:before="240"/>
        <w:rPr>
          <w:b/>
          <w:bCs/>
          <w:u w:val="single"/>
        </w:rPr>
      </w:pPr>
      <w:r w:rsidRPr="279F73B8">
        <w:rPr>
          <w:b/>
          <w:bCs/>
          <w:u w:val="single"/>
        </w:rPr>
        <w:t xml:space="preserve">Details of the </w:t>
      </w:r>
      <w:r w:rsidR="00AC2C5C" w:rsidRPr="279F73B8">
        <w:rPr>
          <w:b/>
          <w:bCs/>
          <w:i/>
          <w:iCs/>
          <w:u w:val="single"/>
        </w:rPr>
        <w:t>Australian Charities and Not-for-Profits Commission (Consequential and Transitional) Regulation</w:t>
      </w:r>
      <w:r w:rsidR="004921FE" w:rsidRPr="279F73B8">
        <w:rPr>
          <w:b/>
          <w:bCs/>
          <w:i/>
          <w:iCs/>
          <w:u w:val="single"/>
        </w:rPr>
        <w:t>s</w:t>
      </w:r>
      <w:r w:rsidR="00AC2C5C" w:rsidRPr="279F73B8">
        <w:rPr>
          <w:b/>
          <w:bCs/>
          <w:i/>
          <w:iCs/>
          <w:u w:val="single"/>
        </w:rPr>
        <w:t xml:space="preserve"> 2025</w:t>
      </w:r>
      <w:r w:rsidRPr="279F73B8">
        <w:rPr>
          <w:b/>
          <w:bCs/>
          <w:u w:val="single"/>
        </w:rPr>
        <w:t xml:space="preserve"> </w:t>
      </w:r>
    </w:p>
    <w:p w14:paraId="46A0C1FA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203E644C" w14:textId="56132675" w:rsidR="00EA4DD8" w:rsidRPr="003C5719" w:rsidRDefault="00EA4DD8" w:rsidP="004A27A8">
      <w:pPr>
        <w:spacing w:before="240"/>
      </w:pPr>
      <w:r>
        <w:t xml:space="preserve">This section provides that the name of the </w:t>
      </w:r>
      <w:r w:rsidR="00A760F0">
        <w:t>r</w:t>
      </w:r>
      <w:r>
        <w:t xml:space="preserve">egulations is the </w:t>
      </w:r>
      <w:r w:rsidR="00670806" w:rsidRPr="279F73B8">
        <w:rPr>
          <w:i/>
          <w:iCs/>
        </w:rPr>
        <w:t>Australian Charities and Not-for-Profits Commission (Consequential and Transitional) Regulation</w:t>
      </w:r>
      <w:r w:rsidR="00167493" w:rsidRPr="279F73B8">
        <w:rPr>
          <w:i/>
          <w:iCs/>
        </w:rPr>
        <w:t>s</w:t>
      </w:r>
      <w:r w:rsidR="00670806" w:rsidRPr="279F73B8">
        <w:rPr>
          <w:i/>
          <w:iCs/>
        </w:rPr>
        <w:t xml:space="preserve"> 2025</w:t>
      </w:r>
      <w:r>
        <w:t xml:space="preserve"> (</w:t>
      </w:r>
      <w:r w:rsidR="00670806">
        <w:t>Regulation</w:t>
      </w:r>
      <w:r w:rsidR="00167493">
        <w:t>s</w:t>
      </w:r>
      <w:r>
        <w:t>).</w:t>
      </w:r>
    </w:p>
    <w:p w14:paraId="149A6E3C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0383B73D" w14:textId="4A28ED05" w:rsidR="00EA4DD8" w:rsidRPr="003C5719" w:rsidRDefault="00124966" w:rsidP="004A27A8">
      <w:pPr>
        <w:spacing w:before="240"/>
      </w:pPr>
      <w:r>
        <w:t>This section provides that</w:t>
      </w:r>
      <w:r w:rsidR="00EA4DD8" w:rsidRPr="003C5719">
        <w:t xml:space="preserve"> the </w:t>
      </w:r>
      <w:r w:rsidR="00EC4D08">
        <w:t>Regulations</w:t>
      </w:r>
      <w:r w:rsidR="00EA4DD8" w:rsidRPr="003C5719">
        <w:t xml:space="preserve"> commence</w:t>
      </w:r>
      <w:r w:rsidR="003037F8">
        <w:t>d</w:t>
      </w:r>
      <w:r w:rsidR="00EA4DD8" w:rsidRPr="003C5719">
        <w:t xml:space="preserve"> </w:t>
      </w:r>
      <w:r w:rsidR="00C12334">
        <w:t xml:space="preserve">on </w:t>
      </w:r>
      <w:r w:rsidR="00EA4DD8" w:rsidRPr="006F683C">
        <w:t xml:space="preserve">the day after the instrument </w:t>
      </w:r>
      <w:r w:rsidR="00BA68E6">
        <w:t>was</w:t>
      </w:r>
      <w:r w:rsidR="00EA4DD8" w:rsidRPr="006F683C">
        <w:t xml:space="preserve"> registered </w:t>
      </w:r>
      <w:r w:rsidR="00EA4DD8" w:rsidRPr="003C5719">
        <w:t>on the Federal Register of Legislation.</w:t>
      </w:r>
      <w:r w:rsidR="005858FB">
        <w:t xml:space="preserve"> </w:t>
      </w:r>
    </w:p>
    <w:p w14:paraId="6F193E8D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4B75875D" w14:textId="57FFF553" w:rsidR="009D6865" w:rsidRPr="003C5719" w:rsidRDefault="00EA4DD8" w:rsidP="009D6865">
      <w:pPr>
        <w:spacing w:before="240" w:after="240"/>
        <w:rPr>
          <w:i/>
        </w:rPr>
      </w:pPr>
      <w:r w:rsidRPr="003C5719">
        <w:t xml:space="preserve">The </w:t>
      </w:r>
      <w:r w:rsidR="00700A12">
        <w:t>Regulation</w:t>
      </w:r>
      <w:r w:rsidR="00EC4D08">
        <w:t>s</w:t>
      </w:r>
      <w:r w:rsidR="00700A12">
        <w:t xml:space="preserve"> </w:t>
      </w:r>
      <w:r w:rsidR="00EC4D08">
        <w:t>are</w:t>
      </w:r>
      <w:r w:rsidRPr="003C5719">
        <w:t xml:space="preserve"> made under the </w:t>
      </w:r>
      <w:r w:rsidR="009D6865">
        <w:rPr>
          <w:i/>
          <w:iCs/>
        </w:rPr>
        <w:t>Australian Charities and Not-for-profits Commission (Consequential and Transitional) Act 201</w:t>
      </w:r>
      <w:r w:rsidR="007A4400">
        <w:rPr>
          <w:i/>
          <w:iCs/>
        </w:rPr>
        <w:t>2</w:t>
      </w:r>
      <w:r w:rsidR="00C74713">
        <w:rPr>
          <w:i/>
          <w:iCs/>
        </w:rPr>
        <w:t xml:space="preserve"> </w:t>
      </w:r>
      <w:r w:rsidR="00C74713" w:rsidRPr="00C74713">
        <w:t>(Transitional Act).</w:t>
      </w:r>
    </w:p>
    <w:p w14:paraId="279EEB4F" w14:textId="795AEEC8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4 – Schedule</w:t>
      </w:r>
    </w:p>
    <w:p w14:paraId="16B5FA30" w14:textId="77777777" w:rsidR="00EA4DD8" w:rsidRDefault="00EA4DD8" w:rsidP="00466DD5">
      <w:pPr>
        <w:spacing w:before="240" w:after="200"/>
      </w:pPr>
      <w:r w:rsidRPr="003C5719">
        <w:t xml:space="preserve">This section provides that each instrument that is specified in the Schedules to this instrument </w:t>
      </w:r>
      <w:r w:rsidR="005D7E35">
        <w:t xml:space="preserve">are </w:t>
      </w:r>
      <w:r w:rsidRPr="003C5719">
        <w:t>amended or repealed as set out in the applicable items in the Schedules, and any other item in the Schedules to this instrument has effect according to its terms.</w:t>
      </w:r>
    </w:p>
    <w:p w14:paraId="439D86D6" w14:textId="6B14A21A" w:rsidR="00736020" w:rsidRDefault="00736020" w:rsidP="00466DD5">
      <w:pPr>
        <w:spacing w:before="240" w:after="200"/>
        <w:rPr>
          <w:u w:val="single"/>
        </w:rPr>
      </w:pPr>
      <w:r w:rsidRPr="00736020">
        <w:rPr>
          <w:u w:val="single"/>
        </w:rPr>
        <w:t xml:space="preserve">Schedule 1 – Amendments </w:t>
      </w:r>
    </w:p>
    <w:p w14:paraId="485A3B02" w14:textId="785ECC08" w:rsidR="00321397" w:rsidRDefault="00321397" w:rsidP="001962A7">
      <w:pPr>
        <w:pStyle w:val="base-text-paragraph"/>
        <w:tabs>
          <w:tab w:val="clear" w:pos="1987"/>
          <w:tab w:val="num" w:pos="1984"/>
        </w:tabs>
        <w:ind w:left="0"/>
        <w:rPr>
          <w:b/>
          <w:bCs/>
        </w:rPr>
      </w:pPr>
      <w:r w:rsidRPr="00321397">
        <w:rPr>
          <w:b/>
          <w:bCs/>
        </w:rPr>
        <w:t xml:space="preserve">Part </w:t>
      </w:r>
      <w:r w:rsidR="001555B3">
        <w:rPr>
          <w:b/>
          <w:bCs/>
        </w:rPr>
        <w:t>2</w:t>
      </w:r>
      <w:r w:rsidRPr="00321397">
        <w:rPr>
          <w:b/>
          <w:bCs/>
        </w:rPr>
        <w:t xml:space="preserve"> </w:t>
      </w:r>
      <w:r w:rsidR="00404B78">
        <w:rPr>
          <w:b/>
          <w:bCs/>
        </w:rPr>
        <w:t>–</w:t>
      </w:r>
      <w:r w:rsidRPr="00321397">
        <w:rPr>
          <w:b/>
          <w:bCs/>
        </w:rPr>
        <w:t xml:space="preserve"> </w:t>
      </w:r>
      <w:r w:rsidR="001555B3">
        <w:rPr>
          <w:b/>
          <w:bCs/>
        </w:rPr>
        <w:t>Reporting</w:t>
      </w:r>
    </w:p>
    <w:p w14:paraId="737497D3" w14:textId="0D3D7C3B" w:rsidR="00404B78" w:rsidRPr="00404B78" w:rsidRDefault="002A488D" w:rsidP="001962A7">
      <w:pPr>
        <w:pStyle w:val="base-text-paragraph"/>
        <w:tabs>
          <w:tab w:val="clear" w:pos="1987"/>
          <w:tab w:val="num" w:pos="1984"/>
        </w:tabs>
        <w:ind w:left="0"/>
        <w:rPr>
          <w:i/>
          <w:iCs/>
        </w:rPr>
      </w:pPr>
      <w:r>
        <w:rPr>
          <w:i/>
          <w:iCs/>
        </w:rPr>
        <w:t>Section 5</w:t>
      </w:r>
    </w:p>
    <w:p w14:paraId="06870FAC" w14:textId="1729B614" w:rsidR="001555B3" w:rsidRDefault="002A488D" w:rsidP="001962A7">
      <w:pPr>
        <w:pStyle w:val="base-text-paragraph"/>
        <w:tabs>
          <w:tab w:val="clear" w:pos="1987"/>
          <w:tab w:val="num" w:pos="1984"/>
        </w:tabs>
        <w:ind w:left="0"/>
      </w:pPr>
      <w:r>
        <w:t>Section</w:t>
      </w:r>
      <w:r w:rsidR="001555B3">
        <w:t xml:space="preserve"> 5 </w:t>
      </w:r>
      <w:r w:rsidR="00F5168D">
        <w:t>ex</w:t>
      </w:r>
      <w:r w:rsidR="009123E9">
        <w:t>te</w:t>
      </w:r>
      <w:r w:rsidR="00F5168D">
        <w:t>nds the financial years in which the Commissioner of the ACNC may treat statements, reports or other documents given under an Australian law to another Australian government agency by a registered entity as being annual information statements or financial reports for the purposes of the ACNC Act</w:t>
      </w:r>
      <w:r w:rsidR="00AF2126">
        <w:t>. The Regulations extend the exemption</w:t>
      </w:r>
      <w:r w:rsidR="00345DBE">
        <w:t xml:space="preserve"> from the 2024-25 financial year</w:t>
      </w:r>
      <w:r w:rsidR="00F5168D">
        <w:t xml:space="preserve"> up to and including the 2028-29 financial year. </w:t>
      </w:r>
    </w:p>
    <w:p w14:paraId="52028646" w14:textId="7E88241B" w:rsidR="001962A7" w:rsidRDefault="00B7387B" w:rsidP="001962A7">
      <w:pPr>
        <w:pStyle w:val="base-text-paragraph"/>
        <w:tabs>
          <w:tab w:val="clear" w:pos="1987"/>
          <w:tab w:val="num" w:pos="1984"/>
        </w:tabs>
        <w:ind w:left="0"/>
      </w:pPr>
      <w:r>
        <w:t xml:space="preserve">By </w:t>
      </w:r>
      <w:r w:rsidR="001020BD">
        <w:t xml:space="preserve">maintaining the </w:t>
      </w:r>
      <w:r w:rsidR="000602CA">
        <w:t>existing</w:t>
      </w:r>
      <w:r>
        <w:t xml:space="preserve"> reporting arrangement</w:t>
      </w:r>
      <w:r w:rsidR="001020BD">
        <w:t>s under the Transitional Act</w:t>
      </w:r>
      <w:r>
        <w:t xml:space="preserve">, the </w:t>
      </w:r>
      <w:r w:rsidR="00FA4E2D">
        <w:t>Regulations</w:t>
      </w:r>
      <w:r>
        <w:t xml:space="preserve"> prevent the imposition of duplicative financial reporting obligations on over 3000 charities.</w:t>
      </w:r>
      <w:r w:rsidR="0069293E">
        <w:t xml:space="preserve"> </w:t>
      </w:r>
    </w:p>
    <w:p w14:paraId="06A75145" w14:textId="52CC1C65" w:rsidR="00404B78" w:rsidRDefault="002A488D" w:rsidP="00404B78">
      <w:pPr>
        <w:pStyle w:val="base-text-paragraph"/>
        <w:tabs>
          <w:tab w:val="clear" w:pos="1987"/>
          <w:tab w:val="num" w:pos="1984"/>
        </w:tabs>
        <w:ind w:left="0"/>
        <w:rPr>
          <w:i/>
          <w:iCs/>
        </w:rPr>
      </w:pPr>
      <w:r>
        <w:rPr>
          <w:i/>
          <w:iCs/>
        </w:rPr>
        <w:t>Section</w:t>
      </w:r>
      <w:r w:rsidR="00404B78">
        <w:rPr>
          <w:i/>
          <w:iCs/>
        </w:rPr>
        <w:t xml:space="preserve"> 6</w:t>
      </w:r>
    </w:p>
    <w:p w14:paraId="19D1BF64" w14:textId="27CEA73B" w:rsidR="00EA4DD8" w:rsidRPr="00844849" w:rsidRDefault="00C64C85" w:rsidP="001F6D59">
      <w:pPr>
        <w:pStyle w:val="base-text-paragraph"/>
        <w:tabs>
          <w:tab w:val="clear" w:pos="1987"/>
          <w:tab w:val="num" w:pos="1984"/>
        </w:tabs>
        <w:ind w:left="0"/>
      </w:pPr>
      <w:r>
        <w:t>Section</w:t>
      </w:r>
      <w:r w:rsidR="7BD7DE67" w:rsidRPr="0FDE0E7E">
        <w:t xml:space="preserve"> 6</w:t>
      </w:r>
      <w:r w:rsidR="2DBA129F" w:rsidRPr="0FDE0E7E">
        <w:t xml:space="preserve"> preserves the operation of the</w:t>
      </w:r>
      <w:r w:rsidR="2DBA129F" w:rsidRPr="0FDE0E7E">
        <w:rPr>
          <w:szCs w:val="24"/>
        </w:rPr>
        <w:t xml:space="preserve"> </w:t>
      </w:r>
      <w:r w:rsidR="285F8D9B" w:rsidRPr="0FDE0E7E">
        <w:rPr>
          <w:i/>
          <w:iCs/>
          <w:szCs w:val="24"/>
        </w:rPr>
        <w:t>Australian Charities and Not‑for‑profits Commission (Consequential and Transitional) Regulation 2016</w:t>
      </w:r>
      <w:r w:rsidR="00533A38">
        <w:rPr>
          <w:i/>
          <w:iCs/>
          <w:szCs w:val="24"/>
        </w:rPr>
        <w:t xml:space="preserve"> </w:t>
      </w:r>
      <w:r w:rsidR="00533A38" w:rsidRPr="00A901B4">
        <w:rPr>
          <w:szCs w:val="24"/>
        </w:rPr>
        <w:t>(2016 Regulation)</w:t>
      </w:r>
      <w:r w:rsidR="00233976" w:rsidRPr="00A901B4">
        <w:rPr>
          <w:szCs w:val="24"/>
        </w:rPr>
        <w:t xml:space="preserve"> </w:t>
      </w:r>
      <w:r w:rsidR="00233976">
        <w:rPr>
          <w:szCs w:val="24"/>
        </w:rPr>
        <w:t>in relation to</w:t>
      </w:r>
      <w:r w:rsidR="006923BD">
        <w:rPr>
          <w:szCs w:val="24"/>
        </w:rPr>
        <w:t xml:space="preserve"> the</w:t>
      </w:r>
      <w:r w:rsidR="00233976">
        <w:rPr>
          <w:szCs w:val="24"/>
        </w:rPr>
        <w:t xml:space="preserve"> financial year</w:t>
      </w:r>
      <w:r w:rsidR="006923BD">
        <w:rPr>
          <w:szCs w:val="24"/>
        </w:rPr>
        <w:t xml:space="preserve"> of</w:t>
      </w:r>
      <w:r w:rsidR="00233976">
        <w:rPr>
          <w:szCs w:val="24"/>
        </w:rPr>
        <w:t xml:space="preserve"> </w:t>
      </w:r>
      <w:r w:rsidR="006923BD">
        <w:rPr>
          <w:szCs w:val="24"/>
        </w:rPr>
        <w:t>2015-16 and each subsequent financial year up to and including the 2023-24 financial year</w:t>
      </w:r>
      <w:r w:rsidR="001F6D59">
        <w:rPr>
          <w:szCs w:val="24"/>
        </w:rPr>
        <w:t>.</w:t>
      </w:r>
    </w:p>
    <w:p w14:paraId="457D13E3" w14:textId="11914769" w:rsidR="009B3B4F" w:rsidRDefault="00C64C85" w:rsidP="00341035">
      <w:pPr>
        <w:spacing w:before="240" w:after="200"/>
      </w:pPr>
      <w:r>
        <w:t>Section</w:t>
      </w:r>
      <w:r w:rsidR="51415CFF" w:rsidRPr="6B67BAAF">
        <w:t xml:space="preserve"> 6 </w:t>
      </w:r>
      <w:r w:rsidR="0C82B263" w:rsidRPr="6B67BAAF">
        <w:t xml:space="preserve">also ensures that the Commissioner still has the power, after the repeal of the </w:t>
      </w:r>
      <w:r w:rsidR="00312EC6">
        <w:rPr>
          <w:szCs w:val="24"/>
        </w:rPr>
        <w:t>2016 Regulation</w:t>
      </w:r>
      <w:r w:rsidR="4835BFFF" w:rsidRPr="6B67BAAF">
        <w:rPr>
          <w:i/>
          <w:iCs/>
          <w:szCs w:val="24"/>
        </w:rPr>
        <w:t>,</w:t>
      </w:r>
      <w:r w:rsidR="59A4D1A7">
        <w:t xml:space="preserve"> to share financial reporting information for the purposes of the ACNC Act </w:t>
      </w:r>
      <w:r w:rsidR="00180DCD">
        <w:rPr>
          <w:szCs w:val="24"/>
        </w:rPr>
        <w:t>in relation to the financial year of 2015-16 and each subsequent financial year up to and including the 2023-24 financial year</w:t>
      </w:r>
      <w:r w:rsidR="59A4D1A7">
        <w:t>.</w:t>
      </w:r>
      <w:r w:rsidR="006C1F94">
        <w:t xml:space="preserve"> This ensures that </w:t>
      </w:r>
      <w:r w:rsidR="00665DAC">
        <w:t xml:space="preserve">the Commissioner of the ACNC may treat statements, reports or other documents given under an Australian law to another Australian government agency by a registered entity as being annual information </w:t>
      </w:r>
      <w:r w:rsidR="00665DAC">
        <w:lastRenderedPageBreak/>
        <w:t>statements or financial reports for the purposes of the ACNC Act</w:t>
      </w:r>
      <w:r w:rsidR="003C5644">
        <w:t xml:space="preserve"> in</w:t>
      </w:r>
      <w:r w:rsidR="003C5644">
        <w:rPr>
          <w:szCs w:val="24"/>
        </w:rPr>
        <w:t xml:space="preserve"> relation to the financial year of 2015-16 and each subsequent financial year up to and including the 2023-24 financial year</w:t>
      </w:r>
      <w:r w:rsidR="0075696C">
        <w:t xml:space="preserve">. </w:t>
      </w:r>
      <w:r w:rsidR="003E150F">
        <w:t>Again, t</w:t>
      </w:r>
      <w:r w:rsidR="007945EE">
        <w:t>his</w:t>
      </w:r>
      <w:r w:rsidR="00C455C6">
        <w:t xml:space="preserve"> prevent</w:t>
      </w:r>
      <w:r w:rsidR="007945EE">
        <w:t>s</w:t>
      </w:r>
      <w:r w:rsidR="00C455C6">
        <w:t xml:space="preserve"> the imposition of duplicative financial reporting obligations </w:t>
      </w:r>
      <w:r w:rsidR="007945EE">
        <w:t>for charities</w:t>
      </w:r>
      <w:r w:rsidR="00C455C6">
        <w:t>.</w:t>
      </w:r>
    </w:p>
    <w:p w14:paraId="0309161E" w14:textId="23796D60" w:rsidR="009B3B4F" w:rsidRPr="009B3B4F" w:rsidRDefault="009B3B4F" w:rsidP="00341035">
      <w:pPr>
        <w:spacing w:before="240" w:after="200"/>
        <w:rPr>
          <w:u w:val="single"/>
        </w:rPr>
      </w:pPr>
      <w:r w:rsidRPr="009B3B4F">
        <w:rPr>
          <w:u w:val="single"/>
        </w:rPr>
        <w:t>Schedule 1 – Repeals</w:t>
      </w:r>
    </w:p>
    <w:p w14:paraId="2DA5CA48" w14:textId="77777777" w:rsidR="009F3283" w:rsidRPr="009F3283" w:rsidRDefault="009F3283" w:rsidP="009F3283">
      <w:pPr>
        <w:spacing w:before="240" w:after="200"/>
      </w:pPr>
      <w:r w:rsidRPr="009F3283">
        <w:rPr>
          <w:i/>
          <w:iCs/>
        </w:rPr>
        <w:t>Australian Charities and Not-for-profits Commission (Consequential and Transitional) Regulation 2016</w:t>
      </w:r>
      <w:r w:rsidRPr="009F3283">
        <w:t> </w:t>
      </w:r>
    </w:p>
    <w:p w14:paraId="4C4E0578" w14:textId="77777777" w:rsidR="009F3283" w:rsidRPr="009F3283" w:rsidRDefault="009F3283" w:rsidP="009F3283">
      <w:pPr>
        <w:spacing w:before="240" w:after="200"/>
      </w:pPr>
      <w:r w:rsidRPr="009F3283">
        <w:rPr>
          <w:b/>
          <w:bCs/>
        </w:rPr>
        <w:t>Item [1] – The whole of the instrument</w:t>
      </w:r>
      <w:r w:rsidRPr="009F3283">
        <w:t> </w:t>
      </w:r>
    </w:p>
    <w:p w14:paraId="6834BA36" w14:textId="77777777" w:rsidR="009F3283" w:rsidRPr="009F3283" w:rsidRDefault="009F3283" w:rsidP="009F3283">
      <w:pPr>
        <w:spacing w:before="240" w:after="200"/>
      </w:pPr>
      <w:r w:rsidRPr="009F3283">
        <w:t>This item would repeal the whole of the instrument.  </w:t>
      </w:r>
    </w:p>
    <w:p w14:paraId="7E658CB7" w14:textId="77777777" w:rsidR="009B3B4F" w:rsidRDefault="009B3B4F" w:rsidP="00341035">
      <w:pPr>
        <w:spacing w:before="240" w:after="200"/>
      </w:pPr>
    </w:p>
    <w:p w14:paraId="0E055F48" w14:textId="77777777" w:rsidR="00B228B2" w:rsidRDefault="00B228B2" w:rsidP="00341035">
      <w:pPr>
        <w:spacing w:before="240" w:after="200"/>
      </w:pPr>
    </w:p>
    <w:p w14:paraId="79712245" w14:textId="77777777" w:rsidR="00B228B2" w:rsidRPr="003C5719" w:rsidRDefault="00B228B2" w:rsidP="00B228B2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B</w:t>
      </w:r>
    </w:p>
    <w:p w14:paraId="043CACB4" w14:textId="77777777" w:rsidR="00B228B2" w:rsidRPr="003C5719" w:rsidRDefault="00B228B2" w:rsidP="00B228B2">
      <w:pPr>
        <w:pStyle w:val="Heading3"/>
        <w:jc w:val="center"/>
      </w:pPr>
      <w:r w:rsidRPr="003C5719">
        <w:t>Statement of Compatibility with Human Rights</w:t>
      </w:r>
    </w:p>
    <w:p w14:paraId="26BA1DC7" w14:textId="77777777" w:rsidR="00B228B2" w:rsidRPr="003C5719" w:rsidRDefault="00B228B2" w:rsidP="00B228B2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>
        <w:rPr>
          <w:i/>
        </w:rPr>
        <w:t> </w:t>
      </w:r>
      <w:r w:rsidRPr="003C5719">
        <w:rPr>
          <w:i/>
        </w:rPr>
        <w:t>2011</w:t>
      </w:r>
    </w:p>
    <w:p w14:paraId="4816EE8D" w14:textId="15E512DA" w:rsidR="00B228B2" w:rsidRDefault="00B228B2" w:rsidP="00A901B4">
      <w:pPr>
        <w:spacing w:before="240"/>
        <w:jc w:val="center"/>
        <w:rPr>
          <w:b/>
          <w:i/>
          <w:iCs/>
          <w:kern w:val="28"/>
        </w:rPr>
      </w:pPr>
      <w:r w:rsidRPr="00B228B2">
        <w:rPr>
          <w:b/>
          <w:i/>
          <w:iCs/>
          <w:kern w:val="28"/>
        </w:rPr>
        <w:t>Australian Charities and Not-for-Profits Commission (Consequential and Transitional) Regulations 2025</w:t>
      </w:r>
    </w:p>
    <w:p w14:paraId="4117515C" w14:textId="55C029F8" w:rsidR="00B228B2" w:rsidRPr="003C5719" w:rsidRDefault="00B228B2" w:rsidP="00B228B2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369919ED" w14:textId="77777777" w:rsidR="00B228B2" w:rsidRPr="003C5719" w:rsidRDefault="00B228B2" w:rsidP="00B228B2">
      <w:pPr>
        <w:pStyle w:val="Heading3"/>
      </w:pPr>
      <w:r w:rsidRPr="003C5719">
        <w:t>Overview of the Legislative Instrument</w:t>
      </w:r>
    </w:p>
    <w:p w14:paraId="2A847B55" w14:textId="4BE61C1B" w:rsidR="00B228B2" w:rsidRPr="00A901B4" w:rsidRDefault="00B228B2" w:rsidP="00B228B2">
      <w:pPr>
        <w:spacing w:before="200"/>
        <w:rPr>
          <w:b/>
          <w:i/>
          <w:iCs/>
        </w:rPr>
      </w:pPr>
      <w:r>
        <w:t xml:space="preserve">The </w:t>
      </w:r>
      <w:r w:rsidRPr="00A901B4">
        <w:rPr>
          <w:bCs/>
          <w:i/>
          <w:iCs/>
        </w:rPr>
        <w:t>Australian Charities and Not-for-Profits Commission (Consequential and Transitional) Regulations 2025</w:t>
      </w:r>
      <w:r>
        <w:rPr>
          <w:b/>
          <w:i/>
          <w:iCs/>
        </w:rPr>
        <w:t xml:space="preserve"> </w:t>
      </w:r>
      <w:r>
        <w:t>(the Regulations):</w:t>
      </w:r>
    </w:p>
    <w:p w14:paraId="377C2460" w14:textId="3917E974" w:rsidR="00B228B2" w:rsidRDefault="00D9652E" w:rsidP="00B228B2">
      <w:pPr>
        <w:pStyle w:val="Bullet"/>
        <w:spacing w:before="200"/>
      </w:pPr>
      <w:r>
        <w:t xml:space="preserve">extend the financial years in which the Commissioner of the ACNC may treat statements, reports or other documents given under an Australian law to another Australian government agency by a registered entity as being annual information statements or financial reports for the purposes of the </w:t>
      </w:r>
      <w:r w:rsidR="0029159B" w:rsidRPr="00A901B4">
        <w:rPr>
          <w:i/>
          <w:iCs/>
        </w:rPr>
        <w:t>Australian Charities and Not-for-Profits Commission</w:t>
      </w:r>
      <w:r w:rsidRPr="00A901B4">
        <w:rPr>
          <w:i/>
          <w:iCs/>
        </w:rPr>
        <w:t xml:space="preserve"> Act</w:t>
      </w:r>
      <w:r w:rsidR="00872297" w:rsidRPr="00A901B4">
        <w:rPr>
          <w:i/>
          <w:iCs/>
        </w:rPr>
        <w:t xml:space="preserve"> 2012</w:t>
      </w:r>
      <w:r>
        <w:t xml:space="preserve"> </w:t>
      </w:r>
      <w:r w:rsidR="00E311CD">
        <w:t xml:space="preserve">up to and including the 2028-29 </w:t>
      </w:r>
      <w:r w:rsidR="004C7CD9">
        <w:t xml:space="preserve">financial year </w:t>
      </w:r>
      <w:r w:rsidR="00B228B2">
        <w:t>(</w:t>
      </w:r>
      <w:r w:rsidR="00872297">
        <w:t xml:space="preserve">Part 2 of </w:t>
      </w:r>
      <w:r w:rsidR="00B228B2">
        <w:t xml:space="preserve">Schedule 1 to </w:t>
      </w:r>
      <w:r w:rsidR="00B228B2" w:rsidRPr="00094B49">
        <w:rPr>
          <w:iCs/>
        </w:rPr>
        <w:t>the</w:t>
      </w:r>
      <w:r w:rsidR="00B228B2">
        <w:rPr>
          <w:iCs/>
        </w:rPr>
        <w:t> Regulations</w:t>
      </w:r>
      <w:r w:rsidR="00B228B2">
        <w:t>); and</w:t>
      </w:r>
    </w:p>
    <w:p w14:paraId="093C6381" w14:textId="3512FCEC" w:rsidR="005D6548" w:rsidRDefault="002B1B3F" w:rsidP="00A901B4">
      <w:pPr>
        <w:pStyle w:val="Bullet"/>
      </w:pPr>
      <w:r w:rsidRPr="0FDE0E7E">
        <w:t xml:space="preserve">preserve the operation of the </w:t>
      </w:r>
      <w:r w:rsidRPr="0FDE0E7E">
        <w:rPr>
          <w:i/>
          <w:iCs/>
        </w:rPr>
        <w:t>Australian Charities and Not‑for‑profits Commission (Consequential and Transitional) Regulation 2016</w:t>
      </w:r>
      <w:r>
        <w:rPr>
          <w:i/>
          <w:iCs/>
        </w:rPr>
        <w:t xml:space="preserve"> </w:t>
      </w:r>
      <w:r w:rsidRPr="00A901B4">
        <w:t>(2016 Regulations)</w:t>
      </w:r>
      <w:r>
        <w:rPr>
          <w:i/>
          <w:iCs/>
        </w:rPr>
        <w:t xml:space="preserve"> </w:t>
      </w:r>
      <w:r>
        <w:t xml:space="preserve">in relation to the financial year of 2015-16 and each subsequent financial year up to and including the 2023-24 financial year </w:t>
      </w:r>
      <w:r w:rsidR="00B228B2">
        <w:t>(</w:t>
      </w:r>
      <w:r>
        <w:t>Part 2 of Schedule 1</w:t>
      </w:r>
      <w:r w:rsidR="00B228B2">
        <w:t xml:space="preserve"> to </w:t>
      </w:r>
      <w:r w:rsidR="00B228B2" w:rsidRPr="002B1B3F">
        <w:rPr>
          <w:iCs/>
        </w:rPr>
        <w:t>the Regulations</w:t>
      </w:r>
      <w:r w:rsidR="00B228B2">
        <w:t>).</w:t>
      </w:r>
    </w:p>
    <w:p w14:paraId="2DFEDFC8" w14:textId="0522F669" w:rsidR="00D35D1A" w:rsidRDefault="00D35D1A" w:rsidP="00D35D1A">
      <w:pPr>
        <w:pStyle w:val="Heading3"/>
        <w:rPr>
          <w:b w:val="0"/>
          <w:bCs/>
        </w:rPr>
      </w:pPr>
      <w:r w:rsidRPr="00A901B4">
        <w:rPr>
          <w:b w:val="0"/>
          <w:bCs/>
        </w:rPr>
        <w:t>The purpose of the Regulations is to ensure the Commissioner</w:t>
      </w:r>
      <w:r>
        <w:rPr>
          <w:b w:val="0"/>
          <w:bCs/>
        </w:rPr>
        <w:t xml:space="preserve"> of the ACNC</w:t>
      </w:r>
      <w:r w:rsidRPr="00A901B4">
        <w:rPr>
          <w:b w:val="0"/>
          <w:bCs/>
        </w:rPr>
        <w:t xml:space="preserve"> can </w:t>
      </w:r>
      <w:r w:rsidR="00880ECD">
        <w:rPr>
          <w:b w:val="0"/>
          <w:bCs/>
        </w:rPr>
        <w:t>continue to treat statements, reports or other</w:t>
      </w:r>
      <w:r w:rsidRPr="00A901B4">
        <w:rPr>
          <w:b w:val="0"/>
          <w:bCs/>
        </w:rPr>
        <w:t xml:space="preserve"> documents as annual information statements or financial reports for the purposes of the ACNC Act up to and including the 2028-29 financial year. This maintains existing reporting arrangements and reduces duplicative regulatory burdens on registered entities for this period</w:t>
      </w:r>
      <w:r w:rsidR="00FA182C">
        <w:rPr>
          <w:b w:val="0"/>
          <w:bCs/>
        </w:rPr>
        <w:t xml:space="preserve"> and</w:t>
      </w:r>
      <w:r w:rsidRPr="00A901B4">
        <w:rPr>
          <w:b w:val="0"/>
          <w:bCs/>
        </w:rPr>
        <w:t xml:space="preserve"> allows existing administrative processes </w:t>
      </w:r>
      <w:r w:rsidR="00FF0D64" w:rsidRPr="0015202B">
        <w:rPr>
          <w:b w:val="0"/>
          <w:bCs/>
        </w:rPr>
        <w:t>established</w:t>
      </w:r>
      <w:r w:rsidR="00FF0D64">
        <w:rPr>
          <w:b w:val="0"/>
          <w:bCs/>
        </w:rPr>
        <w:t xml:space="preserve"> by</w:t>
      </w:r>
      <w:r w:rsidR="00FF0D64" w:rsidRPr="0015202B">
        <w:rPr>
          <w:b w:val="0"/>
          <w:bCs/>
        </w:rPr>
        <w:t xml:space="preserve"> </w:t>
      </w:r>
      <w:r w:rsidRPr="00A901B4">
        <w:rPr>
          <w:b w:val="0"/>
          <w:bCs/>
        </w:rPr>
        <w:t xml:space="preserve">the ACNC to continue to apply. </w:t>
      </w:r>
    </w:p>
    <w:p w14:paraId="25A13093" w14:textId="2EED61D0" w:rsidR="005D6548" w:rsidRPr="00BE56E8" w:rsidRDefault="005F685D" w:rsidP="00A901B4">
      <w:pPr>
        <w:pStyle w:val="base-text-paragraph"/>
        <w:ind w:left="0"/>
      </w:pPr>
      <w:r>
        <w:t xml:space="preserve">The Regulations also ensure that </w:t>
      </w:r>
      <w:r w:rsidR="00BE56E8">
        <w:t>the exemption operates in relation to</w:t>
      </w:r>
      <w:r w:rsidR="00B70461">
        <w:t xml:space="preserve"> previous</w:t>
      </w:r>
      <w:r w:rsidR="00BE56E8">
        <w:t xml:space="preserve"> financial years spanning 2015-16 up until 2023-24, allowing </w:t>
      </w:r>
      <w:r w:rsidR="00814117" w:rsidRPr="00BE56E8">
        <w:t>the Commissioner to</w:t>
      </w:r>
      <w:r w:rsidR="00086EDB">
        <w:t xml:space="preserve"> continue to</w:t>
      </w:r>
      <w:r w:rsidR="00814117" w:rsidRPr="00BE56E8">
        <w:t xml:space="preserve"> share financial reporting information for the purposes of the ACNC Act for earlier </w:t>
      </w:r>
      <w:r w:rsidR="00D05F62">
        <w:rPr>
          <w:szCs w:val="24"/>
        </w:rPr>
        <w:t>years.</w:t>
      </w:r>
    </w:p>
    <w:p w14:paraId="3FE952FC" w14:textId="07355F99" w:rsidR="00B228B2" w:rsidRDefault="00B228B2" w:rsidP="00B228B2">
      <w:pPr>
        <w:pStyle w:val="Heading3"/>
      </w:pPr>
      <w:r w:rsidRPr="003C5719">
        <w:t>Human rights implications</w:t>
      </w:r>
      <w:r>
        <w:t xml:space="preserve"> </w:t>
      </w:r>
    </w:p>
    <w:p w14:paraId="7521527A" w14:textId="77777777" w:rsidR="00B228B2" w:rsidRPr="003C5719" w:rsidRDefault="00B228B2" w:rsidP="00B228B2">
      <w:pPr>
        <w:spacing w:before="200"/>
      </w:pPr>
      <w:r>
        <w:t xml:space="preserve">This Legislative Instrument does not engage any of the applicable rights or freedoms. </w:t>
      </w:r>
    </w:p>
    <w:p w14:paraId="1A6616B9" w14:textId="77777777" w:rsidR="00B228B2" w:rsidRDefault="00B228B2" w:rsidP="00B228B2">
      <w:pPr>
        <w:pStyle w:val="Heading3"/>
      </w:pPr>
      <w:r w:rsidRPr="003C5719">
        <w:t>Conclusion</w:t>
      </w:r>
      <w:r>
        <w:t xml:space="preserve"> </w:t>
      </w:r>
    </w:p>
    <w:p w14:paraId="654D7D72" w14:textId="38BC90AC" w:rsidR="00B228B2" w:rsidRDefault="00B228B2" w:rsidP="00277CB5">
      <w:pPr>
        <w:spacing w:before="200"/>
      </w:pPr>
      <w:r>
        <w:t xml:space="preserve">This Legislative Instrument is compatible with human rights as it does not raise any human rights issues. </w:t>
      </w:r>
    </w:p>
    <w:p w14:paraId="7BE72E06" w14:textId="387BB212" w:rsidR="00E37FF7" w:rsidRPr="00C84FA0" w:rsidRDefault="00E37FF7" w:rsidP="004A27A8">
      <w:pPr>
        <w:spacing w:before="240"/>
      </w:pPr>
    </w:p>
    <w:sectPr w:rsidR="00E37FF7" w:rsidRPr="00C84FA0" w:rsidSect="004A27A8">
      <w:footerReference w:type="default" r:id="rId11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6CEE" w14:textId="77777777" w:rsidR="00185222" w:rsidRDefault="00185222" w:rsidP="00954679">
      <w:pPr>
        <w:spacing w:before="0" w:after="0"/>
      </w:pPr>
      <w:r>
        <w:separator/>
      </w:r>
    </w:p>
  </w:endnote>
  <w:endnote w:type="continuationSeparator" w:id="0">
    <w:p w14:paraId="512DD76F" w14:textId="77777777" w:rsidR="00185222" w:rsidRDefault="00185222" w:rsidP="00954679">
      <w:pPr>
        <w:spacing w:before="0" w:after="0"/>
      </w:pPr>
      <w:r>
        <w:continuationSeparator/>
      </w:r>
    </w:p>
  </w:endnote>
  <w:endnote w:type="continuationNotice" w:id="1">
    <w:p w14:paraId="5581FA0E" w14:textId="77777777" w:rsidR="00185222" w:rsidRDefault="001852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4441C04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3BB" w14:textId="77777777" w:rsidR="00185222" w:rsidRDefault="00185222" w:rsidP="00954679">
      <w:pPr>
        <w:spacing w:before="0" w:after="0"/>
      </w:pPr>
      <w:r>
        <w:separator/>
      </w:r>
    </w:p>
  </w:footnote>
  <w:footnote w:type="continuationSeparator" w:id="0">
    <w:p w14:paraId="07531134" w14:textId="77777777" w:rsidR="00185222" w:rsidRDefault="00185222" w:rsidP="00954679">
      <w:pPr>
        <w:spacing w:before="0" w:after="0"/>
      </w:pPr>
      <w:r>
        <w:continuationSeparator/>
      </w:r>
    </w:p>
  </w:footnote>
  <w:footnote w:type="continuationNotice" w:id="1">
    <w:p w14:paraId="3E9BAB9B" w14:textId="77777777" w:rsidR="00185222" w:rsidRDefault="0018522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7"/>
    <w:rsid w:val="00001070"/>
    <w:rsid w:val="000026BE"/>
    <w:rsid w:val="00003189"/>
    <w:rsid w:val="000057B0"/>
    <w:rsid w:val="00005B51"/>
    <w:rsid w:val="0000628C"/>
    <w:rsid w:val="000071E4"/>
    <w:rsid w:val="00010A66"/>
    <w:rsid w:val="00011EAC"/>
    <w:rsid w:val="00013390"/>
    <w:rsid w:val="00016EA2"/>
    <w:rsid w:val="00024F6A"/>
    <w:rsid w:val="0002546A"/>
    <w:rsid w:val="00031AE1"/>
    <w:rsid w:val="00041C87"/>
    <w:rsid w:val="000455BA"/>
    <w:rsid w:val="00045F9D"/>
    <w:rsid w:val="00050D38"/>
    <w:rsid w:val="00051648"/>
    <w:rsid w:val="000524A9"/>
    <w:rsid w:val="0005316A"/>
    <w:rsid w:val="000547DB"/>
    <w:rsid w:val="000602CA"/>
    <w:rsid w:val="00065C37"/>
    <w:rsid w:val="00075A77"/>
    <w:rsid w:val="00076178"/>
    <w:rsid w:val="00076E15"/>
    <w:rsid w:val="00076FF9"/>
    <w:rsid w:val="00080673"/>
    <w:rsid w:val="000854E0"/>
    <w:rsid w:val="00086EDB"/>
    <w:rsid w:val="0008741E"/>
    <w:rsid w:val="00095211"/>
    <w:rsid w:val="000A69C5"/>
    <w:rsid w:val="000A75FA"/>
    <w:rsid w:val="000B10D0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D6E03"/>
    <w:rsid w:val="000D7898"/>
    <w:rsid w:val="000E32E3"/>
    <w:rsid w:val="000E7008"/>
    <w:rsid w:val="000F1F12"/>
    <w:rsid w:val="000F2354"/>
    <w:rsid w:val="000F2C22"/>
    <w:rsid w:val="000F3A05"/>
    <w:rsid w:val="000F49EC"/>
    <w:rsid w:val="000F53D9"/>
    <w:rsid w:val="000F7B7F"/>
    <w:rsid w:val="001012C2"/>
    <w:rsid w:val="001020BD"/>
    <w:rsid w:val="00111B31"/>
    <w:rsid w:val="00113B45"/>
    <w:rsid w:val="00114003"/>
    <w:rsid w:val="0011527C"/>
    <w:rsid w:val="00117C02"/>
    <w:rsid w:val="0012087E"/>
    <w:rsid w:val="00124966"/>
    <w:rsid w:val="001276B4"/>
    <w:rsid w:val="001319C8"/>
    <w:rsid w:val="001331B7"/>
    <w:rsid w:val="00133D7A"/>
    <w:rsid w:val="00142BCF"/>
    <w:rsid w:val="0014608E"/>
    <w:rsid w:val="001555B3"/>
    <w:rsid w:val="0016081F"/>
    <w:rsid w:val="0016660C"/>
    <w:rsid w:val="00167493"/>
    <w:rsid w:val="00170D4B"/>
    <w:rsid w:val="00171261"/>
    <w:rsid w:val="00172B5A"/>
    <w:rsid w:val="00180DCD"/>
    <w:rsid w:val="001849DA"/>
    <w:rsid w:val="00185222"/>
    <w:rsid w:val="00187857"/>
    <w:rsid w:val="00190309"/>
    <w:rsid w:val="00195A29"/>
    <w:rsid w:val="001962A7"/>
    <w:rsid w:val="001A6506"/>
    <w:rsid w:val="001B4919"/>
    <w:rsid w:val="001B504A"/>
    <w:rsid w:val="001B7535"/>
    <w:rsid w:val="001B78E6"/>
    <w:rsid w:val="001B7EC2"/>
    <w:rsid w:val="001C0477"/>
    <w:rsid w:val="001C0C0E"/>
    <w:rsid w:val="001C3A27"/>
    <w:rsid w:val="001D2555"/>
    <w:rsid w:val="001D4D31"/>
    <w:rsid w:val="001D69C0"/>
    <w:rsid w:val="001E1860"/>
    <w:rsid w:val="001E6A74"/>
    <w:rsid w:val="001F343D"/>
    <w:rsid w:val="001F41D0"/>
    <w:rsid w:val="001F462C"/>
    <w:rsid w:val="001F5027"/>
    <w:rsid w:val="001F6D59"/>
    <w:rsid w:val="0020596F"/>
    <w:rsid w:val="00206061"/>
    <w:rsid w:val="00215EA3"/>
    <w:rsid w:val="00220F16"/>
    <w:rsid w:val="00221082"/>
    <w:rsid w:val="0022550C"/>
    <w:rsid w:val="00231837"/>
    <w:rsid w:val="00233976"/>
    <w:rsid w:val="002349A0"/>
    <w:rsid w:val="00240D31"/>
    <w:rsid w:val="0024245F"/>
    <w:rsid w:val="002439CC"/>
    <w:rsid w:val="002449CD"/>
    <w:rsid w:val="00254C5B"/>
    <w:rsid w:val="00261C7F"/>
    <w:rsid w:val="00264E65"/>
    <w:rsid w:val="0027118E"/>
    <w:rsid w:val="002713DD"/>
    <w:rsid w:val="002725F4"/>
    <w:rsid w:val="002771E5"/>
    <w:rsid w:val="00277840"/>
    <w:rsid w:val="00277CB5"/>
    <w:rsid w:val="0028353A"/>
    <w:rsid w:val="00287C5A"/>
    <w:rsid w:val="0029159B"/>
    <w:rsid w:val="002932CA"/>
    <w:rsid w:val="00293839"/>
    <w:rsid w:val="00294C3A"/>
    <w:rsid w:val="00296957"/>
    <w:rsid w:val="002A1236"/>
    <w:rsid w:val="002A3C80"/>
    <w:rsid w:val="002A488D"/>
    <w:rsid w:val="002A6DA4"/>
    <w:rsid w:val="002A7B74"/>
    <w:rsid w:val="002A7E1F"/>
    <w:rsid w:val="002B1B3F"/>
    <w:rsid w:val="002B3B2F"/>
    <w:rsid w:val="002C0792"/>
    <w:rsid w:val="002C0A5A"/>
    <w:rsid w:val="002C226C"/>
    <w:rsid w:val="002C3EE2"/>
    <w:rsid w:val="002C7A8B"/>
    <w:rsid w:val="002D4B55"/>
    <w:rsid w:val="002E73BB"/>
    <w:rsid w:val="002F022D"/>
    <w:rsid w:val="002F6BB1"/>
    <w:rsid w:val="002F7A55"/>
    <w:rsid w:val="003013FE"/>
    <w:rsid w:val="003037F8"/>
    <w:rsid w:val="003041FA"/>
    <w:rsid w:val="00312A68"/>
    <w:rsid w:val="00312EC6"/>
    <w:rsid w:val="003139BC"/>
    <w:rsid w:val="003157F6"/>
    <w:rsid w:val="00321397"/>
    <w:rsid w:val="00325B83"/>
    <w:rsid w:val="003342CD"/>
    <w:rsid w:val="0033477F"/>
    <w:rsid w:val="00335042"/>
    <w:rsid w:val="00341035"/>
    <w:rsid w:val="00341642"/>
    <w:rsid w:val="00342D97"/>
    <w:rsid w:val="0034527B"/>
    <w:rsid w:val="00345DBE"/>
    <w:rsid w:val="00352716"/>
    <w:rsid w:val="00355872"/>
    <w:rsid w:val="00357733"/>
    <w:rsid w:val="00360C0A"/>
    <w:rsid w:val="00362B70"/>
    <w:rsid w:val="00363AC0"/>
    <w:rsid w:val="00364DEE"/>
    <w:rsid w:val="0036533E"/>
    <w:rsid w:val="00370395"/>
    <w:rsid w:val="0037180D"/>
    <w:rsid w:val="00373853"/>
    <w:rsid w:val="00392BBA"/>
    <w:rsid w:val="00392C0C"/>
    <w:rsid w:val="003954FD"/>
    <w:rsid w:val="003A24D5"/>
    <w:rsid w:val="003A2A43"/>
    <w:rsid w:val="003B1265"/>
    <w:rsid w:val="003B19DD"/>
    <w:rsid w:val="003B31F4"/>
    <w:rsid w:val="003B4356"/>
    <w:rsid w:val="003C445C"/>
    <w:rsid w:val="003C5644"/>
    <w:rsid w:val="003C5719"/>
    <w:rsid w:val="003C7907"/>
    <w:rsid w:val="003C7B82"/>
    <w:rsid w:val="003D0B99"/>
    <w:rsid w:val="003D392B"/>
    <w:rsid w:val="003D60D7"/>
    <w:rsid w:val="003D620E"/>
    <w:rsid w:val="003E0411"/>
    <w:rsid w:val="003E0E6F"/>
    <w:rsid w:val="003E150F"/>
    <w:rsid w:val="003E1C8F"/>
    <w:rsid w:val="003E1CE3"/>
    <w:rsid w:val="003E4E32"/>
    <w:rsid w:val="003E77BC"/>
    <w:rsid w:val="003F0093"/>
    <w:rsid w:val="003F17A4"/>
    <w:rsid w:val="003F3B86"/>
    <w:rsid w:val="003F7616"/>
    <w:rsid w:val="004000AE"/>
    <w:rsid w:val="004020FE"/>
    <w:rsid w:val="004049A9"/>
    <w:rsid w:val="00404B78"/>
    <w:rsid w:val="0040607A"/>
    <w:rsid w:val="00412BB6"/>
    <w:rsid w:val="004139FD"/>
    <w:rsid w:val="00420DF4"/>
    <w:rsid w:val="004219A2"/>
    <w:rsid w:val="00436952"/>
    <w:rsid w:val="00437722"/>
    <w:rsid w:val="00442E5B"/>
    <w:rsid w:val="00445784"/>
    <w:rsid w:val="00451473"/>
    <w:rsid w:val="00454E2D"/>
    <w:rsid w:val="004577E7"/>
    <w:rsid w:val="00462095"/>
    <w:rsid w:val="00463F68"/>
    <w:rsid w:val="00464356"/>
    <w:rsid w:val="00466731"/>
    <w:rsid w:val="00466DD5"/>
    <w:rsid w:val="00467E83"/>
    <w:rsid w:val="0047265F"/>
    <w:rsid w:val="00472F9E"/>
    <w:rsid w:val="00473B71"/>
    <w:rsid w:val="004755FE"/>
    <w:rsid w:val="00482B81"/>
    <w:rsid w:val="00482D4C"/>
    <w:rsid w:val="00483475"/>
    <w:rsid w:val="004838E4"/>
    <w:rsid w:val="0048463A"/>
    <w:rsid w:val="00486DDD"/>
    <w:rsid w:val="004921FE"/>
    <w:rsid w:val="00492BF6"/>
    <w:rsid w:val="00495693"/>
    <w:rsid w:val="004A10CE"/>
    <w:rsid w:val="004A1638"/>
    <w:rsid w:val="004A27A8"/>
    <w:rsid w:val="004A2A54"/>
    <w:rsid w:val="004A3018"/>
    <w:rsid w:val="004A4499"/>
    <w:rsid w:val="004B05E5"/>
    <w:rsid w:val="004B3C0F"/>
    <w:rsid w:val="004B40DC"/>
    <w:rsid w:val="004B4A3C"/>
    <w:rsid w:val="004C05E4"/>
    <w:rsid w:val="004C1C9D"/>
    <w:rsid w:val="004C28DF"/>
    <w:rsid w:val="004C7CD9"/>
    <w:rsid w:val="004D4AE5"/>
    <w:rsid w:val="004E1293"/>
    <w:rsid w:val="004E2EE7"/>
    <w:rsid w:val="004E3590"/>
    <w:rsid w:val="004E39E1"/>
    <w:rsid w:val="004F00BA"/>
    <w:rsid w:val="004F011F"/>
    <w:rsid w:val="004F03F4"/>
    <w:rsid w:val="004F4C00"/>
    <w:rsid w:val="004F56D0"/>
    <w:rsid w:val="0050030F"/>
    <w:rsid w:val="0050235E"/>
    <w:rsid w:val="00503A99"/>
    <w:rsid w:val="00503E44"/>
    <w:rsid w:val="005046CF"/>
    <w:rsid w:val="0050777E"/>
    <w:rsid w:val="0051394A"/>
    <w:rsid w:val="00513FE8"/>
    <w:rsid w:val="0051429B"/>
    <w:rsid w:val="00515283"/>
    <w:rsid w:val="005227CE"/>
    <w:rsid w:val="005231C5"/>
    <w:rsid w:val="005276DC"/>
    <w:rsid w:val="0053126B"/>
    <w:rsid w:val="00533926"/>
    <w:rsid w:val="00533A38"/>
    <w:rsid w:val="00537FB7"/>
    <w:rsid w:val="005411D1"/>
    <w:rsid w:val="00542873"/>
    <w:rsid w:val="00554100"/>
    <w:rsid w:val="0055675D"/>
    <w:rsid w:val="005573C4"/>
    <w:rsid w:val="00566E8F"/>
    <w:rsid w:val="005709DE"/>
    <w:rsid w:val="00570BCB"/>
    <w:rsid w:val="00570F20"/>
    <w:rsid w:val="005726BA"/>
    <w:rsid w:val="00572BC4"/>
    <w:rsid w:val="00573FFC"/>
    <w:rsid w:val="0057422E"/>
    <w:rsid w:val="0057695B"/>
    <w:rsid w:val="00580522"/>
    <w:rsid w:val="0058054B"/>
    <w:rsid w:val="005833BE"/>
    <w:rsid w:val="005858FB"/>
    <w:rsid w:val="00590C87"/>
    <w:rsid w:val="0059302A"/>
    <w:rsid w:val="005A0BDF"/>
    <w:rsid w:val="005A2572"/>
    <w:rsid w:val="005B3AF1"/>
    <w:rsid w:val="005C032C"/>
    <w:rsid w:val="005C73D6"/>
    <w:rsid w:val="005D2168"/>
    <w:rsid w:val="005D6548"/>
    <w:rsid w:val="005D7D5A"/>
    <w:rsid w:val="005D7E35"/>
    <w:rsid w:val="005E4792"/>
    <w:rsid w:val="005E4BAC"/>
    <w:rsid w:val="005E580A"/>
    <w:rsid w:val="005F0ABE"/>
    <w:rsid w:val="005F1BC2"/>
    <w:rsid w:val="005F685D"/>
    <w:rsid w:val="0060130D"/>
    <w:rsid w:val="00605599"/>
    <w:rsid w:val="00605FAF"/>
    <w:rsid w:val="00606671"/>
    <w:rsid w:val="006100E5"/>
    <w:rsid w:val="00612329"/>
    <w:rsid w:val="006137A6"/>
    <w:rsid w:val="00613B16"/>
    <w:rsid w:val="00613D47"/>
    <w:rsid w:val="006153E0"/>
    <w:rsid w:val="00615574"/>
    <w:rsid w:val="00620A09"/>
    <w:rsid w:val="00623F9C"/>
    <w:rsid w:val="006243C6"/>
    <w:rsid w:val="00630893"/>
    <w:rsid w:val="0064129F"/>
    <w:rsid w:val="00641A94"/>
    <w:rsid w:val="0064309D"/>
    <w:rsid w:val="00647BB7"/>
    <w:rsid w:val="00650056"/>
    <w:rsid w:val="00651D7B"/>
    <w:rsid w:val="00655890"/>
    <w:rsid w:val="00660F56"/>
    <w:rsid w:val="00665DAC"/>
    <w:rsid w:val="00670806"/>
    <w:rsid w:val="006711DF"/>
    <w:rsid w:val="00676286"/>
    <w:rsid w:val="00680297"/>
    <w:rsid w:val="0068046D"/>
    <w:rsid w:val="00680871"/>
    <w:rsid w:val="00683956"/>
    <w:rsid w:val="00686003"/>
    <w:rsid w:val="006873CE"/>
    <w:rsid w:val="0069205F"/>
    <w:rsid w:val="006923BD"/>
    <w:rsid w:val="0069293E"/>
    <w:rsid w:val="006A0786"/>
    <w:rsid w:val="006A11D6"/>
    <w:rsid w:val="006B520A"/>
    <w:rsid w:val="006B523A"/>
    <w:rsid w:val="006B5E17"/>
    <w:rsid w:val="006C170A"/>
    <w:rsid w:val="006C1F94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4472"/>
    <w:rsid w:val="006E6321"/>
    <w:rsid w:val="006E73A9"/>
    <w:rsid w:val="006F06C1"/>
    <w:rsid w:val="006F4F21"/>
    <w:rsid w:val="006F67DD"/>
    <w:rsid w:val="006F683C"/>
    <w:rsid w:val="006F6C2A"/>
    <w:rsid w:val="006F6E71"/>
    <w:rsid w:val="006F74AB"/>
    <w:rsid w:val="00700A12"/>
    <w:rsid w:val="0070169C"/>
    <w:rsid w:val="00701F57"/>
    <w:rsid w:val="00704CCA"/>
    <w:rsid w:val="0070506E"/>
    <w:rsid w:val="00705171"/>
    <w:rsid w:val="007053B0"/>
    <w:rsid w:val="00706011"/>
    <w:rsid w:val="00710E94"/>
    <w:rsid w:val="00714BF3"/>
    <w:rsid w:val="00717852"/>
    <w:rsid w:val="00720D64"/>
    <w:rsid w:val="00721BD5"/>
    <w:rsid w:val="007224D1"/>
    <w:rsid w:val="00726F31"/>
    <w:rsid w:val="00727D8A"/>
    <w:rsid w:val="00730DA8"/>
    <w:rsid w:val="00731FEA"/>
    <w:rsid w:val="007323F4"/>
    <w:rsid w:val="00735921"/>
    <w:rsid w:val="0073599B"/>
    <w:rsid w:val="00736020"/>
    <w:rsid w:val="00736F61"/>
    <w:rsid w:val="0074185E"/>
    <w:rsid w:val="00742253"/>
    <w:rsid w:val="007436F0"/>
    <w:rsid w:val="0074422A"/>
    <w:rsid w:val="00744DE3"/>
    <w:rsid w:val="0074510D"/>
    <w:rsid w:val="0074728E"/>
    <w:rsid w:val="0075696C"/>
    <w:rsid w:val="00757B95"/>
    <w:rsid w:val="007662C7"/>
    <w:rsid w:val="00772FAF"/>
    <w:rsid w:val="00776306"/>
    <w:rsid w:val="007807D1"/>
    <w:rsid w:val="0078143F"/>
    <w:rsid w:val="007816E2"/>
    <w:rsid w:val="00787823"/>
    <w:rsid w:val="00791979"/>
    <w:rsid w:val="007945EE"/>
    <w:rsid w:val="007A1887"/>
    <w:rsid w:val="007A33F8"/>
    <w:rsid w:val="007A4400"/>
    <w:rsid w:val="007A44DB"/>
    <w:rsid w:val="007A55A7"/>
    <w:rsid w:val="007A57BC"/>
    <w:rsid w:val="007B1F10"/>
    <w:rsid w:val="007B2143"/>
    <w:rsid w:val="007B335E"/>
    <w:rsid w:val="007B4A9D"/>
    <w:rsid w:val="007C137D"/>
    <w:rsid w:val="007C7D64"/>
    <w:rsid w:val="007D5A2C"/>
    <w:rsid w:val="007D627D"/>
    <w:rsid w:val="007D6771"/>
    <w:rsid w:val="007D6F5F"/>
    <w:rsid w:val="007E018D"/>
    <w:rsid w:val="007E6A45"/>
    <w:rsid w:val="007E6F04"/>
    <w:rsid w:val="007E733E"/>
    <w:rsid w:val="007F1B71"/>
    <w:rsid w:val="0080320B"/>
    <w:rsid w:val="00807E7D"/>
    <w:rsid w:val="00811E99"/>
    <w:rsid w:val="00812578"/>
    <w:rsid w:val="00814117"/>
    <w:rsid w:val="008145BA"/>
    <w:rsid w:val="00816A44"/>
    <w:rsid w:val="008249BE"/>
    <w:rsid w:val="00831675"/>
    <w:rsid w:val="00833654"/>
    <w:rsid w:val="008337AF"/>
    <w:rsid w:val="00837423"/>
    <w:rsid w:val="008404AD"/>
    <w:rsid w:val="00844849"/>
    <w:rsid w:val="00844892"/>
    <w:rsid w:val="00845A80"/>
    <w:rsid w:val="008552D6"/>
    <w:rsid w:val="00855DA3"/>
    <w:rsid w:val="008561B5"/>
    <w:rsid w:val="00860B2C"/>
    <w:rsid w:val="00860BB5"/>
    <w:rsid w:val="00862443"/>
    <w:rsid w:val="00872297"/>
    <w:rsid w:val="00877071"/>
    <w:rsid w:val="008779B4"/>
    <w:rsid w:val="00877A2F"/>
    <w:rsid w:val="00880ECD"/>
    <w:rsid w:val="0088138D"/>
    <w:rsid w:val="00883863"/>
    <w:rsid w:val="00884414"/>
    <w:rsid w:val="0088467C"/>
    <w:rsid w:val="008853B9"/>
    <w:rsid w:val="00885AA3"/>
    <w:rsid w:val="00891F21"/>
    <w:rsid w:val="00892D3B"/>
    <w:rsid w:val="00894579"/>
    <w:rsid w:val="008A2BDB"/>
    <w:rsid w:val="008A5B67"/>
    <w:rsid w:val="008A5CCD"/>
    <w:rsid w:val="008A69E7"/>
    <w:rsid w:val="008A6A6D"/>
    <w:rsid w:val="008B29E7"/>
    <w:rsid w:val="008B2C4E"/>
    <w:rsid w:val="008B30DF"/>
    <w:rsid w:val="008B33DF"/>
    <w:rsid w:val="008B5C0B"/>
    <w:rsid w:val="008B7588"/>
    <w:rsid w:val="008B7CCA"/>
    <w:rsid w:val="008C2216"/>
    <w:rsid w:val="008C42A0"/>
    <w:rsid w:val="008D07E2"/>
    <w:rsid w:val="008D1040"/>
    <w:rsid w:val="008D16F7"/>
    <w:rsid w:val="008D40FA"/>
    <w:rsid w:val="008D4835"/>
    <w:rsid w:val="008E1427"/>
    <w:rsid w:val="008E519D"/>
    <w:rsid w:val="008E52C7"/>
    <w:rsid w:val="008E5A1D"/>
    <w:rsid w:val="008F0C50"/>
    <w:rsid w:val="008F2529"/>
    <w:rsid w:val="008F778A"/>
    <w:rsid w:val="008F7FBB"/>
    <w:rsid w:val="00902ED6"/>
    <w:rsid w:val="0090320B"/>
    <w:rsid w:val="009036D3"/>
    <w:rsid w:val="00906037"/>
    <w:rsid w:val="009123E9"/>
    <w:rsid w:val="0091280A"/>
    <w:rsid w:val="009143A0"/>
    <w:rsid w:val="009216CE"/>
    <w:rsid w:val="00921B5A"/>
    <w:rsid w:val="00922B6D"/>
    <w:rsid w:val="00925124"/>
    <w:rsid w:val="00925635"/>
    <w:rsid w:val="00927C59"/>
    <w:rsid w:val="00931881"/>
    <w:rsid w:val="0093421F"/>
    <w:rsid w:val="00936902"/>
    <w:rsid w:val="009404E3"/>
    <w:rsid w:val="00942170"/>
    <w:rsid w:val="009441BB"/>
    <w:rsid w:val="0094486D"/>
    <w:rsid w:val="009502CB"/>
    <w:rsid w:val="00950E58"/>
    <w:rsid w:val="00952DF0"/>
    <w:rsid w:val="00954679"/>
    <w:rsid w:val="009552FE"/>
    <w:rsid w:val="00955673"/>
    <w:rsid w:val="009562E9"/>
    <w:rsid w:val="00961DB2"/>
    <w:rsid w:val="009655DA"/>
    <w:rsid w:val="00965BBC"/>
    <w:rsid w:val="009673D0"/>
    <w:rsid w:val="00972823"/>
    <w:rsid w:val="00973443"/>
    <w:rsid w:val="00974996"/>
    <w:rsid w:val="00980250"/>
    <w:rsid w:val="00985D2C"/>
    <w:rsid w:val="0098737D"/>
    <w:rsid w:val="00990BE6"/>
    <w:rsid w:val="00991B0D"/>
    <w:rsid w:val="009946E1"/>
    <w:rsid w:val="009A1791"/>
    <w:rsid w:val="009A2167"/>
    <w:rsid w:val="009A49F0"/>
    <w:rsid w:val="009A5307"/>
    <w:rsid w:val="009B178D"/>
    <w:rsid w:val="009B3B4F"/>
    <w:rsid w:val="009B7A38"/>
    <w:rsid w:val="009C0051"/>
    <w:rsid w:val="009C0175"/>
    <w:rsid w:val="009C6A1E"/>
    <w:rsid w:val="009D2F0C"/>
    <w:rsid w:val="009D3CB6"/>
    <w:rsid w:val="009D4065"/>
    <w:rsid w:val="009D477C"/>
    <w:rsid w:val="009D6865"/>
    <w:rsid w:val="009E27A5"/>
    <w:rsid w:val="009E2F86"/>
    <w:rsid w:val="009E6719"/>
    <w:rsid w:val="009F3283"/>
    <w:rsid w:val="00A12209"/>
    <w:rsid w:val="00A246A6"/>
    <w:rsid w:val="00A263B5"/>
    <w:rsid w:val="00A27DC6"/>
    <w:rsid w:val="00A31484"/>
    <w:rsid w:val="00A31681"/>
    <w:rsid w:val="00A34CA4"/>
    <w:rsid w:val="00A36DF3"/>
    <w:rsid w:val="00A4441D"/>
    <w:rsid w:val="00A46DBE"/>
    <w:rsid w:val="00A50479"/>
    <w:rsid w:val="00A52A88"/>
    <w:rsid w:val="00A532DD"/>
    <w:rsid w:val="00A5522E"/>
    <w:rsid w:val="00A55B52"/>
    <w:rsid w:val="00A63AB4"/>
    <w:rsid w:val="00A649B6"/>
    <w:rsid w:val="00A6523D"/>
    <w:rsid w:val="00A72D16"/>
    <w:rsid w:val="00A7339E"/>
    <w:rsid w:val="00A74339"/>
    <w:rsid w:val="00A74B90"/>
    <w:rsid w:val="00A760F0"/>
    <w:rsid w:val="00A80BCF"/>
    <w:rsid w:val="00A80DA3"/>
    <w:rsid w:val="00A825D1"/>
    <w:rsid w:val="00A8369C"/>
    <w:rsid w:val="00A86579"/>
    <w:rsid w:val="00A87E68"/>
    <w:rsid w:val="00A901B4"/>
    <w:rsid w:val="00A90212"/>
    <w:rsid w:val="00A90CC4"/>
    <w:rsid w:val="00A9401D"/>
    <w:rsid w:val="00AA1689"/>
    <w:rsid w:val="00AA496F"/>
    <w:rsid w:val="00AA5770"/>
    <w:rsid w:val="00AA70DB"/>
    <w:rsid w:val="00AA7998"/>
    <w:rsid w:val="00AB204D"/>
    <w:rsid w:val="00AB2E70"/>
    <w:rsid w:val="00AB33C1"/>
    <w:rsid w:val="00AB3E03"/>
    <w:rsid w:val="00AB693D"/>
    <w:rsid w:val="00AC1D15"/>
    <w:rsid w:val="00AC2C5C"/>
    <w:rsid w:val="00AC370F"/>
    <w:rsid w:val="00AD44C6"/>
    <w:rsid w:val="00AD6FB5"/>
    <w:rsid w:val="00AE289F"/>
    <w:rsid w:val="00AE2CAB"/>
    <w:rsid w:val="00AE3028"/>
    <w:rsid w:val="00AE460D"/>
    <w:rsid w:val="00AE7F82"/>
    <w:rsid w:val="00AF2126"/>
    <w:rsid w:val="00AF7AEF"/>
    <w:rsid w:val="00B07B0C"/>
    <w:rsid w:val="00B120F9"/>
    <w:rsid w:val="00B13A21"/>
    <w:rsid w:val="00B17526"/>
    <w:rsid w:val="00B22061"/>
    <w:rsid w:val="00B228B2"/>
    <w:rsid w:val="00B23CDB"/>
    <w:rsid w:val="00B25563"/>
    <w:rsid w:val="00B26D48"/>
    <w:rsid w:val="00B2789F"/>
    <w:rsid w:val="00B33CF0"/>
    <w:rsid w:val="00B374DC"/>
    <w:rsid w:val="00B40949"/>
    <w:rsid w:val="00B40D80"/>
    <w:rsid w:val="00B41F7B"/>
    <w:rsid w:val="00B42EE1"/>
    <w:rsid w:val="00B47A59"/>
    <w:rsid w:val="00B51597"/>
    <w:rsid w:val="00B5349B"/>
    <w:rsid w:val="00B5649C"/>
    <w:rsid w:val="00B6615B"/>
    <w:rsid w:val="00B70461"/>
    <w:rsid w:val="00B7138A"/>
    <w:rsid w:val="00B7387B"/>
    <w:rsid w:val="00B73FE3"/>
    <w:rsid w:val="00B8293D"/>
    <w:rsid w:val="00B87A49"/>
    <w:rsid w:val="00B91ECE"/>
    <w:rsid w:val="00B92478"/>
    <w:rsid w:val="00B943FB"/>
    <w:rsid w:val="00B97463"/>
    <w:rsid w:val="00BA13A1"/>
    <w:rsid w:val="00BA25B4"/>
    <w:rsid w:val="00BA4E22"/>
    <w:rsid w:val="00BA6188"/>
    <w:rsid w:val="00BA68E6"/>
    <w:rsid w:val="00BA7414"/>
    <w:rsid w:val="00BB608E"/>
    <w:rsid w:val="00BB7567"/>
    <w:rsid w:val="00BC361A"/>
    <w:rsid w:val="00BC36D1"/>
    <w:rsid w:val="00BC68C2"/>
    <w:rsid w:val="00BD2045"/>
    <w:rsid w:val="00BD3450"/>
    <w:rsid w:val="00BD3D7D"/>
    <w:rsid w:val="00BD49F7"/>
    <w:rsid w:val="00BD61A2"/>
    <w:rsid w:val="00BE484D"/>
    <w:rsid w:val="00BE56E8"/>
    <w:rsid w:val="00BF2596"/>
    <w:rsid w:val="00BF3C36"/>
    <w:rsid w:val="00BF682D"/>
    <w:rsid w:val="00C00B11"/>
    <w:rsid w:val="00C06070"/>
    <w:rsid w:val="00C062C8"/>
    <w:rsid w:val="00C12334"/>
    <w:rsid w:val="00C21248"/>
    <w:rsid w:val="00C24EDE"/>
    <w:rsid w:val="00C30405"/>
    <w:rsid w:val="00C37E05"/>
    <w:rsid w:val="00C4270A"/>
    <w:rsid w:val="00C455C6"/>
    <w:rsid w:val="00C47789"/>
    <w:rsid w:val="00C5201E"/>
    <w:rsid w:val="00C52172"/>
    <w:rsid w:val="00C55D29"/>
    <w:rsid w:val="00C56F2E"/>
    <w:rsid w:val="00C62B3A"/>
    <w:rsid w:val="00C64C85"/>
    <w:rsid w:val="00C656B1"/>
    <w:rsid w:val="00C7296A"/>
    <w:rsid w:val="00C74713"/>
    <w:rsid w:val="00C83DB6"/>
    <w:rsid w:val="00C84FA0"/>
    <w:rsid w:val="00C86F6D"/>
    <w:rsid w:val="00C948D8"/>
    <w:rsid w:val="00CA0BE9"/>
    <w:rsid w:val="00CA1269"/>
    <w:rsid w:val="00CA138D"/>
    <w:rsid w:val="00CA57D9"/>
    <w:rsid w:val="00CA5D67"/>
    <w:rsid w:val="00CB0E97"/>
    <w:rsid w:val="00CB684F"/>
    <w:rsid w:val="00CC1ED1"/>
    <w:rsid w:val="00CC220F"/>
    <w:rsid w:val="00CC2AFE"/>
    <w:rsid w:val="00CC7641"/>
    <w:rsid w:val="00CD1DF8"/>
    <w:rsid w:val="00CD3D52"/>
    <w:rsid w:val="00CD4F3D"/>
    <w:rsid w:val="00CE0B46"/>
    <w:rsid w:val="00CE4EFB"/>
    <w:rsid w:val="00CE7D19"/>
    <w:rsid w:val="00CF0681"/>
    <w:rsid w:val="00CF2515"/>
    <w:rsid w:val="00CF3E79"/>
    <w:rsid w:val="00D05F62"/>
    <w:rsid w:val="00D0640A"/>
    <w:rsid w:val="00D074A2"/>
    <w:rsid w:val="00D13794"/>
    <w:rsid w:val="00D218E7"/>
    <w:rsid w:val="00D220A5"/>
    <w:rsid w:val="00D24052"/>
    <w:rsid w:val="00D24386"/>
    <w:rsid w:val="00D30A25"/>
    <w:rsid w:val="00D31575"/>
    <w:rsid w:val="00D31A89"/>
    <w:rsid w:val="00D34626"/>
    <w:rsid w:val="00D34FB4"/>
    <w:rsid w:val="00D359BA"/>
    <w:rsid w:val="00D35D1A"/>
    <w:rsid w:val="00D37800"/>
    <w:rsid w:val="00D4257A"/>
    <w:rsid w:val="00D456A9"/>
    <w:rsid w:val="00D467BD"/>
    <w:rsid w:val="00D522C4"/>
    <w:rsid w:val="00D52798"/>
    <w:rsid w:val="00D5468A"/>
    <w:rsid w:val="00D61745"/>
    <w:rsid w:val="00D62665"/>
    <w:rsid w:val="00D645AC"/>
    <w:rsid w:val="00D66C71"/>
    <w:rsid w:val="00D66D7C"/>
    <w:rsid w:val="00D70205"/>
    <w:rsid w:val="00D734C8"/>
    <w:rsid w:val="00D735EF"/>
    <w:rsid w:val="00D7609F"/>
    <w:rsid w:val="00D77837"/>
    <w:rsid w:val="00D81039"/>
    <w:rsid w:val="00D81AA7"/>
    <w:rsid w:val="00D82E47"/>
    <w:rsid w:val="00D84A01"/>
    <w:rsid w:val="00D9652E"/>
    <w:rsid w:val="00D970B7"/>
    <w:rsid w:val="00D977EA"/>
    <w:rsid w:val="00DA37E0"/>
    <w:rsid w:val="00DA3E00"/>
    <w:rsid w:val="00DA4626"/>
    <w:rsid w:val="00DA46DD"/>
    <w:rsid w:val="00DB148C"/>
    <w:rsid w:val="00DB162D"/>
    <w:rsid w:val="00DB1A31"/>
    <w:rsid w:val="00DB202E"/>
    <w:rsid w:val="00DB4F78"/>
    <w:rsid w:val="00DB4F9D"/>
    <w:rsid w:val="00DB6CDE"/>
    <w:rsid w:val="00DC027B"/>
    <w:rsid w:val="00DC0CDE"/>
    <w:rsid w:val="00DC13AE"/>
    <w:rsid w:val="00DC1A85"/>
    <w:rsid w:val="00DC2438"/>
    <w:rsid w:val="00DC28E2"/>
    <w:rsid w:val="00DC498E"/>
    <w:rsid w:val="00DC4D72"/>
    <w:rsid w:val="00DC6525"/>
    <w:rsid w:val="00DC6E26"/>
    <w:rsid w:val="00DC7018"/>
    <w:rsid w:val="00DD04EB"/>
    <w:rsid w:val="00DD12B0"/>
    <w:rsid w:val="00DD5610"/>
    <w:rsid w:val="00DF0CB3"/>
    <w:rsid w:val="00DF494C"/>
    <w:rsid w:val="00DF6D0B"/>
    <w:rsid w:val="00DF7E0D"/>
    <w:rsid w:val="00E0624D"/>
    <w:rsid w:val="00E10029"/>
    <w:rsid w:val="00E1429A"/>
    <w:rsid w:val="00E16370"/>
    <w:rsid w:val="00E179D4"/>
    <w:rsid w:val="00E20023"/>
    <w:rsid w:val="00E25844"/>
    <w:rsid w:val="00E311CD"/>
    <w:rsid w:val="00E353A3"/>
    <w:rsid w:val="00E35C9D"/>
    <w:rsid w:val="00E37FF7"/>
    <w:rsid w:val="00E4438C"/>
    <w:rsid w:val="00E457F3"/>
    <w:rsid w:val="00E46AC1"/>
    <w:rsid w:val="00E50663"/>
    <w:rsid w:val="00E53303"/>
    <w:rsid w:val="00E55F9B"/>
    <w:rsid w:val="00E576F5"/>
    <w:rsid w:val="00E57A6A"/>
    <w:rsid w:val="00E73CC1"/>
    <w:rsid w:val="00E74917"/>
    <w:rsid w:val="00E74C93"/>
    <w:rsid w:val="00E81F44"/>
    <w:rsid w:val="00E86357"/>
    <w:rsid w:val="00E87284"/>
    <w:rsid w:val="00E91602"/>
    <w:rsid w:val="00E955A0"/>
    <w:rsid w:val="00E97664"/>
    <w:rsid w:val="00EA4DD8"/>
    <w:rsid w:val="00EA4E32"/>
    <w:rsid w:val="00EA7959"/>
    <w:rsid w:val="00EB1C82"/>
    <w:rsid w:val="00EB2AEF"/>
    <w:rsid w:val="00EB2BED"/>
    <w:rsid w:val="00EB7E71"/>
    <w:rsid w:val="00EC4D08"/>
    <w:rsid w:val="00EC5306"/>
    <w:rsid w:val="00ED123E"/>
    <w:rsid w:val="00ED1F15"/>
    <w:rsid w:val="00ED216B"/>
    <w:rsid w:val="00EE5120"/>
    <w:rsid w:val="00EE7E75"/>
    <w:rsid w:val="00EF2788"/>
    <w:rsid w:val="00EF3103"/>
    <w:rsid w:val="00EF6E9B"/>
    <w:rsid w:val="00EF7714"/>
    <w:rsid w:val="00F023DB"/>
    <w:rsid w:val="00F03C39"/>
    <w:rsid w:val="00F0730B"/>
    <w:rsid w:val="00F109D4"/>
    <w:rsid w:val="00F10A6F"/>
    <w:rsid w:val="00F15EE9"/>
    <w:rsid w:val="00F219C1"/>
    <w:rsid w:val="00F24736"/>
    <w:rsid w:val="00F27344"/>
    <w:rsid w:val="00F31CB8"/>
    <w:rsid w:val="00F343AA"/>
    <w:rsid w:val="00F40451"/>
    <w:rsid w:val="00F40DD0"/>
    <w:rsid w:val="00F4241B"/>
    <w:rsid w:val="00F45152"/>
    <w:rsid w:val="00F46704"/>
    <w:rsid w:val="00F46C17"/>
    <w:rsid w:val="00F47585"/>
    <w:rsid w:val="00F5168D"/>
    <w:rsid w:val="00F6249C"/>
    <w:rsid w:val="00F63EED"/>
    <w:rsid w:val="00F678B8"/>
    <w:rsid w:val="00F7078E"/>
    <w:rsid w:val="00F75BDB"/>
    <w:rsid w:val="00F8069D"/>
    <w:rsid w:val="00F81232"/>
    <w:rsid w:val="00F8291C"/>
    <w:rsid w:val="00F85E6F"/>
    <w:rsid w:val="00F93928"/>
    <w:rsid w:val="00F950E7"/>
    <w:rsid w:val="00F95449"/>
    <w:rsid w:val="00FA182C"/>
    <w:rsid w:val="00FA1942"/>
    <w:rsid w:val="00FA380A"/>
    <w:rsid w:val="00FA4E2D"/>
    <w:rsid w:val="00FB1235"/>
    <w:rsid w:val="00FC1143"/>
    <w:rsid w:val="00FC11A1"/>
    <w:rsid w:val="00FC2CB5"/>
    <w:rsid w:val="00FC38D9"/>
    <w:rsid w:val="00FC3A8F"/>
    <w:rsid w:val="00FC595E"/>
    <w:rsid w:val="00FD18CA"/>
    <w:rsid w:val="00FD19F7"/>
    <w:rsid w:val="00FD7402"/>
    <w:rsid w:val="00FE04E4"/>
    <w:rsid w:val="00FE2DD7"/>
    <w:rsid w:val="00FE3F01"/>
    <w:rsid w:val="00FE507D"/>
    <w:rsid w:val="00FE73F9"/>
    <w:rsid w:val="00FF0D64"/>
    <w:rsid w:val="00FF1057"/>
    <w:rsid w:val="00FF3E25"/>
    <w:rsid w:val="00FF5FD8"/>
    <w:rsid w:val="012C23B1"/>
    <w:rsid w:val="0355545D"/>
    <w:rsid w:val="04470BB2"/>
    <w:rsid w:val="0B98D7FC"/>
    <w:rsid w:val="0C82B263"/>
    <w:rsid w:val="0FDE0E7E"/>
    <w:rsid w:val="137C54B1"/>
    <w:rsid w:val="13CA79E6"/>
    <w:rsid w:val="145F7E53"/>
    <w:rsid w:val="165F153A"/>
    <w:rsid w:val="184D4541"/>
    <w:rsid w:val="18BDC61A"/>
    <w:rsid w:val="1B3299FA"/>
    <w:rsid w:val="1B6F0A88"/>
    <w:rsid w:val="1C5CC347"/>
    <w:rsid w:val="1C61A10E"/>
    <w:rsid w:val="1CEACCA8"/>
    <w:rsid w:val="1DA1DA52"/>
    <w:rsid w:val="1F5285DB"/>
    <w:rsid w:val="2258913B"/>
    <w:rsid w:val="22B9C0E0"/>
    <w:rsid w:val="247E6574"/>
    <w:rsid w:val="24C7C45E"/>
    <w:rsid w:val="25F9DF8D"/>
    <w:rsid w:val="279F73B8"/>
    <w:rsid w:val="285F8D9B"/>
    <w:rsid w:val="29F57EBA"/>
    <w:rsid w:val="2A49DA97"/>
    <w:rsid w:val="2B24C9C1"/>
    <w:rsid w:val="2D53BE52"/>
    <w:rsid w:val="2DBA129F"/>
    <w:rsid w:val="2EC88F38"/>
    <w:rsid w:val="2F5FADC9"/>
    <w:rsid w:val="30CF6F5E"/>
    <w:rsid w:val="3160138F"/>
    <w:rsid w:val="37599C9E"/>
    <w:rsid w:val="3799DA89"/>
    <w:rsid w:val="3A2B28BA"/>
    <w:rsid w:val="3B2737EE"/>
    <w:rsid w:val="3B64E12D"/>
    <w:rsid w:val="3DDAECE1"/>
    <w:rsid w:val="4025EE85"/>
    <w:rsid w:val="402FB311"/>
    <w:rsid w:val="403912D4"/>
    <w:rsid w:val="40E7B768"/>
    <w:rsid w:val="43BA08EB"/>
    <w:rsid w:val="480E65AE"/>
    <w:rsid w:val="4835BFFF"/>
    <w:rsid w:val="4901E47E"/>
    <w:rsid w:val="497A9F4C"/>
    <w:rsid w:val="4ACD99E9"/>
    <w:rsid w:val="4D61C0EB"/>
    <w:rsid w:val="4DACC94A"/>
    <w:rsid w:val="4E34F505"/>
    <w:rsid w:val="513ADA82"/>
    <w:rsid w:val="51415CFF"/>
    <w:rsid w:val="5309E88E"/>
    <w:rsid w:val="5554CF40"/>
    <w:rsid w:val="57050F4E"/>
    <w:rsid w:val="59A4D1A7"/>
    <w:rsid w:val="5A83DE85"/>
    <w:rsid w:val="5BA6E193"/>
    <w:rsid w:val="5C3D6BEA"/>
    <w:rsid w:val="5C3E7CD6"/>
    <w:rsid w:val="5C50AC62"/>
    <w:rsid w:val="5EFFB997"/>
    <w:rsid w:val="5FA4A717"/>
    <w:rsid w:val="60B9A394"/>
    <w:rsid w:val="61D5A716"/>
    <w:rsid w:val="61E831D7"/>
    <w:rsid w:val="61FC4817"/>
    <w:rsid w:val="62C8BA14"/>
    <w:rsid w:val="63A3DBAB"/>
    <w:rsid w:val="664908F8"/>
    <w:rsid w:val="690A5205"/>
    <w:rsid w:val="695B5B91"/>
    <w:rsid w:val="69B57FE1"/>
    <w:rsid w:val="6B67BAAF"/>
    <w:rsid w:val="6E3515C9"/>
    <w:rsid w:val="6E68347A"/>
    <w:rsid w:val="72134B18"/>
    <w:rsid w:val="730D51D7"/>
    <w:rsid w:val="77631174"/>
    <w:rsid w:val="79975B35"/>
    <w:rsid w:val="7A140661"/>
    <w:rsid w:val="7AC1D029"/>
    <w:rsid w:val="7BD7DE67"/>
    <w:rsid w:val="7C16E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E485"/>
  <w15:docId w15:val="{CF55E5E2-5CA5-4851-B26A-BA9C72DD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character" w:customStyle="1" w:styleId="base-text-paragraphChar">
    <w:name w:val="base-text-paragraph Char"/>
    <w:basedOn w:val="DefaultParagraphFont"/>
    <w:link w:val="base-text-paragraph"/>
    <w:locked/>
    <w:rsid w:val="00F950E7"/>
    <w:rPr>
      <w:sz w:val="24"/>
    </w:rPr>
  </w:style>
  <w:style w:type="character" w:customStyle="1" w:styleId="normaltextrun">
    <w:name w:val="normaltextrun"/>
    <w:basedOn w:val="DefaultParagraphFont"/>
    <w:rsid w:val="0053126B"/>
  </w:style>
  <w:style w:type="character" w:customStyle="1" w:styleId="eop">
    <w:name w:val="eop"/>
    <w:basedOn w:val="DefaultParagraphFont"/>
    <w:rsid w:val="0053126B"/>
  </w:style>
  <w:style w:type="character" w:styleId="Mention">
    <w:name w:val="Mention"/>
    <w:basedOn w:val="DefaultParagraphFont"/>
    <w:uiPriority w:val="99"/>
    <w:unhideWhenUsed/>
    <w:rsid w:val="00CA12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C8B6AF2134D0B8ED41990DC4F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9D11-9224-4AB4-9A20-C21D5AAF0FE1}"/>
      </w:docPartPr>
      <w:docPartBody>
        <w:p w:rsidR="001F343D" w:rsidRDefault="001F343D">
          <w:pPr>
            <w:pStyle w:val="5A0C8B6AF2134D0B8ED41990DC4FA05E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80"/>
    <w:rsid w:val="001E7FF4"/>
    <w:rsid w:val="001F343D"/>
    <w:rsid w:val="00281911"/>
    <w:rsid w:val="00352716"/>
    <w:rsid w:val="00463ADC"/>
    <w:rsid w:val="0056000C"/>
    <w:rsid w:val="00801975"/>
    <w:rsid w:val="008E213A"/>
    <w:rsid w:val="00944F9F"/>
    <w:rsid w:val="00954BBB"/>
    <w:rsid w:val="00B325BA"/>
    <w:rsid w:val="00B51597"/>
    <w:rsid w:val="00BF3C36"/>
    <w:rsid w:val="00CC7880"/>
    <w:rsid w:val="00D944C6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0C8B6AF2134D0B8ED41990DC4FA05E">
    <w:name w:val="5A0C8B6AF2134D0B8ED41990DC4FA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41C8FDD-1714-4671-B2C9-D08D6CDD9A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4DA18DFBB56FF4E878AF30961B97CE3" ma:contentTypeVersion="" ma:contentTypeDescription="PDMS Document Site Content Type" ma:contentTypeScope="" ma:versionID="86fa8c47cd226e2eb22ae7cc29182a2a">
  <xsd:schema xmlns:xsd="http://www.w3.org/2001/XMLSchema" xmlns:xs="http://www.w3.org/2001/XMLSchema" xmlns:p="http://schemas.microsoft.com/office/2006/metadata/properties" xmlns:ns2="341C8FDD-1714-4671-B2C9-D08D6CDD9AC1" targetNamespace="http://schemas.microsoft.com/office/2006/metadata/properties" ma:root="true" ma:fieldsID="9d7cae64f6915662548b71bf07cc1f43" ns2:_="">
    <xsd:import namespace="341C8FDD-1714-4671-B2C9-D08D6CDD9AC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8FDD-1714-4671-B2C9-D08D6CDD9AC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341C8FDD-1714-4671-B2C9-D08D6CDD9AC1"/>
  </ds:schemaRefs>
</ds:datastoreItem>
</file>

<file path=customXml/itemProps2.xml><?xml version="1.0" encoding="utf-8"?>
<ds:datastoreItem xmlns:ds="http://schemas.openxmlformats.org/officeDocument/2006/customXml" ds:itemID="{B75AFA43-BBC5-4DB4-A1A7-7E18D9B9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C8FDD-1714-4671-B2C9-D08D6CDD9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5</Pages>
  <Words>1311</Words>
  <Characters>7475</Characters>
  <Application>Microsoft Office Word</Application>
  <DocSecurity>0</DocSecurity>
  <Lines>62</Lines>
  <Paragraphs>17</Paragraphs>
  <ScaleCrop>false</ScaleCrop>
  <Company>Treasury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Goswell, Eva</dc:creator>
  <cp:keywords/>
  <dc:description/>
  <cp:lastModifiedBy>Cuming, Anita</cp:lastModifiedBy>
  <cp:revision>3</cp:revision>
  <cp:lastPrinted>2024-11-28T16:30:00Z</cp:lastPrinted>
  <dcterms:created xsi:type="dcterms:W3CDTF">2025-02-20T02:43:00Z</dcterms:created>
  <dcterms:modified xsi:type="dcterms:W3CDTF">2025-02-20T02:43:00Z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0x010100266966F133664895A6EE3632470D45F500F4DA18DFBB56FF4E878AF30961B97CE3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5c4e6d65-62a4-4c64-a322-1bd0f8a2eda9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87;#Charities|bd0015b9-3540-424a-b9f7-6d1c7eed6dfa</vt:lpwstr>
  </property>
  <property fmtid="{D5CDD505-2E9C-101B-9397-08002B2CF9AE}" pid="13" name="MSIP_Label_4f932d64-9ab1-4d9b-81d2-a3a8b82dd47d_Enabled">
    <vt:lpwstr>true</vt:lpwstr>
  </property>
  <property fmtid="{D5CDD505-2E9C-101B-9397-08002B2CF9AE}" pid="14" name="MSIP_Label_4f932d64-9ab1-4d9b-81d2-a3a8b82dd47d_SetDate">
    <vt:lpwstr>2024-08-27T04:29:20Z</vt:lpwstr>
  </property>
  <property fmtid="{D5CDD505-2E9C-101B-9397-08002B2CF9AE}" pid="15" name="MSIP_Label_4f932d64-9ab1-4d9b-81d2-a3a8b82dd47d_Method">
    <vt:lpwstr>Privileged</vt:lpwstr>
  </property>
  <property fmtid="{D5CDD505-2E9C-101B-9397-08002B2CF9AE}" pid="16" name="MSIP_Label_4f932d64-9ab1-4d9b-81d2-a3a8b82dd47d_Name">
    <vt:lpwstr>OFFICIAL No Visual Marking</vt:lpwstr>
  </property>
  <property fmtid="{D5CDD505-2E9C-101B-9397-08002B2CF9AE}" pid="17" name="MSIP_Label_4f932d64-9ab1-4d9b-81d2-a3a8b82dd47d_SiteId">
    <vt:lpwstr>214f1646-2021-47cc-8397-e3d3a7ba7d9d</vt:lpwstr>
  </property>
  <property fmtid="{D5CDD505-2E9C-101B-9397-08002B2CF9AE}" pid="18" name="MSIP_Label_4f932d64-9ab1-4d9b-81d2-a3a8b82dd47d_ActionId">
    <vt:lpwstr>52709621-0d49-48a8-89fe-0a6f3807d1b5</vt:lpwstr>
  </property>
  <property fmtid="{D5CDD505-2E9C-101B-9397-08002B2CF9AE}" pid="19" name="MSIP_Label_4f932d64-9ab1-4d9b-81d2-a3a8b82dd47d_ContentBits">
    <vt:lpwstr>0</vt:lpwstr>
  </property>
  <property fmtid="{D5CDD505-2E9C-101B-9397-08002B2CF9AE}" pid="20" name="LMDivision">
    <vt:lpwstr/>
  </property>
  <property fmtid="{D5CDD505-2E9C-101B-9397-08002B2CF9AE}" pid="21" name="eActivity">
    <vt:lpwstr>28;#Legislative measures|0d31ce10-0017-4a46-8d2d-ba60058cb6a2</vt:lpwstr>
  </property>
  <property fmtid="{D5CDD505-2E9C-101B-9397-08002B2CF9AE}" pid="22" name="k8424359e03846678cc4a99dd97e9705">
    <vt:lpwstr/>
  </property>
</Properties>
</file>