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3065" w14:textId="03D04EEB"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12FB5CE0" w14:textId="5A623A5E"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D0E0D0182A2B4C78BEE09E96960407A0"/>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084822">
            <w:rPr>
              <w:rStyle w:val="DefaultChar"/>
            </w:rPr>
            <w:t>the Assistant Minister for Competition, Charities and Treasury</w:t>
          </w:r>
        </w:sdtContent>
      </w:sdt>
      <w:r w:rsidR="00076178" w:rsidRPr="003C5719">
        <w:rPr>
          <w:sz w:val="24"/>
          <w:szCs w:val="24"/>
        </w:rPr>
        <w:t xml:space="preserve"> </w:t>
      </w:r>
    </w:p>
    <w:p w14:paraId="5026AA1B" w14:textId="5A28ED93" w:rsidR="00F109D4" w:rsidRDefault="00D93BC2" w:rsidP="004A27A8">
      <w:pPr>
        <w:spacing w:before="240" w:after="240"/>
        <w:jc w:val="center"/>
        <w:rPr>
          <w:i/>
          <w:iCs/>
        </w:rPr>
      </w:pPr>
      <w:r w:rsidRPr="00D93BC2">
        <w:rPr>
          <w:i/>
          <w:iCs/>
        </w:rPr>
        <w:t>Local Government (Financial Assistance) Act</w:t>
      </w:r>
      <w:r>
        <w:rPr>
          <w:i/>
          <w:iCs/>
        </w:rPr>
        <w:t> </w:t>
      </w:r>
      <w:r w:rsidRPr="00D93BC2">
        <w:rPr>
          <w:i/>
          <w:iCs/>
        </w:rPr>
        <w:t>1995</w:t>
      </w:r>
    </w:p>
    <w:p w14:paraId="7A93138D" w14:textId="588DBB46" w:rsidR="00D93BC2" w:rsidRDefault="00D93BC2" w:rsidP="004A27A8">
      <w:pPr>
        <w:spacing w:before="240" w:after="240"/>
        <w:jc w:val="center"/>
        <w:rPr>
          <w:i/>
          <w:iCs/>
        </w:rPr>
      </w:pPr>
      <w:r w:rsidRPr="00D93BC2">
        <w:rPr>
          <w:i/>
          <w:iCs/>
        </w:rPr>
        <w:t>Payment Times Reporting Act 2020</w:t>
      </w:r>
    </w:p>
    <w:p w14:paraId="19373237" w14:textId="3826E205" w:rsidR="00D93BC2" w:rsidRPr="003C5719" w:rsidRDefault="00D93BC2" w:rsidP="004A27A8">
      <w:pPr>
        <w:spacing w:before="240" w:after="240"/>
        <w:jc w:val="center"/>
        <w:rPr>
          <w:i/>
        </w:rPr>
      </w:pPr>
      <w:bookmarkStart w:id="0" w:name="_Hlk187930991"/>
      <w:r w:rsidRPr="00D93BC2">
        <w:rPr>
          <w:i/>
          <w:iCs/>
        </w:rPr>
        <w:t>Tax Agent Services Act 2009</w:t>
      </w:r>
    </w:p>
    <w:bookmarkEnd w:id="0"/>
    <w:p w14:paraId="41D213AA" w14:textId="23A58ED4" w:rsidR="5EC872C2" w:rsidRDefault="5EC872C2" w:rsidP="73DF2B75">
      <w:pPr>
        <w:spacing w:before="240" w:after="240"/>
        <w:jc w:val="center"/>
        <w:rPr>
          <w:i/>
          <w:iCs/>
        </w:rPr>
      </w:pPr>
      <w:r w:rsidRPr="73DF2B75">
        <w:rPr>
          <w:i/>
          <w:iCs/>
        </w:rPr>
        <w:t>Competition and Consumer Act 2010</w:t>
      </w:r>
    </w:p>
    <w:p w14:paraId="7658B881" w14:textId="60EF193D" w:rsidR="00F109D4" w:rsidRPr="003C5719" w:rsidRDefault="00D93BC2" w:rsidP="004A27A8">
      <w:pPr>
        <w:tabs>
          <w:tab w:val="left" w:pos="1418"/>
        </w:tabs>
        <w:spacing w:before="0" w:after="240"/>
        <w:jc w:val="center"/>
        <w:rPr>
          <w:i/>
        </w:rPr>
      </w:pPr>
      <w:r w:rsidRPr="00D93BC2">
        <w:rPr>
          <w:i/>
        </w:rPr>
        <w:t>Treasury Laws Amendment (Miscellaneous and Technical Amendments No. 1) Instrument 2025</w:t>
      </w:r>
    </w:p>
    <w:p w14:paraId="7760CDE9" w14:textId="0E6E56B0" w:rsidR="00D93BC2" w:rsidRDefault="00D93BC2" w:rsidP="00D93BC2">
      <w:pPr>
        <w:spacing w:before="240"/>
      </w:pPr>
      <w:r w:rsidRPr="00242364">
        <w:t xml:space="preserve">The purpose of the </w:t>
      </w:r>
      <w:r w:rsidRPr="00DD28E2">
        <w:rPr>
          <w:i/>
        </w:rPr>
        <w:t>Treasury Laws Amendment (Miscellaneous and Technical Amendments</w:t>
      </w:r>
      <w:r>
        <w:rPr>
          <w:i/>
        </w:rPr>
        <w:t xml:space="preserve"> No. 1</w:t>
      </w:r>
      <w:r w:rsidRPr="00DD28E2">
        <w:rPr>
          <w:i/>
        </w:rPr>
        <w:t xml:space="preserve">) </w:t>
      </w:r>
      <w:r>
        <w:rPr>
          <w:i/>
        </w:rPr>
        <w:t>Instrument</w:t>
      </w:r>
      <w:r w:rsidRPr="00DD28E2">
        <w:rPr>
          <w:i/>
        </w:rPr>
        <w:t xml:space="preserve"> 202</w:t>
      </w:r>
      <w:r>
        <w:rPr>
          <w:i/>
        </w:rPr>
        <w:t>5</w:t>
      </w:r>
      <w:r w:rsidRPr="00242364">
        <w:rPr>
          <w:i/>
        </w:rPr>
        <w:t xml:space="preserve"> </w:t>
      </w:r>
      <w:r w:rsidRPr="00242364">
        <w:rPr>
          <w:iCs/>
        </w:rPr>
        <w:t xml:space="preserve">(the Amending </w:t>
      </w:r>
      <w:r>
        <w:rPr>
          <w:iCs/>
        </w:rPr>
        <w:t>Instrument</w:t>
      </w:r>
      <w:r w:rsidRPr="00DB5295">
        <w:rPr>
          <w:iCs/>
        </w:rPr>
        <w:t>)</w:t>
      </w:r>
      <w:r>
        <w:rPr>
          <w:i/>
        </w:rPr>
        <w:t xml:space="preserve"> </w:t>
      </w:r>
      <w:r w:rsidRPr="003C5719">
        <w:t xml:space="preserve">is </w:t>
      </w:r>
      <w:r>
        <w:t>t</w:t>
      </w:r>
      <w:r w:rsidRPr="00E86EDC">
        <w:t>o</w:t>
      </w:r>
      <w:r>
        <w:t xml:space="preserve"> </w:t>
      </w:r>
      <w:r w:rsidRPr="00E86EDC">
        <w:t xml:space="preserve">make miscellaneous and technical amendments to </w:t>
      </w:r>
      <w:r>
        <w:t>instruments</w:t>
      </w:r>
      <w:r w:rsidRPr="00E86EDC">
        <w:t xml:space="preserve"> in the Treasury portfolio</w:t>
      </w:r>
      <w:r>
        <w:t>, including to laws with respect to</w:t>
      </w:r>
      <w:r w:rsidR="6216B450">
        <w:t xml:space="preserve"> </w:t>
      </w:r>
      <w:r>
        <w:t>government matters, payment times reporting</w:t>
      </w:r>
      <w:r w:rsidR="00A75EA1">
        <w:t>,</w:t>
      </w:r>
      <w:r>
        <w:t xml:space="preserve"> taxation</w:t>
      </w:r>
      <w:r w:rsidR="00A75EA1">
        <w:t xml:space="preserve"> and consumer protection</w:t>
      </w:r>
      <w:r>
        <w:t xml:space="preserve">. </w:t>
      </w:r>
      <w:r w:rsidRPr="00E86EDC">
        <w:t>The amendments</w:t>
      </w:r>
      <w:r>
        <w:t xml:space="preserve"> </w:t>
      </w:r>
      <w:r w:rsidRPr="00E86EDC">
        <w:t>demonstrate the Government’s commitment to the care and maintenance of Treasury portfolio legislation.</w:t>
      </w:r>
    </w:p>
    <w:p w14:paraId="57C8572F" w14:textId="373218D9" w:rsidR="00D93BC2" w:rsidRDefault="00D93BC2" w:rsidP="00D93BC2">
      <w:pPr>
        <w:spacing w:before="240"/>
      </w:pPr>
      <w:r>
        <w:t xml:space="preserve">The following provisions provide that the Minister may make a relevant </w:t>
      </w:r>
      <w:r w:rsidR="00AA5513">
        <w:t xml:space="preserve">Amending </w:t>
      </w:r>
      <w:r>
        <w:t xml:space="preserve">Instrument (collectively, the Authorising Acts): section </w:t>
      </w:r>
      <w:r w:rsidR="00222A5B">
        <w:t>8</w:t>
      </w:r>
      <w:r>
        <w:t xml:space="preserve"> of the </w:t>
      </w:r>
      <w:r w:rsidRPr="00D93BC2">
        <w:rPr>
          <w:i/>
          <w:iCs/>
        </w:rPr>
        <w:t>Local Government (Financial Assistance) Act 1995</w:t>
      </w:r>
      <w:r>
        <w:t>, section </w:t>
      </w:r>
      <w:r w:rsidR="00B30F2A">
        <w:t>58</w:t>
      </w:r>
      <w:r>
        <w:t xml:space="preserve"> of the </w:t>
      </w:r>
      <w:r w:rsidR="00222A5B" w:rsidRPr="00222A5B">
        <w:rPr>
          <w:i/>
          <w:iCs/>
        </w:rPr>
        <w:t>Payment Times Reporting Act 2020</w:t>
      </w:r>
      <w:r>
        <w:t>, section</w:t>
      </w:r>
      <w:r w:rsidR="00527EE8">
        <w:t> </w:t>
      </w:r>
      <w:r w:rsidR="34066D82">
        <w:t>30</w:t>
      </w:r>
      <w:r w:rsidR="34BB21C0">
        <w:t>-12</w:t>
      </w:r>
      <w:r>
        <w:t xml:space="preserve"> of the </w:t>
      </w:r>
      <w:r w:rsidR="00B30F2A" w:rsidRPr="00B30F2A">
        <w:rPr>
          <w:i/>
          <w:iCs/>
        </w:rPr>
        <w:t>Tax Agent Services Act 2009</w:t>
      </w:r>
      <w:r w:rsidR="6457B048" w:rsidRPr="73DF2B75">
        <w:rPr>
          <w:i/>
          <w:iCs/>
        </w:rPr>
        <w:t xml:space="preserve">, </w:t>
      </w:r>
      <w:r w:rsidR="6457B048" w:rsidRPr="3404EDE6">
        <w:t>and sections</w:t>
      </w:r>
      <w:r w:rsidR="008D2BA7">
        <w:t> </w:t>
      </w:r>
      <w:r w:rsidR="6457B048" w:rsidRPr="3404EDE6">
        <w:t>114 and</w:t>
      </w:r>
      <w:r w:rsidR="6457B048" w:rsidRPr="73DF2B75">
        <w:rPr>
          <w:i/>
          <w:iCs/>
        </w:rPr>
        <w:t xml:space="preserve"> </w:t>
      </w:r>
      <w:r w:rsidR="6457B048" w:rsidRPr="73DF2B75">
        <w:rPr>
          <w:color w:val="000000" w:themeColor="text1"/>
        </w:rPr>
        <w:t>34 of Schedule</w:t>
      </w:r>
      <w:r w:rsidR="00455722">
        <w:rPr>
          <w:color w:val="000000" w:themeColor="text1"/>
        </w:rPr>
        <w:t> </w:t>
      </w:r>
      <w:r w:rsidR="6457B048" w:rsidRPr="73DF2B75">
        <w:rPr>
          <w:color w:val="000000" w:themeColor="text1"/>
        </w:rPr>
        <w:t>2 to the</w:t>
      </w:r>
      <w:r w:rsidR="6457B048">
        <w:t xml:space="preserve"> </w:t>
      </w:r>
      <w:r w:rsidR="6457B048" w:rsidRPr="73DF2B75">
        <w:rPr>
          <w:i/>
          <w:iCs/>
        </w:rPr>
        <w:t>Competition and Consumer Act 2010</w:t>
      </w:r>
      <w:r w:rsidR="00E553A9">
        <w:rPr>
          <w:i/>
          <w:iCs/>
        </w:rPr>
        <w:t xml:space="preserve"> </w:t>
      </w:r>
      <w:r w:rsidR="00E553A9">
        <w:t>(CCA)</w:t>
      </w:r>
      <w:r w:rsidR="05D41E5D" w:rsidRPr="1991114A">
        <w:rPr>
          <w:i/>
          <w:iCs/>
        </w:rPr>
        <w:t>.</w:t>
      </w:r>
    </w:p>
    <w:p w14:paraId="3BC58383" w14:textId="77777777" w:rsidR="00D93BC2" w:rsidRPr="00E86EDC" w:rsidRDefault="00D93BC2" w:rsidP="00D93BC2">
      <w:pPr>
        <w:spacing w:before="240"/>
      </w:pPr>
      <w:r>
        <w:t>M</w:t>
      </w:r>
      <w:r w:rsidRPr="00E86EDC">
        <w:t>iscellaneous and technical amendments are periodically made to 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r>
        <w:t xml:space="preserve"> </w:t>
      </w:r>
    </w:p>
    <w:p w14:paraId="2352FF79" w14:textId="1932C276" w:rsidR="00D93BC2" w:rsidRDefault="00A84F59" w:rsidP="5A6900AF">
      <w:pPr>
        <w:tabs>
          <w:tab w:val="left" w:pos="2760"/>
        </w:tabs>
        <w:spacing w:before="240" w:after="200" w:line="259" w:lineRule="auto"/>
      </w:pPr>
      <w:r>
        <w:t>Regarding</w:t>
      </w:r>
      <w:r w:rsidR="5D3869C4">
        <w:t xml:space="preserve"> </w:t>
      </w:r>
      <w:r w:rsidR="084466F6">
        <w:t>Schedule</w:t>
      </w:r>
      <w:r w:rsidR="00455722">
        <w:t> </w:t>
      </w:r>
      <w:r>
        <w:t>1</w:t>
      </w:r>
      <w:r w:rsidR="35298459">
        <w:t>,</w:t>
      </w:r>
      <w:r w:rsidR="15C2E355">
        <w:t xml:space="preserve"> </w:t>
      </w:r>
      <w:r w:rsidR="00D93BC2">
        <w:t xml:space="preserve">Treasury consulted with the public on </w:t>
      </w:r>
      <w:r w:rsidR="00084921">
        <w:t xml:space="preserve">an </w:t>
      </w:r>
      <w:r w:rsidR="00D93BC2">
        <w:t xml:space="preserve">exposure draft and accompanying explanatory materials. </w:t>
      </w:r>
      <w:r w:rsidR="00D93BC2" w:rsidRPr="0057740E">
        <w:t xml:space="preserve">The amendments were publicly consulted between </w:t>
      </w:r>
      <w:r w:rsidR="001061AC" w:rsidRPr="0057740E">
        <w:t>20 January 2025 and 31 January 2025</w:t>
      </w:r>
      <w:r w:rsidR="00D93BC2" w:rsidRPr="0057740E">
        <w:t xml:space="preserve">. </w:t>
      </w:r>
      <w:r w:rsidR="00E559A7">
        <w:t>No</w:t>
      </w:r>
      <w:r w:rsidR="005063FA" w:rsidRPr="0057740E">
        <w:t xml:space="preserve"> </w:t>
      </w:r>
      <w:r w:rsidR="00D93BC2" w:rsidRPr="0057740E">
        <w:t>submissions were received</w:t>
      </w:r>
      <w:r w:rsidR="00D93BC2">
        <w:t xml:space="preserve"> regarding the </w:t>
      </w:r>
      <w:r w:rsidR="00E559A7">
        <w:t>Amending Instrument</w:t>
      </w:r>
      <w:r w:rsidR="00CD2E70">
        <w:t xml:space="preserve"> in response to the consultation. </w:t>
      </w:r>
    </w:p>
    <w:p w14:paraId="0B3B2594" w14:textId="4A635842" w:rsidR="006D39AE" w:rsidRDefault="2B291BAF" w:rsidP="00D93BC2">
      <w:pPr>
        <w:tabs>
          <w:tab w:val="left" w:pos="2760"/>
        </w:tabs>
        <w:spacing w:before="240" w:after="200"/>
      </w:pPr>
      <w:r>
        <w:t xml:space="preserve">Schedule 2, </w:t>
      </w:r>
      <w:r w:rsidR="007B641A">
        <w:t xml:space="preserve">containing </w:t>
      </w:r>
      <w:r>
        <w:t>t</w:t>
      </w:r>
      <w:r w:rsidR="00D87985">
        <w:t xml:space="preserve">he repeal of the </w:t>
      </w:r>
      <w:r w:rsidR="00D87985" w:rsidRPr="00A2F8C9">
        <w:rPr>
          <w:i/>
          <w:iCs/>
        </w:rPr>
        <w:t>Competition and Consumer (Tobacco) Information Standard 2011</w:t>
      </w:r>
      <w:r w:rsidR="00D87985">
        <w:t xml:space="preserve"> and the revocation of the </w:t>
      </w:r>
      <w:r w:rsidR="00D87985" w:rsidRPr="00A2F8C9">
        <w:rPr>
          <w:i/>
          <w:iCs/>
        </w:rPr>
        <w:t>Trade Practices Act 1974 – Consumer Protection Notice No</w:t>
      </w:r>
      <w:r w:rsidR="00C67CA3">
        <w:rPr>
          <w:i/>
          <w:iCs/>
        </w:rPr>
        <w:t xml:space="preserve"> </w:t>
      </w:r>
      <w:r w:rsidR="00D87985" w:rsidRPr="00A2F8C9">
        <w:rPr>
          <w:i/>
          <w:iCs/>
        </w:rPr>
        <w:t>10 of 1991 – Permanent Ban on Goods</w:t>
      </w:r>
      <w:r w:rsidR="50A1F801" w:rsidRPr="00A2F8C9">
        <w:rPr>
          <w:i/>
          <w:iCs/>
        </w:rPr>
        <w:t>,</w:t>
      </w:r>
      <w:r w:rsidR="00D87985">
        <w:t xml:space="preserve"> </w:t>
      </w:r>
      <w:r w:rsidR="006D39AE">
        <w:t>w</w:t>
      </w:r>
      <w:r w:rsidR="007B641A">
        <w:t>as</w:t>
      </w:r>
      <w:r w:rsidR="006D39AE">
        <w:t xml:space="preserve"> publicly consulted on by the Department of Health and Age</w:t>
      </w:r>
      <w:r w:rsidR="00E602BE">
        <w:t xml:space="preserve">d Care in 2023 as </w:t>
      </w:r>
      <w:r w:rsidR="001033F2">
        <w:t>part of the broader consolidation of tobacco control legislation</w:t>
      </w:r>
      <w:r w:rsidR="682BE2B2">
        <w:t xml:space="preserve"> and w</w:t>
      </w:r>
      <w:r w:rsidR="007B641A">
        <w:t>as</w:t>
      </w:r>
      <w:r w:rsidR="682BE2B2">
        <w:t xml:space="preserve"> broadly supported</w:t>
      </w:r>
      <w:r w:rsidR="00666CBC">
        <w:t>.</w:t>
      </w:r>
      <w:r w:rsidR="0075615A">
        <w:t xml:space="preserve"> </w:t>
      </w:r>
    </w:p>
    <w:p w14:paraId="421F985A" w14:textId="7B89C22F" w:rsidR="00D93BC2" w:rsidRDefault="00D93BC2" w:rsidP="00D93BC2">
      <w:pPr>
        <w:spacing w:before="240"/>
      </w:pPr>
      <w:r w:rsidRPr="003C5719">
        <w:t xml:space="preserve">Details of the </w:t>
      </w:r>
      <w:r>
        <w:t xml:space="preserve">Amending </w:t>
      </w:r>
      <w:r w:rsidR="00427D9B">
        <w:t>Instrument</w:t>
      </w:r>
      <w:r w:rsidRPr="003C5719">
        <w:t xml:space="preserve"> </w:t>
      </w:r>
      <w:r w:rsidR="00C60B32">
        <w:t>are</w:t>
      </w:r>
      <w:r w:rsidR="00C60B32" w:rsidRPr="003C5719">
        <w:t xml:space="preserve"> </w:t>
      </w:r>
      <w:r w:rsidRPr="003C5719">
        <w:t xml:space="preserve">set out in </w:t>
      </w:r>
      <w:r w:rsidRPr="003C5719">
        <w:rPr>
          <w:u w:val="single"/>
        </w:rPr>
        <w:t xml:space="preserve">Attachment </w:t>
      </w:r>
      <w:r>
        <w:rPr>
          <w:u w:val="single"/>
        </w:rPr>
        <w:t>A</w:t>
      </w:r>
      <w:r w:rsidRPr="003C5719">
        <w:t xml:space="preserve">. </w:t>
      </w:r>
    </w:p>
    <w:p w14:paraId="512494E7" w14:textId="33864E30" w:rsidR="00D93BC2" w:rsidRDefault="00D93BC2" w:rsidP="00D93BC2">
      <w:pPr>
        <w:pStyle w:val="Bullet"/>
        <w:numPr>
          <w:ilvl w:val="0"/>
          <w:numId w:val="0"/>
        </w:numPr>
      </w:pPr>
      <w:r>
        <w:t xml:space="preserve">The Authorising Acts do not specify any conditions that need to be satisfied before the power to make the Amending </w:t>
      </w:r>
      <w:r w:rsidR="00427D9B">
        <w:t>Instrument</w:t>
      </w:r>
      <w:r>
        <w:t xml:space="preserve"> may be exercised.</w:t>
      </w:r>
    </w:p>
    <w:p w14:paraId="03714474" w14:textId="77777777" w:rsidR="00D93BC2" w:rsidRDefault="00D93BC2" w:rsidP="00D93BC2">
      <w:pPr>
        <w:spacing w:before="240"/>
      </w:pPr>
      <w:r w:rsidRPr="001D06FA">
        <w:lastRenderedPageBreak/>
        <w:t xml:space="preserve">A statement of Compatibility with Human Rights is at </w:t>
      </w:r>
      <w:r w:rsidRPr="001D06FA">
        <w:rPr>
          <w:u w:val="single"/>
        </w:rPr>
        <w:t>Attachment B</w:t>
      </w:r>
      <w:r w:rsidRPr="001D06FA">
        <w:t>.</w:t>
      </w:r>
    </w:p>
    <w:p w14:paraId="2B5BC426" w14:textId="0C141231" w:rsidR="00D93BC2" w:rsidRDefault="00D93BC2" w:rsidP="00D93BC2">
      <w:pPr>
        <w:spacing w:before="240"/>
        <w:rPr>
          <w:color w:val="000000"/>
          <w:shd w:val="clear" w:color="auto" w:fill="FFFFFF"/>
        </w:rPr>
      </w:pPr>
      <w:r w:rsidRPr="003C5719">
        <w:t xml:space="preserve">The Office of Impact Analysis has been consulted </w:t>
      </w:r>
      <w:r>
        <w:t>(</w:t>
      </w:r>
      <w:r w:rsidR="21838C3A">
        <w:t>OIA24-08814</w:t>
      </w:r>
      <w:r w:rsidR="00D60A11">
        <w:t xml:space="preserve"> and OIA24-084</w:t>
      </w:r>
      <w:r w:rsidR="00A6770B">
        <w:t>444</w:t>
      </w:r>
      <w:r w:rsidR="0090726F">
        <w:t>)</w:t>
      </w:r>
      <w:r w:rsidRPr="003C5719">
        <w:t xml:space="preserve"> </w:t>
      </w:r>
      <w:r>
        <w:rPr>
          <w:color w:val="000000"/>
          <w:shd w:val="clear" w:color="auto" w:fill="FFFFFF"/>
        </w:rPr>
        <w:t xml:space="preserve">and agreed </w:t>
      </w:r>
      <w:r w:rsidR="00E15942">
        <w:rPr>
          <w:color w:val="000000"/>
          <w:shd w:val="clear" w:color="auto" w:fill="FFFFFF"/>
        </w:rPr>
        <w:t xml:space="preserve">that these proposals are </w:t>
      </w:r>
      <w:r w:rsidR="00A154C7">
        <w:rPr>
          <w:color w:val="000000"/>
          <w:shd w:val="clear" w:color="auto" w:fill="FFFFFF"/>
        </w:rPr>
        <w:t xml:space="preserve">either </w:t>
      </w:r>
      <w:r w:rsidR="00E15942">
        <w:rPr>
          <w:color w:val="000000"/>
          <w:shd w:val="clear" w:color="auto" w:fill="FFFFFF"/>
        </w:rPr>
        <w:t>minor and technical amendments that do not represent adverse impacts on individuals and/or businesses</w:t>
      </w:r>
      <w:r w:rsidR="00191FB3">
        <w:rPr>
          <w:color w:val="000000"/>
          <w:shd w:val="clear" w:color="auto" w:fill="FFFFFF"/>
        </w:rPr>
        <w:t xml:space="preserve"> or that they do not represent a significant difference from the status quo</w:t>
      </w:r>
      <w:r>
        <w:rPr>
          <w:color w:val="000000"/>
          <w:shd w:val="clear" w:color="auto" w:fill="FFFFFF"/>
        </w:rPr>
        <w:t>. As such, an Impact Analysis is not required.</w:t>
      </w:r>
    </w:p>
    <w:p w14:paraId="7A80AD82" w14:textId="0AA1C9E7" w:rsidR="00D93BC2" w:rsidRDefault="00D93BC2" w:rsidP="00D93BC2">
      <w:pPr>
        <w:spacing w:before="240"/>
      </w:pPr>
      <w:r w:rsidRPr="003C5719">
        <w:t xml:space="preserve">The </w:t>
      </w:r>
      <w:r>
        <w:t xml:space="preserve">Amending </w:t>
      </w:r>
      <w:r w:rsidR="00A768DD">
        <w:t>Instrument</w:t>
      </w:r>
      <w:r w:rsidRPr="003C5719">
        <w:t xml:space="preserve"> </w:t>
      </w:r>
      <w:r w:rsidR="00A768DD">
        <w:t>is</w:t>
      </w:r>
      <w:r w:rsidRPr="003C5719">
        <w:t xml:space="preserve"> a</w:t>
      </w:r>
      <w:r>
        <w:t xml:space="preserve"> </w:t>
      </w:r>
      <w:r w:rsidRPr="003C5719">
        <w:t xml:space="preserve">legislative instrument for the purposes of the </w:t>
      </w:r>
      <w:r w:rsidRPr="003C5719">
        <w:rPr>
          <w:i/>
          <w:iCs/>
        </w:rPr>
        <w:t>Legislation</w:t>
      </w:r>
      <w:r>
        <w:rPr>
          <w:i/>
          <w:iCs/>
        </w:rPr>
        <w:t> </w:t>
      </w:r>
      <w:r w:rsidRPr="003C5719">
        <w:rPr>
          <w:i/>
          <w:iCs/>
        </w:rPr>
        <w:t>Act 2003</w:t>
      </w:r>
      <w:r w:rsidRPr="003C5719">
        <w:t>.</w:t>
      </w:r>
    </w:p>
    <w:p w14:paraId="6B456645" w14:textId="3BE1F42C" w:rsidR="0047452A" w:rsidRDefault="00D93BC2" w:rsidP="00D93BC2">
      <w:pPr>
        <w:spacing w:before="240" w:after="200"/>
        <w:rPr>
          <w:i/>
        </w:rPr>
      </w:pPr>
      <w:r>
        <w:t>The</w:t>
      </w:r>
      <w:r w:rsidRPr="00D973FC">
        <w:t xml:space="preserve"> amendments to the </w:t>
      </w:r>
      <w:r w:rsidR="008912CA" w:rsidRPr="008912CA">
        <w:rPr>
          <w:i/>
        </w:rPr>
        <w:t>Local Government (Financial Assistance) (Final Factor for 2022-23 and Estimated Factor for 2023-24) Determination 2023</w:t>
      </w:r>
      <w:r w:rsidR="00331093">
        <w:rPr>
          <w:i/>
        </w:rPr>
        <w:t xml:space="preserve"> </w:t>
      </w:r>
      <w:r w:rsidR="00331093">
        <w:rPr>
          <w:color w:val="000000"/>
        </w:rPr>
        <w:t>are not subject to disallowance or sunsetting due to the operation of subsections</w:t>
      </w:r>
      <w:r w:rsidR="00C67CA3">
        <w:rPr>
          <w:color w:val="000000"/>
        </w:rPr>
        <w:t> </w:t>
      </w:r>
      <w:r w:rsidR="00331093">
        <w:rPr>
          <w:color w:val="000000"/>
        </w:rPr>
        <w:t>44(1) and 54(1) of the</w:t>
      </w:r>
      <w:r w:rsidR="00331093">
        <w:rPr>
          <w:i/>
          <w:iCs/>
          <w:color w:val="000000"/>
        </w:rPr>
        <w:t> Legislation Act 2003. </w:t>
      </w:r>
      <w:r w:rsidR="00331093">
        <w:rPr>
          <w:color w:val="000000"/>
        </w:rPr>
        <w:t xml:space="preserve">The enabling legislation facilitates the operation of an intergovernmental scheme involving the Commonwealth providing financial assistance to local government through the States and Territories. The enabling legislation authorises the instrument to be made for the purposes of this arrangement. The factors determined by the instrument are largely mechanical in nature and </w:t>
      </w:r>
      <w:r w:rsidR="00D47608">
        <w:rPr>
          <w:color w:val="000000"/>
        </w:rPr>
        <w:t xml:space="preserve">have </w:t>
      </w:r>
      <w:r w:rsidR="00331093">
        <w:rPr>
          <w:color w:val="000000"/>
        </w:rPr>
        <w:t>been derived from statistics published by the Australian Statistician.</w:t>
      </w:r>
    </w:p>
    <w:p w14:paraId="76447C78" w14:textId="063B52BA" w:rsidR="0047452A" w:rsidRDefault="00AD5193" w:rsidP="00D93BC2">
      <w:pPr>
        <w:spacing w:before="240" w:after="200"/>
        <w:rPr>
          <w:color w:val="000000"/>
        </w:rPr>
      </w:pPr>
      <w:r>
        <w:rPr>
          <w:iCs/>
        </w:rPr>
        <w:t xml:space="preserve">The amendments to the </w:t>
      </w:r>
      <w:r w:rsidR="00300A75">
        <w:rPr>
          <w:i/>
        </w:rPr>
        <w:t>Payment Times Reporting Rules 2024</w:t>
      </w:r>
      <w:r w:rsidR="00300A75">
        <w:rPr>
          <w:iCs/>
        </w:rPr>
        <w:t xml:space="preserve"> </w:t>
      </w:r>
      <w:r w:rsidR="00147427">
        <w:rPr>
          <w:iCs/>
        </w:rPr>
        <w:t xml:space="preserve">and </w:t>
      </w:r>
      <w:r w:rsidR="00427D9B" w:rsidRPr="008323C8">
        <w:rPr>
          <w:i/>
          <w:iCs/>
        </w:rPr>
        <w:t xml:space="preserve">Tax Agent Services (Code of Professional Conduct) Determination </w:t>
      </w:r>
      <w:r w:rsidR="00427D9B" w:rsidRPr="00427D9B">
        <w:t>2024</w:t>
      </w:r>
      <w:r w:rsidR="00427D9B">
        <w:t xml:space="preserve"> </w:t>
      </w:r>
      <w:r w:rsidR="00300A75" w:rsidRPr="00427D9B">
        <w:rPr>
          <w:color w:val="000000"/>
        </w:rPr>
        <w:t>are</w:t>
      </w:r>
      <w:r w:rsidR="00300A75">
        <w:rPr>
          <w:color w:val="000000"/>
        </w:rPr>
        <w:t xml:space="preserve"> subject to the disallowance regime under section 42 of the </w:t>
      </w:r>
      <w:r w:rsidR="00300A75" w:rsidRPr="00C46F40">
        <w:rPr>
          <w:i/>
          <w:iCs/>
          <w:color w:val="000000"/>
        </w:rPr>
        <w:t>Legislation Act</w:t>
      </w:r>
      <w:r w:rsidR="00C46F40" w:rsidRPr="00C46F40">
        <w:rPr>
          <w:i/>
          <w:iCs/>
          <w:color w:val="000000"/>
        </w:rPr>
        <w:t xml:space="preserve"> 2003</w:t>
      </w:r>
      <w:r w:rsidR="00300A75">
        <w:rPr>
          <w:color w:val="000000"/>
        </w:rPr>
        <w:t xml:space="preserve"> and is subject to the sunsetting regime under section 50 of the </w:t>
      </w:r>
      <w:r w:rsidR="00300A75" w:rsidRPr="00C46F40">
        <w:rPr>
          <w:i/>
          <w:iCs/>
          <w:color w:val="000000"/>
        </w:rPr>
        <w:t>Legislation Act</w:t>
      </w:r>
      <w:r w:rsidR="00C46F40" w:rsidRPr="00C46F40">
        <w:rPr>
          <w:i/>
          <w:iCs/>
          <w:color w:val="000000"/>
        </w:rPr>
        <w:t xml:space="preserve"> 2003</w:t>
      </w:r>
      <w:r w:rsidR="00300A75">
        <w:rPr>
          <w:color w:val="000000"/>
        </w:rPr>
        <w:t>.</w:t>
      </w:r>
    </w:p>
    <w:p w14:paraId="038CDC89" w14:textId="4FF9A41A" w:rsidR="001F1B84" w:rsidRPr="009D2C52" w:rsidRDefault="004B02E7" w:rsidP="001F1B84">
      <w:pPr>
        <w:spacing w:before="240"/>
      </w:pPr>
      <w:r w:rsidRPr="6DA20276">
        <w:rPr>
          <w:color w:val="000000" w:themeColor="text1"/>
        </w:rPr>
        <w:t xml:space="preserve">The repeal of </w:t>
      </w:r>
      <w:r w:rsidR="00746DE2" w:rsidRPr="6DA20276">
        <w:rPr>
          <w:color w:val="000000" w:themeColor="text1"/>
        </w:rPr>
        <w:t xml:space="preserve">the </w:t>
      </w:r>
      <w:r w:rsidR="004D015E" w:rsidRPr="00BB4065">
        <w:rPr>
          <w:i/>
          <w:iCs/>
        </w:rPr>
        <w:t>Competition and Consumer (Tobacco) Information Standard 2011</w:t>
      </w:r>
      <w:r w:rsidR="004D015E" w:rsidRPr="00BB4065">
        <w:t xml:space="preserve"> and the revocation of the </w:t>
      </w:r>
      <w:r w:rsidR="004D015E" w:rsidRPr="00BB4065">
        <w:rPr>
          <w:i/>
          <w:iCs/>
        </w:rPr>
        <w:t>Trade Practices Act 1974 – Consumer Protection Notice No</w:t>
      </w:r>
      <w:r w:rsidR="00C67CA3">
        <w:rPr>
          <w:i/>
          <w:iCs/>
        </w:rPr>
        <w:t xml:space="preserve"> </w:t>
      </w:r>
      <w:r w:rsidR="004D015E" w:rsidRPr="00BB4065">
        <w:rPr>
          <w:i/>
          <w:iCs/>
        </w:rPr>
        <w:t xml:space="preserve">10 of 1991 – Permanent Ban on Goods </w:t>
      </w:r>
      <w:r w:rsidR="004D015E" w:rsidRPr="00BB4065">
        <w:t>are</w:t>
      </w:r>
      <w:r w:rsidR="004D015E" w:rsidRPr="00F236BC">
        <w:t xml:space="preserve"> exempt from disallowance </w:t>
      </w:r>
      <w:r w:rsidR="00E553A9">
        <w:t xml:space="preserve">and sunsetting </w:t>
      </w:r>
      <w:r w:rsidR="004D015E" w:rsidRPr="00F236BC">
        <w:t>under s</w:t>
      </w:r>
      <w:r w:rsidR="00E553A9">
        <w:t>ubs</w:t>
      </w:r>
      <w:r w:rsidR="004D015E" w:rsidRPr="00F236BC">
        <w:t>ection</w:t>
      </w:r>
      <w:r w:rsidR="00E553A9">
        <w:t>s</w:t>
      </w:r>
      <w:r w:rsidR="004D015E" w:rsidRPr="00F236BC">
        <w:t xml:space="preserve"> 44</w:t>
      </w:r>
      <w:r w:rsidR="00E553A9">
        <w:t xml:space="preserve">(1) and subsections 54(1) </w:t>
      </w:r>
      <w:r w:rsidR="00177DCA" w:rsidRPr="00F236BC">
        <w:t>of the</w:t>
      </w:r>
      <w:r w:rsidR="00177DCA">
        <w:rPr>
          <w:i/>
          <w:iCs/>
        </w:rPr>
        <w:t xml:space="preserve"> Legislation Act 2003</w:t>
      </w:r>
      <w:r w:rsidR="00CB5B95" w:rsidRPr="00CB5B95">
        <w:t xml:space="preserve"> </w:t>
      </w:r>
      <w:r w:rsidR="00CB5B95">
        <w:t>respectively</w:t>
      </w:r>
      <w:r w:rsidR="00E475B9">
        <w:t>.</w:t>
      </w:r>
      <w:r w:rsidR="00177DCA">
        <w:rPr>
          <w:i/>
          <w:iCs/>
        </w:rPr>
        <w:t xml:space="preserve"> </w:t>
      </w:r>
      <w:r w:rsidR="00E553A9" w:rsidRPr="00E553A9">
        <w:t xml:space="preserve">This is </w:t>
      </w:r>
      <w:r w:rsidR="00B01EB5">
        <w:t>because</w:t>
      </w:r>
      <w:r w:rsidR="00E553A9" w:rsidRPr="00E553A9">
        <w:t xml:space="preserve"> enabling legislation,</w:t>
      </w:r>
      <w:r w:rsidR="00AC39A7">
        <w:t xml:space="preserve"> </w:t>
      </w:r>
      <w:r w:rsidR="0022078D">
        <w:t>S</w:t>
      </w:r>
      <w:r w:rsidR="00AC39A7">
        <w:t>chedule 2 to the CCA,</w:t>
      </w:r>
      <w:r w:rsidR="008B3E34">
        <w:t xml:space="preserve"> f</w:t>
      </w:r>
      <w:r w:rsidR="008B3E34" w:rsidRPr="008B3E34">
        <w:t>acilitates the operation of an intergovernmental scheme involving the Commonwealth and all the States and Territories (the </w:t>
      </w:r>
      <w:r w:rsidR="008B3E34" w:rsidRPr="008B3E34">
        <w:rPr>
          <w:i/>
          <w:iCs/>
        </w:rPr>
        <w:t>Intergovernmental Agreement for the Australian Consumer Law</w:t>
      </w:r>
      <w:r w:rsidR="008B3E34" w:rsidRPr="008B3E34">
        <w:t>), and the ACL authorises the making of th</w:t>
      </w:r>
      <w:r w:rsidR="00023DF0">
        <w:t>is</w:t>
      </w:r>
      <w:r w:rsidR="008B3E34" w:rsidRPr="008B3E34">
        <w:t xml:space="preserve"> instrument for the purposes of that scheme</w:t>
      </w:r>
      <w:r w:rsidR="009D2C52">
        <w:t xml:space="preserve">. </w:t>
      </w:r>
      <w:r w:rsidR="00737407" w:rsidRPr="009E0BB8">
        <w:t xml:space="preserve">Further, </w:t>
      </w:r>
      <w:r w:rsidR="000F7BF4" w:rsidRPr="009E0BB8">
        <w:t>item</w:t>
      </w:r>
      <w:r w:rsidR="00023DF0">
        <w:t> </w:t>
      </w:r>
      <w:r w:rsidR="000F7BF4" w:rsidRPr="009E0BB8">
        <w:t>16 of the table in section</w:t>
      </w:r>
      <w:r w:rsidR="00023DF0">
        <w:t> </w:t>
      </w:r>
      <w:r w:rsidR="000F7BF4" w:rsidRPr="009E0BB8">
        <w:t>12 of the</w:t>
      </w:r>
      <w:r w:rsidR="000F7BF4">
        <w:rPr>
          <w:i/>
          <w:iCs/>
        </w:rPr>
        <w:t xml:space="preserve"> </w:t>
      </w:r>
      <w:r w:rsidR="000F7BF4" w:rsidRPr="009E0BB8">
        <w:rPr>
          <w:i/>
          <w:iCs/>
        </w:rPr>
        <w:t>Legislation (Exemptions and Other Matters) Regulation 2015</w:t>
      </w:r>
      <w:r w:rsidR="000F7BF4">
        <w:t xml:space="preserve"> provides that </w:t>
      </w:r>
      <w:r w:rsidR="00292833">
        <w:t>Schedule 2</w:t>
      </w:r>
      <w:r w:rsidR="00393611">
        <w:t xml:space="preserve"> </w:t>
      </w:r>
      <w:r w:rsidR="00401A57">
        <w:t>of the Amending Instrument</w:t>
      </w:r>
      <w:r w:rsidR="005E5CD2" w:rsidRPr="009E0BB8">
        <w:t xml:space="preserve"> not subject to </w:t>
      </w:r>
      <w:r w:rsidR="00FE213D">
        <w:t xml:space="preserve">the </w:t>
      </w:r>
      <w:r w:rsidR="005E5CD2" w:rsidRPr="009E0BB8">
        <w:t>sunsetting</w:t>
      </w:r>
      <w:r w:rsidR="00816A4D" w:rsidRPr="009E0BB8">
        <w:t xml:space="preserve"> </w:t>
      </w:r>
      <w:r w:rsidR="00FE213D">
        <w:t xml:space="preserve">provisions in </w:t>
      </w:r>
      <w:r w:rsidR="00816A4D" w:rsidRPr="009E0BB8">
        <w:t xml:space="preserve">the </w:t>
      </w:r>
      <w:r w:rsidR="00816A4D" w:rsidRPr="003C55F3">
        <w:rPr>
          <w:i/>
          <w:iCs/>
        </w:rPr>
        <w:t>Legislati</w:t>
      </w:r>
      <w:r w:rsidR="00E475B9" w:rsidRPr="003C55F3">
        <w:rPr>
          <w:i/>
          <w:iCs/>
        </w:rPr>
        <w:t xml:space="preserve">on </w:t>
      </w:r>
      <w:r w:rsidR="00816A4D" w:rsidRPr="003C55F3">
        <w:rPr>
          <w:i/>
          <w:iCs/>
        </w:rPr>
        <w:t>Act</w:t>
      </w:r>
      <w:r w:rsidR="00E475B9" w:rsidRPr="003C55F3">
        <w:rPr>
          <w:i/>
          <w:iCs/>
        </w:rPr>
        <w:t xml:space="preserve"> 2003</w:t>
      </w:r>
      <w:r w:rsidR="00FA0A97">
        <w:t xml:space="preserve">. </w:t>
      </w:r>
      <w:r w:rsidR="00304F9F">
        <w:t xml:space="preserve">This is on the grounds that </w:t>
      </w:r>
      <w:r w:rsidR="00A13880">
        <w:t xml:space="preserve">instruments made under </w:t>
      </w:r>
      <w:r w:rsidR="001F1B84" w:rsidRPr="3404EDE6">
        <w:t>section</w:t>
      </w:r>
      <w:r w:rsidR="00023DF0">
        <w:t> </w:t>
      </w:r>
      <w:r w:rsidR="001F1B84" w:rsidRPr="3404EDE6">
        <w:t xml:space="preserve">114 </w:t>
      </w:r>
      <w:r w:rsidR="00355E98">
        <w:t xml:space="preserve">of </w:t>
      </w:r>
      <w:r w:rsidR="00AD3610" w:rsidRPr="73DF2B75">
        <w:rPr>
          <w:color w:val="000000" w:themeColor="text1"/>
        </w:rPr>
        <w:t>Schedule</w:t>
      </w:r>
      <w:r w:rsidR="00023DF0">
        <w:rPr>
          <w:color w:val="000000" w:themeColor="text1"/>
        </w:rPr>
        <w:t> </w:t>
      </w:r>
      <w:r w:rsidR="00AD3610" w:rsidRPr="73DF2B75">
        <w:rPr>
          <w:color w:val="000000" w:themeColor="text1"/>
        </w:rPr>
        <w:t>2 to the</w:t>
      </w:r>
      <w:r w:rsidR="00AD3610">
        <w:t xml:space="preserve"> </w:t>
      </w:r>
      <w:r w:rsidR="00B01EB5" w:rsidRPr="00B01EB5">
        <w:t>CCA</w:t>
      </w:r>
      <w:r w:rsidR="00B01EB5">
        <w:rPr>
          <w:i/>
          <w:iCs/>
        </w:rPr>
        <w:t xml:space="preserve"> </w:t>
      </w:r>
      <w:r w:rsidR="0023030A">
        <w:t>create mandatory and permanent bans on consumer goods or</w:t>
      </w:r>
      <w:r w:rsidR="00543F6B">
        <w:t xml:space="preserve"> product related services and </w:t>
      </w:r>
      <w:r w:rsidR="00A13880">
        <w:t>instruments made under</w:t>
      </w:r>
      <w:r w:rsidR="00355E98">
        <w:t xml:space="preserve"> section</w:t>
      </w:r>
      <w:r w:rsidR="00420E19">
        <w:t> </w:t>
      </w:r>
      <w:r w:rsidR="00442B8F">
        <w:t>1</w:t>
      </w:r>
      <w:r w:rsidR="001F1B84" w:rsidRPr="73DF2B75">
        <w:rPr>
          <w:color w:val="000000" w:themeColor="text1"/>
        </w:rPr>
        <w:t xml:space="preserve">34 </w:t>
      </w:r>
      <w:r w:rsidR="00355E98">
        <w:rPr>
          <w:color w:val="000000" w:themeColor="text1"/>
        </w:rPr>
        <w:t xml:space="preserve">of </w:t>
      </w:r>
      <w:r w:rsidR="00355E98" w:rsidRPr="73DF2B75">
        <w:rPr>
          <w:color w:val="000000" w:themeColor="text1"/>
        </w:rPr>
        <w:t>Schedule</w:t>
      </w:r>
      <w:r w:rsidR="00420E19">
        <w:rPr>
          <w:color w:val="000000" w:themeColor="text1"/>
        </w:rPr>
        <w:t> </w:t>
      </w:r>
      <w:r w:rsidR="00355E98" w:rsidRPr="73DF2B75">
        <w:rPr>
          <w:color w:val="000000" w:themeColor="text1"/>
        </w:rPr>
        <w:t>2 to the</w:t>
      </w:r>
      <w:r w:rsidR="00355E98">
        <w:t xml:space="preserve"> </w:t>
      </w:r>
      <w:r w:rsidR="00B01EB5" w:rsidRPr="00B01EB5">
        <w:t>CCA</w:t>
      </w:r>
      <w:r w:rsidR="00355E98" w:rsidRPr="00B01EB5">
        <w:t xml:space="preserve"> </w:t>
      </w:r>
      <w:r w:rsidR="00442B8F">
        <w:rPr>
          <w:color w:val="000000" w:themeColor="text1"/>
        </w:rPr>
        <w:t>set</w:t>
      </w:r>
      <w:r w:rsidR="007C7804">
        <w:rPr>
          <w:color w:val="000000" w:themeColor="text1"/>
        </w:rPr>
        <w:t xml:space="preserve"> mandatory product safety information standards about consumer goods</w:t>
      </w:r>
      <w:r w:rsidR="00E62A8E">
        <w:rPr>
          <w:color w:val="000000" w:themeColor="text1"/>
        </w:rPr>
        <w:t>.</w:t>
      </w:r>
      <w:r w:rsidR="004A43DE">
        <w:rPr>
          <w:color w:val="000000" w:themeColor="text1"/>
        </w:rPr>
        <w:t xml:space="preserve"> These </w:t>
      </w:r>
      <w:r w:rsidR="00F43E0D">
        <w:rPr>
          <w:color w:val="000000" w:themeColor="text1"/>
        </w:rPr>
        <w:t>instruments</w:t>
      </w:r>
      <w:r w:rsidR="00442B8F">
        <w:rPr>
          <w:color w:val="000000" w:themeColor="text1"/>
        </w:rPr>
        <w:t>, by their nature,</w:t>
      </w:r>
      <w:r w:rsidR="00F43E0D">
        <w:rPr>
          <w:color w:val="000000" w:themeColor="text1"/>
        </w:rPr>
        <w:t xml:space="preserve"> are intended to be enduring and not subject to regular review, and therefore are not appropriate for sunsetting. </w:t>
      </w:r>
    </w:p>
    <w:p w14:paraId="08F2BCE3" w14:textId="1E269158" w:rsidR="00D93BC2" w:rsidRDefault="00D93BC2" w:rsidP="00D93BC2">
      <w:pPr>
        <w:spacing w:before="240"/>
      </w:pPr>
      <w:r>
        <w:t xml:space="preserve">Once the amendments are made, the Amending </w:t>
      </w:r>
      <w:r w:rsidR="00427D9B">
        <w:t>Instrument</w:t>
      </w:r>
      <w:r>
        <w:t xml:space="preserve"> will be automatically repealed under section 48A of the </w:t>
      </w:r>
      <w:r w:rsidRPr="4420E78E">
        <w:rPr>
          <w:i/>
          <w:iCs/>
        </w:rPr>
        <w:t>Legislation Act 2003</w:t>
      </w:r>
      <w:r>
        <w:t>.</w:t>
      </w:r>
    </w:p>
    <w:p w14:paraId="4768F194" w14:textId="15D51C4D" w:rsidR="00EB2AEF" w:rsidRPr="003C5719" w:rsidRDefault="44F8BAF1" w:rsidP="004A27A8">
      <w:pPr>
        <w:spacing w:before="240"/>
      </w:pPr>
      <w:r>
        <w:t>The</w:t>
      </w:r>
      <w:r w:rsidR="00D93BC2" w:rsidRPr="003C5719">
        <w:t xml:space="preserve"> </w:t>
      </w:r>
      <w:r w:rsidR="00D93BC2">
        <w:t xml:space="preserve">Amending </w:t>
      </w:r>
      <w:r w:rsidR="00427D9B">
        <w:t>Instrument</w:t>
      </w:r>
      <w:r w:rsidR="00D93BC2" w:rsidRPr="003C5719">
        <w:t xml:space="preserve"> </w:t>
      </w:r>
      <w:r w:rsidR="00D93BC2">
        <w:t>commences on</w:t>
      </w:r>
      <w:r w:rsidR="00D93BC2" w:rsidRPr="003C5719">
        <w:t xml:space="preserve"> </w:t>
      </w:r>
      <w:r w:rsidR="00D93BC2" w:rsidRPr="006F683C">
        <w:t xml:space="preserve">the day after the </w:t>
      </w:r>
      <w:r w:rsidR="00D93BC2">
        <w:t>instrument is</w:t>
      </w:r>
      <w:r w:rsidR="00D93BC2" w:rsidRPr="006F683C">
        <w:t xml:space="preserve"> registered </w:t>
      </w:r>
      <w:r w:rsidR="00D93BC2" w:rsidRPr="003C5719">
        <w:t>on the Federal Register of Legislation.</w:t>
      </w:r>
      <w:r w:rsidR="00D93BC2">
        <w:t xml:space="preserve"> </w:t>
      </w:r>
    </w:p>
    <w:p w14:paraId="200890A3" w14:textId="5046F2CC" w:rsidR="00EA4DD8" w:rsidRPr="003C5719" w:rsidRDefault="00EA4DD8" w:rsidP="005F0659">
      <w:pPr>
        <w:pageBreakBefore/>
        <w:spacing w:before="240"/>
        <w:jc w:val="right"/>
        <w:rPr>
          <w:b/>
          <w:u w:val="single"/>
        </w:rPr>
      </w:pPr>
      <w:r w:rsidRPr="003C5719">
        <w:rPr>
          <w:b/>
          <w:u w:val="single"/>
        </w:rPr>
        <w:lastRenderedPageBreak/>
        <w:t xml:space="preserve">ATTACHMENT </w:t>
      </w:r>
      <w:r w:rsidR="00D93BC2">
        <w:rPr>
          <w:b/>
          <w:u w:val="single"/>
        </w:rPr>
        <w:t>A</w:t>
      </w:r>
    </w:p>
    <w:p w14:paraId="253735AA" w14:textId="77777777" w:rsidR="00D93BC2" w:rsidRPr="00D93BC2" w:rsidRDefault="00D93BC2" w:rsidP="00D93BC2">
      <w:pPr>
        <w:spacing w:before="240"/>
        <w:rPr>
          <w:b/>
          <w:bCs/>
          <w:szCs w:val="24"/>
          <w:u w:val="single"/>
        </w:rPr>
      </w:pPr>
      <w:r w:rsidRPr="00D93BC2">
        <w:rPr>
          <w:b/>
          <w:bCs/>
          <w:u w:val="single"/>
        </w:rPr>
        <w:t xml:space="preserve">Details of the </w:t>
      </w:r>
      <w:r w:rsidRPr="00D93BC2">
        <w:rPr>
          <w:b/>
          <w:i/>
          <w:u w:val="single"/>
        </w:rPr>
        <w:t>Treasury Laws Amendment (Miscellaneous and Technical Amendments No. 1) Instrument 2025</w:t>
      </w:r>
    </w:p>
    <w:p w14:paraId="52128323" w14:textId="77777777" w:rsidR="00D93BC2" w:rsidRPr="00D93BC2" w:rsidRDefault="00D93BC2" w:rsidP="00D93BC2">
      <w:pPr>
        <w:spacing w:before="240"/>
        <w:outlineLvl w:val="1"/>
        <w:rPr>
          <w:rFonts w:ascii="Calibri" w:hAnsi="Calibri"/>
          <w:sz w:val="22"/>
          <w:szCs w:val="22"/>
          <w:u w:val="single"/>
          <w:lang w:eastAsia="en-US"/>
        </w:rPr>
      </w:pPr>
      <w:r w:rsidRPr="00D93BC2">
        <w:rPr>
          <w:u w:val="single"/>
        </w:rPr>
        <w:t xml:space="preserve">Section 1 – Name </w:t>
      </w:r>
    </w:p>
    <w:p w14:paraId="2B3DC163" w14:textId="77777777" w:rsidR="00D93BC2" w:rsidRPr="00D93BC2" w:rsidRDefault="00D93BC2" w:rsidP="00D93BC2">
      <w:pPr>
        <w:spacing w:before="240"/>
      </w:pPr>
      <w:r w:rsidRPr="00D93BC2">
        <w:t xml:space="preserve">This section provides that the name of the instrument is the </w:t>
      </w:r>
      <w:r w:rsidRPr="00D93BC2">
        <w:rPr>
          <w:i/>
          <w:iCs/>
          <w:color w:val="000000" w:themeColor="text1"/>
        </w:rPr>
        <w:t xml:space="preserve">Treasury Laws Amendment (Miscellaneous and Technical Amendments No. 1) Instrument 2025 </w:t>
      </w:r>
      <w:r w:rsidRPr="00D93BC2">
        <w:t>(the Amending Instrument).</w:t>
      </w:r>
    </w:p>
    <w:p w14:paraId="7B30CD7A" w14:textId="77777777" w:rsidR="00D93BC2" w:rsidRPr="00D93BC2" w:rsidRDefault="00D93BC2" w:rsidP="00D93BC2">
      <w:pPr>
        <w:spacing w:before="240"/>
        <w:outlineLvl w:val="1"/>
        <w:rPr>
          <w:u w:val="single"/>
        </w:rPr>
      </w:pPr>
      <w:r w:rsidRPr="00D93BC2">
        <w:rPr>
          <w:u w:val="single"/>
        </w:rPr>
        <w:t>Section 2 – Commencement</w:t>
      </w:r>
    </w:p>
    <w:p w14:paraId="1A47AB59" w14:textId="3CB26864" w:rsidR="00D93BC2" w:rsidRPr="00D93BC2" w:rsidRDefault="00D93BC2" w:rsidP="00D93BC2">
      <w:pPr>
        <w:spacing w:before="240"/>
      </w:pPr>
      <w:r w:rsidRPr="00D93BC2">
        <w:t>Schedule</w:t>
      </w:r>
      <w:r w:rsidR="0091567D">
        <w:t>s</w:t>
      </w:r>
      <w:r w:rsidRPr="00D93BC2">
        <w:t xml:space="preserve"> 1 </w:t>
      </w:r>
      <w:r w:rsidR="0091567D">
        <w:t xml:space="preserve">and 2 </w:t>
      </w:r>
      <w:r w:rsidRPr="00D93BC2">
        <w:t>to the Amending Instrument commence the day after the instrument is registered on the Federal Register of Legislation.</w:t>
      </w:r>
    </w:p>
    <w:p w14:paraId="4A8529B5" w14:textId="77777777" w:rsidR="00D93BC2" w:rsidRPr="00D93BC2" w:rsidRDefault="00D93BC2" w:rsidP="00D93BC2">
      <w:pPr>
        <w:spacing w:before="240"/>
        <w:outlineLvl w:val="1"/>
        <w:rPr>
          <w:u w:val="single"/>
        </w:rPr>
      </w:pPr>
      <w:r w:rsidRPr="00D93BC2">
        <w:rPr>
          <w:u w:val="single"/>
        </w:rPr>
        <w:t>Section 3 – Authority</w:t>
      </w:r>
    </w:p>
    <w:p w14:paraId="719DDD51" w14:textId="523C133C" w:rsidR="00D93BC2" w:rsidRPr="00D93BC2" w:rsidRDefault="00D93BC2" w:rsidP="00D93BC2">
      <w:pPr>
        <w:spacing w:before="240"/>
      </w:pPr>
      <w:r w:rsidRPr="00D93BC2">
        <w:t xml:space="preserve">The Amending Instrument is made under the </w:t>
      </w:r>
      <w:r w:rsidRPr="00D93BC2">
        <w:rPr>
          <w:i/>
          <w:iCs/>
        </w:rPr>
        <w:t>Local Government (Financial Assistance) Act</w:t>
      </w:r>
      <w:r>
        <w:rPr>
          <w:i/>
          <w:iCs/>
        </w:rPr>
        <w:t> </w:t>
      </w:r>
      <w:r w:rsidRPr="00D93BC2">
        <w:rPr>
          <w:i/>
          <w:iCs/>
        </w:rPr>
        <w:t>1995</w:t>
      </w:r>
      <w:r w:rsidRPr="00D93BC2">
        <w:t xml:space="preserve">, the </w:t>
      </w:r>
      <w:r w:rsidRPr="00D93BC2">
        <w:rPr>
          <w:i/>
          <w:iCs/>
        </w:rPr>
        <w:t>Payment Times Reporting Act 2020</w:t>
      </w:r>
      <w:r w:rsidRPr="00D93BC2">
        <w:t xml:space="preserve">, the </w:t>
      </w:r>
      <w:r w:rsidRPr="00D93BC2">
        <w:rPr>
          <w:i/>
          <w:iCs/>
        </w:rPr>
        <w:t>Tax Agent Services Act 2009</w:t>
      </w:r>
      <w:r w:rsidR="00851FBB">
        <w:t xml:space="preserve"> and the </w:t>
      </w:r>
      <w:r w:rsidR="00851FBB" w:rsidRPr="00DB6311">
        <w:rPr>
          <w:i/>
          <w:iCs/>
        </w:rPr>
        <w:t>Competition and Consumer Act 2010</w:t>
      </w:r>
      <w:r w:rsidR="00DB6311">
        <w:t xml:space="preserve"> </w:t>
      </w:r>
      <w:r w:rsidRPr="00D93BC2">
        <w:t>(collectively the Authorising Acts).</w:t>
      </w:r>
    </w:p>
    <w:p w14:paraId="50406117" w14:textId="77777777" w:rsidR="00D93BC2" w:rsidRPr="00D93BC2" w:rsidRDefault="00D93BC2" w:rsidP="00D93BC2">
      <w:pPr>
        <w:spacing w:before="240"/>
        <w:outlineLvl w:val="1"/>
        <w:rPr>
          <w:u w:val="single"/>
        </w:rPr>
      </w:pPr>
      <w:r w:rsidRPr="00D93BC2">
        <w:rPr>
          <w:u w:val="single"/>
        </w:rPr>
        <w:t>Section 4 – Schedules</w:t>
      </w:r>
    </w:p>
    <w:p w14:paraId="50D98227" w14:textId="77777777" w:rsidR="00D93BC2" w:rsidRPr="00D93BC2" w:rsidRDefault="00D93BC2" w:rsidP="00D93BC2">
      <w:pPr>
        <w:spacing w:before="240" w:after="200"/>
      </w:pPr>
      <w:r w:rsidRPr="00D93BC2">
        <w:t>This section provides that each instrument that is specified in the Schedules to this instrument are amended or repealed as set out in the applicable items in the Schedules, and any other item in the Schedules to this instrument has effect according to its terms.</w:t>
      </w:r>
    </w:p>
    <w:p w14:paraId="4362E0FE" w14:textId="77777777" w:rsidR="00D93BC2" w:rsidRPr="00D93BC2" w:rsidRDefault="00D93BC2" w:rsidP="00D93BC2">
      <w:pPr>
        <w:spacing w:before="240"/>
        <w:outlineLvl w:val="1"/>
        <w:rPr>
          <w:u w:val="single"/>
        </w:rPr>
      </w:pPr>
      <w:r w:rsidRPr="00D93BC2">
        <w:rPr>
          <w:u w:val="single"/>
        </w:rPr>
        <w:t>Schedule 1 – Amendments</w:t>
      </w:r>
    </w:p>
    <w:p w14:paraId="435E4D69" w14:textId="77777777" w:rsidR="00D93BC2" w:rsidRPr="00D93BC2" w:rsidRDefault="00D93BC2" w:rsidP="00D93BC2">
      <w:pPr>
        <w:spacing w:before="240" w:after="200"/>
      </w:pPr>
      <w:r w:rsidRPr="00D93BC2">
        <w:t>Legislative references are made to Schedule 1 to the Amending Instrument unless otherwise stated.</w:t>
      </w:r>
    </w:p>
    <w:p w14:paraId="13CC8685" w14:textId="27508BB0" w:rsidR="00D93BC2" w:rsidRPr="00D93BC2" w:rsidRDefault="00D93BC2" w:rsidP="00D93BC2">
      <w:pPr>
        <w:spacing w:before="240" w:after="200"/>
        <w:outlineLvl w:val="2"/>
        <w:rPr>
          <w:b/>
          <w:bCs/>
          <w:i/>
          <w:iCs/>
        </w:rPr>
      </w:pPr>
      <w:r w:rsidRPr="00D93BC2">
        <w:rPr>
          <w:b/>
          <w:bCs/>
          <w:i/>
          <w:iCs/>
        </w:rPr>
        <w:t>Local Government (Financial Assistance) (Final Factor for 2022-23 and Estimated Factor for 2023-24) Determination 2023</w:t>
      </w:r>
    </w:p>
    <w:p w14:paraId="285159D6" w14:textId="4F3D726E" w:rsidR="00D93BC2" w:rsidRPr="00D93BC2" w:rsidRDefault="00D93BC2" w:rsidP="00D93BC2">
      <w:pPr>
        <w:spacing w:after="200"/>
        <w:outlineLvl w:val="3"/>
        <w:rPr>
          <w:b/>
          <w:bCs/>
        </w:rPr>
      </w:pPr>
      <w:r w:rsidRPr="00D93BC2">
        <w:rPr>
          <w:b/>
          <w:bCs/>
        </w:rPr>
        <w:t>Items 1 to 3 – Subsection 8(3)</w:t>
      </w:r>
    </w:p>
    <w:p w14:paraId="53F01F16" w14:textId="696F38A8" w:rsidR="00D93BC2" w:rsidRPr="00D93BC2" w:rsidRDefault="00D93BC2" w:rsidP="00D93BC2">
      <w:r w:rsidRPr="00D93BC2">
        <w:t>Items</w:t>
      </w:r>
      <w:r w:rsidR="00CF3C89">
        <w:t> </w:t>
      </w:r>
      <w:r w:rsidRPr="00D93BC2">
        <w:t>1 to 3 amend subsection</w:t>
      </w:r>
      <w:r w:rsidR="00CF3C89">
        <w:t> </w:t>
      </w:r>
      <w:r w:rsidRPr="00D93BC2">
        <w:t xml:space="preserve">8(3) of the </w:t>
      </w:r>
      <w:r w:rsidRPr="00D93BC2">
        <w:rPr>
          <w:i/>
          <w:iCs/>
        </w:rPr>
        <w:t>Local Government (Financial Assistance) (Final Factor for 2022-23 and Estimated Factor for 2023-24) Determination 2023</w:t>
      </w:r>
      <w:r w:rsidRPr="00D93BC2">
        <w:t xml:space="preserve"> (the Financial Assistance Determination) to correct typographical errors in cross-references. </w:t>
      </w:r>
    </w:p>
    <w:p w14:paraId="3DE57F9C" w14:textId="77777777" w:rsidR="00D93BC2" w:rsidRPr="00D93BC2" w:rsidRDefault="00D93BC2" w:rsidP="00D93BC2">
      <w:r w:rsidRPr="00D93BC2">
        <w:t xml:space="preserve">Each year, the level of financial assistance available to the States and Territories from the Commonwealth for local government purposes is indexed by a factor which is to be estimated before the start of each financial year. </w:t>
      </w:r>
    </w:p>
    <w:p w14:paraId="285D5DBD" w14:textId="6619E49A" w:rsidR="00D93BC2" w:rsidRPr="00D93BC2" w:rsidRDefault="00D93BC2" w:rsidP="00D93BC2">
      <w:r w:rsidRPr="00D93BC2">
        <w:t>Section</w:t>
      </w:r>
      <w:r w:rsidR="00CF3C89">
        <w:t> </w:t>
      </w:r>
      <w:r w:rsidRPr="00D93BC2">
        <w:t>8 of the Financial Assistance Determination provides for the details of working out the estimated factor for the 2023-24 financial year. Subsection</w:t>
      </w:r>
      <w:r w:rsidR="0063714F">
        <w:t> </w:t>
      </w:r>
      <w:r w:rsidRPr="00D93BC2">
        <w:t>8(3) of the Financial Assistance Determination incorrectly referred to “subsection</w:t>
      </w:r>
      <w:r w:rsidR="0063714F">
        <w:t> </w:t>
      </w:r>
      <w:r w:rsidRPr="00D93BC2">
        <w:t>(3)” and “sub</w:t>
      </w:r>
      <w:r w:rsidR="0063714F">
        <w:t> </w:t>
      </w:r>
      <w:r w:rsidRPr="00D93BC2">
        <w:t>(3) factor”. The amendments correct these references to “subsection</w:t>
      </w:r>
      <w:r w:rsidR="0063714F">
        <w:t> </w:t>
      </w:r>
      <w:r w:rsidRPr="00D93BC2">
        <w:t>(2)” and “sub</w:t>
      </w:r>
      <w:r w:rsidR="0063714F">
        <w:t> </w:t>
      </w:r>
      <w:r w:rsidRPr="00D93BC2">
        <w:t>(2) factor” respectively.</w:t>
      </w:r>
    </w:p>
    <w:p w14:paraId="20E1DBE0" w14:textId="77777777" w:rsidR="00D93BC2" w:rsidRDefault="00D93BC2" w:rsidP="00D93BC2">
      <w:r w:rsidRPr="00D93BC2">
        <w:t>The amendments do not change the estimated factor for the 2023-24 financial year.</w:t>
      </w:r>
    </w:p>
    <w:p w14:paraId="51EC57C4" w14:textId="79806437" w:rsidR="00D93BC2" w:rsidRPr="00D93BC2" w:rsidRDefault="00D93BC2" w:rsidP="000B5F53">
      <w:pPr>
        <w:keepNext/>
        <w:keepLines/>
        <w:spacing w:before="240" w:after="200"/>
        <w:outlineLvl w:val="2"/>
        <w:rPr>
          <w:b/>
          <w:bCs/>
          <w:i/>
          <w:iCs/>
        </w:rPr>
      </w:pPr>
      <w:r w:rsidRPr="00D93BC2">
        <w:rPr>
          <w:b/>
          <w:bCs/>
          <w:i/>
          <w:iCs/>
        </w:rPr>
        <w:lastRenderedPageBreak/>
        <w:t>Payment Times Reporting Rules 2024</w:t>
      </w:r>
    </w:p>
    <w:p w14:paraId="72EFE1C0" w14:textId="2295251B" w:rsidR="00D93BC2" w:rsidRPr="00D93BC2" w:rsidRDefault="00D93BC2" w:rsidP="000B5F53">
      <w:pPr>
        <w:keepNext/>
        <w:keepLines/>
        <w:spacing w:after="200"/>
        <w:outlineLvl w:val="3"/>
        <w:rPr>
          <w:b/>
          <w:bCs/>
        </w:rPr>
      </w:pPr>
      <w:r w:rsidRPr="00D93BC2">
        <w:rPr>
          <w:b/>
          <w:bCs/>
        </w:rPr>
        <w:t>Items 4 and 5 – paragraph 13(1)(a) and section 101</w:t>
      </w:r>
    </w:p>
    <w:p w14:paraId="77B48400" w14:textId="35AE2CE6" w:rsidR="00D93BC2" w:rsidRPr="00D93BC2" w:rsidRDefault="00D93BC2" w:rsidP="00D93BC2">
      <w:pPr>
        <w:spacing w:before="240" w:after="200"/>
      </w:pPr>
      <w:r w:rsidRPr="00D93BC2">
        <w:t>Item</w:t>
      </w:r>
      <w:r w:rsidR="0063714F">
        <w:t> </w:t>
      </w:r>
      <w:r w:rsidRPr="00D93BC2">
        <w:t>4 amends paragraph</w:t>
      </w:r>
      <w:r w:rsidR="0063714F">
        <w:t> </w:t>
      </w:r>
      <w:r w:rsidRPr="00D93BC2">
        <w:t xml:space="preserve">13(1)(a) of the </w:t>
      </w:r>
      <w:r w:rsidRPr="00D93BC2">
        <w:rPr>
          <w:i/>
          <w:iCs/>
        </w:rPr>
        <w:t>Payment Times Reporting Rules 2024</w:t>
      </w:r>
      <w:r w:rsidRPr="00D93BC2">
        <w:t xml:space="preserve"> (PTR Rules) to correct a typographical error. </w:t>
      </w:r>
    </w:p>
    <w:p w14:paraId="6338DA93" w14:textId="75FD53E9" w:rsidR="00D93BC2" w:rsidRPr="00D93BC2" w:rsidRDefault="00D93BC2" w:rsidP="00D93BC2">
      <w:pPr>
        <w:spacing w:before="240" w:after="200"/>
      </w:pPr>
      <w:r w:rsidRPr="00D93BC2">
        <w:t>Paragraph</w:t>
      </w:r>
      <w:r w:rsidR="0063714F">
        <w:t> </w:t>
      </w:r>
      <w:r w:rsidRPr="00D93BC2">
        <w:t xml:space="preserve">13(1)(a) of the PTR Rules provides that the payment times report of a reporting entity must include the proportion of the total number of payments in the trade credit payments dataset for a reporting period that comprises payments in the small business trade credit payments dataset for the reporting period (expressed as a percentage). </w:t>
      </w:r>
    </w:p>
    <w:p w14:paraId="4F331A25" w14:textId="5EACE2B2" w:rsidR="3FD93783" w:rsidRDefault="00D93BC2" w:rsidP="3FD93783">
      <w:pPr>
        <w:spacing w:before="240" w:after="200"/>
      </w:pPr>
      <w:r w:rsidRPr="00D93BC2">
        <w:t xml:space="preserve">The amendment corrects the provision by replacing the word ‘number of payments’ with ‘value of payments’ in the calculation. The amendment ensures continuity with the previous scheme of payment reporting provided for under the </w:t>
      </w:r>
      <w:r w:rsidRPr="00D93BC2">
        <w:rPr>
          <w:i/>
          <w:iCs/>
        </w:rPr>
        <w:t>Payment Times Reporting Rules 2020</w:t>
      </w:r>
      <w:r w:rsidRPr="00D93BC2">
        <w:t xml:space="preserve"> and affords greater insight into economic impact. The continuity with the previous scheme effected by the amendment also prevents imposition of administrative burden on reporting entities.</w:t>
      </w:r>
    </w:p>
    <w:p w14:paraId="0241E52A" w14:textId="7B65D491" w:rsidR="00D93BC2" w:rsidRPr="00D93BC2" w:rsidRDefault="00D93BC2" w:rsidP="00D93BC2">
      <w:pPr>
        <w:spacing w:before="240" w:after="200"/>
      </w:pPr>
      <w:r w:rsidRPr="00D93BC2">
        <w:t>Item</w:t>
      </w:r>
      <w:r w:rsidR="002C47F8">
        <w:t> </w:t>
      </w:r>
      <w:r w:rsidRPr="00D93BC2">
        <w:t>5 of the amendment inserts an application provision to ensure consistency with the application of the PTR Rules and to reports given to the Regulator on or after 1</w:t>
      </w:r>
      <w:r w:rsidR="002C47F8">
        <w:t> </w:t>
      </w:r>
      <w:r w:rsidRPr="00D93BC2">
        <w:t>January</w:t>
      </w:r>
      <w:r w:rsidR="002C47F8">
        <w:t> </w:t>
      </w:r>
      <w:r w:rsidRPr="00D93BC2">
        <w:t>2025 for a reporting period starting on or after 1</w:t>
      </w:r>
      <w:r w:rsidR="002C47F8">
        <w:t> </w:t>
      </w:r>
      <w:r w:rsidRPr="00D93BC2">
        <w:t>July</w:t>
      </w:r>
      <w:r w:rsidR="002C47F8">
        <w:t> </w:t>
      </w:r>
      <w:r w:rsidRPr="00D93BC2">
        <w:t>2024.</w:t>
      </w:r>
    </w:p>
    <w:p w14:paraId="35013128" w14:textId="77777777" w:rsidR="00D93BC2" w:rsidRPr="00D93BC2" w:rsidRDefault="00D93BC2" w:rsidP="000B5F53">
      <w:pPr>
        <w:keepNext/>
        <w:keepLines/>
        <w:spacing w:before="240" w:after="200"/>
        <w:outlineLvl w:val="2"/>
        <w:rPr>
          <w:b/>
          <w:bCs/>
          <w:i/>
          <w:iCs/>
        </w:rPr>
      </w:pPr>
      <w:r w:rsidRPr="00D93BC2">
        <w:rPr>
          <w:b/>
          <w:bCs/>
          <w:i/>
          <w:iCs/>
        </w:rPr>
        <w:t>Tax Agent Services (Code of Professional Conduct) Determination 2024</w:t>
      </w:r>
    </w:p>
    <w:p w14:paraId="5F88D612" w14:textId="68F9B734" w:rsidR="003D5D79" w:rsidRPr="00D93BC2" w:rsidRDefault="003D5D79" w:rsidP="000B5F53">
      <w:pPr>
        <w:keepNext/>
        <w:keepLines/>
        <w:spacing w:after="200"/>
        <w:outlineLvl w:val="3"/>
        <w:rPr>
          <w:b/>
          <w:bCs/>
        </w:rPr>
      </w:pPr>
      <w:r w:rsidRPr="00D93BC2">
        <w:rPr>
          <w:b/>
          <w:bCs/>
        </w:rPr>
        <w:t xml:space="preserve">Item </w:t>
      </w:r>
      <w:r>
        <w:rPr>
          <w:b/>
          <w:bCs/>
        </w:rPr>
        <w:t>6</w:t>
      </w:r>
      <w:r w:rsidRPr="00D93BC2">
        <w:rPr>
          <w:b/>
          <w:bCs/>
        </w:rPr>
        <w:t xml:space="preserve"> – </w:t>
      </w:r>
      <w:r>
        <w:rPr>
          <w:b/>
          <w:bCs/>
        </w:rPr>
        <w:t>subsection 151(1)</w:t>
      </w:r>
    </w:p>
    <w:p w14:paraId="09C7AE84" w14:textId="0C98CBEB" w:rsidR="00D93BC2" w:rsidRPr="00D93BC2" w:rsidRDefault="00D93BC2" w:rsidP="00D93BC2">
      <w:pPr>
        <w:spacing w:before="240" w:after="200"/>
      </w:pPr>
      <w:r w:rsidRPr="00D93BC2">
        <w:t>The Code of Professional Conduct (the Code), set out in section</w:t>
      </w:r>
      <w:r w:rsidR="002C47F8">
        <w:t> </w:t>
      </w:r>
      <w:r w:rsidRPr="00D93BC2">
        <w:t xml:space="preserve">30-10 of the </w:t>
      </w:r>
      <w:r w:rsidRPr="00D93BC2">
        <w:rPr>
          <w:i/>
          <w:iCs/>
        </w:rPr>
        <w:t xml:space="preserve">Tax Agent Services Act 2009 </w:t>
      </w:r>
      <w:r w:rsidRPr="00D93BC2">
        <w:t xml:space="preserve">(the TAS Act), establishes ethical principles that apply to all registered tax agents and business activity statement (BAS) agents (together referred to as ‘tax practitioners’). The </w:t>
      </w:r>
      <w:r w:rsidRPr="00D93BC2">
        <w:rPr>
          <w:i/>
          <w:iCs/>
        </w:rPr>
        <w:t>Tax Agent Services (Code of Professional Conduct) Determination 2024</w:t>
      </w:r>
      <w:r w:rsidRPr="00D93BC2">
        <w:t>, made under section 30-12 of the TAS Act, sets out additional professional and ethical obligations that supplement the Code.</w:t>
      </w:r>
    </w:p>
    <w:p w14:paraId="761601EF" w14:textId="5CD3B8FB" w:rsidR="003D5D79" w:rsidRPr="002466F6" w:rsidRDefault="003D5D79" w:rsidP="003D5D79">
      <w:pPr>
        <w:spacing w:before="240" w:after="200"/>
        <w:rPr>
          <w:u w:val="single"/>
        </w:rPr>
      </w:pPr>
      <w:r>
        <w:t>Item</w:t>
      </w:r>
      <w:r w:rsidR="002C47F8">
        <w:t> </w:t>
      </w:r>
      <w:r>
        <w:t xml:space="preserve">6 corrects a typographical error in a cross-reference in the transitional provisions of subsection 151(1) of the </w:t>
      </w:r>
      <w:r w:rsidRPr="008B12F9">
        <w:rPr>
          <w:i/>
          <w:iCs/>
        </w:rPr>
        <w:t>Tax Agent Services (Code of Professional Conduct) Determination 2024</w:t>
      </w:r>
      <w:r>
        <w:t xml:space="preserve"> to paragraph 45(1)(d) instead of 45(1)(c). The amendment confirms that section 45 of the </w:t>
      </w:r>
      <w:r w:rsidRPr="003D5A31">
        <w:rPr>
          <w:i/>
          <w:iCs/>
        </w:rPr>
        <w:t>Tax Agent Services (Code of Professional Conduct) Determination 2024</w:t>
      </w:r>
      <w:r>
        <w:t xml:space="preserve"> applies only in relation to events that have arisen on or after 1 July 2022.</w:t>
      </w:r>
    </w:p>
    <w:p w14:paraId="09057964" w14:textId="625F3288" w:rsidR="751DA8FF" w:rsidRDefault="751DA8FF" w:rsidP="000B5F53">
      <w:pPr>
        <w:keepNext/>
        <w:keepLines/>
        <w:spacing w:before="240"/>
        <w:outlineLvl w:val="1"/>
        <w:rPr>
          <w:u w:val="single"/>
        </w:rPr>
      </w:pPr>
      <w:r w:rsidRPr="1DACEFAE">
        <w:rPr>
          <w:u w:val="single"/>
        </w:rPr>
        <w:t>Schedule 2 – Repeals</w:t>
      </w:r>
    </w:p>
    <w:p w14:paraId="54C20457" w14:textId="662224EA" w:rsidR="751DA8FF" w:rsidRDefault="751DA8FF" w:rsidP="000B5F53">
      <w:pPr>
        <w:keepNext/>
        <w:keepLines/>
        <w:spacing w:before="240" w:after="200"/>
        <w:outlineLvl w:val="2"/>
        <w:rPr>
          <w:b/>
          <w:bCs/>
          <w:i/>
          <w:iCs/>
        </w:rPr>
      </w:pPr>
      <w:r w:rsidRPr="1DACEFAE">
        <w:rPr>
          <w:b/>
          <w:bCs/>
          <w:i/>
          <w:iCs/>
        </w:rPr>
        <w:t>Competition and Consumer (Tobacco) Information Standard 2011</w:t>
      </w:r>
      <w:r>
        <w:br/>
      </w:r>
      <w:r w:rsidRPr="1DACEFAE">
        <w:rPr>
          <w:b/>
          <w:bCs/>
          <w:i/>
          <w:iCs/>
        </w:rPr>
        <w:t>Trade Practices Act 1974 – Consumer Protection Notice No.10 of 1991 – Permanent Ban on Goods</w:t>
      </w:r>
    </w:p>
    <w:p w14:paraId="39F4A24D" w14:textId="4D02388B" w:rsidR="1DACEFAE" w:rsidRDefault="751DA8FF" w:rsidP="000B5F53">
      <w:pPr>
        <w:spacing w:before="240" w:after="200"/>
        <w:outlineLvl w:val="2"/>
      </w:pPr>
      <w:r>
        <w:t>Schedule</w:t>
      </w:r>
      <w:r w:rsidR="003017C4">
        <w:t> </w:t>
      </w:r>
      <w:r>
        <w:t xml:space="preserve">2 repeals the </w:t>
      </w:r>
      <w:r w:rsidRPr="3008AB9F">
        <w:rPr>
          <w:i/>
          <w:iCs/>
        </w:rPr>
        <w:t>Competition and Consumer (Tobacco) Information Standard 2011</w:t>
      </w:r>
      <w:r>
        <w:t xml:space="preserve"> and revoke</w:t>
      </w:r>
      <w:r w:rsidR="003017C4">
        <w:t>s</w:t>
      </w:r>
      <w:r>
        <w:t xml:space="preserve"> the </w:t>
      </w:r>
      <w:r w:rsidRPr="3008AB9F">
        <w:rPr>
          <w:i/>
          <w:iCs/>
        </w:rPr>
        <w:t>Trade Practices Act 1974 – Consumer Protection Notice No.</w:t>
      </w:r>
      <w:r w:rsidR="003017C4">
        <w:rPr>
          <w:i/>
          <w:iCs/>
        </w:rPr>
        <w:t xml:space="preserve"> </w:t>
      </w:r>
      <w:r w:rsidRPr="3008AB9F">
        <w:rPr>
          <w:i/>
          <w:iCs/>
        </w:rPr>
        <w:t xml:space="preserve">10 of 1991 – Permanent Ban on Goods. </w:t>
      </w:r>
      <w:r>
        <w:t xml:space="preserve">The effect of these legislative instruments was incorporated into the </w:t>
      </w:r>
      <w:r w:rsidRPr="3008AB9F">
        <w:rPr>
          <w:i/>
          <w:iCs/>
        </w:rPr>
        <w:t>Public Health (Tobacco and Other Products) Act 2023</w:t>
      </w:r>
      <w:r>
        <w:t xml:space="preserve"> and associated Regulations as part of broader consolidation of tobacco control laws.</w:t>
      </w:r>
    </w:p>
    <w:p w14:paraId="7EB0EA32" w14:textId="419B2DC1" w:rsidR="0093421F" w:rsidRPr="003C5719" w:rsidRDefault="007A55A7" w:rsidP="005F0659">
      <w:pPr>
        <w:pageBreakBefore/>
        <w:spacing w:before="240"/>
        <w:jc w:val="right"/>
        <w:rPr>
          <w:b/>
          <w:u w:val="single"/>
        </w:rPr>
      </w:pPr>
      <w:r w:rsidRPr="003C5719">
        <w:rPr>
          <w:b/>
          <w:u w:val="single"/>
        </w:rPr>
        <w:lastRenderedPageBreak/>
        <w:t xml:space="preserve">ATTACHMENT </w:t>
      </w:r>
      <w:r w:rsidR="00F34D49">
        <w:rPr>
          <w:b/>
          <w:u w:val="single"/>
        </w:rPr>
        <w:t>B</w:t>
      </w:r>
    </w:p>
    <w:p w14:paraId="68E1F810" w14:textId="77777777" w:rsidR="00757B95" w:rsidRPr="00757B95" w:rsidRDefault="00757B95" w:rsidP="00757B95">
      <w:pPr>
        <w:pStyle w:val="base-text-paragraph"/>
      </w:pPr>
    </w:p>
    <w:p w14:paraId="3FF65D32" w14:textId="77777777" w:rsidR="00E4438C" w:rsidRPr="003C5719" w:rsidRDefault="00E4438C" w:rsidP="00883863">
      <w:pPr>
        <w:pStyle w:val="Heading3"/>
        <w:jc w:val="center"/>
      </w:pPr>
      <w:r w:rsidRPr="003C5719">
        <w:t>Statement of Compatibility with Human Rights</w:t>
      </w:r>
    </w:p>
    <w:p w14:paraId="696229C4"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75E945E7" w14:textId="43CD99BA" w:rsidR="00E4438C" w:rsidRPr="003C5719" w:rsidRDefault="00A71670" w:rsidP="004A27A8">
      <w:pPr>
        <w:pStyle w:val="Heading3"/>
        <w:jc w:val="center"/>
      </w:pPr>
      <w:r>
        <w:t>Treasury Laws Amendment (Miscellaneous and Technical Amendments No. 1) Instrument 2025</w:t>
      </w:r>
    </w:p>
    <w:p w14:paraId="112B98DF"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520FBAC6" w14:textId="77777777" w:rsidR="00A71670" w:rsidRDefault="00E4438C" w:rsidP="00A71670">
      <w:pPr>
        <w:pStyle w:val="Heading3"/>
      </w:pPr>
      <w:r w:rsidRPr="003C5719">
        <w:t>Overview of the Legislative Instrument</w:t>
      </w:r>
    </w:p>
    <w:p w14:paraId="5E447BAD" w14:textId="2FDCB0F8" w:rsidR="00A71670" w:rsidRDefault="00A71670" w:rsidP="00A71670">
      <w:pPr>
        <w:spacing w:before="240"/>
      </w:pPr>
      <w:r w:rsidRPr="00242364">
        <w:t xml:space="preserve">The purpose of the </w:t>
      </w:r>
      <w:r w:rsidRPr="00A71670">
        <w:rPr>
          <w:i/>
          <w:iCs/>
        </w:rPr>
        <w:t>Treasury Laws Amendment (Miscellaneous and Technical Amendments No. 1) Instrument 2025</w:t>
      </w:r>
      <w:r w:rsidRPr="00A71670">
        <w:t xml:space="preserve"> (the Amending Instrument) </w:t>
      </w:r>
      <w:r w:rsidRPr="003C5719">
        <w:t xml:space="preserve">is </w:t>
      </w:r>
      <w:r>
        <w:t>t</w:t>
      </w:r>
      <w:r w:rsidRPr="00E86EDC">
        <w:t>o</w:t>
      </w:r>
      <w:r>
        <w:t xml:space="preserve"> </w:t>
      </w:r>
      <w:r w:rsidRPr="00E86EDC">
        <w:t xml:space="preserve">make miscellaneous and technical amendments to </w:t>
      </w:r>
      <w:r>
        <w:t>instruments</w:t>
      </w:r>
      <w:r w:rsidRPr="00E86EDC">
        <w:t xml:space="preserve"> in the Treasury portfolio</w:t>
      </w:r>
      <w:r>
        <w:t xml:space="preserve">, including to laws with respect to </w:t>
      </w:r>
      <w:r w:rsidR="00350D52">
        <w:t xml:space="preserve">consumer protection, </w:t>
      </w:r>
      <w:r>
        <w:t xml:space="preserve">government matters, payment times reporting and taxation. </w:t>
      </w:r>
      <w:r w:rsidRPr="00E86EDC">
        <w:t>The amendments</w:t>
      </w:r>
      <w:r>
        <w:t xml:space="preserve"> </w:t>
      </w:r>
      <w:r w:rsidRPr="00E86EDC">
        <w:t>demonstrate the Government’s commitment to the care and maintenance of Treasury portfolio legislation.</w:t>
      </w:r>
    </w:p>
    <w:p w14:paraId="289258C8" w14:textId="5950F123" w:rsidR="001B2B37" w:rsidRDefault="00A71670" w:rsidP="00A71670">
      <w:pPr>
        <w:spacing w:before="240"/>
      </w:pPr>
      <w:r>
        <w:t>M</w:t>
      </w:r>
      <w:r w:rsidRPr="00E86EDC">
        <w:t>iscellaneous and technical amendments are periodically made to 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r>
        <w:t xml:space="preserve"> </w:t>
      </w:r>
    </w:p>
    <w:p w14:paraId="69D283D1" w14:textId="62FD4023" w:rsidR="00EB2BED" w:rsidRDefault="00E4438C" w:rsidP="004A27A8">
      <w:pPr>
        <w:pStyle w:val="Heading3"/>
      </w:pPr>
      <w:r w:rsidRPr="003C5719">
        <w:t>Human rights implications</w:t>
      </w:r>
      <w:r w:rsidR="006B520A">
        <w:t xml:space="preserve"> </w:t>
      </w:r>
    </w:p>
    <w:p w14:paraId="4C34EA36" w14:textId="1FC8C1D1" w:rsidR="00E4438C" w:rsidRPr="003C5719" w:rsidRDefault="00454E2D" w:rsidP="004A27A8">
      <w:pPr>
        <w:spacing w:before="240"/>
      </w:pPr>
      <w:r>
        <w:t>This Legislative Instrument does not engage any of the applicable rights or freedoms.</w:t>
      </w:r>
      <w:r w:rsidR="00F24736">
        <w:t xml:space="preserve"> </w:t>
      </w:r>
    </w:p>
    <w:p w14:paraId="2509FE19" w14:textId="77777777" w:rsidR="00EB2BED" w:rsidRDefault="00E4438C" w:rsidP="004A27A8">
      <w:pPr>
        <w:pStyle w:val="Heading3"/>
      </w:pPr>
      <w:r w:rsidRPr="003C5719">
        <w:t>Conclusion</w:t>
      </w:r>
      <w:r w:rsidR="006D60D0">
        <w:t xml:space="preserve"> </w:t>
      </w:r>
    </w:p>
    <w:p w14:paraId="5BBBD136" w14:textId="1FC95232" w:rsidR="00E37FF7" w:rsidRPr="00C84FA0" w:rsidRDefault="00B91ECE" w:rsidP="004A27A8">
      <w:pPr>
        <w:spacing w:before="240"/>
      </w:pPr>
      <w:r>
        <w:t>This Legislative Instrument is compatible with human rights as it does not raise any human rights issues.</w:t>
      </w:r>
      <w:r w:rsidR="007A57BC">
        <w:t xml:space="preserve">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347F" w14:textId="77777777" w:rsidR="00C96620" w:rsidRDefault="00C96620" w:rsidP="00954679">
      <w:pPr>
        <w:spacing w:before="0" w:after="0"/>
      </w:pPr>
      <w:r>
        <w:separator/>
      </w:r>
    </w:p>
  </w:endnote>
  <w:endnote w:type="continuationSeparator" w:id="0">
    <w:p w14:paraId="3B61A48F" w14:textId="77777777" w:rsidR="00C96620" w:rsidRDefault="00C96620" w:rsidP="00954679">
      <w:pPr>
        <w:spacing w:before="0" w:after="0"/>
      </w:pPr>
      <w:r>
        <w:continuationSeparator/>
      </w:r>
    </w:p>
  </w:endnote>
  <w:endnote w:type="continuationNotice" w:id="1">
    <w:p w14:paraId="1D8515F7" w14:textId="77777777" w:rsidR="00C96620" w:rsidRDefault="00C966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0D3C46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81A5" w14:textId="77777777" w:rsidR="00C96620" w:rsidRDefault="00C96620" w:rsidP="00954679">
      <w:pPr>
        <w:spacing w:before="0" w:after="0"/>
      </w:pPr>
      <w:r>
        <w:separator/>
      </w:r>
    </w:p>
  </w:footnote>
  <w:footnote w:type="continuationSeparator" w:id="0">
    <w:p w14:paraId="72B8A1A4" w14:textId="77777777" w:rsidR="00C96620" w:rsidRDefault="00C96620" w:rsidP="00954679">
      <w:pPr>
        <w:spacing w:before="0" w:after="0"/>
      </w:pPr>
      <w:r>
        <w:continuationSeparator/>
      </w:r>
    </w:p>
  </w:footnote>
  <w:footnote w:type="continuationNotice" w:id="1">
    <w:p w14:paraId="0A6B71F2" w14:textId="77777777" w:rsidR="00C96620" w:rsidRDefault="00C9662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C2"/>
    <w:rsid w:val="000026BE"/>
    <w:rsid w:val="00003189"/>
    <w:rsid w:val="00005B51"/>
    <w:rsid w:val="0000628C"/>
    <w:rsid w:val="00013390"/>
    <w:rsid w:val="00014BEC"/>
    <w:rsid w:val="00016EA2"/>
    <w:rsid w:val="00023DF0"/>
    <w:rsid w:val="0002495B"/>
    <w:rsid w:val="0002546A"/>
    <w:rsid w:val="00031AE1"/>
    <w:rsid w:val="00041C87"/>
    <w:rsid w:val="000455BA"/>
    <w:rsid w:val="00050474"/>
    <w:rsid w:val="00051648"/>
    <w:rsid w:val="000521EA"/>
    <w:rsid w:val="000524A9"/>
    <w:rsid w:val="0005254F"/>
    <w:rsid w:val="00052EC5"/>
    <w:rsid w:val="0005316A"/>
    <w:rsid w:val="000547DB"/>
    <w:rsid w:val="00054E34"/>
    <w:rsid w:val="00054E52"/>
    <w:rsid w:val="000726AC"/>
    <w:rsid w:val="00075A77"/>
    <w:rsid w:val="00076178"/>
    <w:rsid w:val="00076E15"/>
    <w:rsid w:val="00076F39"/>
    <w:rsid w:val="00076FF9"/>
    <w:rsid w:val="00080673"/>
    <w:rsid w:val="00080789"/>
    <w:rsid w:val="00084822"/>
    <w:rsid w:val="00084921"/>
    <w:rsid w:val="000854E0"/>
    <w:rsid w:val="0008741E"/>
    <w:rsid w:val="000918E8"/>
    <w:rsid w:val="00095211"/>
    <w:rsid w:val="000A69C5"/>
    <w:rsid w:val="000B39A1"/>
    <w:rsid w:val="000B4281"/>
    <w:rsid w:val="000B5F53"/>
    <w:rsid w:val="000B736B"/>
    <w:rsid w:val="000C10DF"/>
    <w:rsid w:val="000C2E12"/>
    <w:rsid w:val="000C3ECC"/>
    <w:rsid w:val="000C40C1"/>
    <w:rsid w:val="000C4B61"/>
    <w:rsid w:val="000C5C40"/>
    <w:rsid w:val="000C6935"/>
    <w:rsid w:val="000D11E5"/>
    <w:rsid w:val="000D2234"/>
    <w:rsid w:val="000D2411"/>
    <w:rsid w:val="000D5827"/>
    <w:rsid w:val="000D59B4"/>
    <w:rsid w:val="000D664B"/>
    <w:rsid w:val="000E32E3"/>
    <w:rsid w:val="000E4DEA"/>
    <w:rsid w:val="000E516D"/>
    <w:rsid w:val="000E6E7A"/>
    <w:rsid w:val="000F1F12"/>
    <w:rsid w:val="000F31EE"/>
    <w:rsid w:val="000F3A05"/>
    <w:rsid w:val="000F53D9"/>
    <w:rsid w:val="000F7BF4"/>
    <w:rsid w:val="001012C2"/>
    <w:rsid w:val="001033F2"/>
    <w:rsid w:val="001047B1"/>
    <w:rsid w:val="0010611E"/>
    <w:rsid w:val="001061AC"/>
    <w:rsid w:val="0011127B"/>
    <w:rsid w:val="0011256B"/>
    <w:rsid w:val="00113B45"/>
    <w:rsid w:val="00114003"/>
    <w:rsid w:val="00114A2B"/>
    <w:rsid w:val="0011527C"/>
    <w:rsid w:val="00117C02"/>
    <w:rsid w:val="001276B4"/>
    <w:rsid w:val="001319C8"/>
    <w:rsid w:val="00131A49"/>
    <w:rsid w:val="0013277A"/>
    <w:rsid w:val="001331B7"/>
    <w:rsid w:val="001334EC"/>
    <w:rsid w:val="00133D7A"/>
    <w:rsid w:val="00142BCF"/>
    <w:rsid w:val="0014608E"/>
    <w:rsid w:val="001466EA"/>
    <w:rsid w:val="00147427"/>
    <w:rsid w:val="0015452B"/>
    <w:rsid w:val="00161553"/>
    <w:rsid w:val="001628F0"/>
    <w:rsid w:val="00170E67"/>
    <w:rsid w:val="00172933"/>
    <w:rsid w:val="00172B5A"/>
    <w:rsid w:val="00173099"/>
    <w:rsid w:val="00177DCA"/>
    <w:rsid w:val="0018030F"/>
    <w:rsid w:val="00187857"/>
    <w:rsid w:val="00191FB3"/>
    <w:rsid w:val="001922DE"/>
    <w:rsid w:val="00192304"/>
    <w:rsid w:val="001946C6"/>
    <w:rsid w:val="00195A29"/>
    <w:rsid w:val="001A5BC0"/>
    <w:rsid w:val="001A68E5"/>
    <w:rsid w:val="001A708B"/>
    <w:rsid w:val="001B2B37"/>
    <w:rsid w:val="001B4919"/>
    <w:rsid w:val="001B7535"/>
    <w:rsid w:val="001B7EC2"/>
    <w:rsid w:val="001C0477"/>
    <w:rsid w:val="001C1142"/>
    <w:rsid w:val="001C496D"/>
    <w:rsid w:val="001D64CD"/>
    <w:rsid w:val="001E16F7"/>
    <w:rsid w:val="001E209D"/>
    <w:rsid w:val="001E513B"/>
    <w:rsid w:val="001E5504"/>
    <w:rsid w:val="001E64EF"/>
    <w:rsid w:val="001E6A74"/>
    <w:rsid w:val="001F0397"/>
    <w:rsid w:val="001F1B84"/>
    <w:rsid w:val="001F41D0"/>
    <w:rsid w:val="001F45AF"/>
    <w:rsid w:val="001F462C"/>
    <w:rsid w:val="001F4BE5"/>
    <w:rsid w:val="002155FB"/>
    <w:rsid w:val="0022078D"/>
    <w:rsid w:val="00220F16"/>
    <w:rsid w:val="00221082"/>
    <w:rsid w:val="00222A5B"/>
    <w:rsid w:val="00222F04"/>
    <w:rsid w:val="0022550C"/>
    <w:rsid w:val="0023030A"/>
    <w:rsid w:val="00231837"/>
    <w:rsid w:val="002349A0"/>
    <w:rsid w:val="00234A3C"/>
    <w:rsid w:val="00236FBC"/>
    <w:rsid w:val="002403D8"/>
    <w:rsid w:val="00240D31"/>
    <w:rsid w:val="0024245F"/>
    <w:rsid w:val="002439CC"/>
    <w:rsid w:val="00254C5B"/>
    <w:rsid w:val="0026376D"/>
    <w:rsid w:val="002656C6"/>
    <w:rsid w:val="0027118E"/>
    <w:rsid w:val="002725F4"/>
    <w:rsid w:val="00273E05"/>
    <w:rsid w:val="00275729"/>
    <w:rsid w:val="002771E5"/>
    <w:rsid w:val="00277840"/>
    <w:rsid w:val="0027784B"/>
    <w:rsid w:val="002811A9"/>
    <w:rsid w:val="00287C5A"/>
    <w:rsid w:val="00290350"/>
    <w:rsid w:val="00292833"/>
    <w:rsid w:val="00293839"/>
    <w:rsid w:val="00293F77"/>
    <w:rsid w:val="002977BB"/>
    <w:rsid w:val="002A1236"/>
    <w:rsid w:val="002A3C80"/>
    <w:rsid w:val="002A6DA4"/>
    <w:rsid w:val="002A78FE"/>
    <w:rsid w:val="002A7B74"/>
    <w:rsid w:val="002A7E1F"/>
    <w:rsid w:val="002C0792"/>
    <w:rsid w:val="002C0A5A"/>
    <w:rsid w:val="002C1D6B"/>
    <w:rsid w:val="002C226C"/>
    <w:rsid w:val="002C3EE2"/>
    <w:rsid w:val="002C47F8"/>
    <w:rsid w:val="002C53F6"/>
    <w:rsid w:val="002C7A8B"/>
    <w:rsid w:val="002D3DFA"/>
    <w:rsid w:val="002D4B55"/>
    <w:rsid w:val="002E2528"/>
    <w:rsid w:val="002E4AB9"/>
    <w:rsid w:val="002E73BB"/>
    <w:rsid w:val="002F022D"/>
    <w:rsid w:val="002F07CB"/>
    <w:rsid w:val="002F58FA"/>
    <w:rsid w:val="002F6BB1"/>
    <w:rsid w:val="00300A75"/>
    <w:rsid w:val="003017C4"/>
    <w:rsid w:val="003037F8"/>
    <w:rsid w:val="00303971"/>
    <w:rsid w:val="003041FA"/>
    <w:rsid w:val="00304F9F"/>
    <w:rsid w:val="003119B1"/>
    <w:rsid w:val="00312A68"/>
    <w:rsid w:val="00325758"/>
    <w:rsid w:val="00325E7A"/>
    <w:rsid w:val="00331093"/>
    <w:rsid w:val="003334A5"/>
    <w:rsid w:val="00333BAC"/>
    <w:rsid w:val="003342CD"/>
    <w:rsid w:val="0033477F"/>
    <w:rsid w:val="00335042"/>
    <w:rsid w:val="00341642"/>
    <w:rsid w:val="00344FC1"/>
    <w:rsid w:val="00350D52"/>
    <w:rsid w:val="00351220"/>
    <w:rsid w:val="00353A90"/>
    <w:rsid w:val="00355872"/>
    <w:rsid w:val="00355E98"/>
    <w:rsid w:val="00356E5D"/>
    <w:rsid w:val="00357733"/>
    <w:rsid w:val="00357ABA"/>
    <w:rsid w:val="00360C0A"/>
    <w:rsid w:val="00362B70"/>
    <w:rsid w:val="00364B35"/>
    <w:rsid w:val="00364B6D"/>
    <w:rsid w:val="00364DEE"/>
    <w:rsid w:val="00366157"/>
    <w:rsid w:val="00370395"/>
    <w:rsid w:val="0037180D"/>
    <w:rsid w:val="00372A4D"/>
    <w:rsid w:val="00373853"/>
    <w:rsid w:val="00384BB4"/>
    <w:rsid w:val="00392BBA"/>
    <w:rsid w:val="00392C0C"/>
    <w:rsid w:val="00393611"/>
    <w:rsid w:val="00395139"/>
    <w:rsid w:val="003954FD"/>
    <w:rsid w:val="00397FFD"/>
    <w:rsid w:val="003A275C"/>
    <w:rsid w:val="003A326A"/>
    <w:rsid w:val="003A6FA3"/>
    <w:rsid w:val="003B19DD"/>
    <w:rsid w:val="003B31F4"/>
    <w:rsid w:val="003B4009"/>
    <w:rsid w:val="003B4314"/>
    <w:rsid w:val="003B4356"/>
    <w:rsid w:val="003B687B"/>
    <w:rsid w:val="003B7199"/>
    <w:rsid w:val="003C445C"/>
    <w:rsid w:val="003C55F3"/>
    <w:rsid w:val="003C5719"/>
    <w:rsid w:val="003C7907"/>
    <w:rsid w:val="003C7B82"/>
    <w:rsid w:val="003D02A6"/>
    <w:rsid w:val="003D0B99"/>
    <w:rsid w:val="003D1754"/>
    <w:rsid w:val="003D392B"/>
    <w:rsid w:val="003D5D79"/>
    <w:rsid w:val="003D60D7"/>
    <w:rsid w:val="003E0411"/>
    <w:rsid w:val="003E0D5A"/>
    <w:rsid w:val="003E1C8F"/>
    <w:rsid w:val="003E1CE3"/>
    <w:rsid w:val="003E6A94"/>
    <w:rsid w:val="003E70E5"/>
    <w:rsid w:val="003E77BC"/>
    <w:rsid w:val="003F17A4"/>
    <w:rsid w:val="003F3B86"/>
    <w:rsid w:val="004000AE"/>
    <w:rsid w:val="00401A57"/>
    <w:rsid w:val="004049A9"/>
    <w:rsid w:val="00407F02"/>
    <w:rsid w:val="00412BB6"/>
    <w:rsid w:val="00420876"/>
    <w:rsid w:val="00420E19"/>
    <w:rsid w:val="00422EA0"/>
    <w:rsid w:val="00426E80"/>
    <w:rsid w:val="00427D9B"/>
    <w:rsid w:val="0043023E"/>
    <w:rsid w:val="004304DE"/>
    <w:rsid w:val="00436952"/>
    <w:rsid w:val="00437634"/>
    <w:rsid w:val="00437C96"/>
    <w:rsid w:val="004429CD"/>
    <w:rsid w:val="00442B8F"/>
    <w:rsid w:val="00447A8D"/>
    <w:rsid w:val="00454E2D"/>
    <w:rsid w:val="00455722"/>
    <w:rsid w:val="00455EF1"/>
    <w:rsid w:val="004577E7"/>
    <w:rsid w:val="00462095"/>
    <w:rsid w:val="00464356"/>
    <w:rsid w:val="0046526E"/>
    <w:rsid w:val="00466731"/>
    <w:rsid w:val="00466DD5"/>
    <w:rsid w:val="00467E83"/>
    <w:rsid w:val="00470700"/>
    <w:rsid w:val="0047265F"/>
    <w:rsid w:val="00473B71"/>
    <w:rsid w:val="0047406F"/>
    <w:rsid w:val="0047452A"/>
    <w:rsid w:val="004755FE"/>
    <w:rsid w:val="004819EB"/>
    <w:rsid w:val="00482B81"/>
    <w:rsid w:val="00482D4C"/>
    <w:rsid w:val="00483475"/>
    <w:rsid w:val="004838E4"/>
    <w:rsid w:val="0048463A"/>
    <w:rsid w:val="00486DBE"/>
    <w:rsid w:val="00486FAF"/>
    <w:rsid w:val="00491E9F"/>
    <w:rsid w:val="00492BF6"/>
    <w:rsid w:val="00497937"/>
    <w:rsid w:val="004A10CE"/>
    <w:rsid w:val="004A1638"/>
    <w:rsid w:val="004A27A8"/>
    <w:rsid w:val="004A3018"/>
    <w:rsid w:val="004A43DE"/>
    <w:rsid w:val="004A4499"/>
    <w:rsid w:val="004A5B20"/>
    <w:rsid w:val="004B02E7"/>
    <w:rsid w:val="004B1F29"/>
    <w:rsid w:val="004B3C0F"/>
    <w:rsid w:val="004B4A3C"/>
    <w:rsid w:val="004B4B06"/>
    <w:rsid w:val="004C05E4"/>
    <w:rsid w:val="004C28DF"/>
    <w:rsid w:val="004C3300"/>
    <w:rsid w:val="004C5FF6"/>
    <w:rsid w:val="004C7CE2"/>
    <w:rsid w:val="004D015E"/>
    <w:rsid w:val="004D2A97"/>
    <w:rsid w:val="004D2FF4"/>
    <w:rsid w:val="004D4AE5"/>
    <w:rsid w:val="004D636E"/>
    <w:rsid w:val="004D7E59"/>
    <w:rsid w:val="004E0F3A"/>
    <w:rsid w:val="004E1293"/>
    <w:rsid w:val="004E2EE7"/>
    <w:rsid w:val="004E3590"/>
    <w:rsid w:val="004E39E1"/>
    <w:rsid w:val="004F00BA"/>
    <w:rsid w:val="004F011F"/>
    <w:rsid w:val="004F03F4"/>
    <w:rsid w:val="004F4C00"/>
    <w:rsid w:val="004F56D0"/>
    <w:rsid w:val="004F7453"/>
    <w:rsid w:val="005018DB"/>
    <w:rsid w:val="0050235E"/>
    <w:rsid w:val="00503A99"/>
    <w:rsid w:val="00503E44"/>
    <w:rsid w:val="00503E56"/>
    <w:rsid w:val="005063FA"/>
    <w:rsid w:val="0050777E"/>
    <w:rsid w:val="00513FE8"/>
    <w:rsid w:val="0051429B"/>
    <w:rsid w:val="00515283"/>
    <w:rsid w:val="005158D8"/>
    <w:rsid w:val="005227CE"/>
    <w:rsid w:val="005231C5"/>
    <w:rsid w:val="00526038"/>
    <w:rsid w:val="00527EE8"/>
    <w:rsid w:val="00533926"/>
    <w:rsid w:val="00537FB7"/>
    <w:rsid w:val="005407DC"/>
    <w:rsid w:val="005411D1"/>
    <w:rsid w:val="00542873"/>
    <w:rsid w:val="00543F6B"/>
    <w:rsid w:val="00544A14"/>
    <w:rsid w:val="00547061"/>
    <w:rsid w:val="00547E35"/>
    <w:rsid w:val="00553127"/>
    <w:rsid w:val="00553544"/>
    <w:rsid w:val="0055675D"/>
    <w:rsid w:val="00557069"/>
    <w:rsid w:val="005573C4"/>
    <w:rsid w:val="00566E8F"/>
    <w:rsid w:val="005709DE"/>
    <w:rsid w:val="005726BA"/>
    <w:rsid w:val="0057371E"/>
    <w:rsid w:val="00573FFC"/>
    <w:rsid w:val="0057422E"/>
    <w:rsid w:val="0057740E"/>
    <w:rsid w:val="00581BEB"/>
    <w:rsid w:val="005833BE"/>
    <w:rsid w:val="005858FB"/>
    <w:rsid w:val="0059302A"/>
    <w:rsid w:val="00596839"/>
    <w:rsid w:val="005A04BB"/>
    <w:rsid w:val="005A2572"/>
    <w:rsid w:val="005A4C36"/>
    <w:rsid w:val="005A5112"/>
    <w:rsid w:val="005B217F"/>
    <w:rsid w:val="005B3AF1"/>
    <w:rsid w:val="005C032C"/>
    <w:rsid w:val="005C2BB6"/>
    <w:rsid w:val="005C33C8"/>
    <w:rsid w:val="005C73D6"/>
    <w:rsid w:val="005D2168"/>
    <w:rsid w:val="005D61C9"/>
    <w:rsid w:val="005D7D5A"/>
    <w:rsid w:val="005D7E35"/>
    <w:rsid w:val="005E0636"/>
    <w:rsid w:val="005E4792"/>
    <w:rsid w:val="005E4BAC"/>
    <w:rsid w:val="005E580A"/>
    <w:rsid w:val="005E5CD2"/>
    <w:rsid w:val="005F03A5"/>
    <w:rsid w:val="005F0659"/>
    <w:rsid w:val="005F0ABE"/>
    <w:rsid w:val="005F1BC2"/>
    <w:rsid w:val="005F5901"/>
    <w:rsid w:val="005F61C4"/>
    <w:rsid w:val="005F6C47"/>
    <w:rsid w:val="005F7347"/>
    <w:rsid w:val="005F7EEE"/>
    <w:rsid w:val="0060130D"/>
    <w:rsid w:val="00606671"/>
    <w:rsid w:val="00606BB6"/>
    <w:rsid w:val="006100E5"/>
    <w:rsid w:val="00612329"/>
    <w:rsid w:val="0061255B"/>
    <w:rsid w:val="006137A6"/>
    <w:rsid w:val="0061390B"/>
    <w:rsid w:val="00613B16"/>
    <w:rsid w:val="00615574"/>
    <w:rsid w:val="006177FD"/>
    <w:rsid w:val="00617F99"/>
    <w:rsid w:val="0062324C"/>
    <w:rsid w:val="00623F9C"/>
    <w:rsid w:val="006243C6"/>
    <w:rsid w:val="006253A2"/>
    <w:rsid w:val="00630893"/>
    <w:rsid w:val="006343EA"/>
    <w:rsid w:val="0063714F"/>
    <w:rsid w:val="0063793E"/>
    <w:rsid w:val="00640DD4"/>
    <w:rsid w:val="0064129F"/>
    <w:rsid w:val="0064309D"/>
    <w:rsid w:val="00643755"/>
    <w:rsid w:val="00647BB7"/>
    <w:rsid w:val="00655DE7"/>
    <w:rsid w:val="00660F56"/>
    <w:rsid w:val="00663D0C"/>
    <w:rsid w:val="00666CBC"/>
    <w:rsid w:val="006673B8"/>
    <w:rsid w:val="0067101C"/>
    <w:rsid w:val="006711DF"/>
    <w:rsid w:val="00672CF8"/>
    <w:rsid w:val="00673E85"/>
    <w:rsid w:val="00680297"/>
    <w:rsid w:val="0068046D"/>
    <w:rsid w:val="00680871"/>
    <w:rsid w:val="00683956"/>
    <w:rsid w:val="006873CE"/>
    <w:rsid w:val="00687A89"/>
    <w:rsid w:val="0069006D"/>
    <w:rsid w:val="0069079E"/>
    <w:rsid w:val="0069205F"/>
    <w:rsid w:val="006930F7"/>
    <w:rsid w:val="00695180"/>
    <w:rsid w:val="00695957"/>
    <w:rsid w:val="00695A21"/>
    <w:rsid w:val="00695D97"/>
    <w:rsid w:val="00697FC0"/>
    <w:rsid w:val="006A0786"/>
    <w:rsid w:val="006A11D6"/>
    <w:rsid w:val="006A1288"/>
    <w:rsid w:val="006A24F5"/>
    <w:rsid w:val="006A36D5"/>
    <w:rsid w:val="006B49AC"/>
    <w:rsid w:val="006B520A"/>
    <w:rsid w:val="006B523A"/>
    <w:rsid w:val="006B5371"/>
    <w:rsid w:val="006B5956"/>
    <w:rsid w:val="006B629D"/>
    <w:rsid w:val="006C170A"/>
    <w:rsid w:val="006C1990"/>
    <w:rsid w:val="006C6C30"/>
    <w:rsid w:val="006D074D"/>
    <w:rsid w:val="006D10EC"/>
    <w:rsid w:val="006D39AE"/>
    <w:rsid w:val="006D4104"/>
    <w:rsid w:val="006D478B"/>
    <w:rsid w:val="006D4DAA"/>
    <w:rsid w:val="006D5CB8"/>
    <w:rsid w:val="006D60D0"/>
    <w:rsid w:val="006D672B"/>
    <w:rsid w:val="006D76D5"/>
    <w:rsid w:val="006E04DB"/>
    <w:rsid w:val="006E0852"/>
    <w:rsid w:val="006E0ADA"/>
    <w:rsid w:val="006E0CBA"/>
    <w:rsid w:val="006E3AB4"/>
    <w:rsid w:val="006E6321"/>
    <w:rsid w:val="006F01B0"/>
    <w:rsid w:val="006F06C1"/>
    <w:rsid w:val="006F4588"/>
    <w:rsid w:val="006F6793"/>
    <w:rsid w:val="006F683C"/>
    <w:rsid w:val="006F6C2A"/>
    <w:rsid w:val="006F74AB"/>
    <w:rsid w:val="0070169C"/>
    <w:rsid w:val="00701B6B"/>
    <w:rsid w:val="00701F57"/>
    <w:rsid w:val="00703258"/>
    <w:rsid w:val="00704CCA"/>
    <w:rsid w:val="00705171"/>
    <w:rsid w:val="007053B0"/>
    <w:rsid w:val="00710E94"/>
    <w:rsid w:val="00711096"/>
    <w:rsid w:val="00715701"/>
    <w:rsid w:val="007177EC"/>
    <w:rsid w:val="007201BB"/>
    <w:rsid w:val="00720F37"/>
    <w:rsid w:val="00722942"/>
    <w:rsid w:val="00727D8A"/>
    <w:rsid w:val="00730DA8"/>
    <w:rsid w:val="00731FEA"/>
    <w:rsid w:val="007323F4"/>
    <w:rsid w:val="00732667"/>
    <w:rsid w:val="007357E2"/>
    <w:rsid w:val="00735921"/>
    <w:rsid w:val="0073599B"/>
    <w:rsid w:val="00736F61"/>
    <w:rsid w:val="00737407"/>
    <w:rsid w:val="0074185E"/>
    <w:rsid w:val="00742253"/>
    <w:rsid w:val="007436F0"/>
    <w:rsid w:val="00743CF4"/>
    <w:rsid w:val="0074422A"/>
    <w:rsid w:val="00746A13"/>
    <w:rsid w:val="00746DE2"/>
    <w:rsid w:val="0074728E"/>
    <w:rsid w:val="00750714"/>
    <w:rsid w:val="00751CDD"/>
    <w:rsid w:val="0075322E"/>
    <w:rsid w:val="007555AC"/>
    <w:rsid w:val="0075615A"/>
    <w:rsid w:val="00757505"/>
    <w:rsid w:val="00757B95"/>
    <w:rsid w:val="007614C5"/>
    <w:rsid w:val="007628D2"/>
    <w:rsid w:val="007662C7"/>
    <w:rsid w:val="00772FAF"/>
    <w:rsid w:val="007741E0"/>
    <w:rsid w:val="00776306"/>
    <w:rsid w:val="007816E2"/>
    <w:rsid w:val="00782F34"/>
    <w:rsid w:val="0078453A"/>
    <w:rsid w:val="007855C8"/>
    <w:rsid w:val="0079012B"/>
    <w:rsid w:val="0079048A"/>
    <w:rsid w:val="00790521"/>
    <w:rsid w:val="007912C5"/>
    <w:rsid w:val="007921D8"/>
    <w:rsid w:val="00796E70"/>
    <w:rsid w:val="007A15C7"/>
    <w:rsid w:val="007A1887"/>
    <w:rsid w:val="007A2347"/>
    <w:rsid w:val="007A33F8"/>
    <w:rsid w:val="007A3B7A"/>
    <w:rsid w:val="007A479E"/>
    <w:rsid w:val="007A55A7"/>
    <w:rsid w:val="007A57BC"/>
    <w:rsid w:val="007A6468"/>
    <w:rsid w:val="007B1F10"/>
    <w:rsid w:val="007B2143"/>
    <w:rsid w:val="007B335E"/>
    <w:rsid w:val="007B4A9D"/>
    <w:rsid w:val="007B641A"/>
    <w:rsid w:val="007B6AF2"/>
    <w:rsid w:val="007C137D"/>
    <w:rsid w:val="007C2F7A"/>
    <w:rsid w:val="007C7804"/>
    <w:rsid w:val="007C7D64"/>
    <w:rsid w:val="007D015A"/>
    <w:rsid w:val="007D0621"/>
    <w:rsid w:val="007D1223"/>
    <w:rsid w:val="007D6771"/>
    <w:rsid w:val="007E018D"/>
    <w:rsid w:val="007E1CF5"/>
    <w:rsid w:val="007E3206"/>
    <w:rsid w:val="007E6A45"/>
    <w:rsid w:val="007F0467"/>
    <w:rsid w:val="007F1B71"/>
    <w:rsid w:val="007F4378"/>
    <w:rsid w:val="0080320B"/>
    <w:rsid w:val="00807E7D"/>
    <w:rsid w:val="008145BA"/>
    <w:rsid w:val="00815924"/>
    <w:rsid w:val="0081673B"/>
    <w:rsid w:val="00816A4D"/>
    <w:rsid w:val="008233A4"/>
    <w:rsid w:val="008249BE"/>
    <w:rsid w:val="00826F83"/>
    <w:rsid w:val="00831675"/>
    <w:rsid w:val="008323C8"/>
    <w:rsid w:val="00833654"/>
    <w:rsid w:val="0083758F"/>
    <w:rsid w:val="00840367"/>
    <w:rsid w:val="008404AD"/>
    <w:rsid w:val="00840731"/>
    <w:rsid w:val="00844849"/>
    <w:rsid w:val="00845A80"/>
    <w:rsid w:val="00846BCE"/>
    <w:rsid w:val="00851FBB"/>
    <w:rsid w:val="008552D6"/>
    <w:rsid w:val="00855DA3"/>
    <w:rsid w:val="00856055"/>
    <w:rsid w:val="00860485"/>
    <w:rsid w:val="00860BB5"/>
    <w:rsid w:val="00862443"/>
    <w:rsid w:val="008662A4"/>
    <w:rsid w:val="008721ED"/>
    <w:rsid w:val="00877071"/>
    <w:rsid w:val="00877337"/>
    <w:rsid w:val="008779B4"/>
    <w:rsid w:val="00877A2F"/>
    <w:rsid w:val="0088138D"/>
    <w:rsid w:val="00881E02"/>
    <w:rsid w:val="00882600"/>
    <w:rsid w:val="00883863"/>
    <w:rsid w:val="0088467C"/>
    <w:rsid w:val="008853B9"/>
    <w:rsid w:val="00885AA3"/>
    <w:rsid w:val="008912CA"/>
    <w:rsid w:val="00891F21"/>
    <w:rsid w:val="008929F8"/>
    <w:rsid w:val="00892D3B"/>
    <w:rsid w:val="00893D1C"/>
    <w:rsid w:val="00894579"/>
    <w:rsid w:val="00896483"/>
    <w:rsid w:val="008A2A21"/>
    <w:rsid w:val="008A2BDB"/>
    <w:rsid w:val="008A5B67"/>
    <w:rsid w:val="008A5CCD"/>
    <w:rsid w:val="008A6A6D"/>
    <w:rsid w:val="008B29E7"/>
    <w:rsid w:val="008B2C4E"/>
    <w:rsid w:val="008B33DF"/>
    <w:rsid w:val="008B3E34"/>
    <w:rsid w:val="008B5C0B"/>
    <w:rsid w:val="008C2216"/>
    <w:rsid w:val="008C6E96"/>
    <w:rsid w:val="008D07E2"/>
    <w:rsid w:val="008D123A"/>
    <w:rsid w:val="008D16F7"/>
    <w:rsid w:val="008D2BA7"/>
    <w:rsid w:val="008D324A"/>
    <w:rsid w:val="008D40FA"/>
    <w:rsid w:val="008D42EC"/>
    <w:rsid w:val="008D4835"/>
    <w:rsid w:val="008D4E38"/>
    <w:rsid w:val="008E1427"/>
    <w:rsid w:val="008E2FE4"/>
    <w:rsid w:val="008E42FA"/>
    <w:rsid w:val="008E52C7"/>
    <w:rsid w:val="008E5A1D"/>
    <w:rsid w:val="008E7631"/>
    <w:rsid w:val="008F0C50"/>
    <w:rsid w:val="008F2529"/>
    <w:rsid w:val="008F5B44"/>
    <w:rsid w:val="008F778A"/>
    <w:rsid w:val="008F7D57"/>
    <w:rsid w:val="00901AE4"/>
    <w:rsid w:val="00902ED6"/>
    <w:rsid w:val="0090320B"/>
    <w:rsid w:val="0090335F"/>
    <w:rsid w:val="00906037"/>
    <w:rsid w:val="0090726F"/>
    <w:rsid w:val="00910D28"/>
    <w:rsid w:val="0091280A"/>
    <w:rsid w:val="00912988"/>
    <w:rsid w:val="00912B6B"/>
    <w:rsid w:val="009143A0"/>
    <w:rsid w:val="0091567D"/>
    <w:rsid w:val="00916915"/>
    <w:rsid w:val="00921B5A"/>
    <w:rsid w:val="00922093"/>
    <w:rsid w:val="00922529"/>
    <w:rsid w:val="00925124"/>
    <w:rsid w:val="00925635"/>
    <w:rsid w:val="0092645F"/>
    <w:rsid w:val="009271C2"/>
    <w:rsid w:val="00927C59"/>
    <w:rsid w:val="00930F69"/>
    <w:rsid w:val="00931881"/>
    <w:rsid w:val="00932473"/>
    <w:rsid w:val="0093421F"/>
    <w:rsid w:val="00936902"/>
    <w:rsid w:val="00940DA0"/>
    <w:rsid w:val="00942170"/>
    <w:rsid w:val="0094486D"/>
    <w:rsid w:val="00950E58"/>
    <w:rsid w:val="00951876"/>
    <w:rsid w:val="00952DF0"/>
    <w:rsid w:val="00954679"/>
    <w:rsid w:val="009552FE"/>
    <w:rsid w:val="00955673"/>
    <w:rsid w:val="009562E9"/>
    <w:rsid w:val="00957F24"/>
    <w:rsid w:val="00962B6F"/>
    <w:rsid w:val="009630BD"/>
    <w:rsid w:val="009655DA"/>
    <w:rsid w:val="00965739"/>
    <w:rsid w:val="00965BBC"/>
    <w:rsid w:val="009673D0"/>
    <w:rsid w:val="0096794D"/>
    <w:rsid w:val="00967BF9"/>
    <w:rsid w:val="0097035D"/>
    <w:rsid w:val="00970B2B"/>
    <w:rsid w:val="00972823"/>
    <w:rsid w:val="00974996"/>
    <w:rsid w:val="00985AB4"/>
    <w:rsid w:val="0098737D"/>
    <w:rsid w:val="00990BE6"/>
    <w:rsid w:val="00996273"/>
    <w:rsid w:val="009A0D94"/>
    <w:rsid w:val="009A2167"/>
    <w:rsid w:val="009A27C9"/>
    <w:rsid w:val="009A49F0"/>
    <w:rsid w:val="009A5307"/>
    <w:rsid w:val="009A57B7"/>
    <w:rsid w:val="009B177C"/>
    <w:rsid w:val="009B20AC"/>
    <w:rsid w:val="009B2817"/>
    <w:rsid w:val="009B29AA"/>
    <w:rsid w:val="009B70D5"/>
    <w:rsid w:val="009B7A38"/>
    <w:rsid w:val="009C0051"/>
    <w:rsid w:val="009C6A1E"/>
    <w:rsid w:val="009D2C52"/>
    <w:rsid w:val="009D2F0C"/>
    <w:rsid w:val="009D477C"/>
    <w:rsid w:val="009D487B"/>
    <w:rsid w:val="009E0BB8"/>
    <w:rsid w:val="009E1E90"/>
    <w:rsid w:val="009E27A5"/>
    <w:rsid w:val="009E2F86"/>
    <w:rsid w:val="009E773A"/>
    <w:rsid w:val="009F52D2"/>
    <w:rsid w:val="00A00645"/>
    <w:rsid w:val="00A01781"/>
    <w:rsid w:val="00A0342D"/>
    <w:rsid w:val="00A05297"/>
    <w:rsid w:val="00A12071"/>
    <w:rsid w:val="00A12209"/>
    <w:rsid w:val="00A132BA"/>
    <w:rsid w:val="00A13880"/>
    <w:rsid w:val="00A154C7"/>
    <w:rsid w:val="00A15A85"/>
    <w:rsid w:val="00A2F8C9"/>
    <w:rsid w:val="00A31484"/>
    <w:rsid w:val="00A31681"/>
    <w:rsid w:val="00A34CA4"/>
    <w:rsid w:val="00A36DF3"/>
    <w:rsid w:val="00A37C33"/>
    <w:rsid w:val="00A4441D"/>
    <w:rsid w:val="00A45EAF"/>
    <w:rsid w:val="00A4679C"/>
    <w:rsid w:val="00A532DD"/>
    <w:rsid w:val="00A547CD"/>
    <w:rsid w:val="00A5522E"/>
    <w:rsid w:val="00A649B6"/>
    <w:rsid w:val="00A6770B"/>
    <w:rsid w:val="00A71670"/>
    <w:rsid w:val="00A74B90"/>
    <w:rsid w:val="00A75EA1"/>
    <w:rsid w:val="00A760F0"/>
    <w:rsid w:val="00A768DD"/>
    <w:rsid w:val="00A80BCF"/>
    <w:rsid w:val="00A825D1"/>
    <w:rsid w:val="00A82AB8"/>
    <w:rsid w:val="00A8369C"/>
    <w:rsid w:val="00A84810"/>
    <w:rsid w:val="00A84F59"/>
    <w:rsid w:val="00A86579"/>
    <w:rsid w:val="00A87832"/>
    <w:rsid w:val="00A90212"/>
    <w:rsid w:val="00A90CC4"/>
    <w:rsid w:val="00A9277F"/>
    <w:rsid w:val="00A9401D"/>
    <w:rsid w:val="00AA1689"/>
    <w:rsid w:val="00AA178F"/>
    <w:rsid w:val="00AA496C"/>
    <w:rsid w:val="00AA496F"/>
    <w:rsid w:val="00AA5513"/>
    <w:rsid w:val="00AA5770"/>
    <w:rsid w:val="00AA70DB"/>
    <w:rsid w:val="00AB26C8"/>
    <w:rsid w:val="00AB2E70"/>
    <w:rsid w:val="00AB33C1"/>
    <w:rsid w:val="00AB3E03"/>
    <w:rsid w:val="00AC1D15"/>
    <w:rsid w:val="00AC39A7"/>
    <w:rsid w:val="00AD3610"/>
    <w:rsid w:val="00AD39D9"/>
    <w:rsid w:val="00AD44C6"/>
    <w:rsid w:val="00AD5193"/>
    <w:rsid w:val="00AE0DBD"/>
    <w:rsid w:val="00AE2CAB"/>
    <w:rsid w:val="00AE460D"/>
    <w:rsid w:val="00AE5C1F"/>
    <w:rsid w:val="00AE7F82"/>
    <w:rsid w:val="00AF680E"/>
    <w:rsid w:val="00AF7AEF"/>
    <w:rsid w:val="00B01EB5"/>
    <w:rsid w:val="00B02DB4"/>
    <w:rsid w:val="00B050FC"/>
    <w:rsid w:val="00B07B0C"/>
    <w:rsid w:val="00B120F9"/>
    <w:rsid w:val="00B164AF"/>
    <w:rsid w:val="00B178AE"/>
    <w:rsid w:val="00B21CC0"/>
    <w:rsid w:val="00B22C17"/>
    <w:rsid w:val="00B23B31"/>
    <w:rsid w:val="00B23CDB"/>
    <w:rsid w:val="00B25563"/>
    <w:rsid w:val="00B26D48"/>
    <w:rsid w:val="00B2789F"/>
    <w:rsid w:val="00B30F2A"/>
    <w:rsid w:val="00B370D2"/>
    <w:rsid w:val="00B40949"/>
    <w:rsid w:val="00B40D80"/>
    <w:rsid w:val="00B41F7B"/>
    <w:rsid w:val="00B42542"/>
    <w:rsid w:val="00B42EE1"/>
    <w:rsid w:val="00B45019"/>
    <w:rsid w:val="00B47A59"/>
    <w:rsid w:val="00B50A33"/>
    <w:rsid w:val="00B5349B"/>
    <w:rsid w:val="00B54AA5"/>
    <w:rsid w:val="00B5649C"/>
    <w:rsid w:val="00B65145"/>
    <w:rsid w:val="00B7138A"/>
    <w:rsid w:val="00B8293D"/>
    <w:rsid w:val="00B8725B"/>
    <w:rsid w:val="00B8774A"/>
    <w:rsid w:val="00B87A49"/>
    <w:rsid w:val="00B91ECE"/>
    <w:rsid w:val="00B92478"/>
    <w:rsid w:val="00B943FB"/>
    <w:rsid w:val="00B94E64"/>
    <w:rsid w:val="00B95775"/>
    <w:rsid w:val="00B97463"/>
    <w:rsid w:val="00BA0A62"/>
    <w:rsid w:val="00BA0F9E"/>
    <w:rsid w:val="00BA13A1"/>
    <w:rsid w:val="00BA1965"/>
    <w:rsid w:val="00BA25B4"/>
    <w:rsid w:val="00BA4F13"/>
    <w:rsid w:val="00BA6188"/>
    <w:rsid w:val="00BB4065"/>
    <w:rsid w:val="00BB4464"/>
    <w:rsid w:val="00BB608E"/>
    <w:rsid w:val="00BB7567"/>
    <w:rsid w:val="00BC035D"/>
    <w:rsid w:val="00BC361A"/>
    <w:rsid w:val="00BC3823"/>
    <w:rsid w:val="00BC68C2"/>
    <w:rsid w:val="00BD16E1"/>
    <w:rsid w:val="00BD2045"/>
    <w:rsid w:val="00BD22D2"/>
    <w:rsid w:val="00BD3450"/>
    <w:rsid w:val="00BD3D7D"/>
    <w:rsid w:val="00BD49F7"/>
    <w:rsid w:val="00BD61A2"/>
    <w:rsid w:val="00BE0C4C"/>
    <w:rsid w:val="00BE484D"/>
    <w:rsid w:val="00BE7F67"/>
    <w:rsid w:val="00BF2596"/>
    <w:rsid w:val="00BF39E4"/>
    <w:rsid w:val="00C00B11"/>
    <w:rsid w:val="00C059BA"/>
    <w:rsid w:val="00C06BAB"/>
    <w:rsid w:val="00C20CFC"/>
    <w:rsid w:val="00C24EDE"/>
    <w:rsid w:val="00C32881"/>
    <w:rsid w:val="00C3336F"/>
    <w:rsid w:val="00C3535F"/>
    <w:rsid w:val="00C37E05"/>
    <w:rsid w:val="00C4270A"/>
    <w:rsid w:val="00C46F40"/>
    <w:rsid w:val="00C47789"/>
    <w:rsid w:val="00C50A32"/>
    <w:rsid w:val="00C52172"/>
    <w:rsid w:val="00C55D29"/>
    <w:rsid w:val="00C56F2E"/>
    <w:rsid w:val="00C572E0"/>
    <w:rsid w:val="00C60B32"/>
    <w:rsid w:val="00C6169B"/>
    <w:rsid w:val="00C62B3A"/>
    <w:rsid w:val="00C652F6"/>
    <w:rsid w:val="00C6589E"/>
    <w:rsid w:val="00C658EE"/>
    <w:rsid w:val="00C67CA3"/>
    <w:rsid w:val="00C723B1"/>
    <w:rsid w:val="00C83DB6"/>
    <w:rsid w:val="00C84FA0"/>
    <w:rsid w:val="00C86F6D"/>
    <w:rsid w:val="00C948D8"/>
    <w:rsid w:val="00C96620"/>
    <w:rsid w:val="00C97EF4"/>
    <w:rsid w:val="00CA0BE9"/>
    <w:rsid w:val="00CA138D"/>
    <w:rsid w:val="00CA57D9"/>
    <w:rsid w:val="00CA5D67"/>
    <w:rsid w:val="00CB5B95"/>
    <w:rsid w:val="00CB684F"/>
    <w:rsid w:val="00CC13AC"/>
    <w:rsid w:val="00CC220F"/>
    <w:rsid w:val="00CC2AFE"/>
    <w:rsid w:val="00CC42B8"/>
    <w:rsid w:val="00CC4F06"/>
    <w:rsid w:val="00CC5F48"/>
    <w:rsid w:val="00CC7641"/>
    <w:rsid w:val="00CD1803"/>
    <w:rsid w:val="00CD2E70"/>
    <w:rsid w:val="00CD33DA"/>
    <w:rsid w:val="00CD426F"/>
    <w:rsid w:val="00CE0398"/>
    <w:rsid w:val="00CE0B46"/>
    <w:rsid w:val="00CE4EFB"/>
    <w:rsid w:val="00CE7D19"/>
    <w:rsid w:val="00CF0681"/>
    <w:rsid w:val="00CF0B57"/>
    <w:rsid w:val="00CF2515"/>
    <w:rsid w:val="00CF3C89"/>
    <w:rsid w:val="00CF3E79"/>
    <w:rsid w:val="00D02C6E"/>
    <w:rsid w:val="00D06458"/>
    <w:rsid w:val="00D074A2"/>
    <w:rsid w:val="00D13794"/>
    <w:rsid w:val="00D13F94"/>
    <w:rsid w:val="00D218E7"/>
    <w:rsid w:val="00D24052"/>
    <w:rsid w:val="00D24386"/>
    <w:rsid w:val="00D31575"/>
    <w:rsid w:val="00D31A89"/>
    <w:rsid w:val="00D34626"/>
    <w:rsid w:val="00D34FB4"/>
    <w:rsid w:val="00D359BA"/>
    <w:rsid w:val="00D4003E"/>
    <w:rsid w:val="00D4257A"/>
    <w:rsid w:val="00D456A9"/>
    <w:rsid w:val="00D47608"/>
    <w:rsid w:val="00D52798"/>
    <w:rsid w:val="00D5468A"/>
    <w:rsid w:val="00D546AC"/>
    <w:rsid w:val="00D56871"/>
    <w:rsid w:val="00D60A11"/>
    <w:rsid w:val="00D61745"/>
    <w:rsid w:val="00D6225A"/>
    <w:rsid w:val="00D62665"/>
    <w:rsid w:val="00D645AC"/>
    <w:rsid w:val="00D66C71"/>
    <w:rsid w:val="00D66D7C"/>
    <w:rsid w:val="00D70205"/>
    <w:rsid w:val="00D71C65"/>
    <w:rsid w:val="00D72199"/>
    <w:rsid w:val="00D735EF"/>
    <w:rsid w:val="00D75A44"/>
    <w:rsid w:val="00D7609F"/>
    <w:rsid w:val="00D81039"/>
    <w:rsid w:val="00D81AA7"/>
    <w:rsid w:val="00D82E47"/>
    <w:rsid w:val="00D84A01"/>
    <w:rsid w:val="00D87985"/>
    <w:rsid w:val="00D91631"/>
    <w:rsid w:val="00D93BC2"/>
    <w:rsid w:val="00D977EA"/>
    <w:rsid w:val="00DA37E0"/>
    <w:rsid w:val="00DA7D87"/>
    <w:rsid w:val="00DB148C"/>
    <w:rsid w:val="00DB1A31"/>
    <w:rsid w:val="00DB202E"/>
    <w:rsid w:val="00DB2E5A"/>
    <w:rsid w:val="00DB4F78"/>
    <w:rsid w:val="00DB56DD"/>
    <w:rsid w:val="00DB6311"/>
    <w:rsid w:val="00DB7F5D"/>
    <w:rsid w:val="00DC027B"/>
    <w:rsid w:val="00DC0CDE"/>
    <w:rsid w:val="00DC1A85"/>
    <w:rsid w:val="00DC4350"/>
    <w:rsid w:val="00DC498E"/>
    <w:rsid w:val="00DC4D72"/>
    <w:rsid w:val="00DC6525"/>
    <w:rsid w:val="00DC7018"/>
    <w:rsid w:val="00DC7571"/>
    <w:rsid w:val="00DD12B0"/>
    <w:rsid w:val="00DD5610"/>
    <w:rsid w:val="00DE123E"/>
    <w:rsid w:val="00DE60DB"/>
    <w:rsid w:val="00DE6B7C"/>
    <w:rsid w:val="00DE7225"/>
    <w:rsid w:val="00DF0CB3"/>
    <w:rsid w:val="00DF494C"/>
    <w:rsid w:val="00DF6D0B"/>
    <w:rsid w:val="00DF7E0D"/>
    <w:rsid w:val="00E0624D"/>
    <w:rsid w:val="00E15432"/>
    <w:rsid w:val="00E15942"/>
    <w:rsid w:val="00E179D4"/>
    <w:rsid w:val="00E20023"/>
    <w:rsid w:val="00E31A99"/>
    <w:rsid w:val="00E329CD"/>
    <w:rsid w:val="00E32F86"/>
    <w:rsid w:val="00E353A3"/>
    <w:rsid w:val="00E35C35"/>
    <w:rsid w:val="00E35C9D"/>
    <w:rsid w:val="00E37FF7"/>
    <w:rsid w:val="00E4438C"/>
    <w:rsid w:val="00E457F3"/>
    <w:rsid w:val="00E475B9"/>
    <w:rsid w:val="00E50663"/>
    <w:rsid w:val="00E50E15"/>
    <w:rsid w:val="00E55075"/>
    <w:rsid w:val="00E553A9"/>
    <w:rsid w:val="00E559A7"/>
    <w:rsid w:val="00E55F9B"/>
    <w:rsid w:val="00E576F5"/>
    <w:rsid w:val="00E57A6A"/>
    <w:rsid w:val="00E602BE"/>
    <w:rsid w:val="00E62A8E"/>
    <w:rsid w:val="00E633EC"/>
    <w:rsid w:val="00E66B09"/>
    <w:rsid w:val="00E71B3C"/>
    <w:rsid w:val="00E73CC1"/>
    <w:rsid w:val="00E74C7A"/>
    <w:rsid w:val="00E84E3F"/>
    <w:rsid w:val="00E86357"/>
    <w:rsid w:val="00E87284"/>
    <w:rsid w:val="00E92130"/>
    <w:rsid w:val="00E96DEA"/>
    <w:rsid w:val="00E97664"/>
    <w:rsid w:val="00EA4DD8"/>
    <w:rsid w:val="00EA5DDA"/>
    <w:rsid w:val="00EA619A"/>
    <w:rsid w:val="00EA6CA6"/>
    <w:rsid w:val="00EA7959"/>
    <w:rsid w:val="00EB2AEF"/>
    <w:rsid w:val="00EB2BED"/>
    <w:rsid w:val="00EB486C"/>
    <w:rsid w:val="00EB793C"/>
    <w:rsid w:val="00EB7E71"/>
    <w:rsid w:val="00EC6B0E"/>
    <w:rsid w:val="00EC7569"/>
    <w:rsid w:val="00ED1032"/>
    <w:rsid w:val="00ED123E"/>
    <w:rsid w:val="00ED1F15"/>
    <w:rsid w:val="00ED216B"/>
    <w:rsid w:val="00ED5162"/>
    <w:rsid w:val="00ED68EB"/>
    <w:rsid w:val="00EE1DDA"/>
    <w:rsid w:val="00EF2788"/>
    <w:rsid w:val="00EF3103"/>
    <w:rsid w:val="00EF52BD"/>
    <w:rsid w:val="00EF6E9B"/>
    <w:rsid w:val="00EF7714"/>
    <w:rsid w:val="00F023DB"/>
    <w:rsid w:val="00F109D4"/>
    <w:rsid w:val="00F10A6F"/>
    <w:rsid w:val="00F15EE9"/>
    <w:rsid w:val="00F236BC"/>
    <w:rsid w:val="00F24736"/>
    <w:rsid w:val="00F27344"/>
    <w:rsid w:val="00F343AA"/>
    <w:rsid w:val="00F34D49"/>
    <w:rsid w:val="00F37B58"/>
    <w:rsid w:val="00F4241B"/>
    <w:rsid w:val="00F43E0D"/>
    <w:rsid w:val="00F46704"/>
    <w:rsid w:val="00F46C17"/>
    <w:rsid w:val="00F47585"/>
    <w:rsid w:val="00F6249C"/>
    <w:rsid w:val="00F641D2"/>
    <w:rsid w:val="00F678B8"/>
    <w:rsid w:val="00F67A6D"/>
    <w:rsid w:val="00F7078E"/>
    <w:rsid w:val="00F71A6D"/>
    <w:rsid w:val="00F75BDB"/>
    <w:rsid w:val="00F81232"/>
    <w:rsid w:val="00F82360"/>
    <w:rsid w:val="00F8291C"/>
    <w:rsid w:val="00F84EB1"/>
    <w:rsid w:val="00F85E6F"/>
    <w:rsid w:val="00F95449"/>
    <w:rsid w:val="00FA0A97"/>
    <w:rsid w:val="00FA0F77"/>
    <w:rsid w:val="00FA1942"/>
    <w:rsid w:val="00FA380A"/>
    <w:rsid w:val="00FA51A1"/>
    <w:rsid w:val="00FA5943"/>
    <w:rsid w:val="00FB4FCF"/>
    <w:rsid w:val="00FC15D2"/>
    <w:rsid w:val="00FC1DC3"/>
    <w:rsid w:val="00FC2CB5"/>
    <w:rsid w:val="00FC38D9"/>
    <w:rsid w:val="00FC3A8F"/>
    <w:rsid w:val="00FC595E"/>
    <w:rsid w:val="00FD03F6"/>
    <w:rsid w:val="00FD10FD"/>
    <w:rsid w:val="00FD11D3"/>
    <w:rsid w:val="00FD19F7"/>
    <w:rsid w:val="00FD2DDB"/>
    <w:rsid w:val="00FD2FBE"/>
    <w:rsid w:val="00FD42FA"/>
    <w:rsid w:val="00FD7402"/>
    <w:rsid w:val="00FD7DD5"/>
    <w:rsid w:val="00FE00F5"/>
    <w:rsid w:val="00FE04E4"/>
    <w:rsid w:val="00FE07BB"/>
    <w:rsid w:val="00FE08A9"/>
    <w:rsid w:val="00FE213D"/>
    <w:rsid w:val="00FE2410"/>
    <w:rsid w:val="00FE2DD7"/>
    <w:rsid w:val="00FE5597"/>
    <w:rsid w:val="00FE73F9"/>
    <w:rsid w:val="00FE76A3"/>
    <w:rsid w:val="00FF1057"/>
    <w:rsid w:val="00FF3E25"/>
    <w:rsid w:val="00FF4A30"/>
    <w:rsid w:val="00FF5FD8"/>
    <w:rsid w:val="00FF7207"/>
    <w:rsid w:val="05D41E5D"/>
    <w:rsid w:val="06BC45DC"/>
    <w:rsid w:val="08200EAE"/>
    <w:rsid w:val="0840C800"/>
    <w:rsid w:val="084466F6"/>
    <w:rsid w:val="089BCB95"/>
    <w:rsid w:val="0CB4FBE8"/>
    <w:rsid w:val="101540A6"/>
    <w:rsid w:val="13BE40CA"/>
    <w:rsid w:val="15C2E355"/>
    <w:rsid w:val="178C9091"/>
    <w:rsid w:val="1991114A"/>
    <w:rsid w:val="1BDC817E"/>
    <w:rsid w:val="1CEEEFF5"/>
    <w:rsid w:val="1D0EDCF8"/>
    <w:rsid w:val="1DACEFAE"/>
    <w:rsid w:val="21838C3A"/>
    <w:rsid w:val="22DED9F5"/>
    <w:rsid w:val="2338605D"/>
    <w:rsid w:val="28158F32"/>
    <w:rsid w:val="29AC0CB8"/>
    <w:rsid w:val="2B291BAF"/>
    <w:rsid w:val="3008AB9F"/>
    <w:rsid w:val="3404EDE6"/>
    <w:rsid w:val="34066D82"/>
    <w:rsid w:val="34BB21C0"/>
    <w:rsid w:val="35298459"/>
    <w:rsid w:val="37B74F34"/>
    <w:rsid w:val="3FD93783"/>
    <w:rsid w:val="41CC1886"/>
    <w:rsid w:val="44ED2129"/>
    <w:rsid w:val="44F8BAF1"/>
    <w:rsid w:val="47C1B2F0"/>
    <w:rsid w:val="4A20C715"/>
    <w:rsid w:val="50A1F801"/>
    <w:rsid w:val="517AFF55"/>
    <w:rsid w:val="5A6900AF"/>
    <w:rsid w:val="5B02E6DC"/>
    <w:rsid w:val="5BDE4F62"/>
    <w:rsid w:val="5C65F318"/>
    <w:rsid w:val="5C6A6ECB"/>
    <w:rsid w:val="5D3869C4"/>
    <w:rsid w:val="5E465646"/>
    <w:rsid w:val="5EC872C2"/>
    <w:rsid w:val="5F1152B5"/>
    <w:rsid w:val="6216B450"/>
    <w:rsid w:val="6457B048"/>
    <w:rsid w:val="659FF087"/>
    <w:rsid w:val="67C74F8A"/>
    <w:rsid w:val="682BE2B2"/>
    <w:rsid w:val="68D66050"/>
    <w:rsid w:val="693AE71B"/>
    <w:rsid w:val="6CB4805A"/>
    <w:rsid w:val="6DA20276"/>
    <w:rsid w:val="718DA2F0"/>
    <w:rsid w:val="73DF2B75"/>
    <w:rsid w:val="751DA8FF"/>
    <w:rsid w:val="78F431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8274"/>
  <w15:docId w15:val="{8B4C7255-516C-4DE1-9AE9-42C10E8B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Mention">
    <w:name w:val="Mention"/>
    <w:basedOn w:val="DefaultParagraphFont"/>
    <w:uiPriority w:val="99"/>
    <w:unhideWhenUsed/>
    <w:rsid w:val="00A132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E0D0182A2B4C78BEE09E96960407A0"/>
        <w:category>
          <w:name w:val="General"/>
          <w:gallery w:val="placeholder"/>
        </w:category>
        <w:types>
          <w:type w:val="bbPlcHdr"/>
        </w:types>
        <w:behaviors>
          <w:behavior w:val="content"/>
        </w:behaviors>
        <w:guid w:val="{848E7A97-DFD7-44C1-AC6A-35EB17E22B00}"/>
      </w:docPartPr>
      <w:docPartBody>
        <w:p w:rsidR="003B6786" w:rsidRDefault="009F52D2">
          <w:pPr>
            <w:pStyle w:val="D0E0D0182A2B4C78BEE09E96960407A0"/>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86"/>
    <w:rsid w:val="00076F39"/>
    <w:rsid w:val="002811A9"/>
    <w:rsid w:val="00366157"/>
    <w:rsid w:val="003B6786"/>
    <w:rsid w:val="00404AFC"/>
    <w:rsid w:val="007356FF"/>
    <w:rsid w:val="008D42EC"/>
    <w:rsid w:val="009377E8"/>
    <w:rsid w:val="009B2817"/>
    <w:rsid w:val="009C3BF5"/>
    <w:rsid w:val="009F52D2"/>
    <w:rsid w:val="00A30A5C"/>
    <w:rsid w:val="00D247ED"/>
    <w:rsid w:val="00E50E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E0D0182A2B4C78BEE09E96960407A0">
    <w:name w:val="D0E0D0182A2B4C78BEE09E9696040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1dadd02a21796adf5f95e981a54a9446">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7333c75b25f4fe63b9948aa3c7ec179b"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S574FYTY5PW6-969949929-2252</_dlc_DocId>
    <_dlc_DocIdUrl xmlns="fe39d773-a83d-4623-ae74-f25711a76616">
      <Url>https://austreasury.sharepoint.com/sites/leg-cord-function/_layouts/15/DocIdRedir.aspx?ID=S574FYTY5PW6-969949929-2252</Url>
      <Description>S574FYTY5PW6-969949929-2252</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BA87E74F-6576-491D-8CF2-39917638D00A}"/>
</file>

<file path=customXml/itemProps2.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2006/metadata/properties"/>
    <ds:schemaRef ds:uri="http://purl.org/dc/terms/"/>
    <ds:schemaRef ds:uri="http://purl.org/dc/dcmitype/"/>
    <ds:schemaRef ds:uri="fe39d773-a83d-4623-ae74-f25711a76616"/>
    <ds:schemaRef ds:uri="http://schemas.openxmlformats.org/package/2006/metadata/core-properties"/>
    <ds:schemaRef ds:uri="http://purl.org/dc/elements/1.1/"/>
    <ds:schemaRef ds:uri="ff38c824-6e29-4496-8487-69f397e7ed29"/>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5</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Lai, Tony</dc:creator>
  <cp:keywords/>
  <dc:description/>
  <cp:lastModifiedBy>Cuming, Anita</cp:lastModifiedBy>
  <cp:revision>2</cp:revision>
  <cp:lastPrinted>2019-02-17T23:23:00Z</cp:lastPrinted>
  <dcterms:created xsi:type="dcterms:W3CDTF">2025-02-14T00:34:00Z</dcterms:created>
  <dcterms:modified xsi:type="dcterms:W3CDTF">2025-02-14T00:34:00Z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0x0101003ECC5A3B3DB5EC46B1D76B9A37FC826900E969BE2F7B1AE24D9EF5D8700B1FECCB</vt:lpwstr>
  </property>
  <property fmtid="{D5CDD505-2E9C-101B-9397-08002B2CF9AE}" pid="4" name="TSYRecordClass">
    <vt:lpwstr>1;#AE-20260-Destroy 7 years after action completed|623f5ec9-ec5d-4824-8e13-9c9bfc51fe7e</vt:lpwstr>
  </property>
  <property fmtid="{D5CDD505-2E9C-101B-9397-08002B2CF9AE}" pid="5" name="_dlc_DocIdItemGuid">
    <vt:lpwstr>98eeaa25-02d5-4653-8a65-ef538ecbaa0b</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eActivity">
    <vt:lpwstr>35;#Legislation management|cb630f2f-9155-496b-ad0f-d960eb1bf90c</vt:lpwstr>
  </property>
  <property fmtid="{D5CDD505-2E9C-101B-9397-08002B2CF9AE}" pid="21" name="e4fe7dcdd1c0411bbf19a4de3665191f">
    <vt:lpwstr>Legislation management|cb630f2f-9155-496b-ad0f-d960eb1bf90c</vt:lpwstr>
  </property>
  <property fmtid="{D5CDD505-2E9C-101B-9397-08002B2CF9AE}" pid="22" name="gfba5f33532c49208d2320ce38cc3c2b">
    <vt:lpwstr>Legislation Coordination|58c6712e-e847-48f4-81ab-b25e2bbd3986</vt:lpwstr>
  </property>
  <property fmtid="{D5CDD505-2E9C-101B-9397-08002B2CF9AE}" pid="23" name="Activity">
    <vt:lpwstr>35;#Legislation management|cb630f2f-9155-496b-ad0f-d960eb1bf90c</vt:lpwstr>
  </property>
  <property fmtid="{D5CDD505-2E9C-101B-9397-08002B2CF9AE}" pid="24" name="Topic">
    <vt:lpwstr>36;#Legislation Coordination|58c6712e-e847-48f4-81ab-b25e2bbd3986</vt:lpwstr>
  </property>
  <property fmtid="{D5CDD505-2E9C-101B-9397-08002B2CF9AE}" pid="25" name="Document_x0020_Type">
    <vt:lpwstr>42;#Legislation|25c35cca-98fe-4d3e-a63c-3dda1c39f3ec</vt:lpwstr>
  </property>
  <property fmtid="{D5CDD505-2E9C-101B-9397-08002B2CF9AE}" pid="26" name="Document Type">
    <vt:lpwstr>42;#Legislation|25c35cca-98fe-4d3e-a63c-3dda1c39f3ec</vt:lpwstr>
  </property>
</Properties>
</file>