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D07C5" w14:textId="77777777" w:rsidR="006E4DD8" w:rsidRPr="00260DB8" w:rsidRDefault="006E4DD8" w:rsidP="00DB6594">
      <w:pPr>
        <w:spacing w:before="240" w:after="240" w:line="276" w:lineRule="auto"/>
        <w:jc w:val="center"/>
        <w:rPr>
          <w:b/>
          <w:u w:val="single"/>
          <w:lang w:eastAsia="en-AU"/>
        </w:rPr>
      </w:pPr>
      <w:r w:rsidRPr="00260DB8">
        <w:rPr>
          <w:b/>
          <w:u w:val="single"/>
          <w:lang w:eastAsia="en-AU"/>
        </w:rPr>
        <w:t>EXPLANATORY STATEMENT</w:t>
      </w:r>
    </w:p>
    <w:p w14:paraId="419F34A2" w14:textId="77777777" w:rsidR="006E4DD8" w:rsidRPr="00260DB8" w:rsidRDefault="006E4DD8" w:rsidP="00DB6594">
      <w:pPr>
        <w:spacing w:before="240" w:after="240" w:line="276" w:lineRule="auto"/>
        <w:jc w:val="center"/>
      </w:pPr>
      <w:r w:rsidRPr="00260DB8">
        <w:t xml:space="preserve">Issued by authority of the Minister for </w:t>
      </w:r>
      <w:r w:rsidR="00D57940" w:rsidRPr="00260DB8">
        <w:t>Emergency Management</w:t>
      </w:r>
    </w:p>
    <w:p w14:paraId="13B2F8EE" w14:textId="77777777" w:rsidR="006E4DD8" w:rsidRPr="00260DB8" w:rsidRDefault="00D57940" w:rsidP="00DB6594">
      <w:pPr>
        <w:spacing w:before="240" w:after="240" w:line="276" w:lineRule="auto"/>
        <w:ind w:left="1440" w:hanging="1440"/>
        <w:jc w:val="center"/>
      </w:pPr>
      <w:r w:rsidRPr="00260DB8">
        <w:rPr>
          <w:i/>
          <w:lang w:eastAsia="en-AU"/>
        </w:rPr>
        <w:t>Social Security Act 1991</w:t>
      </w:r>
    </w:p>
    <w:p w14:paraId="54048047" w14:textId="7F8BCEC1" w:rsidR="006E4DD8" w:rsidRDefault="0033657E" w:rsidP="00620606">
      <w:pPr>
        <w:spacing w:before="240" w:after="240" w:line="276" w:lineRule="auto"/>
        <w:ind w:left="2160" w:hanging="1440"/>
        <w:rPr>
          <w:b/>
          <w:i/>
        </w:rPr>
      </w:pPr>
      <w:r w:rsidRPr="0033657E">
        <w:rPr>
          <w:b/>
          <w:i/>
        </w:rPr>
        <w:t>Social Security (Australian Government Disaster Recovery Payment—</w:t>
      </w:r>
      <w:r w:rsidR="00620606">
        <w:rPr>
          <w:b/>
          <w:i/>
        </w:rPr>
        <w:t>North Queensland Floods</w:t>
      </w:r>
      <w:r w:rsidR="00364674">
        <w:rPr>
          <w:b/>
          <w:i/>
        </w:rPr>
        <w:t>) Determination</w:t>
      </w:r>
      <w:r w:rsidR="00617667">
        <w:rPr>
          <w:b/>
          <w:i/>
        </w:rPr>
        <w:t xml:space="preserve"> </w:t>
      </w:r>
      <w:r w:rsidR="009A7C53">
        <w:rPr>
          <w:b/>
          <w:i/>
        </w:rPr>
        <w:t xml:space="preserve">(No. </w:t>
      </w:r>
      <w:r w:rsidR="002D23E2">
        <w:rPr>
          <w:b/>
          <w:i/>
        </w:rPr>
        <w:t>4</w:t>
      </w:r>
      <w:r w:rsidR="009A7C53">
        <w:rPr>
          <w:b/>
          <w:i/>
        </w:rPr>
        <w:t xml:space="preserve">) </w:t>
      </w:r>
      <w:r w:rsidR="00617667">
        <w:rPr>
          <w:b/>
          <w:i/>
        </w:rPr>
        <w:t>20</w:t>
      </w:r>
      <w:r w:rsidR="00620606" w:rsidRPr="00620606">
        <w:rPr>
          <w:b/>
          <w:i/>
        </w:rPr>
        <w:t>25</w:t>
      </w:r>
    </w:p>
    <w:p w14:paraId="4BB9F803" w14:textId="77777777" w:rsidR="006E4DD8" w:rsidRPr="00260DB8" w:rsidRDefault="006E4DD8" w:rsidP="00DB6594">
      <w:pPr>
        <w:pStyle w:val="Heading3"/>
      </w:pPr>
      <w:r w:rsidRPr="0069263E">
        <w:t>Legislative</w:t>
      </w:r>
      <w:r w:rsidRPr="00260DB8">
        <w:t xml:space="preserve"> Authority</w:t>
      </w:r>
    </w:p>
    <w:p w14:paraId="386C6B39" w14:textId="77777777" w:rsidR="00446530" w:rsidRPr="00DB6594" w:rsidRDefault="00446530" w:rsidP="00DB6594">
      <w:pPr>
        <w:pStyle w:val="ESpara0"/>
      </w:pPr>
      <w:r w:rsidRPr="00DB6594">
        <w:t>The Australian Government Disaster Recovery Payment (AGD</w:t>
      </w:r>
      <w:r w:rsidR="00C93753" w:rsidRPr="00DB6594">
        <w:t>RP</w:t>
      </w:r>
      <w:r w:rsidRPr="00DB6594">
        <w:t>) provides an immediate, one-off payment to a person adversely affected by a major disaster.</w:t>
      </w:r>
    </w:p>
    <w:p w14:paraId="325A4545" w14:textId="77777777" w:rsidR="00446530" w:rsidRPr="00DB6594" w:rsidRDefault="00446530" w:rsidP="00DB6594">
      <w:pPr>
        <w:pStyle w:val="ESpara0"/>
        <w:rPr>
          <w:color w:val="000000"/>
          <w:shd w:val="clear" w:color="auto" w:fill="FFFFFF"/>
        </w:rPr>
      </w:pPr>
      <w:r w:rsidRPr="00DB6594">
        <w:rPr>
          <w:color w:val="000000"/>
          <w:shd w:val="clear" w:color="auto" w:fill="FFFFFF"/>
        </w:rPr>
        <w:t xml:space="preserve">Section 1061K of </w:t>
      </w:r>
      <w:r w:rsidR="00D66352" w:rsidRPr="00DB6594">
        <w:rPr>
          <w:color w:val="000000"/>
          <w:shd w:val="clear" w:color="auto" w:fill="FFFFFF"/>
        </w:rPr>
        <w:t xml:space="preserve">the </w:t>
      </w:r>
      <w:r w:rsidR="00D66352" w:rsidRPr="00DB6594">
        <w:rPr>
          <w:i/>
        </w:rPr>
        <w:t>Social Security Act 1991</w:t>
      </w:r>
      <w:r w:rsidR="00D66352" w:rsidRPr="00260DB8">
        <w:t xml:space="preserve"> (the Act)</w:t>
      </w:r>
      <w:r w:rsidRPr="00DB6594">
        <w:rPr>
          <w:color w:val="000000"/>
          <w:shd w:val="clear" w:color="auto" w:fill="FFFFFF"/>
        </w:rPr>
        <w:t xml:space="preserve"> specifies the qualification criteria for the AGDRP. One of the qualification criteria requires a person to be ‘adversely affected by a major disaster’.</w:t>
      </w:r>
    </w:p>
    <w:p w14:paraId="4C20408E" w14:textId="77777777" w:rsidR="00446530" w:rsidRPr="00DB6594" w:rsidRDefault="00446530" w:rsidP="00DB6594">
      <w:pPr>
        <w:pStyle w:val="ESpara0"/>
        <w:rPr>
          <w:color w:val="000000"/>
          <w:shd w:val="clear" w:color="auto" w:fill="FFFFFF"/>
        </w:rPr>
      </w:pPr>
      <w:r w:rsidRPr="00DB6594">
        <w:rPr>
          <w:color w:val="000000"/>
          <w:shd w:val="clear" w:color="auto" w:fill="FFFFFF"/>
        </w:rPr>
        <w:t xml:space="preserve">Subsection </w:t>
      </w:r>
      <w:proofErr w:type="gramStart"/>
      <w:r w:rsidRPr="00DB6594">
        <w:rPr>
          <w:color w:val="000000"/>
          <w:shd w:val="clear" w:color="auto" w:fill="FFFFFF"/>
        </w:rPr>
        <w:t>1061L(</w:t>
      </w:r>
      <w:proofErr w:type="gramEnd"/>
      <w:r w:rsidRPr="00DB6594">
        <w:rPr>
          <w:color w:val="000000"/>
          <w:shd w:val="clear" w:color="auto" w:fill="FFFFFF"/>
        </w:rPr>
        <w:t>1) of the Act provides that, for the Act, a person is adversely affected by a major disaster if the person is affected by the major disaster in a way determined by the Minister.</w:t>
      </w:r>
    </w:p>
    <w:p w14:paraId="0C597549" w14:textId="77777777" w:rsidR="00446530" w:rsidRPr="00DB6594" w:rsidRDefault="00645A65" w:rsidP="00DB6594">
      <w:pPr>
        <w:pStyle w:val="ESpara0"/>
        <w:rPr>
          <w:color w:val="000000"/>
        </w:rPr>
      </w:pPr>
      <w:r w:rsidRPr="00DB6594">
        <w:rPr>
          <w:color w:val="000000"/>
        </w:rPr>
        <w:t>Subsection 1061L(2) of the Act provides that the Minister may determine in writing, for a major disaster, the circumstances in which persons are to be taken to be adversely affected by the major disaster.</w:t>
      </w:r>
    </w:p>
    <w:p w14:paraId="5EF521FF" w14:textId="77777777" w:rsidR="00610011" w:rsidRPr="00260DB8" w:rsidRDefault="00610011" w:rsidP="00DB6594">
      <w:pPr>
        <w:pStyle w:val="ESpara0"/>
      </w:pPr>
      <w:r w:rsidRPr="00DB6594">
        <w:rPr>
          <w:color w:val="000000"/>
        </w:rPr>
        <w:t>Subsection 36(1) of the Act empowers the Minister to determine in writing that an event is a major disaster if the Minister is satisfied that an event is a disaster that has such a significant impact on individuals that a government response is required, or the event is an emergency to which a national emergency declaration relates.</w:t>
      </w:r>
    </w:p>
    <w:p w14:paraId="7D26217A" w14:textId="77777777" w:rsidR="006E4DD8" w:rsidRPr="00260DB8" w:rsidRDefault="006E4DD8" w:rsidP="00DB6594">
      <w:pPr>
        <w:pStyle w:val="Heading3"/>
      </w:pPr>
      <w:r w:rsidRPr="00D66352">
        <w:t>Background</w:t>
      </w:r>
    </w:p>
    <w:p w14:paraId="020D1CF1" w14:textId="4D78460A" w:rsidR="009F50ED" w:rsidRDefault="00126D10" w:rsidP="00126D10">
      <w:pPr>
        <w:pStyle w:val="ESpara0"/>
        <w:rPr>
          <w:color w:val="000000"/>
        </w:rPr>
      </w:pPr>
      <w:r>
        <w:rPr>
          <w:color w:val="000000"/>
        </w:rPr>
        <w:t xml:space="preserve">The Minister for Emergency Management has made a determination under subsection 36(1) of the Act that the North Queensland floods that commenced on 29 January 2025, and have significantly affected the localities of Cardwell and Giru, and the </w:t>
      </w:r>
      <w:r w:rsidR="00534229">
        <w:rPr>
          <w:color w:val="000000"/>
        </w:rPr>
        <w:t>l</w:t>
      </w:r>
      <w:r w:rsidR="009F50ED">
        <w:rPr>
          <w:color w:val="000000"/>
        </w:rPr>
        <w:t xml:space="preserve">ocal </w:t>
      </w:r>
      <w:r w:rsidR="00534229">
        <w:rPr>
          <w:color w:val="000000"/>
        </w:rPr>
        <w:t>g</w:t>
      </w:r>
      <w:r w:rsidR="009F50ED">
        <w:rPr>
          <w:color w:val="000000"/>
        </w:rPr>
        <w:t xml:space="preserve">overnment </w:t>
      </w:r>
      <w:r w:rsidR="00534229">
        <w:rPr>
          <w:color w:val="000000"/>
        </w:rPr>
        <w:t>a</w:t>
      </w:r>
      <w:bookmarkStart w:id="0" w:name="_GoBack"/>
      <w:bookmarkEnd w:id="0"/>
      <w:r w:rsidR="009F50ED">
        <w:rPr>
          <w:color w:val="000000"/>
        </w:rPr>
        <w:t xml:space="preserve">rea </w:t>
      </w:r>
      <w:r w:rsidR="00485BF7">
        <w:rPr>
          <w:color w:val="000000"/>
        </w:rPr>
        <w:t xml:space="preserve">(LGA) </w:t>
      </w:r>
      <w:r>
        <w:rPr>
          <w:color w:val="000000"/>
        </w:rPr>
        <w:t>of the Shire of Hinchinbrook, are a major disaster.</w:t>
      </w:r>
      <w:r w:rsidR="009A7C53">
        <w:rPr>
          <w:color w:val="000000"/>
        </w:rPr>
        <w:t xml:space="preserve"> </w:t>
      </w:r>
    </w:p>
    <w:p w14:paraId="0FD716DA" w14:textId="41DE23B8" w:rsidR="00BF4739" w:rsidRDefault="00485BF7" w:rsidP="00126D10">
      <w:pPr>
        <w:pStyle w:val="ESpara0"/>
        <w:rPr>
          <w:color w:val="000000"/>
        </w:rPr>
      </w:pPr>
      <w:r>
        <w:rPr>
          <w:color w:val="000000"/>
        </w:rPr>
        <w:t xml:space="preserve">On 7 February 2025, the </w:t>
      </w:r>
      <w:r w:rsidR="009A7C53">
        <w:rPr>
          <w:color w:val="000000"/>
        </w:rPr>
        <w:t>Minister made a</w:t>
      </w:r>
      <w:r w:rsidR="00651B6A">
        <w:rPr>
          <w:color w:val="000000"/>
        </w:rPr>
        <w:t xml:space="preserve"> further</w:t>
      </w:r>
      <w:r w:rsidR="009A7C53">
        <w:rPr>
          <w:color w:val="000000"/>
        </w:rPr>
        <w:t xml:space="preserve"> determination under subsection 36(1) of the Act to </w:t>
      </w:r>
      <w:r w:rsidR="00651B6A">
        <w:rPr>
          <w:color w:val="000000"/>
        </w:rPr>
        <w:t xml:space="preserve">determine that the major disaster also </w:t>
      </w:r>
      <w:r w:rsidR="009A7C53">
        <w:rPr>
          <w:color w:val="000000"/>
        </w:rPr>
        <w:t>extend</w:t>
      </w:r>
      <w:r w:rsidR="00651B6A">
        <w:rPr>
          <w:color w:val="000000"/>
        </w:rPr>
        <w:t>s to</w:t>
      </w:r>
      <w:r>
        <w:rPr>
          <w:color w:val="000000"/>
        </w:rPr>
        <w:t>;</w:t>
      </w:r>
      <w:r w:rsidR="009A7C53">
        <w:rPr>
          <w:color w:val="000000"/>
        </w:rPr>
        <w:t xml:space="preserve"> </w:t>
      </w:r>
      <w:proofErr w:type="spellStart"/>
      <w:r w:rsidR="009A7C53" w:rsidRPr="009E4DA0">
        <w:rPr>
          <w:color w:val="000000"/>
        </w:rPr>
        <w:t>Carruchan</w:t>
      </w:r>
      <w:proofErr w:type="spellEnd"/>
      <w:r w:rsidR="009A7C53" w:rsidRPr="009E4DA0">
        <w:rPr>
          <w:color w:val="000000"/>
        </w:rPr>
        <w:t xml:space="preserve">, </w:t>
      </w:r>
      <w:proofErr w:type="spellStart"/>
      <w:r w:rsidR="009A7C53" w:rsidRPr="009E4DA0">
        <w:rPr>
          <w:color w:val="000000"/>
        </w:rPr>
        <w:t>Ellerbeck</w:t>
      </w:r>
      <w:proofErr w:type="spellEnd"/>
      <w:r w:rsidR="00991321" w:rsidRPr="009E4DA0">
        <w:rPr>
          <w:color w:val="000000"/>
        </w:rPr>
        <w:t xml:space="preserve"> </w:t>
      </w:r>
      <w:r w:rsidR="009A7C53" w:rsidRPr="009E4DA0">
        <w:rPr>
          <w:color w:val="000000"/>
        </w:rPr>
        <w:t xml:space="preserve">and </w:t>
      </w:r>
      <w:proofErr w:type="spellStart"/>
      <w:r w:rsidR="009A7C53" w:rsidRPr="009E4DA0">
        <w:rPr>
          <w:color w:val="000000"/>
        </w:rPr>
        <w:t>Wongaling</w:t>
      </w:r>
      <w:proofErr w:type="spellEnd"/>
      <w:r w:rsidR="009A7C53" w:rsidRPr="009E4DA0">
        <w:rPr>
          <w:color w:val="000000"/>
        </w:rPr>
        <w:t xml:space="preserve"> Beach in </w:t>
      </w:r>
      <w:r>
        <w:rPr>
          <w:color w:val="000000"/>
        </w:rPr>
        <w:t xml:space="preserve">the </w:t>
      </w:r>
      <w:r w:rsidR="009A7C53" w:rsidRPr="009E4DA0">
        <w:rPr>
          <w:color w:val="000000"/>
        </w:rPr>
        <w:t xml:space="preserve">Cassowary Coast Region </w:t>
      </w:r>
      <w:r>
        <w:rPr>
          <w:color w:val="000000"/>
        </w:rPr>
        <w:t xml:space="preserve">LGA; </w:t>
      </w:r>
      <w:proofErr w:type="spellStart"/>
      <w:r w:rsidR="009A7C53" w:rsidRPr="009E4DA0">
        <w:rPr>
          <w:color w:val="000000"/>
        </w:rPr>
        <w:t>Balgal</w:t>
      </w:r>
      <w:proofErr w:type="spellEnd"/>
      <w:r w:rsidR="009A7C53" w:rsidRPr="009E4DA0">
        <w:rPr>
          <w:color w:val="000000"/>
        </w:rPr>
        <w:t xml:space="preserve"> Beach</w:t>
      </w:r>
      <w:r w:rsidR="00651DCA" w:rsidRPr="009E4DA0">
        <w:rPr>
          <w:color w:val="000000"/>
        </w:rPr>
        <w:t>,</w:t>
      </w:r>
      <w:r w:rsidR="009A7C53" w:rsidRPr="009E4DA0">
        <w:rPr>
          <w:color w:val="000000"/>
        </w:rPr>
        <w:t xml:space="preserve"> Bluewater Park</w:t>
      </w:r>
      <w:r>
        <w:rPr>
          <w:color w:val="000000"/>
        </w:rPr>
        <w:t>,</w:t>
      </w:r>
      <w:r w:rsidR="00651DCA" w:rsidRPr="009E4DA0">
        <w:rPr>
          <w:color w:val="000000"/>
        </w:rPr>
        <w:t xml:space="preserve"> and Paluma</w:t>
      </w:r>
      <w:r w:rsidR="009A7C53" w:rsidRPr="009E4DA0">
        <w:rPr>
          <w:color w:val="000000"/>
        </w:rPr>
        <w:t xml:space="preserve"> in </w:t>
      </w:r>
      <w:r>
        <w:rPr>
          <w:color w:val="000000"/>
        </w:rPr>
        <w:t xml:space="preserve">the </w:t>
      </w:r>
      <w:r w:rsidR="009A7C53" w:rsidRPr="009E4DA0">
        <w:rPr>
          <w:color w:val="000000"/>
        </w:rPr>
        <w:t>Townsville City</w:t>
      </w:r>
      <w:r>
        <w:rPr>
          <w:color w:val="000000"/>
        </w:rPr>
        <w:t xml:space="preserve"> LGA;</w:t>
      </w:r>
      <w:r w:rsidR="00651DCA" w:rsidRPr="009E4DA0">
        <w:rPr>
          <w:color w:val="000000"/>
        </w:rPr>
        <w:t xml:space="preserve"> and Paluma in Charters </w:t>
      </w:r>
      <w:r>
        <w:rPr>
          <w:color w:val="000000"/>
        </w:rPr>
        <w:t xml:space="preserve">the </w:t>
      </w:r>
      <w:r w:rsidR="00651DCA" w:rsidRPr="009E4DA0">
        <w:rPr>
          <w:color w:val="000000"/>
        </w:rPr>
        <w:t>Towers</w:t>
      </w:r>
      <w:r w:rsidR="0022733B" w:rsidRPr="009E4DA0">
        <w:rPr>
          <w:color w:val="000000"/>
        </w:rPr>
        <w:t xml:space="preserve"> Region</w:t>
      </w:r>
      <w:r>
        <w:rPr>
          <w:color w:val="000000"/>
        </w:rPr>
        <w:t xml:space="preserve"> LGA</w:t>
      </w:r>
      <w:r w:rsidR="009A7C53" w:rsidRPr="009E4DA0">
        <w:rPr>
          <w:color w:val="000000"/>
        </w:rPr>
        <w:t>.</w:t>
      </w:r>
      <w:r w:rsidR="009A7C53">
        <w:rPr>
          <w:color w:val="000000"/>
        </w:rPr>
        <w:t xml:space="preserve"> </w:t>
      </w:r>
    </w:p>
    <w:p w14:paraId="78F5CFBC" w14:textId="7C311D4D" w:rsidR="00126D10" w:rsidRDefault="00BF4739" w:rsidP="00126D10">
      <w:pPr>
        <w:pStyle w:val="ESpara0"/>
        <w:rPr>
          <w:color w:val="000000"/>
        </w:rPr>
      </w:pPr>
      <w:r>
        <w:rPr>
          <w:color w:val="000000"/>
        </w:rPr>
        <w:t>A further determination was made on</w:t>
      </w:r>
      <w:r w:rsidR="002D23E2">
        <w:rPr>
          <w:color w:val="000000"/>
        </w:rPr>
        <w:t xml:space="preserve"> </w:t>
      </w:r>
      <w:r w:rsidR="00B30319">
        <w:rPr>
          <w:color w:val="000000"/>
        </w:rPr>
        <w:t>20</w:t>
      </w:r>
      <w:r w:rsidR="002D23E2">
        <w:rPr>
          <w:color w:val="000000"/>
        </w:rPr>
        <w:t xml:space="preserve"> February 2025 </w:t>
      </w:r>
      <w:r>
        <w:rPr>
          <w:color w:val="000000"/>
        </w:rPr>
        <w:t xml:space="preserve">by the </w:t>
      </w:r>
      <w:r w:rsidR="002D23E2">
        <w:rPr>
          <w:color w:val="000000"/>
        </w:rPr>
        <w:t xml:space="preserve">Minister under subsection 36(1) of the Act that the major disaster </w:t>
      </w:r>
      <w:r w:rsidR="002D23E2">
        <w:rPr>
          <w:iCs/>
          <w:color w:val="000000"/>
        </w:rPr>
        <w:t xml:space="preserve">also includes the </w:t>
      </w:r>
      <w:r w:rsidR="009F50ED">
        <w:rPr>
          <w:iCs/>
          <w:color w:val="000000"/>
        </w:rPr>
        <w:t>suburbs/</w:t>
      </w:r>
      <w:r w:rsidR="002D23E2">
        <w:rPr>
          <w:iCs/>
          <w:color w:val="000000"/>
        </w:rPr>
        <w:t xml:space="preserve">localities of </w:t>
      </w:r>
      <w:r w:rsidR="002D23E2" w:rsidRPr="00153AAA">
        <w:rPr>
          <w:color w:val="000000"/>
        </w:rPr>
        <w:t>Kennedy and South Mission Beach</w:t>
      </w:r>
      <w:r w:rsidR="002D23E2" w:rsidRPr="009E4DA0">
        <w:rPr>
          <w:color w:val="000000"/>
        </w:rPr>
        <w:t xml:space="preserve"> in Cassowary Coast Region </w:t>
      </w:r>
      <w:r w:rsidR="002D23E2">
        <w:rPr>
          <w:color w:val="000000"/>
        </w:rPr>
        <w:t>LGA</w:t>
      </w:r>
      <w:r w:rsidR="002D23E2" w:rsidRPr="006F7E68">
        <w:rPr>
          <w:color w:val="000000"/>
        </w:rPr>
        <w:t xml:space="preserve"> </w:t>
      </w:r>
      <w:r w:rsidR="002D23E2">
        <w:rPr>
          <w:color w:val="000000"/>
        </w:rPr>
        <w:t xml:space="preserve">and the </w:t>
      </w:r>
      <w:r w:rsidR="009F50ED">
        <w:rPr>
          <w:color w:val="000000"/>
        </w:rPr>
        <w:t>suburbs/</w:t>
      </w:r>
      <w:r w:rsidR="002D23E2">
        <w:rPr>
          <w:color w:val="000000"/>
        </w:rPr>
        <w:t xml:space="preserve">localities of </w:t>
      </w:r>
      <w:r w:rsidR="002D23E2" w:rsidRPr="00013757">
        <w:rPr>
          <w:color w:val="000000"/>
        </w:rPr>
        <w:t xml:space="preserve">Annandale, Belgian Gardens, Heatley, Hermit Park, </w:t>
      </w:r>
      <w:proofErr w:type="spellStart"/>
      <w:r w:rsidR="002D23E2" w:rsidRPr="00013757">
        <w:rPr>
          <w:color w:val="000000"/>
        </w:rPr>
        <w:t>Rowes</w:t>
      </w:r>
      <w:proofErr w:type="spellEnd"/>
      <w:r w:rsidR="002D23E2" w:rsidRPr="00013757">
        <w:rPr>
          <w:color w:val="000000"/>
        </w:rPr>
        <w:t xml:space="preserve"> Bay, Vincent and Wulguru in </w:t>
      </w:r>
      <w:r w:rsidR="002D23E2">
        <w:rPr>
          <w:color w:val="000000"/>
        </w:rPr>
        <w:t xml:space="preserve">the </w:t>
      </w:r>
      <w:r w:rsidR="002D23E2" w:rsidRPr="00013757">
        <w:rPr>
          <w:color w:val="000000"/>
        </w:rPr>
        <w:t>Townsville City</w:t>
      </w:r>
      <w:r w:rsidR="002D23E2">
        <w:rPr>
          <w:color w:val="000000"/>
        </w:rPr>
        <w:t xml:space="preserve"> LGA.</w:t>
      </w:r>
    </w:p>
    <w:p w14:paraId="55F6724F" w14:textId="033E0A0A" w:rsidR="009F50ED" w:rsidRDefault="00126D10" w:rsidP="00F61743">
      <w:pPr>
        <w:pStyle w:val="listparagraph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>The </w:t>
      </w:r>
      <w:r w:rsidRPr="00126D10">
        <w:rPr>
          <w:i/>
          <w:iCs/>
          <w:color w:val="000000"/>
        </w:rPr>
        <w:t>Social Security (Australian Government Disaster Recovery Payment—North Queensland</w:t>
      </w:r>
      <w:r>
        <w:rPr>
          <w:i/>
          <w:iCs/>
          <w:color w:val="000000"/>
        </w:rPr>
        <w:t xml:space="preserve"> Floods</w:t>
      </w:r>
      <w:r w:rsidRPr="00126D10">
        <w:rPr>
          <w:i/>
          <w:iCs/>
          <w:color w:val="000000"/>
        </w:rPr>
        <w:t>) Determination</w:t>
      </w:r>
      <w:r w:rsidR="009A7C53">
        <w:rPr>
          <w:i/>
          <w:iCs/>
          <w:color w:val="000000"/>
        </w:rPr>
        <w:t xml:space="preserve"> (No. </w:t>
      </w:r>
      <w:r w:rsidR="002D23E2">
        <w:rPr>
          <w:i/>
          <w:iCs/>
          <w:color w:val="000000"/>
        </w:rPr>
        <w:t>4</w:t>
      </w:r>
      <w:r w:rsidR="009A7C53">
        <w:rPr>
          <w:i/>
          <w:iCs/>
          <w:color w:val="000000"/>
        </w:rPr>
        <w:t>)</w:t>
      </w:r>
      <w:r w:rsidRPr="00126D10">
        <w:rPr>
          <w:i/>
          <w:iCs/>
          <w:color w:val="000000"/>
        </w:rPr>
        <w:t xml:space="preserve"> 2025 </w:t>
      </w:r>
      <w:r>
        <w:rPr>
          <w:color w:val="000000"/>
        </w:rPr>
        <w:t>(the Determination)</w:t>
      </w:r>
      <w:r>
        <w:rPr>
          <w:i/>
          <w:iCs/>
          <w:color w:val="000000"/>
        </w:rPr>
        <w:t> </w:t>
      </w:r>
      <w:r>
        <w:rPr>
          <w:color w:val="000000"/>
        </w:rPr>
        <w:t>sets out the circumstances in which a person is ‘adversely affected’ by this major disaster for AGDRP purposes.</w:t>
      </w:r>
      <w:r w:rsidR="009A7C53">
        <w:rPr>
          <w:color w:val="000000"/>
        </w:rPr>
        <w:t xml:space="preserve"> </w:t>
      </w:r>
    </w:p>
    <w:p w14:paraId="01A35168" w14:textId="77777777" w:rsidR="009F50ED" w:rsidRDefault="009F50ED" w:rsidP="00F61743">
      <w:pPr>
        <w:pStyle w:val="listparagraph0"/>
        <w:spacing w:before="0" w:beforeAutospacing="0" w:after="0" w:afterAutospacing="0" w:line="276" w:lineRule="auto"/>
        <w:rPr>
          <w:color w:val="000000"/>
        </w:rPr>
      </w:pPr>
    </w:p>
    <w:p w14:paraId="790AE7B2" w14:textId="4B0143E4" w:rsidR="00126D10" w:rsidRDefault="009A7C53" w:rsidP="00F61743">
      <w:pPr>
        <w:pStyle w:val="listparagraph0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The Determination </w:t>
      </w:r>
      <w:r w:rsidR="00202899">
        <w:rPr>
          <w:color w:val="000000"/>
        </w:rPr>
        <w:t>repeals and replaces</w:t>
      </w:r>
      <w:r>
        <w:rPr>
          <w:color w:val="000000"/>
        </w:rPr>
        <w:t xml:space="preserve"> the </w:t>
      </w:r>
      <w:r w:rsidRPr="00126D10">
        <w:rPr>
          <w:i/>
          <w:iCs/>
          <w:color w:val="000000"/>
        </w:rPr>
        <w:t>Social Security (Australian Government Disaster Recovery Payment—North Queensland</w:t>
      </w:r>
      <w:r>
        <w:rPr>
          <w:i/>
          <w:iCs/>
          <w:color w:val="000000"/>
        </w:rPr>
        <w:t xml:space="preserve"> Floods</w:t>
      </w:r>
      <w:r w:rsidRPr="00126D10">
        <w:rPr>
          <w:i/>
          <w:iCs/>
          <w:color w:val="000000"/>
        </w:rPr>
        <w:t xml:space="preserve">) Determination </w:t>
      </w:r>
      <w:r w:rsidR="00CF25E2">
        <w:rPr>
          <w:i/>
          <w:iCs/>
          <w:color w:val="000000"/>
        </w:rPr>
        <w:t xml:space="preserve">(No. </w:t>
      </w:r>
      <w:r w:rsidR="002D23E2">
        <w:rPr>
          <w:i/>
          <w:iCs/>
          <w:color w:val="000000"/>
        </w:rPr>
        <w:t>3</w:t>
      </w:r>
      <w:r w:rsidR="00CF25E2">
        <w:rPr>
          <w:i/>
          <w:iCs/>
          <w:color w:val="000000"/>
        </w:rPr>
        <w:t xml:space="preserve">) </w:t>
      </w:r>
      <w:r w:rsidRPr="00126D10">
        <w:rPr>
          <w:i/>
          <w:iCs/>
          <w:color w:val="000000"/>
        </w:rPr>
        <w:t>2025</w:t>
      </w:r>
      <w:r w:rsidR="00202899">
        <w:rPr>
          <w:i/>
          <w:iCs/>
          <w:color w:val="000000"/>
        </w:rPr>
        <w:t>,</w:t>
      </w:r>
      <w:r>
        <w:rPr>
          <w:iCs/>
          <w:color w:val="000000"/>
        </w:rPr>
        <w:t xml:space="preserve"> to </w:t>
      </w:r>
      <w:r w:rsidR="00202899">
        <w:rPr>
          <w:iCs/>
          <w:color w:val="000000"/>
        </w:rPr>
        <w:t xml:space="preserve">also </w:t>
      </w:r>
      <w:r>
        <w:rPr>
          <w:iCs/>
          <w:color w:val="000000"/>
        </w:rPr>
        <w:t xml:space="preserve">include </w:t>
      </w:r>
      <w:r w:rsidR="00485BF7">
        <w:rPr>
          <w:iCs/>
          <w:color w:val="000000"/>
        </w:rPr>
        <w:t>the locali</w:t>
      </w:r>
      <w:r w:rsidR="008E13F4">
        <w:rPr>
          <w:iCs/>
          <w:color w:val="000000"/>
        </w:rPr>
        <w:t xml:space="preserve">ty of Groper Creek in the Shire of Burdekin </w:t>
      </w:r>
      <w:r w:rsidR="000728CD">
        <w:rPr>
          <w:iCs/>
          <w:color w:val="000000"/>
        </w:rPr>
        <w:t xml:space="preserve">LGA </w:t>
      </w:r>
      <w:r w:rsidR="008E13F4">
        <w:rPr>
          <w:iCs/>
          <w:color w:val="000000"/>
        </w:rPr>
        <w:t xml:space="preserve">and the </w:t>
      </w:r>
      <w:r w:rsidR="009F50ED">
        <w:rPr>
          <w:iCs/>
          <w:color w:val="000000"/>
        </w:rPr>
        <w:t>suburbs/</w:t>
      </w:r>
      <w:r w:rsidR="008E13F4">
        <w:rPr>
          <w:iCs/>
          <w:color w:val="000000"/>
        </w:rPr>
        <w:t xml:space="preserve">localities of Black River, Condon, Cosgrove, Cranbrook, </w:t>
      </w:r>
      <w:proofErr w:type="spellStart"/>
      <w:r w:rsidR="008E13F4">
        <w:rPr>
          <w:iCs/>
          <w:color w:val="000000"/>
        </w:rPr>
        <w:t>Cungulla</w:t>
      </w:r>
      <w:proofErr w:type="spellEnd"/>
      <w:r w:rsidR="008E13F4">
        <w:rPr>
          <w:iCs/>
          <w:color w:val="000000"/>
        </w:rPr>
        <w:t>, Currajong, Garbutt, Gulliver,</w:t>
      </w:r>
      <w:r w:rsidR="00BF4739">
        <w:rPr>
          <w:iCs/>
          <w:color w:val="000000"/>
        </w:rPr>
        <w:t xml:space="preserve"> Horseshoe Bay</w:t>
      </w:r>
      <w:r w:rsidR="00CE32E7">
        <w:rPr>
          <w:iCs/>
          <w:color w:val="000000"/>
        </w:rPr>
        <w:t xml:space="preserve"> (Magnetic Island)</w:t>
      </w:r>
      <w:r w:rsidR="00BF4739">
        <w:rPr>
          <w:iCs/>
          <w:color w:val="000000"/>
        </w:rPr>
        <w:t>,</w:t>
      </w:r>
      <w:r w:rsidR="008E13F4">
        <w:rPr>
          <w:iCs/>
          <w:color w:val="000000"/>
        </w:rPr>
        <w:t xml:space="preserve"> Mundingburra, Mutarnee, </w:t>
      </w:r>
      <w:r w:rsidR="00BF4739">
        <w:rPr>
          <w:iCs/>
          <w:color w:val="000000"/>
        </w:rPr>
        <w:t>Nelly Bay</w:t>
      </w:r>
      <w:r w:rsidR="00CE32E7">
        <w:rPr>
          <w:iCs/>
          <w:color w:val="000000"/>
        </w:rPr>
        <w:t xml:space="preserve"> (Magnetic Island)</w:t>
      </w:r>
      <w:r w:rsidR="00BF4739">
        <w:rPr>
          <w:iCs/>
          <w:color w:val="000000"/>
        </w:rPr>
        <w:t xml:space="preserve">, </w:t>
      </w:r>
      <w:r w:rsidR="008E13F4">
        <w:rPr>
          <w:iCs/>
          <w:color w:val="000000"/>
        </w:rPr>
        <w:t xml:space="preserve">Nome, North Ward, Oak Valley, Oonoonba, </w:t>
      </w:r>
      <w:r w:rsidR="00BF4739">
        <w:rPr>
          <w:iCs/>
          <w:color w:val="000000"/>
        </w:rPr>
        <w:t>Picnic Bay</w:t>
      </w:r>
      <w:r w:rsidR="00CE32E7">
        <w:rPr>
          <w:iCs/>
          <w:color w:val="000000"/>
        </w:rPr>
        <w:t xml:space="preserve"> (Magnetic Island)</w:t>
      </w:r>
      <w:r w:rsidR="00BF4739">
        <w:rPr>
          <w:iCs/>
          <w:color w:val="000000"/>
        </w:rPr>
        <w:t xml:space="preserve">, </w:t>
      </w:r>
      <w:r w:rsidR="008E13F4">
        <w:rPr>
          <w:iCs/>
          <w:color w:val="000000"/>
        </w:rPr>
        <w:t xml:space="preserve">Railway Estate, Rasmussen, </w:t>
      </w:r>
      <w:proofErr w:type="spellStart"/>
      <w:r w:rsidR="008E13F4">
        <w:rPr>
          <w:iCs/>
          <w:color w:val="000000"/>
        </w:rPr>
        <w:t>Roseneath</w:t>
      </w:r>
      <w:proofErr w:type="spellEnd"/>
      <w:r w:rsidR="008E13F4">
        <w:rPr>
          <w:iCs/>
          <w:color w:val="000000"/>
        </w:rPr>
        <w:t xml:space="preserve">, South Townsville, </w:t>
      </w:r>
      <w:proofErr w:type="spellStart"/>
      <w:r w:rsidR="008E13F4">
        <w:rPr>
          <w:iCs/>
          <w:color w:val="000000"/>
        </w:rPr>
        <w:t>Toolakea</w:t>
      </w:r>
      <w:proofErr w:type="spellEnd"/>
      <w:r w:rsidR="008E13F4">
        <w:rPr>
          <w:iCs/>
          <w:color w:val="000000"/>
        </w:rPr>
        <w:t xml:space="preserve">, </w:t>
      </w:r>
      <w:r w:rsidR="007E5304">
        <w:rPr>
          <w:iCs/>
          <w:color w:val="000000"/>
        </w:rPr>
        <w:t xml:space="preserve">and </w:t>
      </w:r>
      <w:r w:rsidR="008E13F4">
        <w:rPr>
          <w:iCs/>
          <w:color w:val="000000"/>
        </w:rPr>
        <w:t>Townsville City</w:t>
      </w:r>
      <w:r w:rsidR="007E5304">
        <w:rPr>
          <w:iCs/>
          <w:color w:val="000000"/>
        </w:rPr>
        <w:t xml:space="preserve"> </w:t>
      </w:r>
      <w:r w:rsidR="007E5304" w:rsidRPr="00013757">
        <w:rPr>
          <w:color w:val="000000"/>
        </w:rPr>
        <w:t xml:space="preserve">in </w:t>
      </w:r>
      <w:r w:rsidR="007E5304">
        <w:rPr>
          <w:color w:val="000000"/>
        </w:rPr>
        <w:t xml:space="preserve">the </w:t>
      </w:r>
      <w:r w:rsidR="007E5304" w:rsidRPr="00013757">
        <w:rPr>
          <w:color w:val="000000"/>
        </w:rPr>
        <w:t>Townsville City</w:t>
      </w:r>
      <w:r w:rsidR="007E5304">
        <w:rPr>
          <w:color w:val="000000"/>
        </w:rPr>
        <w:t xml:space="preserve"> LGA</w:t>
      </w:r>
      <w:r w:rsidR="008E13F4">
        <w:rPr>
          <w:iCs/>
          <w:color w:val="000000"/>
        </w:rPr>
        <w:t>.</w:t>
      </w:r>
    </w:p>
    <w:p w14:paraId="469B54FE" w14:textId="77777777" w:rsidR="00B30B0E" w:rsidRPr="00322A1B" w:rsidRDefault="00114A10" w:rsidP="00DB6594">
      <w:pPr>
        <w:pStyle w:val="Heading3"/>
      </w:pPr>
      <w:r w:rsidRPr="00322A1B">
        <w:t>Notes on clauses of the Determination</w:t>
      </w:r>
    </w:p>
    <w:p w14:paraId="50186EB6" w14:textId="77777777" w:rsidR="00114A10" w:rsidRPr="00DB6594" w:rsidRDefault="00114A10" w:rsidP="00DB6594">
      <w:pPr>
        <w:pStyle w:val="ESpara0"/>
      </w:pPr>
      <w:r w:rsidRPr="00DB6594">
        <w:t xml:space="preserve">Section 1 </w:t>
      </w:r>
      <w:r w:rsidR="00205387" w:rsidRPr="00DB6594">
        <w:t xml:space="preserve">sets out </w:t>
      </w:r>
      <w:r w:rsidRPr="00DB6594">
        <w:t>the name of the Determination.</w:t>
      </w:r>
    </w:p>
    <w:p w14:paraId="545C1F2C" w14:textId="77777777" w:rsidR="00114A10" w:rsidRPr="00DB6594" w:rsidRDefault="00114A10" w:rsidP="00DB6594">
      <w:pPr>
        <w:pStyle w:val="ESpara0"/>
      </w:pPr>
      <w:r w:rsidRPr="00DB6594">
        <w:t xml:space="preserve">Section 2 provides that the Determination commences immediately after it is signed. For section 12 of the </w:t>
      </w:r>
      <w:r w:rsidRPr="00DB6594">
        <w:rPr>
          <w:i/>
        </w:rPr>
        <w:t>Legislation Act 2003</w:t>
      </w:r>
      <w:r w:rsidRPr="00DB6594">
        <w:t>, the Determination may commence before it is registered as it will not disadvantage any persons adversely affected by the major disaster.</w:t>
      </w:r>
    </w:p>
    <w:p w14:paraId="6D24B9C4" w14:textId="77777777" w:rsidR="00114A10" w:rsidRPr="00DB6594" w:rsidRDefault="00114A10" w:rsidP="00DB6594">
      <w:pPr>
        <w:pStyle w:val="ESpara0"/>
      </w:pPr>
      <w:r w:rsidRPr="00DB6594">
        <w:t xml:space="preserve">Section 3 provides that the Determination is made under subsection </w:t>
      </w:r>
      <w:proofErr w:type="gramStart"/>
      <w:r w:rsidRPr="00DB6594">
        <w:t>1061L(</w:t>
      </w:r>
      <w:proofErr w:type="gramEnd"/>
      <w:r w:rsidRPr="00DB6594">
        <w:t>2) of the Act.</w:t>
      </w:r>
    </w:p>
    <w:p w14:paraId="34F78BCA" w14:textId="7702E0EC" w:rsidR="00114A10" w:rsidRPr="00DB6594" w:rsidRDefault="00114A10" w:rsidP="00DB6594">
      <w:pPr>
        <w:pStyle w:val="ESpara0"/>
      </w:pPr>
      <w:r w:rsidRPr="00DB6594">
        <w:t xml:space="preserve">Section 4 provides definitions relevant to the Determination, including </w:t>
      </w:r>
      <w:r w:rsidR="00991D3B" w:rsidRPr="00DB6594">
        <w:rPr>
          <w:i/>
        </w:rPr>
        <w:t xml:space="preserve">Act, </w:t>
      </w:r>
      <w:r w:rsidRPr="00DB6594">
        <w:rPr>
          <w:i/>
        </w:rPr>
        <w:t>destroyed</w:t>
      </w:r>
      <w:r w:rsidRPr="00DB6594">
        <w:t xml:space="preserve">, </w:t>
      </w:r>
      <w:r w:rsidRPr="00DB6594">
        <w:rPr>
          <w:i/>
        </w:rPr>
        <w:t>immediate family member</w:t>
      </w:r>
      <w:r w:rsidRPr="00DB6594">
        <w:t xml:space="preserve">, </w:t>
      </w:r>
      <w:r w:rsidRPr="00DB6594">
        <w:rPr>
          <w:i/>
        </w:rPr>
        <w:t>major asset or assets</w:t>
      </w:r>
      <w:r w:rsidRPr="00DB6594">
        <w:t xml:space="preserve">, </w:t>
      </w:r>
      <w:r w:rsidRPr="00DB6594">
        <w:rPr>
          <w:i/>
        </w:rPr>
        <w:t>major damage</w:t>
      </w:r>
      <w:r w:rsidRPr="00DB6594">
        <w:t xml:space="preserve">, </w:t>
      </w:r>
      <w:r w:rsidRPr="00DB6594">
        <w:rPr>
          <w:i/>
        </w:rPr>
        <w:t>seriously injured</w:t>
      </w:r>
      <w:r w:rsidR="002809C8">
        <w:t>,</w:t>
      </w:r>
      <w:r w:rsidRPr="00DB6594">
        <w:t xml:space="preserve"> and </w:t>
      </w:r>
      <w:r w:rsidRPr="00DB6594">
        <w:rPr>
          <w:i/>
        </w:rPr>
        <w:t>principal place of residence</w:t>
      </w:r>
      <w:r w:rsidRPr="00DB6594">
        <w:t>.</w:t>
      </w:r>
    </w:p>
    <w:p w14:paraId="17BA9A54" w14:textId="693E0EC6" w:rsidR="009156BC" w:rsidRPr="00DB6594" w:rsidRDefault="00114A10" w:rsidP="00DB6594">
      <w:pPr>
        <w:pStyle w:val="ESpara0"/>
      </w:pPr>
      <w:r w:rsidRPr="00DB6594">
        <w:t xml:space="preserve">Subsection 5(1) provides that the Determination applies to the major disaster being the </w:t>
      </w:r>
      <w:r w:rsidR="00620606">
        <w:t>floods in North Queensland that commenced on 29 January 2025</w:t>
      </w:r>
      <w:r w:rsidR="002809C8">
        <w:t>,</w:t>
      </w:r>
      <w:r w:rsidR="00620606">
        <w:t xml:space="preserve"> continue through February 2025</w:t>
      </w:r>
      <w:r w:rsidR="002809C8">
        <w:t>,</w:t>
      </w:r>
      <w:r w:rsidR="005D3429" w:rsidRPr="00DB6594">
        <w:t xml:space="preserve"> and </w:t>
      </w:r>
      <w:r w:rsidR="002809C8">
        <w:t>have</w:t>
      </w:r>
      <w:r w:rsidR="005D3429" w:rsidRPr="0027353D">
        <w:t xml:space="preserve"> </w:t>
      </w:r>
      <w:r w:rsidRPr="0027353D">
        <w:t>affect</w:t>
      </w:r>
      <w:r w:rsidR="005D3429" w:rsidRPr="0027353D">
        <w:t>ed</w:t>
      </w:r>
      <w:r w:rsidR="0027353D">
        <w:t xml:space="preserve"> or affect</w:t>
      </w:r>
      <w:r w:rsidR="00752B9A">
        <w:t>s</w:t>
      </w:r>
      <w:r w:rsidR="0027353D">
        <w:t xml:space="preserve"> </w:t>
      </w:r>
      <w:r w:rsidRPr="00DB6594">
        <w:t>the</w:t>
      </w:r>
      <w:r w:rsidR="00BA29BC" w:rsidRPr="00DB6594">
        <w:t xml:space="preserve"> </w:t>
      </w:r>
      <w:r w:rsidR="00BA29BC" w:rsidRPr="001B73D2">
        <w:t>areas</w:t>
      </w:r>
      <w:r w:rsidR="0033657E" w:rsidRPr="001B73D2">
        <w:t xml:space="preserve"> mentio</w:t>
      </w:r>
      <w:r w:rsidR="0033657E" w:rsidRPr="00DB6594">
        <w:t>ned in Schedule 1</w:t>
      </w:r>
      <w:r w:rsidR="00365259" w:rsidRPr="00DB6594">
        <w:t>.</w:t>
      </w:r>
    </w:p>
    <w:p w14:paraId="6CBF491A" w14:textId="77777777" w:rsidR="00114A10" w:rsidRPr="00DB6594" w:rsidRDefault="00114A10" w:rsidP="00DB6594">
      <w:pPr>
        <w:pStyle w:val="ESpara0"/>
      </w:pPr>
      <w:r w:rsidRPr="00DB6594">
        <w:t xml:space="preserve">Subsection 5(2) provides that the circumstances in which a person is taken to be adversely affected by the major disaster </w:t>
      </w:r>
      <w:r w:rsidR="00452A62" w:rsidRPr="00DB6594">
        <w:t>mentioned</w:t>
      </w:r>
      <w:r w:rsidRPr="00DB6594">
        <w:t xml:space="preserve"> in subsection </w:t>
      </w:r>
      <w:r w:rsidR="00452A62" w:rsidRPr="00DB6594">
        <w:t>5</w:t>
      </w:r>
      <w:r w:rsidRPr="00DB6594">
        <w:t>(1) are if:</w:t>
      </w:r>
    </w:p>
    <w:p w14:paraId="01645A51" w14:textId="77777777" w:rsidR="00114A10" w:rsidRPr="00DB6594" w:rsidRDefault="00114A10" w:rsidP="002809C8">
      <w:pPr>
        <w:pStyle w:val="ESSubparaList"/>
        <w:numPr>
          <w:ilvl w:val="0"/>
          <w:numId w:val="57"/>
        </w:numPr>
      </w:pPr>
      <w:r w:rsidRPr="00DB6594">
        <w:lastRenderedPageBreak/>
        <w:t>the person is seriously injured as a direct result of the major disaster (paragr</w:t>
      </w:r>
      <w:r w:rsidR="00CB73EA" w:rsidRPr="00DB6594">
        <w:t>aph 5(2)(a)); or</w:t>
      </w:r>
    </w:p>
    <w:p w14:paraId="01E99040" w14:textId="77777777" w:rsidR="00114A10" w:rsidRPr="00DB6594" w:rsidRDefault="00114A10" w:rsidP="002809C8">
      <w:pPr>
        <w:pStyle w:val="ESSubparaList"/>
        <w:numPr>
          <w:ilvl w:val="0"/>
          <w:numId w:val="57"/>
        </w:numPr>
      </w:pPr>
      <w:r w:rsidRPr="00DB6594">
        <w:t>the person is an immediate family member of an Australian citizen or resident who is missing and presumed killed or killed as a direct result of the major d</w:t>
      </w:r>
      <w:r w:rsidR="00CB73EA" w:rsidRPr="00DB6594">
        <w:t>isaster (paragraph 5(2)(b)); or</w:t>
      </w:r>
    </w:p>
    <w:p w14:paraId="784F8AEA" w14:textId="77777777" w:rsidR="00114A10" w:rsidRPr="00DB6594" w:rsidRDefault="00114A10" w:rsidP="002809C8">
      <w:pPr>
        <w:pStyle w:val="ESSubparaList"/>
        <w:numPr>
          <w:ilvl w:val="0"/>
          <w:numId w:val="57"/>
        </w:numPr>
      </w:pPr>
      <w:r w:rsidRPr="00DB6594">
        <w:t>the person’s principal place of residence has been destroyed or has major damage as a direct result of the major d</w:t>
      </w:r>
      <w:r w:rsidR="00CB73EA" w:rsidRPr="00DB6594">
        <w:t>isaster (paragraph 5(2)(c)); or</w:t>
      </w:r>
    </w:p>
    <w:p w14:paraId="1E912A08" w14:textId="77777777" w:rsidR="00114A10" w:rsidRPr="00DB6594" w:rsidRDefault="00114A10" w:rsidP="002809C8">
      <w:pPr>
        <w:pStyle w:val="ESSubparaList"/>
        <w:numPr>
          <w:ilvl w:val="0"/>
          <w:numId w:val="57"/>
        </w:numPr>
      </w:pPr>
      <w:r w:rsidRPr="00DB6594">
        <w:t>a major asset or assets of the person has or have been destroyed or suffered major damage as a result of the major disaster; or</w:t>
      </w:r>
    </w:p>
    <w:p w14:paraId="4206392B" w14:textId="77777777" w:rsidR="00114A10" w:rsidRPr="00DB6594" w:rsidRDefault="00114A10" w:rsidP="002809C8">
      <w:pPr>
        <w:pStyle w:val="ESSubparaList"/>
        <w:numPr>
          <w:ilvl w:val="0"/>
          <w:numId w:val="57"/>
        </w:numPr>
      </w:pPr>
      <w:r w:rsidRPr="00DB6594">
        <w:t>the person is a carer of a child to whom paragraphs 5(2)(a), (b), (c) or (d) apply (paragraph 5(2)(e)).</w:t>
      </w:r>
    </w:p>
    <w:p w14:paraId="41A52F19" w14:textId="1C7EFF43" w:rsidR="002809C8" w:rsidRDefault="004D59E5" w:rsidP="00DB6594">
      <w:pPr>
        <w:pStyle w:val="ESpara0"/>
      </w:pPr>
      <w:r w:rsidRPr="00DB6594">
        <w:t xml:space="preserve">Section 6 provides </w:t>
      </w:r>
      <w:r w:rsidR="00E26901" w:rsidRPr="00DB6594">
        <w:t>for</w:t>
      </w:r>
      <w:r w:rsidR="002809C8">
        <w:t>:</w:t>
      </w:r>
    </w:p>
    <w:p w14:paraId="4F136CBB" w14:textId="0A965D78" w:rsidR="002809C8" w:rsidRDefault="002809C8" w:rsidP="002809C8">
      <w:pPr>
        <w:pStyle w:val="ESpara0"/>
        <w:numPr>
          <w:ilvl w:val="0"/>
          <w:numId w:val="56"/>
        </w:numPr>
      </w:pPr>
      <w:r>
        <w:t xml:space="preserve">the repeal of </w:t>
      </w:r>
      <w:r w:rsidRPr="00126D10">
        <w:rPr>
          <w:i/>
          <w:iCs/>
          <w:color w:val="000000"/>
        </w:rPr>
        <w:t>Social Security (Australian Government Disaster Recovery Payment—North Queensland</w:t>
      </w:r>
      <w:r>
        <w:rPr>
          <w:i/>
          <w:iCs/>
          <w:color w:val="000000"/>
        </w:rPr>
        <w:t xml:space="preserve"> Floods</w:t>
      </w:r>
      <w:r w:rsidRPr="00126D10">
        <w:rPr>
          <w:i/>
          <w:iCs/>
          <w:color w:val="000000"/>
        </w:rPr>
        <w:t xml:space="preserve">) Determination </w:t>
      </w:r>
      <w:r>
        <w:rPr>
          <w:i/>
          <w:iCs/>
          <w:color w:val="000000"/>
        </w:rPr>
        <w:t xml:space="preserve">(No. </w:t>
      </w:r>
      <w:r w:rsidR="00B30319">
        <w:rPr>
          <w:i/>
          <w:iCs/>
          <w:color w:val="000000"/>
        </w:rPr>
        <w:t>3</w:t>
      </w:r>
      <w:r>
        <w:rPr>
          <w:i/>
          <w:iCs/>
          <w:color w:val="000000"/>
        </w:rPr>
        <w:t xml:space="preserve">) </w:t>
      </w:r>
      <w:r w:rsidRPr="00126D10">
        <w:rPr>
          <w:i/>
          <w:iCs/>
          <w:color w:val="000000"/>
        </w:rPr>
        <w:t>2025</w:t>
      </w:r>
      <w:r>
        <w:rPr>
          <w:iCs/>
          <w:color w:val="000000"/>
        </w:rPr>
        <w:t xml:space="preserve"> upon commencement of the Determination; and</w:t>
      </w:r>
    </w:p>
    <w:p w14:paraId="01775113" w14:textId="77777777" w:rsidR="002809C8" w:rsidRDefault="00E26901" w:rsidP="002809C8">
      <w:pPr>
        <w:pStyle w:val="ESpara0"/>
        <w:numPr>
          <w:ilvl w:val="0"/>
          <w:numId w:val="56"/>
        </w:numPr>
      </w:pPr>
      <w:proofErr w:type="gramStart"/>
      <w:r w:rsidRPr="00DB6594">
        <w:t>the</w:t>
      </w:r>
      <w:proofErr w:type="gramEnd"/>
      <w:r w:rsidRPr="00DB6594">
        <w:t xml:space="preserve"> </w:t>
      </w:r>
      <w:r w:rsidR="00A211E9" w:rsidRPr="00DB6594">
        <w:t xml:space="preserve">repeal </w:t>
      </w:r>
      <w:r w:rsidRPr="00DB6594">
        <w:t>of</w:t>
      </w:r>
      <w:r w:rsidR="004D59E5" w:rsidRPr="00DB6594">
        <w:t xml:space="preserve"> the</w:t>
      </w:r>
      <w:r w:rsidR="00FE2329" w:rsidRPr="00DB6594">
        <w:t xml:space="preserve"> </w:t>
      </w:r>
      <w:r w:rsidR="000C0C84" w:rsidRPr="00DB6594">
        <w:t>Determination</w:t>
      </w:r>
      <w:r w:rsidR="00FA5611" w:rsidRPr="00DB6594">
        <w:t xml:space="preserve"> two years after </w:t>
      </w:r>
      <w:r w:rsidR="00BE34CC">
        <w:t xml:space="preserve">it </w:t>
      </w:r>
      <w:r w:rsidR="00FA5611" w:rsidRPr="00DB6594">
        <w:t>commence</w:t>
      </w:r>
      <w:r w:rsidR="00BE34CC">
        <w:t>s</w:t>
      </w:r>
      <w:r w:rsidR="00FA5611" w:rsidRPr="00DB6594">
        <w:t xml:space="preserve">. </w:t>
      </w:r>
    </w:p>
    <w:p w14:paraId="03CBEC4F" w14:textId="18EA4725" w:rsidR="004D59E5" w:rsidRPr="00DB6594" w:rsidRDefault="00FA5611" w:rsidP="002809C8">
      <w:pPr>
        <w:pStyle w:val="ESpara0"/>
      </w:pPr>
      <w:r w:rsidRPr="00DB6594">
        <w:t>The</w:t>
      </w:r>
      <w:r w:rsidR="002809C8">
        <w:t xml:space="preserve"> automatic</w:t>
      </w:r>
      <w:r w:rsidRPr="00DB6594">
        <w:t xml:space="preserve"> repeal of the </w:t>
      </w:r>
      <w:r w:rsidR="00AE3F0C" w:rsidRPr="00DB6594">
        <w:t>Determination</w:t>
      </w:r>
      <w:r w:rsidRPr="00DB6594">
        <w:t xml:space="preserve"> </w:t>
      </w:r>
      <w:r w:rsidR="002809C8">
        <w:t xml:space="preserve">two years after commencement </w:t>
      </w:r>
      <w:r w:rsidR="00E80379" w:rsidRPr="00DB6594">
        <w:t xml:space="preserve">will not affect review rights for applications for the AGDRP lodged </w:t>
      </w:r>
      <w:r w:rsidR="00AE3F0C" w:rsidRPr="00DB6594">
        <w:t>within the claiming period</w:t>
      </w:r>
      <w:r w:rsidR="00301F75" w:rsidRPr="00DB6594">
        <w:t>,</w:t>
      </w:r>
      <w:r w:rsidR="00AE3F0C" w:rsidRPr="00DB6594">
        <w:t xml:space="preserve"> or those who have made late claims with exceptional circumstances prior to the repeal of the Determination. Any review of decisions made on AGDRP applications will be dec</w:t>
      </w:r>
      <w:r w:rsidR="006C2BD4" w:rsidRPr="00DB6594">
        <w:t>ided based on the Determination</w:t>
      </w:r>
      <w:r w:rsidR="00C816EC" w:rsidRPr="00DB6594">
        <w:t xml:space="preserve"> in </w:t>
      </w:r>
      <w:r w:rsidR="006C2BD4" w:rsidRPr="00DB6594">
        <w:t>force</w:t>
      </w:r>
      <w:r w:rsidR="00C816EC" w:rsidRPr="00DB6594">
        <w:t xml:space="preserve"> </w:t>
      </w:r>
      <w:r w:rsidR="006C2BD4" w:rsidRPr="00DB6594">
        <w:t>at the time of the application.</w:t>
      </w:r>
    </w:p>
    <w:p w14:paraId="41354354" w14:textId="04AE5D69" w:rsidR="00AD6156" w:rsidRPr="00DB6594" w:rsidRDefault="00AD6156" w:rsidP="00DB6594">
      <w:pPr>
        <w:pStyle w:val="ESpara0"/>
      </w:pPr>
      <w:r w:rsidRPr="00DB6594">
        <w:t>Schedule 1 to the Determination sets out the</w:t>
      </w:r>
      <w:r w:rsidR="00BA29BC" w:rsidRPr="00DB6594">
        <w:t xml:space="preserve"> </w:t>
      </w:r>
      <w:r w:rsidR="00BA29BC" w:rsidRPr="00262E48">
        <w:t>areas</w:t>
      </w:r>
      <w:r w:rsidRPr="00262E48">
        <w:t xml:space="preserve"> affe</w:t>
      </w:r>
      <w:r w:rsidRPr="00DB6594">
        <w:t>cted by the</w:t>
      </w:r>
      <w:r w:rsidR="00FE2329" w:rsidRPr="00DB6594">
        <w:t xml:space="preserve"> </w:t>
      </w:r>
      <w:r w:rsidR="00620606">
        <w:t>floods</w:t>
      </w:r>
      <w:r w:rsidRPr="00DB6594">
        <w:t>.</w:t>
      </w:r>
    </w:p>
    <w:p w14:paraId="3364C2EF" w14:textId="77777777" w:rsidR="006E4DD8" w:rsidRPr="00260DB8" w:rsidRDefault="006E4DD8" w:rsidP="00DB6594">
      <w:pPr>
        <w:pStyle w:val="Heading3"/>
      </w:pPr>
      <w:r w:rsidRPr="00260DB8">
        <w:t>Consultation</w:t>
      </w:r>
    </w:p>
    <w:p w14:paraId="250973B6" w14:textId="458C7DB0" w:rsidR="006F7E68" w:rsidRPr="00635573" w:rsidRDefault="00635573" w:rsidP="00143500">
      <w:pPr>
        <w:pStyle w:val="ESpara0"/>
      </w:pPr>
      <w:r w:rsidRPr="00DB6594">
        <w:t xml:space="preserve">The National Emergency Management Agency (NEMA) consulted with </w:t>
      </w:r>
      <w:r w:rsidR="00050647" w:rsidRPr="00050647">
        <w:t xml:space="preserve">the Queensland Reconstruction Authority </w:t>
      </w:r>
      <w:r w:rsidR="00E26D95">
        <w:t xml:space="preserve">and other relevant Queensland authorities </w:t>
      </w:r>
      <w:r w:rsidR="006069AB" w:rsidRPr="00050647">
        <w:t>on</w:t>
      </w:r>
      <w:r w:rsidR="00E26D95">
        <w:t xml:space="preserve"> the</w:t>
      </w:r>
      <w:r w:rsidR="006069AB" w:rsidRPr="00050647">
        <w:t xml:space="preserve"> impact</w:t>
      </w:r>
      <w:r w:rsidR="00E26D95">
        <w:t xml:space="preserve"> of the major disaster and affected areas</w:t>
      </w:r>
      <w:r w:rsidRPr="00050647">
        <w:t>.</w:t>
      </w:r>
    </w:p>
    <w:p w14:paraId="3B9F0A38" w14:textId="77777777" w:rsidR="006147C4" w:rsidRDefault="006147C4" w:rsidP="00143500">
      <w:pPr>
        <w:pStyle w:val="ESpara0"/>
        <w:rPr>
          <w:b/>
        </w:rPr>
      </w:pPr>
      <w:r w:rsidRPr="00DB6594">
        <w:t>Information about the support made available to individuals affected by this event will be made available on NEMA’s website.</w:t>
      </w:r>
    </w:p>
    <w:p w14:paraId="5F57ECC5" w14:textId="77777777" w:rsidR="006E4DD8" w:rsidRPr="00260DB8" w:rsidRDefault="006E4DD8" w:rsidP="00DB6594">
      <w:pPr>
        <w:pStyle w:val="Heading3"/>
      </w:pPr>
      <w:r w:rsidRPr="00260DB8">
        <w:t>Other</w:t>
      </w:r>
      <w:r w:rsidR="00C93753">
        <w:t xml:space="preserve"> matters</w:t>
      </w:r>
    </w:p>
    <w:p w14:paraId="4B232705" w14:textId="39BEB283" w:rsidR="00075250" w:rsidRPr="00DB6594" w:rsidRDefault="0089159D" w:rsidP="00DB6594">
      <w:pPr>
        <w:pStyle w:val="ESpara0"/>
      </w:pPr>
      <w:r w:rsidRPr="00DB6594">
        <w:t xml:space="preserve">Subsection </w:t>
      </w:r>
      <w:proofErr w:type="gramStart"/>
      <w:r w:rsidRPr="00DB6594">
        <w:t>1061L(</w:t>
      </w:r>
      <w:proofErr w:type="gramEnd"/>
      <w:r w:rsidRPr="00DB6594">
        <w:t xml:space="preserve">3) of the Act provides that a determination </w:t>
      </w:r>
      <w:r w:rsidR="0095047F" w:rsidRPr="00DB6594">
        <w:t xml:space="preserve">made </w:t>
      </w:r>
      <w:r w:rsidRPr="00DB6594">
        <w:t xml:space="preserve">under section 1061L is a legislative instrument. </w:t>
      </w:r>
      <w:r w:rsidR="001A6556" w:rsidRPr="00DB6594">
        <w:t>S</w:t>
      </w:r>
      <w:r w:rsidRPr="00DB6594">
        <w:t>ubsection </w:t>
      </w:r>
      <w:proofErr w:type="gramStart"/>
      <w:r w:rsidRPr="00DB6594">
        <w:t>1061L(</w:t>
      </w:r>
      <w:proofErr w:type="gramEnd"/>
      <w:r w:rsidRPr="00DB6594">
        <w:t>3) of the Act provides that section 42 of the </w:t>
      </w:r>
      <w:r w:rsidRPr="00DB6594">
        <w:rPr>
          <w:i/>
        </w:rPr>
        <w:t>Legislation Act 2003</w:t>
      </w:r>
      <w:r w:rsidRPr="00DB6594">
        <w:t> does not apply to it.</w:t>
      </w:r>
      <w:r w:rsidR="00385150" w:rsidRPr="00DB6594">
        <w:t xml:space="preserve"> The </w:t>
      </w:r>
      <w:r w:rsidR="00096580" w:rsidRPr="00DB6594">
        <w:t xml:space="preserve">Determination </w:t>
      </w:r>
      <w:r w:rsidR="00385150" w:rsidRPr="00DB6594">
        <w:t xml:space="preserve">is therefore exempt from disallowance by </w:t>
      </w:r>
      <w:r w:rsidR="00ED7C00">
        <w:t xml:space="preserve">the </w:t>
      </w:r>
      <w:r w:rsidR="00385150" w:rsidRPr="00DB6594">
        <w:t>Parliament</w:t>
      </w:r>
      <w:r w:rsidR="00E20DDF" w:rsidRPr="00DB6594">
        <w:t xml:space="preserve">, in accordance with subsection 44(2) of the </w:t>
      </w:r>
      <w:r w:rsidR="00E20DDF" w:rsidRPr="00DB6594">
        <w:rPr>
          <w:i/>
        </w:rPr>
        <w:t>Legislation Act 2003</w:t>
      </w:r>
      <w:r w:rsidR="00385150" w:rsidRPr="00DB6594">
        <w:t>.</w:t>
      </w:r>
    </w:p>
    <w:sectPr w:rsidR="00075250" w:rsidRPr="00DB6594" w:rsidSect="00DB659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166D14" w16cid:durableId="5D4F8FCC"/>
  <w16cid:commentId w16cid:paraId="460710B7" w16cid:durableId="26208E0E"/>
  <w16cid:commentId w16cid:paraId="660521A5" w16cid:durableId="6C546778"/>
  <w16cid:commentId w16cid:paraId="1E9F79D7" w16cid:durableId="19A4D8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B91D7" w14:textId="77777777" w:rsidR="00AB5C57" w:rsidRDefault="00AB5C57" w:rsidP="00AE3324">
      <w:r>
        <w:separator/>
      </w:r>
    </w:p>
  </w:endnote>
  <w:endnote w:type="continuationSeparator" w:id="0">
    <w:p w14:paraId="6B4A1340" w14:textId="77777777" w:rsidR="00AB5C57" w:rsidRDefault="00AB5C57" w:rsidP="00AE3324">
      <w:r>
        <w:continuationSeparator/>
      </w:r>
    </w:p>
  </w:endnote>
  <w:endnote w:type="continuationNotice" w:id="1">
    <w:p w14:paraId="64E4B15E" w14:textId="77777777" w:rsidR="00AB5C57" w:rsidRDefault="00AB5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504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372F3" w14:textId="6474A312" w:rsidR="00F9492C" w:rsidRDefault="00F9492C" w:rsidP="001435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2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39BF" w14:textId="77777777" w:rsidR="00AB5C57" w:rsidRDefault="00AB5C57" w:rsidP="00AE3324">
      <w:r>
        <w:separator/>
      </w:r>
    </w:p>
  </w:footnote>
  <w:footnote w:type="continuationSeparator" w:id="0">
    <w:p w14:paraId="19DF4136" w14:textId="77777777" w:rsidR="00AB5C57" w:rsidRDefault="00AB5C57" w:rsidP="00AE3324">
      <w:r>
        <w:continuationSeparator/>
      </w:r>
    </w:p>
  </w:footnote>
  <w:footnote w:type="continuationNotice" w:id="1">
    <w:p w14:paraId="29E793D1" w14:textId="77777777" w:rsidR="00AB5C57" w:rsidRDefault="00AB5C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89C"/>
    <w:multiLevelType w:val="hybridMultilevel"/>
    <w:tmpl w:val="D47AFBDE"/>
    <w:lvl w:ilvl="0" w:tplc="C4D6BC4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862713"/>
    <w:multiLevelType w:val="hybridMultilevel"/>
    <w:tmpl w:val="6CFEADCE"/>
    <w:lvl w:ilvl="0" w:tplc="5C2CA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579F9"/>
    <w:multiLevelType w:val="hybridMultilevel"/>
    <w:tmpl w:val="D6FAD3C4"/>
    <w:lvl w:ilvl="0" w:tplc="C4D6BC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A66452"/>
    <w:multiLevelType w:val="hybridMultilevel"/>
    <w:tmpl w:val="B62C35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96E"/>
    <w:multiLevelType w:val="hybridMultilevel"/>
    <w:tmpl w:val="CD9A1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2E2B"/>
    <w:multiLevelType w:val="hybridMultilevel"/>
    <w:tmpl w:val="EE944A54"/>
    <w:lvl w:ilvl="0" w:tplc="29808C9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02D09"/>
    <w:multiLevelType w:val="multilevel"/>
    <w:tmpl w:val="BEF097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0FB71D11"/>
    <w:multiLevelType w:val="hybridMultilevel"/>
    <w:tmpl w:val="BD7CC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50094"/>
    <w:multiLevelType w:val="hybridMultilevel"/>
    <w:tmpl w:val="F12CA8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D3F65"/>
    <w:multiLevelType w:val="hybridMultilevel"/>
    <w:tmpl w:val="6366AC1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7A715B"/>
    <w:multiLevelType w:val="hybridMultilevel"/>
    <w:tmpl w:val="76621138"/>
    <w:lvl w:ilvl="0" w:tplc="BEC87B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859C3"/>
    <w:multiLevelType w:val="hybridMultilevel"/>
    <w:tmpl w:val="CCF0B988"/>
    <w:lvl w:ilvl="0" w:tplc="4670B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F1773"/>
    <w:multiLevelType w:val="hybridMultilevel"/>
    <w:tmpl w:val="974252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46FD3"/>
    <w:multiLevelType w:val="hybridMultilevel"/>
    <w:tmpl w:val="815E86E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86B5075"/>
    <w:multiLevelType w:val="hybridMultilevel"/>
    <w:tmpl w:val="85B25CB4"/>
    <w:lvl w:ilvl="0" w:tplc="185CEA2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6E2EF5"/>
    <w:multiLevelType w:val="hybridMultilevel"/>
    <w:tmpl w:val="15E41B30"/>
    <w:lvl w:ilvl="0" w:tplc="4600DD6A">
      <w:start w:val="1"/>
      <w:numFmt w:val="decimal"/>
      <w:pStyle w:val="LDMinuteParagraph"/>
      <w:lvlText w:val="%1."/>
      <w:lvlJc w:val="left"/>
      <w:pPr>
        <w:tabs>
          <w:tab w:val="num" w:pos="142"/>
        </w:tabs>
        <w:ind w:left="142" w:firstLine="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1A204F"/>
    <w:multiLevelType w:val="hybridMultilevel"/>
    <w:tmpl w:val="68FE3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76667"/>
    <w:multiLevelType w:val="hybridMultilevel"/>
    <w:tmpl w:val="CCF0B988"/>
    <w:lvl w:ilvl="0" w:tplc="4670B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32A9"/>
    <w:multiLevelType w:val="hybridMultilevel"/>
    <w:tmpl w:val="1EBC8D2C"/>
    <w:lvl w:ilvl="0" w:tplc="5C3E0AB0">
      <w:start w:val="1"/>
      <w:numFmt w:val="decimal"/>
      <w:pStyle w:val="ESSubparaHeader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ABC2DF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5C2CA1A4">
      <w:start w:val="1"/>
      <w:numFmt w:val="lowerLetter"/>
      <w:lvlText w:val="(%4)"/>
      <w:lvlJc w:val="left"/>
      <w:pPr>
        <w:ind w:left="3690" w:hanging="1530"/>
      </w:pPr>
      <w:rPr>
        <w:rFonts w:hint="default"/>
      </w:r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14554"/>
    <w:multiLevelType w:val="hybridMultilevel"/>
    <w:tmpl w:val="C9462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124BA"/>
    <w:multiLevelType w:val="hybridMultilevel"/>
    <w:tmpl w:val="52BEA2F2"/>
    <w:lvl w:ilvl="0" w:tplc="C4D6BC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12B2B"/>
    <w:multiLevelType w:val="hybridMultilevel"/>
    <w:tmpl w:val="4B823CD4"/>
    <w:lvl w:ilvl="0" w:tplc="F7200D8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A4844"/>
    <w:multiLevelType w:val="hybridMultilevel"/>
    <w:tmpl w:val="443E6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33CFC"/>
    <w:multiLevelType w:val="hybridMultilevel"/>
    <w:tmpl w:val="8EC0F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522FF"/>
    <w:multiLevelType w:val="hybridMultilevel"/>
    <w:tmpl w:val="8AD80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30B9F"/>
    <w:multiLevelType w:val="hybridMultilevel"/>
    <w:tmpl w:val="0930D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722AE"/>
    <w:multiLevelType w:val="hybridMultilevel"/>
    <w:tmpl w:val="9268173E"/>
    <w:lvl w:ilvl="0" w:tplc="EB2EE9E4">
      <w:start w:val="1"/>
      <w:numFmt w:val="bullet"/>
      <w:pStyle w:val="ESSubpara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778F9"/>
    <w:multiLevelType w:val="hybridMultilevel"/>
    <w:tmpl w:val="80468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C5908"/>
    <w:multiLevelType w:val="hybridMultilevel"/>
    <w:tmpl w:val="25FA2F2C"/>
    <w:lvl w:ilvl="0" w:tplc="C4D6BC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7E39E8"/>
    <w:multiLevelType w:val="hybridMultilevel"/>
    <w:tmpl w:val="C34CEB1E"/>
    <w:lvl w:ilvl="0" w:tplc="A6E2BCFC">
      <w:numFmt w:val="bullet"/>
      <w:lvlText w:val="·"/>
      <w:lvlJc w:val="left"/>
      <w:pPr>
        <w:ind w:left="1515" w:hanging="1155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26F19"/>
    <w:multiLevelType w:val="hybridMultilevel"/>
    <w:tmpl w:val="24CC027A"/>
    <w:lvl w:ilvl="0" w:tplc="FC94671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07A1C"/>
    <w:multiLevelType w:val="hybridMultilevel"/>
    <w:tmpl w:val="C17E7FF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53C4491D"/>
    <w:multiLevelType w:val="hybridMultilevel"/>
    <w:tmpl w:val="2B76A0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D0512"/>
    <w:multiLevelType w:val="hybridMultilevel"/>
    <w:tmpl w:val="7CD6968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37F4AB7"/>
    <w:multiLevelType w:val="hybridMultilevel"/>
    <w:tmpl w:val="1F4AC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76F11"/>
    <w:multiLevelType w:val="hybridMultilevel"/>
    <w:tmpl w:val="427A9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76D70"/>
    <w:multiLevelType w:val="hybridMultilevel"/>
    <w:tmpl w:val="4B461124"/>
    <w:lvl w:ilvl="0" w:tplc="E280C6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06EE6"/>
    <w:multiLevelType w:val="hybridMultilevel"/>
    <w:tmpl w:val="9ADEC9D0"/>
    <w:lvl w:ilvl="0" w:tplc="C4D6BC4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B38C3"/>
    <w:multiLevelType w:val="hybridMultilevel"/>
    <w:tmpl w:val="850EDA42"/>
    <w:lvl w:ilvl="0" w:tplc="4A484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76599"/>
    <w:multiLevelType w:val="hybridMultilevel"/>
    <w:tmpl w:val="52A60DAC"/>
    <w:lvl w:ilvl="0" w:tplc="1030628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0" w15:restartNumberingAfterBreak="0">
    <w:nsid w:val="71BA4FE6"/>
    <w:multiLevelType w:val="hybridMultilevel"/>
    <w:tmpl w:val="BEAECB1E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1" w15:restartNumberingAfterBreak="0">
    <w:nsid w:val="758F2DF6"/>
    <w:multiLevelType w:val="hybridMultilevel"/>
    <w:tmpl w:val="F6CA400C"/>
    <w:lvl w:ilvl="0" w:tplc="0C090001">
      <w:start w:val="1"/>
      <w:numFmt w:val="bullet"/>
      <w:lvlText w:val=""/>
      <w:lvlJc w:val="left"/>
      <w:pPr>
        <w:ind w:left="1515" w:hanging="115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71463"/>
    <w:multiLevelType w:val="hybridMultilevel"/>
    <w:tmpl w:val="8EC6ACB0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9441E"/>
    <w:multiLevelType w:val="hybridMultilevel"/>
    <w:tmpl w:val="C79675F0"/>
    <w:lvl w:ilvl="0" w:tplc="3416BE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C41D9D"/>
    <w:multiLevelType w:val="hybridMultilevel"/>
    <w:tmpl w:val="9416A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82E06"/>
    <w:multiLevelType w:val="hybridMultilevel"/>
    <w:tmpl w:val="C95A2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34"/>
  </w:num>
  <w:num w:numId="10">
    <w:abstractNumId w:val="42"/>
  </w:num>
  <w:num w:numId="11">
    <w:abstractNumId w:val="24"/>
  </w:num>
  <w:num w:numId="12">
    <w:abstractNumId w:val="10"/>
  </w:num>
  <w:num w:numId="13">
    <w:abstractNumId w:val="25"/>
  </w:num>
  <w:num w:numId="14">
    <w:abstractNumId w:val="34"/>
  </w:num>
  <w:num w:numId="15">
    <w:abstractNumId w:val="7"/>
  </w:num>
  <w:num w:numId="16">
    <w:abstractNumId w:val="23"/>
  </w:num>
  <w:num w:numId="17">
    <w:abstractNumId w:val="27"/>
  </w:num>
  <w:num w:numId="18">
    <w:abstractNumId w:val="12"/>
  </w:num>
  <w:num w:numId="19">
    <w:abstractNumId w:val="1"/>
  </w:num>
  <w:num w:numId="20">
    <w:abstractNumId w:val="2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7"/>
  </w:num>
  <w:num w:numId="24">
    <w:abstractNumId w:val="11"/>
  </w:num>
  <w:num w:numId="25">
    <w:abstractNumId w:val="2"/>
  </w:num>
  <w:num w:numId="26">
    <w:abstractNumId w:val="43"/>
  </w:num>
  <w:num w:numId="27">
    <w:abstractNumId w:val="16"/>
  </w:num>
  <w:num w:numId="28">
    <w:abstractNumId w:val="16"/>
  </w:num>
  <w:num w:numId="29">
    <w:abstractNumId w:val="6"/>
  </w:num>
  <w:num w:numId="30">
    <w:abstractNumId w:val="45"/>
  </w:num>
  <w:num w:numId="31">
    <w:abstractNumId w:val="21"/>
  </w:num>
  <w:num w:numId="32">
    <w:abstractNumId w:val="44"/>
  </w:num>
  <w:num w:numId="33">
    <w:abstractNumId w:val="31"/>
  </w:num>
  <w:num w:numId="34">
    <w:abstractNumId w:val="0"/>
  </w:num>
  <w:num w:numId="35">
    <w:abstractNumId w:val="37"/>
  </w:num>
  <w:num w:numId="36">
    <w:abstractNumId w:val="35"/>
  </w:num>
  <w:num w:numId="37">
    <w:abstractNumId w:val="32"/>
  </w:num>
  <w:num w:numId="38">
    <w:abstractNumId w:val="14"/>
  </w:num>
  <w:num w:numId="39">
    <w:abstractNumId w:val="38"/>
  </w:num>
  <w:num w:numId="40">
    <w:abstractNumId w:val="36"/>
  </w:num>
  <w:num w:numId="41">
    <w:abstractNumId w:val="20"/>
  </w:num>
  <w:num w:numId="42">
    <w:abstractNumId w:val="5"/>
  </w:num>
  <w:num w:numId="43">
    <w:abstractNumId w:val="30"/>
  </w:num>
  <w:num w:numId="44">
    <w:abstractNumId w:val="19"/>
  </w:num>
  <w:num w:numId="45">
    <w:abstractNumId w:val="29"/>
  </w:num>
  <w:num w:numId="46">
    <w:abstractNumId w:val="41"/>
  </w:num>
  <w:num w:numId="47">
    <w:abstractNumId w:val="13"/>
  </w:num>
  <w:num w:numId="48">
    <w:abstractNumId w:val="33"/>
  </w:num>
  <w:num w:numId="49">
    <w:abstractNumId w:val="8"/>
  </w:num>
  <w:num w:numId="50">
    <w:abstractNumId w:val="3"/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</w:num>
  <w:num w:numId="53">
    <w:abstractNumId w:val="40"/>
  </w:num>
  <w:num w:numId="54">
    <w:abstractNumId w:val="39"/>
  </w:num>
  <w:num w:numId="55">
    <w:abstractNumId w:val="26"/>
  </w:num>
  <w:num w:numId="56">
    <w:abstractNumId w:val="9"/>
  </w:num>
  <w:num w:numId="57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D8"/>
    <w:rsid w:val="00001606"/>
    <w:rsid w:val="000057CA"/>
    <w:rsid w:val="00005EE0"/>
    <w:rsid w:val="000162AF"/>
    <w:rsid w:val="0001678A"/>
    <w:rsid w:val="00022545"/>
    <w:rsid w:val="000258F3"/>
    <w:rsid w:val="00034423"/>
    <w:rsid w:val="00035B8F"/>
    <w:rsid w:val="000368AA"/>
    <w:rsid w:val="0004233C"/>
    <w:rsid w:val="0004401D"/>
    <w:rsid w:val="00045073"/>
    <w:rsid w:val="00046A1A"/>
    <w:rsid w:val="000504B8"/>
    <w:rsid w:val="00050647"/>
    <w:rsid w:val="0006264E"/>
    <w:rsid w:val="00067761"/>
    <w:rsid w:val="00070DB5"/>
    <w:rsid w:val="0007164B"/>
    <w:rsid w:val="000718C7"/>
    <w:rsid w:val="000728CD"/>
    <w:rsid w:val="000730D9"/>
    <w:rsid w:val="00075250"/>
    <w:rsid w:val="0007695A"/>
    <w:rsid w:val="0008122C"/>
    <w:rsid w:val="00082DCD"/>
    <w:rsid w:val="00096580"/>
    <w:rsid w:val="000A1F0F"/>
    <w:rsid w:val="000A5BB6"/>
    <w:rsid w:val="000A6E58"/>
    <w:rsid w:val="000A7982"/>
    <w:rsid w:val="000B1FB5"/>
    <w:rsid w:val="000B2833"/>
    <w:rsid w:val="000B35C7"/>
    <w:rsid w:val="000B4FB1"/>
    <w:rsid w:val="000C0C84"/>
    <w:rsid w:val="000C26AF"/>
    <w:rsid w:val="000C3E64"/>
    <w:rsid w:val="000D05CE"/>
    <w:rsid w:val="000D084E"/>
    <w:rsid w:val="000D295B"/>
    <w:rsid w:val="000D3310"/>
    <w:rsid w:val="000D4DC4"/>
    <w:rsid w:val="000D7AB3"/>
    <w:rsid w:val="000E167A"/>
    <w:rsid w:val="000E4709"/>
    <w:rsid w:val="000E53A5"/>
    <w:rsid w:val="000F0760"/>
    <w:rsid w:val="000F6BC2"/>
    <w:rsid w:val="000F6ED6"/>
    <w:rsid w:val="000F71F7"/>
    <w:rsid w:val="000F7562"/>
    <w:rsid w:val="00104E31"/>
    <w:rsid w:val="001104CF"/>
    <w:rsid w:val="001122EE"/>
    <w:rsid w:val="00112486"/>
    <w:rsid w:val="00114A10"/>
    <w:rsid w:val="001160D7"/>
    <w:rsid w:val="00122281"/>
    <w:rsid w:val="0012628A"/>
    <w:rsid w:val="00126D10"/>
    <w:rsid w:val="00131814"/>
    <w:rsid w:val="00133B0A"/>
    <w:rsid w:val="00136CC3"/>
    <w:rsid w:val="00140BCD"/>
    <w:rsid w:val="00142734"/>
    <w:rsid w:val="00142A10"/>
    <w:rsid w:val="00143500"/>
    <w:rsid w:val="00153AAA"/>
    <w:rsid w:val="00157966"/>
    <w:rsid w:val="00161EA2"/>
    <w:rsid w:val="00162DF0"/>
    <w:rsid w:val="0016558E"/>
    <w:rsid w:val="001700B5"/>
    <w:rsid w:val="00172675"/>
    <w:rsid w:val="0017309C"/>
    <w:rsid w:val="001730F6"/>
    <w:rsid w:val="001754CB"/>
    <w:rsid w:val="0018792F"/>
    <w:rsid w:val="00187F57"/>
    <w:rsid w:val="0019508A"/>
    <w:rsid w:val="00197AEF"/>
    <w:rsid w:val="001A14C4"/>
    <w:rsid w:val="001A6556"/>
    <w:rsid w:val="001A7817"/>
    <w:rsid w:val="001A79A7"/>
    <w:rsid w:val="001A7CB3"/>
    <w:rsid w:val="001B1C40"/>
    <w:rsid w:val="001B73D2"/>
    <w:rsid w:val="001C1C49"/>
    <w:rsid w:val="001C4D49"/>
    <w:rsid w:val="001D67EE"/>
    <w:rsid w:val="001D6D64"/>
    <w:rsid w:val="001D6F8B"/>
    <w:rsid w:val="001E17AC"/>
    <w:rsid w:val="001E21E2"/>
    <w:rsid w:val="001E2AE9"/>
    <w:rsid w:val="001E2B10"/>
    <w:rsid w:val="001E3CCC"/>
    <w:rsid w:val="001E68AC"/>
    <w:rsid w:val="001E780C"/>
    <w:rsid w:val="001F447F"/>
    <w:rsid w:val="001F4A73"/>
    <w:rsid w:val="001F59D4"/>
    <w:rsid w:val="001F660A"/>
    <w:rsid w:val="001F6EC6"/>
    <w:rsid w:val="00200F52"/>
    <w:rsid w:val="00202899"/>
    <w:rsid w:val="0020396C"/>
    <w:rsid w:val="00205387"/>
    <w:rsid w:val="0020556B"/>
    <w:rsid w:val="00210966"/>
    <w:rsid w:val="0021202D"/>
    <w:rsid w:val="002139E1"/>
    <w:rsid w:val="00214917"/>
    <w:rsid w:val="00220240"/>
    <w:rsid w:val="002208CE"/>
    <w:rsid w:val="002256C4"/>
    <w:rsid w:val="0022733B"/>
    <w:rsid w:val="00227395"/>
    <w:rsid w:val="002302C4"/>
    <w:rsid w:val="00232074"/>
    <w:rsid w:val="00236618"/>
    <w:rsid w:val="00236710"/>
    <w:rsid w:val="00240E4B"/>
    <w:rsid w:val="0024469D"/>
    <w:rsid w:val="0024498E"/>
    <w:rsid w:val="00254461"/>
    <w:rsid w:val="00260DB8"/>
    <w:rsid w:val="00260F0C"/>
    <w:rsid w:val="0026137F"/>
    <w:rsid w:val="002616FA"/>
    <w:rsid w:val="00262E48"/>
    <w:rsid w:val="00264149"/>
    <w:rsid w:val="00266FF0"/>
    <w:rsid w:val="0027353D"/>
    <w:rsid w:val="002741E0"/>
    <w:rsid w:val="002751DB"/>
    <w:rsid w:val="002809C8"/>
    <w:rsid w:val="00287899"/>
    <w:rsid w:val="00295A50"/>
    <w:rsid w:val="002A54AC"/>
    <w:rsid w:val="002A6CAC"/>
    <w:rsid w:val="002A7835"/>
    <w:rsid w:val="002B0B7D"/>
    <w:rsid w:val="002B39AE"/>
    <w:rsid w:val="002B6BAE"/>
    <w:rsid w:val="002B70B3"/>
    <w:rsid w:val="002C6DBC"/>
    <w:rsid w:val="002D23E2"/>
    <w:rsid w:val="002D6622"/>
    <w:rsid w:val="002E5F65"/>
    <w:rsid w:val="002F029F"/>
    <w:rsid w:val="002F02FA"/>
    <w:rsid w:val="002F2ED5"/>
    <w:rsid w:val="002F6FB9"/>
    <w:rsid w:val="00301289"/>
    <w:rsid w:val="00301F75"/>
    <w:rsid w:val="00302577"/>
    <w:rsid w:val="00314E5D"/>
    <w:rsid w:val="0031723C"/>
    <w:rsid w:val="00321157"/>
    <w:rsid w:val="00322A1B"/>
    <w:rsid w:val="0032323F"/>
    <w:rsid w:val="00326C3C"/>
    <w:rsid w:val="0033614D"/>
    <w:rsid w:val="0033657E"/>
    <w:rsid w:val="0033714A"/>
    <w:rsid w:val="00344C2E"/>
    <w:rsid w:val="00346878"/>
    <w:rsid w:val="00346D62"/>
    <w:rsid w:val="00347434"/>
    <w:rsid w:val="00353C60"/>
    <w:rsid w:val="00360EDA"/>
    <w:rsid w:val="003627B6"/>
    <w:rsid w:val="00364674"/>
    <w:rsid w:val="00365259"/>
    <w:rsid w:val="00365309"/>
    <w:rsid w:val="00370B47"/>
    <w:rsid w:val="00371369"/>
    <w:rsid w:val="0038386B"/>
    <w:rsid w:val="00385150"/>
    <w:rsid w:val="00395B72"/>
    <w:rsid w:val="00397B04"/>
    <w:rsid w:val="00397BD8"/>
    <w:rsid w:val="003A47BF"/>
    <w:rsid w:val="003A5EE2"/>
    <w:rsid w:val="003A7D84"/>
    <w:rsid w:val="003C498C"/>
    <w:rsid w:val="003C60DA"/>
    <w:rsid w:val="003D27B6"/>
    <w:rsid w:val="003D2CE8"/>
    <w:rsid w:val="003E1B6D"/>
    <w:rsid w:val="003E2C5B"/>
    <w:rsid w:val="003E5D9F"/>
    <w:rsid w:val="003F443A"/>
    <w:rsid w:val="00401850"/>
    <w:rsid w:val="004021CB"/>
    <w:rsid w:val="00405A31"/>
    <w:rsid w:val="00405C92"/>
    <w:rsid w:val="004149A2"/>
    <w:rsid w:val="004257BC"/>
    <w:rsid w:val="004264E6"/>
    <w:rsid w:val="00427133"/>
    <w:rsid w:val="00430FB7"/>
    <w:rsid w:val="00432CA6"/>
    <w:rsid w:val="00441DC8"/>
    <w:rsid w:val="00446530"/>
    <w:rsid w:val="00452A62"/>
    <w:rsid w:val="0045567A"/>
    <w:rsid w:val="00462076"/>
    <w:rsid w:val="004706A4"/>
    <w:rsid w:val="0047200B"/>
    <w:rsid w:val="00472032"/>
    <w:rsid w:val="0047284B"/>
    <w:rsid w:val="00480AB8"/>
    <w:rsid w:val="00484116"/>
    <w:rsid w:val="00484186"/>
    <w:rsid w:val="00485BF7"/>
    <w:rsid w:val="00487E53"/>
    <w:rsid w:val="00497435"/>
    <w:rsid w:val="00497EFF"/>
    <w:rsid w:val="004A19E4"/>
    <w:rsid w:val="004A71B2"/>
    <w:rsid w:val="004B5631"/>
    <w:rsid w:val="004B6592"/>
    <w:rsid w:val="004D1FDB"/>
    <w:rsid w:val="004D3181"/>
    <w:rsid w:val="004D385D"/>
    <w:rsid w:val="004D4837"/>
    <w:rsid w:val="004D59E5"/>
    <w:rsid w:val="004E17E7"/>
    <w:rsid w:val="004E2E64"/>
    <w:rsid w:val="004E3537"/>
    <w:rsid w:val="004F5BE9"/>
    <w:rsid w:val="00520FA5"/>
    <w:rsid w:val="00531491"/>
    <w:rsid w:val="00533DCD"/>
    <w:rsid w:val="00534229"/>
    <w:rsid w:val="00540ADE"/>
    <w:rsid w:val="00543561"/>
    <w:rsid w:val="005439EB"/>
    <w:rsid w:val="00545B3A"/>
    <w:rsid w:val="005512CD"/>
    <w:rsid w:val="00554AED"/>
    <w:rsid w:val="00560E4B"/>
    <w:rsid w:val="0056175E"/>
    <w:rsid w:val="00563FF9"/>
    <w:rsid w:val="0056485D"/>
    <w:rsid w:val="005724A4"/>
    <w:rsid w:val="005743A2"/>
    <w:rsid w:val="00575F40"/>
    <w:rsid w:val="005769F1"/>
    <w:rsid w:val="005810D3"/>
    <w:rsid w:val="00586EF7"/>
    <w:rsid w:val="00587094"/>
    <w:rsid w:val="00587190"/>
    <w:rsid w:val="005909C1"/>
    <w:rsid w:val="005920E4"/>
    <w:rsid w:val="00593C0C"/>
    <w:rsid w:val="005A1A9B"/>
    <w:rsid w:val="005A55EA"/>
    <w:rsid w:val="005A56E2"/>
    <w:rsid w:val="005A5909"/>
    <w:rsid w:val="005D07D6"/>
    <w:rsid w:val="005D3429"/>
    <w:rsid w:val="005D5FE8"/>
    <w:rsid w:val="005D643C"/>
    <w:rsid w:val="005E2CB7"/>
    <w:rsid w:val="005E613B"/>
    <w:rsid w:val="005F50F8"/>
    <w:rsid w:val="005F5769"/>
    <w:rsid w:val="0060217B"/>
    <w:rsid w:val="00602C11"/>
    <w:rsid w:val="006056B3"/>
    <w:rsid w:val="00605B24"/>
    <w:rsid w:val="006069AB"/>
    <w:rsid w:val="00610011"/>
    <w:rsid w:val="00611566"/>
    <w:rsid w:val="006147C4"/>
    <w:rsid w:val="00615046"/>
    <w:rsid w:val="006165C7"/>
    <w:rsid w:val="00616BCD"/>
    <w:rsid w:val="0061740F"/>
    <w:rsid w:val="00617451"/>
    <w:rsid w:val="00617667"/>
    <w:rsid w:val="00620606"/>
    <w:rsid w:val="00622746"/>
    <w:rsid w:val="00623AA5"/>
    <w:rsid w:val="00624104"/>
    <w:rsid w:val="00635573"/>
    <w:rsid w:val="00636243"/>
    <w:rsid w:val="00642189"/>
    <w:rsid w:val="0064533D"/>
    <w:rsid w:val="00645A65"/>
    <w:rsid w:val="00646980"/>
    <w:rsid w:val="00646CBF"/>
    <w:rsid w:val="00651B6A"/>
    <w:rsid w:val="00651DCA"/>
    <w:rsid w:val="00656425"/>
    <w:rsid w:val="006603D2"/>
    <w:rsid w:val="00662191"/>
    <w:rsid w:val="006625B1"/>
    <w:rsid w:val="00671198"/>
    <w:rsid w:val="00675780"/>
    <w:rsid w:val="00681582"/>
    <w:rsid w:val="0068406A"/>
    <w:rsid w:val="00684336"/>
    <w:rsid w:val="00687ADC"/>
    <w:rsid w:val="00690DE2"/>
    <w:rsid w:val="006918FF"/>
    <w:rsid w:val="0069263E"/>
    <w:rsid w:val="006927FA"/>
    <w:rsid w:val="00692851"/>
    <w:rsid w:val="00693902"/>
    <w:rsid w:val="00696D89"/>
    <w:rsid w:val="00697A73"/>
    <w:rsid w:val="006A1159"/>
    <w:rsid w:val="006A1515"/>
    <w:rsid w:val="006A460C"/>
    <w:rsid w:val="006B3C82"/>
    <w:rsid w:val="006B5613"/>
    <w:rsid w:val="006B7221"/>
    <w:rsid w:val="006C189A"/>
    <w:rsid w:val="006C2BD4"/>
    <w:rsid w:val="006C3B6B"/>
    <w:rsid w:val="006C4C4B"/>
    <w:rsid w:val="006D0C6B"/>
    <w:rsid w:val="006D0D68"/>
    <w:rsid w:val="006D4FE5"/>
    <w:rsid w:val="006E4DD8"/>
    <w:rsid w:val="006F024B"/>
    <w:rsid w:val="006F614A"/>
    <w:rsid w:val="006F7E68"/>
    <w:rsid w:val="007001EA"/>
    <w:rsid w:val="00702270"/>
    <w:rsid w:val="00702309"/>
    <w:rsid w:val="00702A4D"/>
    <w:rsid w:val="0071171D"/>
    <w:rsid w:val="00711837"/>
    <w:rsid w:val="007136B0"/>
    <w:rsid w:val="007240BA"/>
    <w:rsid w:val="0072433C"/>
    <w:rsid w:val="0072532F"/>
    <w:rsid w:val="00725E8F"/>
    <w:rsid w:val="007306EE"/>
    <w:rsid w:val="00731C15"/>
    <w:rsid w:val="00731F37"/>
    <w:rsid w:val="00733240"/>
    <w:rsid w:val="00733EB5"/>
    <w:rsid w:val="00740DAA"/>
    <w:rsid w:val="0075107B"/>
    <w:rsid w:val="007522DD"/>
    <w:rsid w:val="00752B9A"/>
    <w:rsid w:val="00755A8A"/>
    <w:rsid w:val="00755CEB"/>
    <w:rsid w:val="00761465"/>
    <w:rsid w:val="00762022"/>
    <w:rsid w:val="00762174"/>
    <w:rsid w:val="0076245A"/>
    <w:rsid w:val="0076452F"/>
    <w:rsid w:val="00765808"/>
    <w:rsid w:val="007663D8"/>
    <w:rsid w:val="007711B7"/>
    <w:rsid w:val="00773F6A"/>
    <w:rsid w:val="00777891"/>
    <w:rsid w:val="00777B55"/>
    <w:rsid w:val="00782100"/>
    <w:rsid w:val="007874F8"/>
    <w:rsid w:val="007907C2"/>
    <w:rsid w:val="007916E1"/>
    <w:rsid w:val="00795986"/>
    <w:rsid w:val="00797D15"/>
    <w:rsid w:val="007A1AEA"/>
    <w:rsid w:val="007A3AC0"/>
    <w:rsid w:val="007A41ED"/>
    <w:rsid w:val="007B1E27"/>
    <w:rsid w:val="007B4172"/>
    <w:rsid w:val="007C5451"/>
    <w:rsid w:val="007D13C9"/>
    <w:rsid w:val="007D577E"/>
    <w:rsid w:val="007E3048"/>
    <w:rsid w:val="007E3952"/>
    <w:rsid w:val="007E5304"/>
    <w:rsid w:val="007E56C9"/>
    <w:rsid w:val="007E5FBA"/>
    <w:rsid w:val="007E66D1"/>
    <w:rsid w:val="007E7F06"/>
    <w:rsid w:val="008105FF"/>
    <w:rsid w:val="0081486C"/>
    <w:rsid w:val="0082231E"/>
    <w:rsid w:val="00826ED5"/>
    <w:rsid w:val="00831AEC"/>
    <w:rsid w:val="00834D56"/>
    <w:rsid w:val="00837C7D"/>
    <w:rsid w:val="00837FA6"/>
    <w:rsid w:val="008427B6"/>
    <w:rsid w:val="008438B5"/>
    <w:rsid w:val="00847E78"/>
    <w:rsid w:val="008504B0"/>
    <w:rsid w:val="00856464"/>
    <w:rsid w:val="0086072F"/>
    <w:rsid w:val="00861D5E"/>
    <w:rsid w:val="00863A54"/>
    <w:rsid w:val="008643CA"/>
    <w:rsid w:val="00866C54"/>
    <w:rsid w:val="00873692"/>
    <w:rsid w:val="00875A82"/>
    <w:rsid w:val="00876416"/>
    <w:rsid w:val="00876AE5"/>
    <w:rsid w:val="00883164"/>
    <w:rsid w:val="0088378B"/>
    <w:rsid w:val="00883E2C"/>
    <w:rsid w:val="00884F94"/>
    <w:rsid w:val="00886708"/>
    <w:rsid w:val="0089159D"/>
    <w:rsid w:val="008925FC"/>
    <w:rsid w:val="00894A3B"/>
    <w:rsid w:val="00894D10"/>
    <w:rsid w:val="008A174A"/>
    <w:rsid w:val="008B7CB7"/>
    <w:rsid w:val="008C0A6D"/>
    <w:rsid w:val="008C0C5B"/>
    <w:rsid w:val="008C13D7"/>
    <w:rsid w:val="008C155D"/>
    <w:rsid w:val="008C51AF"/>
    <w:rsid w:val="008C6DC8"/>
    <w:rsid w:val="008D5586"/>
    <w:rsid w:val="008E13F4"/>
    <w:rsid w:val="008E2642"/>
    <w:rsid w:val="008E3A8A"/>
    <w:rsid w:val="008E42AE"/>
    <w:rsid w:val="008E5282"/>
    <w:rsid w:val="008F4333"/>
    <w:rsid w:val="008F6708"/>
    <w:rsid w:val="008F7166"/>
    <w:rsid w:val="0090106E"/>
    <w:rsid w:val="0090110E"/>
    <w:rsid w:val="009068B6"/>
    <w:rsid w:val="00907107"/>
    <w:rsid w:val="009156BC"/>
    <w:rsid w:val="009168A5"/>
    <w:rsid w:val="00920F99"/>
    <w:rsid w:val="00926E4E"/>
    <w:rsid w:val="009273BD"/>
    <w:rsid w:val="00935B1F"/>
    <w:rsid w:val="00946785"/>
    <w:rsid w:val="0095047F"/>
    <w:rsid w:val="009531F8"/>
    <w:rsid w:val="0095513B"/>
    <w:rsid w:val="0096365E"/>
    <w:rsid w:val="0096471D"/>
    <w:rsid w:val="009656E5"/>
    <w:rsid w:val="00966342"/>
    <w:rsid w:val="00966C25"/>
    <w:rsid w:val="00966C32"/>
    <w:rsid w:val="009670B3"/>
    <w:rsid w:val="009678FE"/>
    <w:rsid w:val="00967CCB"/>
    <w:rsid w:val="00973399"/>
    <w:rsid w:val="00980D6B"/>
    <w:rsid w:val="00981FF9"/>
    <w:rsid w:val="00982BCD"/>
    <w:rsid w:val="00983E89"/>
    <w:rsid w:val="00987C1D"/>
    <w:rsid w:val="00991321"/>
    <w:rsid w:val="00991D3B"/>
    <w:rsid w:val="009A0E81"/>
    <w:rsid w:val="009A1376"/>
    <w:rsid w:val="009A18E4"/>
    <w:rsid w:val="009A477F"/>
    <w:rsid w:val="009A5DD4"/>
    <w:rsid w:val="009A7C53"/>
    <w:rsid w:val="009B12C3"/>
    <w:rsid w:val="009B1FF9"/>
    <w:rsid w:val="009B30BD"/>
    <w:rsid w:val="009B3F83"/>
    <w:rsid w:val="009B5D2C"/>
    <w:rsid w:val="009C1184"/>
    <w:rsid w:val="009C7DCF"/>
    <w:rsid w:val="009D227F"/>
    <w:rsid w:val="009D491D"/>
    <w:rsid w:val="009D4B8F"/>
    <w:rsid w:val="009D53FC"/>
    <w:rsid w:val="009E17DD"/>
    <w:rsid w:val="009E4DA0"/>
    <w:rsid w:val="009E5F90"/>
    <w:rsid w:val="009E6EF5"/>
    <w:rsid w:val="009F50ED"/>
    <w:rsid w:val="009F5879"/>
    <w:rsid w:val="009F7D08"/>
    <w:rsid w:val="00A02081"/>
    <w:rsid w:val="00A03164"/>
    <w:rsid w:val="00A0340D"/>
    <w:rsid w:val="00A16FB8"/>
    <w:rsid w:val="00A211E9"/>
    <w:rsid w:val="00A249A0"/>
    <w:rsid w:val="00A30F94"/>
    <w:rsid w:val="00A32594"/>
    <w:rsid w:val="00A332B4"/>
    <w:rsid w:val="00A3522A"/>
    <w:rsid w:val="00A4118D"/>
    <w:rsid w:val="00A6404C"/>
    <w:rsid w:val="00A65452"/>
    <w:rsid w:val="00A66401"/>
    <w:rsid w:val="00A66627"/>
    <w:rsid w:val="00A7137C"/>
    <w:rsid w:val="00A770FE"/>
    <w:rsid w:val="00A8134A"/>
    <w:rsid w:val="00A819F4"/>
    <w:rsid w:val="00A83007"/>
    <w:rsid w:val="00A83C0D"/>
    <w:rsid w:val="00A85A30"/>
    <w:rsid w:val="00A8681B"/>
    <w:rsid w:val="00A92E21"/>
    <w:rsid w:val="00A938E8"/>
    <w:rsid w:val="00A95219"/>
    <w:rsid w:val="00A96A31"/>
    <w:rsid w:val="00AA46BE"/>
    <w:rsid w:val="00AA683E"/>
    <w:rsid w:val="00AA7215"/>
    <w:rsid w:val="00AB1650"/>
    <w:rsid w:val="00AB1B3F"/>
    <w:rsid w:val="00AB5C57"/>
    <w:rsid w:val="00AB6C00"/>
    <w:rsid w:val="00AC1866"/>
    <w:rsid w:val="00AC3EF7"/>
    <w:rsid w:val="00AC71C6"/>
    <w:rsid w:val="00AC79A0"/>
    <w:rsid w:val="00AC7DE9"/>
    <w:rsid w:val="00AD6156"/>
    <w:rsid w:val="00AD778C"/>
    <w:rsid w:val="00AD7A0B"/>
    <w:rsid w:val="00AE07EE"/>
    <w:rsid w:val="00AE27AF"/>
    <w:rsid w:val="00AE3324"/>
    <w:rsid w:val="00AE3AB0"/>
    <w:rsid w:val="00AE3F0C"/>
    <w:rsid w:val="00AE5082"/>
    <w:rsid w:val="00AE5C9C"/>
    <w:rsid w:val="00B02ABB"/>
    <w:rsid w:val="00B108DC"/>
    <w:rsid w:val="00B1210C"/>
    <w:rsid w:val="00B12C7B"/>
    <w:rsid w:val="00B15BC6"/>
    <w:rsid w:val="00B16463"/>
    <w:rsid w:val="00B20E4D"/>
    <w:rsid w:val="00B25659"/>
    <w:rsid w:val="00B30319"/>
    <w:rsid w:val="00B30B0E"/>
    <w:rsid w:val="00B316F7"/>
    <w:rsid w:val="00B328F9"/>
    <w:rsid w:val="00B33485"/>
    <w:rsid w:val="00B354C2"/>
    <w:rsid w:val="00B36046"/>
    <w:rsid w:val="00B36B29"/>
    <w:rsid w:val="00B4614B"/>
    <w:rsid w:val="00B4655E"/>
    <w:rsid w:val="00B60F93"/>
    <w:rsid w:val="00B65A23"/>
    <w:rsid w:val="00B668B9"/>
    <w:rsid w:val="00B7119E"/>
    <w:rsid w:val="00B71EDC"/>
    <w:rsid w:val="00B730F8"/>
    <w:rsid w:val="00B8072A"/>
    <w:rsid w:val="00B90A99"/>
    <w:rsid w:val="00B9183D"/>
    <w:rsid w:val="00B96CCF"/>
    <w:rsid w:val="00BA12BE"/>
    <w:rsid w:val="00BA26D0"/>
    <w:rsid w:val="00BA29BC"/>
    <w:rsid w:val="00BA2CF3"/>
    <w:rsid w:val="00BA3059"/>
    <w:rsid w:val="00BA4254"/>
    <w:rsid w:val="00BA5238"/>
    <w:rsid w:val="00BA6BE5"/>
    <w:rsid w:val="00BB0A9B"/>
    <w:rsid w:val="00BB0E1D"/>
    <w:rsid w:val="00BB2D13"/>
    <w:rsid w:val="00BB6CDF"/>
    <w:rsid w:val="00BB7586"/>
    <w:rsid w:val="00BB7AB9"/>
    <w:rsid w:val="00BC24E3"/>
    <w:rsid w:val="00BC4194"/>
    <w:rsid w:val="00BC50E5"/>
    <w:rsid w:val="00BC5D63"/>
    <w:rsid w:val="00BC6E3F"/>
    <w:rsid w:val="00BC71DB"/>
    <w:rsid w:val="00BD365C"/>
    <w:rsid w:val="00BD685B"/>
    <w:rsid w:val="00BE02BF"/>
    <w:rsid w:val="00BE10EA"/>
    <w:rsid w:val="00BE1147"/>
    <w:rsid w:val="00BE17C0"/>
    <w:rsid w:val="00BE34CC"/>
    <w:rsid w:val="00BF4739"/>
    <w:rsid w:val="00BF48AC"/>
    <w:rsid w:val="00BF6FD9"/>
    <w:rsid w:val="00C013C8"/>
    <w:rsid w:val="00C05FF8"/>
    <w:rsid w:val="00C06DE3"/>
    <w:rsid w:val="00C10D40"/>
    <w:rsid w:val="00C11A75"/>
    <w:rsid w:val="00C14149"/>
    <w:rsid w:val="00C166F0"/>
    <w:rsid w:val="00C248B8"/>
    <w:rsid w:val="00C279CF"/>
    <w:rsid w:val="00C3329D"/>
    <w:rsid w:val="00C34A58"/>
    <w:rsid w:val="00C36420"/>
    <w:rsid w:val="00C4619E"/>
    <w:rsid w:val="00C4675D"/>
    <w:rsid w:val="00C506A5"/>
    <w:rsid w:val="00C51288"/>
    <w:rsid w:val="00C549D0"/>
    <w:rsid w:val="00C70C4F"/>
    <w:rsid w:val="00C7352F"/>
    <w:rsid w:val="00C737EE"/>
    <w:rsid w:val="00C73A49"/>
    <w:rsid w:val="00C758D9"/>
    <w:rsid w:val="00C7627D"/>
    <w:rsid w:val="00C765CA"/>
    <w:rsid w:val="00C816EC"/>
    <w:rsid w:val="00C852AD"/>
    <w:rsid w:val="00C9278A"/>
    <w:rsid w:val="00C93753"/>
    <w:rsid w:val="00C939A0"/>
    <w:rsid w:val="00C978DC"/>
    <w:rsid w:val="00CA0242"/>
    <w:rsid w:val="00CA34C0"/>
    <w:rsid w:val="00CB1D55"/>
    <w:rsid w:val="00CB3869"/>
    <w:rsid w:val="00CB65AD"/>
    <w:rsid w:val="00CB73EA"/>
    <w:rsid w:val="00CB7F58"/>
    <w:rsid w:val="00CC144E"/>
    <w:rsid w:val="00CC2D5A"/>
    <w:rsid w:val="00CC50E2"/>
    <w:rsid w:val="00CC5DE5"/>
    <w:rsid w:val="00CC626D"/>
    <w:rsid w:val="00CD1D49"/>
    <w:rsid w:val="00CD21A9"/>
    <w:rsid w:val="00CD780F"/>
    <w:rsid w:val="00CE12EE"/>
    <w:rsid w:val="00CE15A9"/>
    <w:rsid w:val="00CE27AC"/>
    <w:rsid w:val="00CE2A65"/>
    <w:rsid w:val="00CE32E7"/>
    <w:rsid w:val="00CE3893"/>
    <w:rsid w:val="00CE3A49"/>
    <w:rsid w:val="00CE586C"/>
    <w:rsid w:val="00CE6D4C"/>
    <w:rsid w:val="00CF25E2"/>
    <w:rsid w:val="00CF2AC1"/>
    <w:rsid w:val="00CF47AB"/>
    <w:rsid w:val="00D01046"/>
    <w:rsid w:val="00D01AD1"/>
    <w:rsid w:val="00D03E87"/>
    <w:rsid w:val="00D060F6"/>
    <w:rsid w:val="00D1362C"/>
    <w:rsid w:val="00D14701"/>
    <w:rsid w:val="00D317FE"/>
    <w:rsid w:val="00D3313B"/>
    <w:rsid w:val="00D33700"/>
    <w:rsid w:val="00D50951"/>
    <w:rsid w:val="00D563EC"/>
    <w:rsid w:val="00D56800"/>
    <w:rsid w:val="00D5700F"/>
    <w:rsid w:val="00D57940"/>
    <w:rsid w:val="00D57EFB"/>
    <w:rsid w:val="00D62784"/>
    <w:rsid w:val="00D628CF"/>
    <w:rsid w:val="00D644D9"/>
    <w:rsid w:val="00D66352"/>
    <w:rsid w:val="00D804D0"/>
    <w:rsid w:val="00D80DF3"/>
    <w:rsid w:val="00D81B25"/>
    <w:rsid w:val="00D828D5"/>
    <w:rsid w:val="00D86FAF"/>
    <w:rsid w:val="00D90CF8"/>
    <w:rsid w:val="00D951E4"/>
    <w:rsid w:val="00D96460"/>
    <w:rsid w:val="00DA17F7"/>
    <w:rsid w:val="00DA4710"/>
    <w:rsid w:val="00DB56C2"/>
    <w:rsid w:val="00DB5C51"/>
    <w:rsid w:val="00DB60E7"/>
    <w:rsid w:val="00DB6594"/>
    <w:rsid w:val="00DC1280"/>
    <w:rsid w:val="00DC25DD"/>
    <w:rsid w:val="00DC27E2"/>
    <w:rsid w:val="00DC2CD7"/>
    <w:rsid w:val="00DC3782"/>
    <w:rsid w:val="00DC675C"/>
    <w:rsid w:val="00DD135A"/>
    <w:rsid w:val="00DD1B64"/>
    <w:rsid w:val="00DD34B6"/>
    <w:rsid w:val="00DD5562"/>
    <w:rsid w:val="00DE2511"/>
    <w:rsid w:val="00DE4AC5"/>
    <w:rsid w:val="00DE5C4A"/>
    <w:rsid w:val="00DE6526"/>
    <w:rsid w:val="00DE76F5"/>
    <w:rsid w:val="00DF32B0"/>
    <w:rsid w:val="00DF57F9"/>
    <w:rsid w:val="00E02BF3"/>
    <w:rsid w:val="00E03507"/>
    <w:rsid w:val="00E03BE5"/>
    <w:rsid w:val="00E07CE9"/>
    <w:rsid w:val="00E10190"/>
    <w:rsid w:val="00E104CA"/>
    <w:rsid w:val="00E11993"/>
    <w:rsid w:val="00E13767"/>
    <w:rsid w:val="00E13EAA"/>
    <w:rsid w:val="00E151E9"/>
    <w:rsid w:val="00E20DDF"/>
    <w:rsid w:val="00E26901"/>
    <w:rsid w:val="00E26D95"/>
    <w:rsid w:val="00E27B8D"/>
    <w:rsid w:val="00E330BC"/>
    <w:rsid w:val="00E3542F"/>
    <w:rsid w:val="00E36DD2"/>
    <w:rsid w:val="00E36F22"/>
    <w:rsid w:val="00E40CE0"/>
    <w:rsid w:val="00E47EFD"/>
    <w:rsid w:val="00E541D4"/>
    <w:rsid w:val="00E62451"/>
    <w:rsid w:val="00E770A4"/>
    <w:rsid w:val="00E77B53"/>
    <w:rsid w:val="00E80379"/>
    <w:rsid w:val="00E84792"/>
    <w:rsid w:val="00E84D35"/>
    <w:rsid w:val="00E85899"/>
    <w:rsid w:val="00E923D3"/>
    <w:rsid w:val="00E966CA"/>
    <w:rsid w:val="00E97234"/>
    <w:rsid w:val="00EA6F0C"/>
    <w:rsid w:val="00EB258E"/>
    <w:rsid w:val="00EB3611"/>
    <w:rsid w:val="00EB68D1"/>
    <w:rsid w:val="00EC2FCC"/>
    <w:rsid w:val="00EC4BBB"/>
    <w:rsid w:val="00EC5BDB"/>
    <w:rsid w:val="00EC618F"/>
    <w:rsid w:val="00EC7799"/>
    <w:rsid w:val="00ED5D34"/>
    <w:rsid w:val="00ED7C00"/>
    <w:rsid w:val="00ED7D6C"/>
    <w:rsid w:val="00EE0EE2"/>
    <w:rsid w:val="00EF7B67"/>
    <w:rsid w:val="00F016C4"/>
    <w:rsid w:val="00F12A60"/>
    <w:rsid w:val="00F14800"/>
    <w:rsid w:val="00F307EB"/>
    <w:rsid w:val="00F34831"/>
    <w:rsid w:val="00F349F9"/>
    <w:rsid w:val="00F40904"/>
    <w:rsid w:val="00F428C2"/>
    <w:rsid w:val="00F47BD1"/>
    <w:rsid w:val="00F532A3"/>
    <w:rsid w:val="00F53AC7"/>
    <w:rsid w:val="00F61743"/>
    <w:rsid w:val="00F63A9E"/>
    <w:rsid w:val="00F73BF7"/>
    <w:rsid w:val="00F76842"/>
    <w:rsid w:val="00F81F18"/>
    <w:rsid w:val="00F863AF"/>
    <w:rsid w:val="00F875FD"/>
    <w:rsid w:val="00F9130B"/>
    <w:rsid w:val="00F91355"/>
    <w:rsid w:val="00F9492C"/>
    <w:rsid w:val="00F9660D"/>
    <w:rsid w:val="00FA044B"/>
    <w:rsid w:val="00FA0719"/>
    <w:rsid w:val="00FA20C3"/>
    <w:rsid w:val="00FA213E"/>
    <w:rsid w:val="00FA5611"/>
    <w:rsid w:val="00FA7542"/>
    <w:rsid w:val="00FB2620"/>
    <w:rsid w:val="00FB426E"/>
    <w:rsid w:val="00FB595C"/>
    <w:rsid w:val="00FC2377"/>
    <w:rsid w:val="00FC305D"/>
    <w:rsid w:val="00FC606F"/>
    <w:rsid w:val="00FD070B"/>
    <w:rsid w:val="00FD1CC2"/>
    <w:rsid w:val="00FD3630"/>
    <w:rsid w:val="00FD5ED0"/>
    <w:rsid w:val="00FE1B4F"/>
    <w:rsid w:val="00FE2062"/>
    <w:rsid w:val="00FE2329"/>
    <w:rsid w:val="00FE3B4C"/>
    <w:rsid w:val="00FE3E0E"/>
    <w:rsid w:val="00FE6DAB"/>
    <w:rsid w:val="00FF1EFF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45238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7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ESHeading"/>
    <w:next w:val="Normal"/>
    <w:link w:val="Heading2Char"/>
    <w:uiPriority w:val="9"/>
    <w:unhideWhenUsed/>
    <w:qFormat/>
    <w:rsid w:val="00D3313B"/>
    <w:pPr>
      <w:outlineLvl w:val="1"/>
    </w:pPr>
    <w:rPr>
      <w:i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263E"/>
    <w:pPr>
      <w:keepNext/>
      <w:spacing w:before="120" w:after="240" w:line="276" w:lineRule="auto"/>
      <w:ind w:left="1440" w:hanging="1440"/>
      <w:outlineLvl w:val="2"/>
    </w:pPr>
    <w:rPr>
      <w:b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1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">
    <w:name w:val="ES_Heading"/>
    <w:basedOn w:val="ListParagraph"/>
    <w:link w:val="ESHeadingChar"/>
    <w:qFormat/>
    <w:rsid w:val="00397BD8"/>
    <w:pPr>
      <w:keepNext/>
      <w:spacing w:before="240" w:after="240" w:line="276" w:lineRule="auto"/>
      <w:ind w:left="0"/>
      <w:contextualSpacing w:val="0"/>
    </w:pPr>
    <w:rPr>
      <w:b/>
      <w:i/>
    </w:rPr>
  </w:style>
  <w:style w:type="character" w:customStyle="1" w:styleId="ESHeadingChar">
    <w:name w:val="ES_Heading Char"/>
    <w:basedOn w:val="DefaultParagraphFont"/>
    <w:link w:val="ESHeading"/>
    <w:rsid w:val="00397BD8"/>
    <w:rPr>
      <w:rFonts w:ascii="Times New Roman" w:hAnsi="Times New Roman" w:cs="Times New Roman"/>
      <w:b/>
      <w:i/>
    </w:rPr>
  </w:style>
  <w:style w:type="paragraph" w:customStyle="1" w:styleId="ESTitleInstrumentName">
    <w:name w:val="ESTitle_InstrumentName"/>
    <w:basedOn w:val="Normal"/>
    <w:link w:val="ESTitleInstrumentNameChar"/>
    <w:qFormat/>
    <w:rsid w:val="00397BD8"/>
    <w:pPr>
      <w:spacing w:before="360" w:after="600" w:line="276" w:lineRule="auto"/>
      <w:jc w:val="center"/>
    </w:pPr>
    <w:rPr>
      <w:b/>
      <w:i/>
    </w:rPr>
  </w:style>
  <w:style w:type="paragraph" w:customStyle="1" w:styleId="ESTitleEnablingLegislation">
    <w:name w:val="ESTitle_EnablingLegislation"/>
    <w:basedOn w:val="Normal"/>
    <w:link w:val="ESTitleEnablingLegislationChar"/>
    <w:qFormat/>
    <w:rsid w:val="00397BD8"/>
    <w:pPr>
      <w:spacing w:line="276" w:lineRule="auto"/>
      <w:jc w:val="center"/>
    </w:pPr>
    <w:rPr>
      <w:i/>
    </w:rPr>
  </w:style>
  <w:style w:type="character" w:customStyle="1" w:styleId="ESTitleInstrumentNameChar">
    <w:name w:val="ESTitle_InstrumentName Char"/>
    <w:basedOn w:val="DefaultParagraphFont"/>
    <w:link w:val="ESTitleInstrumentName"/>
    <w:rsid w:val="00397BD8"/>
    <w:rPr>
      <w:rFonts w:ascii="Times New Roman" w:hAnsi="Times New Roman" w:cs="Times New Roman"/>
      <w:b/>
      <w:i/>
    </w:rPr>
  </w:style>
  <w:style w:type="paragraph" w:customStyle="1" w:styleId="ESTitleDecisionMaker">
    <w:name w:val="ESTitle_DecisionMaker"/>
    <w:basedOn w:val="Normal"/>
    <w:link w:val="ESTitleDecisionMakerChar"/>
    <w:qFormat/>
    <w:rsid w:val="00397BD8"/>
    <w:pPr>
      <w:spacing w:line="276" w:lineRule="auto"/>
      <w:jc w:val="center"/>
    </w:pPr>
  </w:style>
  <w:style w:type="character" w:customStyle="1" w:styleId="ESTitleEnablingLegislationChar">
    <w:name w:val="ESTitle_EnablingLegislation Char"/>
    <w:basedOn w:val="DefaultParagraphFont"/>
    <w:link w:val="ESTitleEnablingLegislation"/>
    <w:rsid w:val="00397BD8"/>
    <w:rPr>
      <w:rFonts w:ascii="Times New Roman" w:hAnsi="Times New Roman" w:cs="Times New Roman"/>
      <w:i/>
    </w:rPr>
  </w:style>
  <w:style w:type="paragraph" w:customStyle="1" w:styleId="ESTitleHeader">
    <w:name w:val="ESTitle_Header"/>
    <w:basedOn w:val="Normal"/>
    <w:link w:val="ESTitleHeaderChar"/>
    <w:qFormat/>
    <w:rsid w:val="00397BD8"/>
    <w:pPr>
      <w:spacing w:line="276" w:lineRule="auto"/>
      <w:jc w:val="center"/>
    </w:pPr>
    <w:rPr>
      <w:u w:val="single"/>
    </w:rPr>
  </w:style>
  <w:style w:type="character" w:customStyle="1" w:styleId="ESTitleDecisionMakerChar">
    <w:name w:val="ESTitle_DecisionMaker Char"/>
    <w:basedOn w:val="DefaultParagraphFont"/>
    <w:link w:val="ESTitleDecisionMaker"/>
    <w:rsid w:val="00397BD8"/>
    <w:rPr>
      <w:rFonts w:ascii="Times New Roman" w:hAnsi="Times New Roman" w:cs="Times New Roman"/>
    </w:rPr>
  </w:style>
  <w:style w:type="paragraph" w:customStyle="1" w:styleId="ESSubparaHeader">
    <w:name w:val="ES_SubparaHeader"/>
    <w:basedOn w:val="ListParagraph"/>
    <w:next w:val="ESSubparaList"/>
    <w:qFormat/>
    <w:rsid w:val="00397BD8"/>
    <w:pPr>
      <w:keepNext/>
      <w:numPr>
        <w:numId w:val="1"/>
      </w:numPr>
      <w:spacing w:before="240" w:after="240" w:line="276" w:lineRule="auto"/>
      <w:contextualSpacing w:val="0"/>
    </w:pPr>
  </w:style>
  <w:style w:type="character" w:customStyle="1" w:styleId="ESTitleHeaderChar">
    <w:name w:val="ESTitle_Header Char"/>
    <w:basedOn w:val="DefaultParagraphFont"/>
    <w:link w:val="ESTitleHeader"/>
    <w:rsid w:val="00397BD8"/>
    <w:rPr>
      <w:rFonts w:ascii="Times New Roman" w:hAnsi="Times New Roman" w:cs="Times New Roman"/>
      <w:u w:val="single"/>
    </w:rPr>
  </w:style>
  <w:style w:type="paragraph" w:customStyle="1" w:styleId="ESSubparaList">
    <w:name w:val="ES_SubparaList"/>
    <w:basedOn w:val="ESSubparaHeader"/>
    <w:qFormat/>
    <w:rsid w:val="0069263E"/>
    <w:pPr>
      <w:numPr>
        <w:numId w:val="55"/>
      </w:numPr>
      <w:ind w:left="426" w:hanging="426"/>
    </w:pPr>
  </w:style>
  <w:style w:type="paragraph" w:customStyle="1" w:styleId="ESPara">
    <w:name w:val="ES_Para"/>
    <w:basedOn w:val="ESSubparaHeader"/>
    <w:link w:val="ESParaChar"/>
    <w:qFormat/>
    <w:rsid w:val="00397BD8"/>
    <w:pPr>
      <w:keepNext w:val="0"/>
    </w:pPr>
  </w:style>
  <w:style w:type="character" w:customStyle="1" w:styleId="ESParaChar">
    <w:name w:val="ES_Para Char"/>
    <w:basedOn w:val="DefaultParagraphFont"/>
    <w:link w:val="ESPara"/>
    <w:rsid w:val="00397BD8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97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B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BD8"/>
    <w:rPr>
      <w:sz w:val="20"/>
      <w:szCs w:val="20"/>
    </w:rPr>
  </w:style>
  <w:style w:type="character" w:customStyle="1" w:styleId="normaltextrun">
    <w:name w:val="normaltextrun"/>
    <w:basedOn w:val="DefaultParagraphFont"/>
    <w:rsid w:val="00397BD8"/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"/>
    <w:basedOn w:val="Normal"/>
    <w:link w:val="ListParagraphChar"/>
    <w:uiPriority w:val="34"/>
    <w:qFormat/>
    <w:rsid w:val="00397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BD8"/>
    <w:rPr>
      <w:rFonts w:ascii="Segoe UI" w:hAnsi="Segoe UI" w:cs="Segoe UI"/>
      <w:sz w:val="18"/>
      <w:szCs w:val="18"/>
    </w:rPr>
  </w:style>
  <w:style w:type="paragraph" w:customStyle="1" w:styleId="paragraph">
    <w:name w:val="paragraph"/>
    <w:aliases w:val="a"/>
    <w:basedOn w:val="Normal"/>
    <w:link w:val="paragraphChar"/>
    <w:rsid w:val="00692851"/>
    <w:pPr>
      <w:tabs>
        <w:tab w:val="right" w:pos="1531"/>
      </w:tabs>
      <w:spacing w:before="40"/>
      <w:ind w:left="1644" w:hanging="1644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692851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3313B"/>
    <w:rPr>
      <w:rFonts w:ascii="Times New Roman" w:hAnsi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69263E"/>
    <w:rPr>
      <w:rFonts w:ascii="Times New Roman" w:hAnsi="Times New Roman" w:cs="Times New Roman"/>
      <w:b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13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finition">
    <w:name w:val="Definition"/>
    <w:aliases w:val="dd"/>
    <w:basedOn w:val="Normal"/>
    <w:rsid w:val="00761465"/>
    <w:pPr>
      <w:spacing w:before="180"/>
      <w:ind w:left="1134"/>
    </w:pPr>
    <w:rPr>
      <w:rFonts w:eastAsia="Times New Roman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61465"/>
    <w:rPr>
      <w:color w:val="0563C1" w:themeColor="hyperlink"/>
      <w:u w:val="single"/>
    </w:rPr>
  </w:style>
  <w:style w:type="paragraph" w:customStyle="1" w:styleId="aa">
    <w:name w:val="aa"/>
    <w:aliases w:val="paragraph(sub)"/>
    <w:basedOn w:val="paragraph"/>
    <w:rsid w:val="008764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5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6C2"/>
  </w:style>
  <w:style w:type="paragraph" w:styleId="Footer">
    <w:name w:val="footer"/>
    <w:basedOn w:val="Normal"/>
    <w:link w:val="FooterChar"/>
    <w:uiPriority w:val="99"/>
    <w:unhideWhenUsed/>
    <w:rsid w:val="00DB5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6C2"/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basedOn w:val="DefaultParagraphFont"/>
    <w:link w:val="ListParagraph"/>
    <w:uiPriority w:val="34"/>
    <w:qFormat/>
    <w:locked/>
    <w:rsid w:val="00AE3324"/>
  </w:style>
  <w:style w:type="paragraph" w:styleId="Revision">
    <w:name w:val="Revision"/>
    <w:hidden/>
    <w:uiPriority w:val="99"/>
    <w:semiHidden/>
    <w:rsid w:val="007645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6918FF"/>
    <w:pPr>
      <w:spacing w:before="120" w:after="120" w:line="264" w:lineRule="auto"/>
    </w:pPr>
    <w:rPr>
      <w:rFonts w:asciiTheme="minorHAnsi" w:eastAsia="Times New Roman" w:hAnsiTheme="minorHAnsi"/>
      <w:sz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6918FF"/>
    <w:rPr>
      <w:rFonts w:eastAsia="Times New Roman" w:cs="Times New Roman"/>
      <w:sz w:val="20"/>
      <w:szCs w:val="24"/>
      <w:lang w:eastAsia="en-AU"/>
    </w:rPr>
  </w:style>
  <w:style w:type="paragraph" w:customStyle="1" w:styleId="Item">
    <w:name w:val="Item"/>
    <w:aliases w:val="i"/>
    <w:basedOn w:val="Normal"/>
    <w:next w:val="Normal"/>
    <w:rsid w:val="003E1B6D"/>
    <w:pPr>
      <w:keepLines/>
      <w:spacing w:before="80"/>
      <w:ind w:left="709"/>
    </w:pPr>
    <w:rPr>
      <w:rFonts w:eastAsia="Times New Roman"/>
      <w:sz w:val="22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D27B6"/>
    <w:rPr>
      <w:rFonts w:ascii="Times New Roman" w:eastAsia="Times New Roman" w:hAnsi="Times New Roman" w:cs="Times New Roman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3D27B6"/>
    <w:pPr>
      <w:tabs>
        <w:tab w:val="right" w:pos="1021"/>
      </w:tabs>
      <w:spacing w:before="180"/>
      <w:ind w:left="1134" w:hanging="1134"/>
    </w:pPr>
    <w:rPr>
      <w:rFonts w:eastAsia="Times New Roman"/>
      <w:sz w:val="22"/>
      <w:szCs w:val="22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EC5BDB"/>
    <w:pPr>
      <w:keepNext/>
      <w:keepLines/>
      <w:spacing w:before="280"/>
      <w:ind w:left="1134" w:hanging="1134"/>
      <w:outlineLvl w:val="8"/>
    </w:pPr>
    <w:rPr>
      <w:rFonts w:eastAsia="Times New Roman"/>
      <w:b/>
      <w:i/>
      <w:kern w:val="28"/>
      <w:sz w:val="28"/>
      <w:szCs w:val="20"/>
      <w:lang w:eastAsia="en-AU"/>
    </w:rPr>
  </w:style>
  <w:style w:type="paragraph" w:customStyle="1" w:styleId="Default">
    <w:name w:val="Default"/>
    <w:rsid w:val="00E847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D828D5"/>
  </w:style>
  <w:style w:type="paragraph" w:customStyle="1" w:styleId="ItemHead">
    <w:name w:val="ItemHead"/>
    <w:aliases w:val="ih"/>
    <w:basedOn w:val="Normal"/>
    <w:next w:val="Item"/>
    <w:rsid w:val="00545B3A"/>
    <w:pPr>
      <w:keepNext/>
      <w:keepLines/>
      <w:spacing w:before="220"/>
      <w:ind w:left="709" w:hanging="709"/>
    </w:pPr>
    <w:rPr>
      <w:rFonts w:ascii="Arial" w:eastAsia="Times New Roman" w:hAnsi="Arial"/>
      <w:b/>
      <w:kern w:val="28"/>
      <w:szCs w:val="20"/>
      <w:lang w:eastAsia="en-AU"/>
    </w:rPr>
  </w:style>
  <w:style w:type="table" w:styleId="TableGrid">
    <w:name w:val="Table Grid"/>
    <w:basedOn w:val="TableNormal"/>
    <w:uiPriority w:val="59"/>
    <w:rsid w:val="00545B3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Tableheading">
    <w:name w:val="LDTableheading"/>
    <w:basedOn w:val="Normal"/>
    <w:rsid w:val="00545B3A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eastAsia="Times New Roman" w:hAnsi="Arial"/>
      <w:b/>
      <w:sz w:val="20"/>
      <w:szCs w:val="20"/>
    </w:rPr>
  </w:style>
  <w:style w:type="paragraph" w:customStyle="1" w:styleId="LDTabletext">
    <w:name w:val="LDTabletext"/>
    <w:basedOn w:val="Normal"/>
    <w:rsid w:val="00545B3A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  <w:rPr>
      <w:rFonts w:ascii="Arial" w:eastAsia="Times New Roman" w:hAnsi="Arial" w:cs="Arial"/>
      <w:sz w:val="20"/>
      <w:szCs w:val="20"/>
    </w:rPr>
  </w:style>
  <w:style w:type="paragraph" w:customStyle="1" w:styleId="LDTableP1a">
    <w:name w:val="LDTableP1(a)"/>
    <w:rsid w:val="00545B3A"/>
    <w:pPr>
      <w:tabs>
        <w:tab w:val="left" w:pos="318"/>
      </w:tabs>
      <w:spacing w:after="0" w:line="240" w:lineRule="auto"/>
      <w:ind w:left="317" w:hanging="317"/>
    </w:pPr>
    <w:rPr>
      <w:rFonts w:ascii="Arial" w:eastAsia="Times New Roman" w:hAnsi="Arial" w:cs="Arial"/>
      <w:sz w:val="20"/>
      <w:szCs w:val="20"/>
    </w:rPr>
  </w:style>
  <w:style w:type="paragraph" w:customStyle="1" w:styleId="LDP1a">
    <w:name w:val="LDP1(a)"/>
    <w:basedOn w:val="Normal"/>
    <w:rsid w:val="00114A10"/>
    <w:pPr>
      <w:tabs>
        <w:tab w:val="left" w:pos="1191"/>
      </w:tabs>
      <w:spacing w:before="60" w:after="60"/>
      <w:ind w:left="1191" w:hanging="454"/>
    </w:pPr>
    <w:rPr>
      <w:rFonts w:eastAsia="Times New Roman"/>
    </w:rPr>
  </w:style>
  <w:style w:type="paragraph" w:customStyle="1" w:styleId="LDMinuteParagraph">
    <w:name w:val="LDMinuteParagraph"/>
    <w:basedOn w:val="Normal"/>
    <w:rsid w:val="00114A10"/>
    <w:pPr>
      <w:numPr>
        <w:numId w:val="51"/>
      </w:numPr>
      <w:tabs>
        <w:tab w:val="left" w:pos="360"/>
      </w:tabs>
      <w:overflowPunct w:val="0"/>
      <w:autoSpaceDE w:val="0"/>
      <w:autoSpaceDN w:val="0"/>
      <w:adjustRightInd w:val="0"/>
      <w:spacing w:after="120"/>
    </w:pPr>
    <w:rPr>
      <w:rFonts w:eastAsia="Times New Roman"/>
      <w:szCs w:val="20"/>
    </w:rPr>
  </w:style>
  <w:style w:type="paragraph" w:customStyle="1" w:styleId="ESpara0">
    <w:name w:val="ES para"/>
    <w:basedOn w:val="Normal"/>
    <w:qFormat/>
    <w:rsid w:val="0069263E"/>
    <w:pPr>
      <w:spacing w:before="120" w:after="120" w:line="276" w:lineRule="auto"/>
    </w:pPr>
    <w:rPr>
      <w:lang w:eastAsia="en-AU"/>
    </w:rPr>
  </w:style>
  <w:style w:type="paragraph" w:customStyle="1" w:styleId="listparagraph0">
    <w:name w:val="listparagraph"/>
    <w:basedOn w:val="Normal"/>
    <w:rsid w:val="00126D10"/>
    <w:pPr>
      <w:spacing w:before="100" w:beforeAutospacing="1" w:after="100" w:afterAutospacing="1"/>
    </w:pPr>
    <w:rPr>
      <w:rFonts w:eastAsia="Times New Roman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126D10"/>
    <w:pPr>
      <w:spacing w:before="100" w:beforeAutospacing="1" w:after="100" w:afterAutospacing="1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402D75EB8D47A4EA959C56DD2BB7229" ma:contentTypeVersion="" ma:contentTypeDescription="PDMS Document Site Content Type" ma:contentTypeScope="" ma:versionID="2e7a808aab3e8b7b41732727b06833ae">
  <xsd:schema xmlns:xsd="http://www.w3.org/2001/XMLSchema" xmlns:xs="http://www.w3.org/2001/XMLSchema" xmlns:p="http://schemas.microsoft.com/office/2006/metadata/properties" xmlns:ns2="BE5196CD-D759-4DB4-81A7-69C9A1FD00DC" targetNamespace="http://schemas.microsoft.com/office/2006/metadata/properties" ma:root="true" ma:fieldsID="7d411a049ea8b2027494909a737fd55a" ns2:_="">
    <xsd:import namespace="BE5196CD-D759-4DB4-81A7-69C9A1FD00D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96CD-D759-4DB4-81A7-69C9A1FD00D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E5196CD-D759-4DB4-81A7-69C9A1FD00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E21F3-A330-4A05-A27E-FE5875E04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B893F-C164-4196-A783-0B0D03BE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196CD-D759-4DB4-81A7-69C9A1FD0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33C2D-7443-4617-A287-B2F96477A5E3}">
  <ds:schemaRefs>
    <ds:schemaRef ds:uri="http://purl.org/dc/terms/"/>
    <ds:schemaRef ds:uri="BE5196CD-D759-4DB4-81A7-69C9A1FD00D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9753DD-1A93-4AD1-8113-97249049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2025-02-21T05:35:00Z</dcterms:created>
  <dcterms:modified xsi:type="dcterms:W3CDTF">2025-02-21T05:51:00Z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0x010100266966F133664895A6EE3632470D45F5008402D75EB8D47A4EA959C56DD2BB7229</vt:lpwstr>
  </property>
</Properties>
</file>