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B61CF" w14:textId="78A9B5BF" w:rsidR="00A419EA" w:rsidRDefault="00ED081D" w:rsidP="00266E11">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6482C0DE" w14:textId="77777777" w:rsidR="00AD562B" w:rsidRPr="0035308E" w:rsidRDefault="00AD562B" w:rsidP="00266E11">
      <w:pPr>
        <w:autoSpaceDE w:val="0"/>
        <w:autoSpaceDN w:val="0"/>
        <w:adjustRightInd w:val="0"/>
        <w:spacing w:after="0" w:line="240" w:lineRule="auto"/>
        <w:jc w:val="center"/>
        <w:rPr>
          <w:rFonts w:ascii="Times New Roman" w:eastAsia="Times New Roman" w:hAnsi="Times New Roman" w:cs="Times New Roman"/>
          <w:sz w:val="24"/>
          <w:szCs w:val="24"/>
          <w:lang w:eastAsia="en-AU"/>
        </w:rPr>
      </w:pPr>
    </w:p>
    <w:p w14:paraId="7A143476" w14:textId="228C7309" w:rsidR="00B60F0C" w:rsidRDefault="00B60F0C" w:rsidP="00266E11">
      <w:pPr>
        <w:autoSpaceDE w:val="0"/>
        <w:autoSpaceDN w:val="0"/>
        <w:adjustRightInd w:val="0"/>
        <w:spacing w:after="0" w:line="240" w:lineRule="auto"/>
        <w:jc w:val="center"/>
        <w:rPr>
          <w:rFonts w:ascii="Times New Roman" w:hAnsi="Times New Roman"/>
          <w:bCs/>
          <w:i/>
          <w:iCs/>
          <w:szCs w:val="24"/>
        </w:rPr>
      </w:pPr>
      <w:r w:rsidRPr="00625284">
        <w:rPr>
          <w:rFonts w:ascii="Times New Roman" w:hAnsi="Times New Roman"/>
          <w:bCs/>
          <w:i/>
          <w:iCs/>
          <w:szCs w:val="24"/>
        </w:rPr>
        <w:t>Therapeutic Goods Act 1989</w:t>
      </w:r>
    </w:p>
    <w:p w14:paraId="0125EA61" w14:textId="77777777" w:rsidR="00AD562B" w:rsidRPr="00266E11" w:rsidRDefault="00AD562B" w:rsidP="00266E11">
      <w:pPr>
        <w:autoSpaceDE w:val="0"/>
        <w:autoSpaceDN w:val="0"/>
        <w:adjustRightInd w:val="0"/>
        <w:spacing w:after="0" w:line="240" w:lineRule="auto"/>
        <w:jc w:val="center"/>
        <w:rPr>
          <w:rFonts w:ascii="Times New Roman" w:hAnsi="Times New Roman" w:cs="Times New Roman"/>
          <w:bCs/>
        </w:rPr>
      </w:pPr>
    </w:p>
    <w:p w14:paraId="742D9337" w14:textId="61B3CFBC" w:rsidR="00EF1F18" w:rsidRPr="001714A1" w:rsidRDefault="00DB3889" w:rsidP="00266E11">
      <w:pPr>
        <w:autoSpaceDE w:val="0"/>
        <w:autoSpaceDN w:val="0"/>
        <w:adjustRightInd w:val="0"/>
        <w:spacing w:after="0" w:line="240" w:lineRule="auto"/>
        <w:jc w:val="center"/>
        <w:rPr>
          <w:rFonts w:ascii="Times New Roman" w:eastAsia="Times New Roman" w:hAnsi="Times New Roman" w:cs="Times New Roman"/>
          <w:bCs/>
          <w:i/>
          <w:lang w:eastAsia="en-AU"/>
        </w:rPr>
      </w:pPr>
      <w:r w:rsidRPr="001714A1">
        <w:rPr>
          <w:rFonts w:ascii="Times New Roman" w:eastAsia="Times New Roman" w:hAnsi="Times New Roman" w:cs="Times New Roman"/>
          <w:bCs/>
          <w:i/>
          <w:lang w:eastAsia="en-AU"/>
        </w:rPr>
        <w:t>Therapeutic Goods (Permissible Ingredients) Determination (No</w:t>
      </w:r>
      <w:r>
        <w:rPr>
          <w:rFonts w:ascii="Times New Roman" w:eastAsia="Times New Roman" w:hAnsi="Times New Roman" w:cs="Times New Roman"/>
          <w:bCs/>
          <w:i/>
          <w:lang w:eastAsia="en-AU"/>
        </w:rPr>
        <w:t>. 1</w:t>
      </w:r>
      <w:r w:rsidRPr="001714A1">
        <w:rPr>
          <w:rFonts w:ascii="Times New Roman" w:eastAsia="Times New Roman" w:hAnsi="Times New Roman" w:cs="Times New Roman"/>
          <w:bCs/>
          <w:i/>
          <w:lang w:eastAsia="en-AU"/>
        </w:rPr>
        <w:t>)</w:t>
      </w:r>
      <w:r>
        <w:rPr>
          <w:rFonts w:ascii="Times New Roman" w:eastAsia="Times New Roman" w:hAnsi="Times New Roman" w:cs="Times New Roman"/>
          <w:bCs/>
          <w:i/>
          <w:lang w:eastAsia="en-AU"/>
        </w:rPr>
        <w:t> </w:t>
      </w:r>
      <w:r w:rsidRPr="001714A1">
        <w:rPr>
          <w:rFonts w:ascii="Times New Roman" w:eastAsia="Times New Roman" w:hAnsi="Times New Roman" w:cs="Times New Roman"/>
          <w:bCs/>
          <w:i/>
          <w:lang w:eastAsia="en-AU"/>
        </w:rPr>
        <w:t>20</w:t>
      </w:r>
      <w:r>
        <w:rPr>
          <w:rFonts w:ascii="Times New Roman" w:eastAsia="Times New Roman" w:hAnsi="Times New Roman" w:cs="Times New Roman"/>
          <w:bCs/>
          <w:i/>
          <w:lang w:eastAsia="en-AU"/>
        </w:rPr>
        <w:t>25</w:t>
      </w:r>
    </w:p>
    <w:p w14:paraId="2685996F" w14:textId="77777777" w:rsidR="00AD562B" w:rsidRPr="001714A1" w:rsidRDefault="00AD562B" w:rsidP="00266E11">
      <w:pPr>
        <w:autoSpaceDE w:val="0"/>
        <w:autoSpaceDN w:val="0"/>
        <w:adjustRightInd w:val="0"/>
        <w:spacing w:after="0" w:line="240" w:lineRule="auto"/>
        <w:jc w:val="center"/>
        <w:rPr>
          <w:rFonts w:ascii="Times New Roman" w:eastAsia="Times New Roman" w:hAnsi="Times New Roman" w:cs="Times New Roman"/>
          <w:bCs/>
          <w:iCs/>
          <w:lang w:eastAsia="en-AU"/>
        </w:rPr>
      </w:pPr>
    </w:p>
    <w:p w14:paraId="1375AB08" w14:textId="5DEEF7BB" w:rsidR="008727AB" w:rsidRPr="001714A1" w:rsidRDefault="008727A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The </w:t>
      </w:r>
      <w:r w:rsidRPr="001714A1">
        <w:rPr>
          <w:rFonts w:ascii="Times New Roman" w:eastAsia="Times New Roman" w:hAnsi="Times New Roman" w:cs="Times New Roman"/>
          <w:i/>
          <w:lang w:eastAsia="en-AU"/>
        </w:rPr>
        <w:t>Therapeutic Goods Act 1989</w:t>
      </w:r>
      <w:r w:rsidRPr="001714A1">
        <w:rPr>
          <w:rFonts w:ascii="Times New Roman" w:eastAsia="Times New Roman" w:hAnsi="Times New Roman" w:cs="Times New Roman"/>
          <w:lang w:eastAsia="en-AU"/>
        </w:rPr>
        <w:t xml:space="preserve"> (the Act) provides for the establishment and maintenance of a national system of controls for the quality, safety, efficacy</w:t>
      </w:r>
      <w:r w:rsidR="00B63C60" w:rsidRPr="001714A1">
        <w:rPr>
          <w:rFonts w:ascii="Times New Roman" w:eastAsia="Times New Roman" w:hAnsi="Times New Roman" w:cs="Times New Roman"/>
          <w:lang w:eastAsia="en-AU"/>
        </w:rPr>
        <w:t xml:space="preserve"> or performance</w:t>
      </w:r>
      <w:r w:rsidR="001D1CB3"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 xml:space="preserve"> and timely availability of therapeutic goods that are used in, or exported from, Australia. The Act is administered by the Therapeutic Goods Administration (the </w:t>
      </w:r>
      <w:r w:rsidR="00B60F0C" w:rsidRPr="001714A1">
        <w:rPr>
          <w:rFonts w:ascii="Times New Roman" w:eastAsia="Times New Roman" w:hAnsi="Times New Roman" w:cs="Times New Roman"/>
          <w:lang w:eastAsia="en-AU"/>
        </w:rPr>
        <w:t>TGA</w:t>
      </w:r>
      <w:r w:rsidRPr="001714A1">
        <w:rPr>
          <w:rFonts w:ascii="Times New Roman" w:eastAsia="Times New Roman" w:hAnsi="Times New Roman" w:cs="Times New Roman"/>
          <w:lang w:eastAsia="en-AU"/>
        </w:rPr>
        <w:t>) within the Australian Government Department of Health</w:t>
      </w:r>
      <w:r w:rsidR="00343829" w:rsidRPr="001714A1">
        <w:rPr>
          <w:rFonts w:ascii="Times New Roman" w:eastAsia="Times New Roman" w:hAnsi="Times New Roman" w:cs="Times New Roman"/>
          <w:lang w:eastAsia="en-AU"/>
        </w:rPr>
        <w:t xml:space="preserve"> and Aged Care</w:t>
      </w:r>
      <w:r w:rsidRPr="001714A1">
        <w:rPr>
          <w:rFonts w:ascii="Times New Roman" w:eastAsia="Times New Roman" w:hAnsi="Times New Roman" w:cs="Times New Roman"/>
          <w:lang w:eastAsia="en-AU"/>
        </w:rPr>
        <w:t>.</w:t>
      </w:r>
    </w:p>
    <w:p w14:paraId="242F03BC" w14:textId="77777777" w:rsidR="008727AB" w:rsidRPr="001714A1" w:rsidRDefault="008727AB" w:rsidP="00266E11">
      <w:pPr>
        <w:autoSpaceDE w:val="0"/>
        <w:autoSpaceDN w:val="0"/>
        <w:adjustRightInd w:val="0"/>
        <w:spacing w:after="0" w:line="240" w:lineRule="auto"/>
        <w:rPr>
          <w:rFonts w:ascii="Times New Roman" w:eastAsia="Times New Roman" w:hAnsi="Times New Roman" w:cs="Times New Roman"/>
          <w:lang w:eastAsia="en-AU"/>
        </w:rPr>
      </w:pPr>
    </w:p>
    <w:p w14:paraId="3AAF151F" w14:textId="473B8794" w:rsidR="008727AB" w:rsidRPr="001714A1" w:rsidRDefault="008727AB" w:rsidP="00266E11">
      <w:pPr>
        <w:autoSpaceDE w:val="0"/>
        <w:autoSpaceDN w:val="0"/>
        <w:adjustRightInd w:val="0"/>
        <w:spacing w:after="0" w:line="240" w:lineRule="auto"/>
        <w:rPr>
          <w:rFonts w:ascii="Times New Roman" w:eastAsia="Times New Roman" w:hAnsi="Times New Roman" w:cs="Times New Roman"/>
          <w:lang w:eastAsia="en-AU"/>
        </w:rPr>
      </w:pPr>
      <w:bookmarkStart w:id="0" w:name="_Hlk126676049"/>
      <w:r w:rsidRPr="001714A1">
        <w:rPr>
          <w:rFonts w:ascii="Times New Roman" w:eastAsia="Times New Roman" w:hAnsi="Times New Roman" w:cs="Times New Roman"/>
          <w:lang w:eastAsia="en-AU"/>
        </w:rPr>
        <w:t>S</w:t>
      </w:r>
      <w:r w:rsidR="003034B3" w:rsidRPr="001714A1">
        <w:rPr>
          <w:rFonts w:ascii="Times New Roman" w:eastAsia="Times New Roman" w:hAnsi="Times New Roman" w:cs="Times New Roman"/>
          <w:lang w:eastAsia="en-AU"/>
        </w:rPr>
        <w:t>ubs</w:t>
      </w:r>
      <w:r w:rsidRPr="001714A1">
        <w:rPr>
          <w:rFonts w:ascii="Times New Roman" w:eastAsia="Times New Roman" w:hAnsi="Times New Roman" w:cs="Times New Roman"/>
          <w:lang w:eastAsia="en-AU"/>
        </w:rPr>
        <w:t>ection 26BB</w:t>
      </w:r>
      <w:r w:rsidR="003034B3" w:rsidRPr="001714A1">
        <w:rPr>
          <w:rFonts w:ascii="Times New Roman" w:eastAsia="Times New Roman" w:hAnsi="Times New Roman" w:cs="Times New Roman"/>
          <w:lang w:eastAsia="en-AU"/>
        </w:rPr>
        <w:t>(1)</w:t>
      </w:r>
      <w:r w:rsidRPr="001714A1">
        <w:rPr>
          <w:rFonts w:ascii="Times New Roman" w:eastAsia="Times New Roman" w:hAnsi="Times New Roman" w:cs="Times New Roman"/>
          <w:lang w:eastAsia="en-AU"/>
        </w:rPr>
        <w:t xml:space="preserve"> of the Act relevantly provides that the Minister may, by legislative instrument, make a determination </w:t>
      </w:r>
      <w:r w:rsidR="004E05C9" w:rsidRPr="001714A1">
        <w:rPr>
          <w:rFonts w:ascii="Times New Roman" w:eastAsia="Times New Roman" w:hAnsi="Times New Roman" w:cs="Times New Roman"/>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sidRPr="001714A1">
        <w:rPr>
          <w:rFonts w:ascii="Times New Roman" w:eastAsia="Times New Roman" w:hAnsi="Times New Roman" w:cs="Times New Roman"/>
          <w:lang w:eastAsia="en-AU"/>
        </w:rPr>
        <w:t xml:space="preserve">tained in particular medicines or </w:t>
      </w:r>
      <w:r w:rsidR="004E05C9" w:rsidRPr="001714A1">
        <w:rPr>
          <w:rFonts w:ascii="Times New Roman" w:eastAsia="Times New Roman" w:hAnsi="Times New Roman" w:cs="Times New Roman"/>
          <w:lang w:eastAsia="en-AU"/>
        </w:rPr>
        <w:t>being contained in p</w:t>
      </w:r>
      <w:r w:rsidR="00226F3C" w:rsidRPr="001714A1">
        <w:rPr>
          <w:rFonts w:ascii="Times New Roman" w:eastAsia="Times New Roman" w:hAnsi="Times New Roman" w:cs="Times New Roman"/>
          <w:lang w:eastAsia="en-AU"/>
        </w:rPr>
        <w:t xml:space="preserve">articular medicines only in specified </w:t>
      </w:r>
      <w:r w:rsidR="004E05C9" w:rsidRPr="001714A1">
        <w:rPr>
          <w:rFonts w:ascii="Times New Roman" w:eastAsia="Times New Roman" w:hAnsi="Times New Roman" w:cs="Times New Roman"/>
          <w:lang w:eastAsia="en-AU"/>
        </w:rPr>
        <w:t xml:space="preserve">circumstances or </w:t>
      </w:r>
      <w:r w:rsidR="00B63C60" w:rsidRPr="001714A1">
        <w:rPr>
          <w:rFonts w:ascii="Times New Roman" w:eastAsia="Times New Roman" w:hAnsi="Times New Roman" w:cs="Times New Roman"/>
          <w:lang w:eastAsia="en-AU"/>
        </w:rPr>
        <w:t xml:space="preserve">within </w:t>
      </w:r>
      <w:r w:rsidR="004E05C9" w:rsidRPr="001714A1">
        <w:rPr>
          <w:rFonts w:ascii="Times New Roman" w:eastAsia="Times New Roman" w:hAnsi="Times New Roman" w:cs="Times New Roman"/>
          <w:lang w:eastAsia="en-AU"/>
        </w:rPr>
        <w:t>permitted concentrations or total amounts of an ingredient in a medicine.</w:t>
      </w:r>
    </w:p>
    <w:p w14:paraId="69CA0739" w14:textId="77777777" w:rsidR="004E05C9" w:rsidRPr="001714A1" w:rsidRDefault="004E05C9" w:rsidP="00266E11">
      <w:pPr>
        <w:autoSpaceDE w:val="0"/>
        <w:autoSpaceDN w:val="0"/>
        <w:adjustRightInd w:val="0"/>
        <w:spacing w:after="0" w:line="240" w:lineRule="auto"/>
        <w:rPr>
          <w:rFonts w:ascii="Times New Roman" w:eastAsia="Times New Roman" w:hAnsi="Times New Roman" w:cs="Times New Roman"/>
          <w:lang w:eastAsia="en-AU"/>
        </w:rPr>
      </w:pPr>
    </w:p>
    <w:p w14:paraId="0684020F" w14:textId="70EB6882" w:rsidR="004E05C9" w:rsidRPr="001714A1" w:rsidRDefault="002E6257" w:rsidP="00266E11">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purpose of a l</w:t>
      </w:r>
      <w:r w:rsidR="004E05C9" w:rsidRPr="001714A1">
        <w:rPr>
          <w:rFonts w:ascii="Times New Roman" w:eastAsia="Times New Roman" w:hAnsi="Times New Roman" w:cs="Times New Roman"/>
          <w:lang w:eastAsia="en-AU"/>
        </w:rPr>
        <w:t xml:space="preserve">egislative instrument made </w:t>
      </w:r>
      <w:r w:rsidR="00226F3C" w:rsidRPr="001714A1">
        <w:rPr>
          <w:rFonts w:ascii="Times New Roman" w:eastAsia="Times New Roman" w:hAnsi="Times New Roman" w:cs="Times New Roman"/>
          <w:lang w:eastAsia="en-AU"/>
        </w:rPr>
        <w:t xml:space="preserve">under section 26BB of the Act </w:t>
      </w:r>
      <w:r>
        <w:rPr>
          <w:rFonts w:ascii="Times New Roman" w:eastAsia="Times New Roman" w:hAnsi="Times New Roman" w:cs="Times New Roman"/>
          <w:lang w:eastAsia="en-AU"/>
        </w:rPr>
        <w:t xml:space="preserve">is to </w:t>
      </w:r>
      <w:r w:rsidR="004E05C9" w:rsidRPr="001714A1">
        <w:rPr>
          <w:rFonts w:ascii="Times New Roman" w:eastAsia="Times New Roman" w:hAnsi="Times New Roman" w:cs="Times New Roman"/>
          <w:lang w:eastAsia="en-AU"/>
        </w:rPr>
        <w:t>specif</w:t>
      </w:r>
      <w:r w:rsidR="004E05C9" w:rsidRPr="002E6257">
        <w:rPr>
          <w:rFonts w:ascii="Times New Roman" w:eastAsia="Times New Roman" w:hAnsi="Times New Roman" w:cs="Times New Roman"/>
          <w:sz w:val="24"/>
          <w:szCs w:val="24"/>
          <w:lang w:eastAsia="en-AU"/>
        </w:rPr>
        <w:t>y</w:t>
      </w:r>
      <w:r w:rsidR="004E05C9" w:rsidRPr="001714A1">
        <w:rPr>
          <w:rFonts w:ascii="Times New Roman" w:eastAsia="Times New Roman" w:hAnsi="Times New Roman" w:cs="Times New Roman"/>
          <w:lang w:eastAsia="en-AU"/>
        </w:rPr>
        <w:t xml:space="preserve"> those ingredients that may be contained in a medicine that is listed in the Australian Register of Therapeutic Goods (the Register) under section 26A or 26AE of the Act, and </w:t>
      </w:r>
      <w:r w:rsidR="00226F3C" w:rsidRPr="001714A1">
        <w:rPr>
          <w:rFonts w:ascii="Times New Roman" w:eastAsia="Times New Roman" w:hAnsi="Times New Roman" w:cs="Times New Roman"/>
          <w:lang w:eastAsia="en-AU"/>
        </w:rPr>
        <w:t xml:space="preserve">specify </w:t>
      </w:r>
      <w:r w:rsidR="004E05C9" w:rsidRPr="001714A1">
        <w:rPr>
          <w:rFonts w:ascii="Times New Roman" w:eastAsia="Times New Roman" w:hAnsi="Times New Roman" w:cs="Times New Roman"/>
          <w:lang w:eastAsia="en-AU"/>
        </w:rPr>
        <w:t>requirements in relation to the inclusion of those ingredients in such medicines.</w:t>
      </w:r>
      <w:r w:rsidR="00DB6BBA">
        <w:rPr>
          <w:rFonts w:ascii="Times New Roman" w:eastAsia="Times New Roman" w:hAnsi="Times New Roman" w:cs="Times New Roman"/>
          <w:lang w:eastAsia="en-AU"/>
        </w:rPr>
        <w:t xml:space="preserve"> Listed medicines can only use ingredients specified in an instrument under section 26BB</w:t>
      </w:r>
      <w:r w:rsidR="00615336">
        <w:rPr>
          <w:rFonts w:ascii="Times New Roman" w:eastAsia="Times New Roman" w:hAnsi="Times New Roman" w:cs="Times New Roman"/>
          <w:lang w:eastAsia="en-AU"/>
        </w:rPr>
        <w:t xml:space="preserve"> of the Act</w:t>
      </w:r>
      <w:r w:rsidR="00DB6BBA">
        <w:rPr>
          <w:rFonts w:ascii="Times New Roman" w:eastAsia="Times New Roman" w:hAnsi="Times New Roman" w:cs="Times New Roman"/>
          <w:lang w:eastAsia="en-AU"/>
        </w:rPr>
        <w:t>.</w:t>
      </w:r>
    </w:p>
    <w:p w14:paraId="114F9F97" w14:textId="77777777" w:rsidR="004E05C9" w:rsidRPr="001714A1" w:rsidRDefault="004E05C9" w:rsidP="00266E11">
      <w:pPr>
        <w:autoSpaceDE w:val="0"/>
        <w:autoSpaceDN w:val="0"/>
        <w:adjustRightInd w:val="0"/>
        <w:spacing w:after="0" w:line="240" w:lineRule="auto"/>
        <w:rPr>
          <w:rFonts w:ascii="Times New Roman" w:eastAsia="Times New Roman" w:hAnsi="Times New Roman" w:cs="Times New Roman"/>
          <w:lang w:eastAsia="en-AU"/>
        </w:rPr>
      </w:pPr>
    </w:p>
    <w:p w14:paraId="441C0023" w14:textId="51D26D9C" w:rsidR="004E05C9" w:rsidRPr="001714A1" w:rsidRDefault="004E05C9"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The </w:t>
      </w:r>
      <w:r w:rsidR="00E60C26" w:rsidRPr="001714A1">
        <w:rPr>
          <w:rFonts w:ascii="Times New Roman" w:eastAsia="Times New Roman" w:hAnsi="Times New Roman" w:cs="Times New Roman"/>
          <w:bCs/>
          <w:i/>
          <w:lang w:eastAsia="en-AU"/>
        </w:rPr>
        <w:t>Therapeutic Goods (Permissible Ingredients) Determination (No.</w:t>
      </w:r>
      <w:r w:rsidR="00540CD5" w:rsidRPr="001714A1">
        <w:rPr>
          <w:rFonts w:ascii="Times New Roman" w:eastAsia="Times New Roman" w:hAnsi="Times New Roman" w:cs="Times New Roman"/>
          <w:bCs/>
          <w:i/>
          <w:lang w:eastAsia="en-AU"/>
        </w:rPr>
        <w:t xml:space="preserve"> </w:t>
      </w:r>
      <w:r w:rsidR="00C402E8">
        <w:rPr>
          <w:rFonts w:ascii="Times New Roman" w:eastAsia="Times New Roman" w:hAnsi="Times New Roman" w:cs="Times New Roman"/>
          <w:bCs/>
          <w:i/>
          <w:lang w:eastAsia="en-AU"/>
        </w:rPr>
        <w:t>1</w:t>
      </w:r>
      <w:r w:rsidR="00E60C26" w:rsidRPr="001714A1">
        <w:rPr>
          <w:rFonts w:ascii="Times New Roman" w:eastAsia="Times New Roman" w:hAnsi="Times New Roman" w:cs="Times New Roman"/>
          <w:bCs/>
          <w:i/>
          <w:lang w:eastAsia="en-AU"/>
        </w:rPr>
        <w:t xml:space="preserve">) </w:t>
      </w:r>
      <w:r w:rsidR="00B32448" w:rsidRPr="001714A1">
        <w:rPr>
          <w:rFonts w:ascii="Times New Roman" w:eastAsia="Times New Roman" w:hAnsi="Times New Roman" w:cs="Times New Roman"/>
          <w:bCs/>
          <w:i/>
          <w:lang w:eastAsia="en-AU"/>
        </w:rPr>
        <w:t>20</w:t>
      </w:r>
      <w:r w:rsidR="00B32448">
        <w:rPr>
          <w:rFonts w:ascii="Times New Roman" w:eastAsia="Times New Roman" w:hAnsi="Times New Roman" w:cs="Times New Roman"/>
          <w:bCs/>
          <w:i/>
          <w:lang w:eastAsia="en-AU"/>
        </w:rPr>
        <w:t>2</w:t>
      </w:r>
      <w:r w:rsidR="00C402E8">
        <w:rPr>
          <w:rFonts w:ascii="Times New Roman" w:eastAsia="Times New Roman" w:hAnsi="Times New Roman" w:cs="Times New Roman"/>
          <w:bCs/>
          <w:i/>
          <w:lang w:eastAsia="en-AU"/>
        </w:rPr>
        <w:t>5</w:t>
      </w:r>
      <w:r w:rsidR="00B32448" w:rsidRPr="001714A1">
        <w:rPr>
          <w:rFonts w:ascii="Times New Roman" w:eastAsia="Times New Roman" w:hAnsi="Times New Roman" w:cs="Times New Roman"/>
          <w:bCs/>
          <w:i/>
          <w:lang w:eastAsia="en-AU"/>
        </w:rPr>
        <w:t xml:space="preserve"> </w:t>
      </w:r>
      <w:r w:rsidR="00E60C26" w:rsidRPr="001714A1">
        <w:rPr>
          <w:rFonts w:ascii="Times New Roman" w:eastAsia="Times New Roman" w:hAnsi="Times New Roman" w:cs="Times New Roman"/>
          <w:bCs/>
          <w:lang w:eastAsia="en-AU"/>
        </w:rPr>
        <w:t>(the</w:t>
      </w:r>
      <w:r w:rsidR="007F272E" w:rsidRPr="001714A1">
        <w:rPr>
          <w:rFonts w:ascii="Times New Roman" w:eastAsia="Times New Roman" w:hAnsi="Times New Roman" w:cs="Times New Roman"/>
          <w:bCs/>
          <w:lang w:eastAsia="en-AU"/>
        </w:rPr>
        <w:t> </w:t>
      </w:r>
      <w:r w:rsidRPr="001714A1">
        <w:rPr>
          <w:rFonts w:ascii="Times New Roman" w:eastAsia="Times New Roman" w:hAnsi="Times New Roman" w:cs="Times New Roman"/>
          <w:lang w:eastAsia="en-AU"/>
        </w:rPr>
        <w:t>Determination</w:t>
      </w:r>
      <w:r w:rsidR="00E60C26"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 xml:space="preserve"> </w:t>
      </w:r>
      <w:r w:rsidR="00E67371" w:rsidRPr="001714A1">
        <w:rPr>
          <w:rFonts w:ascii="Times New Roman" w:eastAsia="Times New Roman" w:hAnsi="Times New Roman" w:cs="Times New Roman"/>
          <w:lang w:eastAsia="en-AU"/>
        </w:rPr>
        <w:t>repeal</w:t>
      </w:r>
      <w:r w:rsidR="007C503B" w:rsidRPr="001714A1">
        <w:rPr>
          <w:rFonts w:ascii="Times New Roman" w:eastAsia="Times New Roman" w:hAnsi="Times New Roman" w:cs="Times New Roman"/>
          <w:lang w:eastAsia="en-AU"/>
        </w:rPr>
        <w:t xml:space="preserve">s </w:t>
      </w:r>
      <w:r w:rsidR="00E67371" w:rsidRPr="001714A1">
        <w:rPr>
          <w:rFonts w:ascii="Times New Roman" w:eastAsia="Times New Roman" w:hAnsi="Times New Roman" w:cs="Times New Roman"/>
          <w:lang w:eastAsia="en-AU"/>
        </w:rPr>
        <w:t>and replace</w:t>
      </w:r>
      <w:r w:rsidR="007C503B" w:rsidRPr="001714A1">
        <w:rPr>
          <w:rFonts w:ascii="Times New Roman" w:eastAsia="Times New Roman" w:hAnsi="Times New Roman" w:cs="Times New Roman"/>
          <w:lang w:eastAsia="en-AU"/>
        </w:rPr>
        <w:t>s</w:t>
      </w:r>
      <w:r w:rsidR="00E67371" w:rsidRPr="001714A1">
        <w:rPr>
          <w:rFonts w:ascii="Times New Roman" w:eastAsia="Times New Roman" w:hAnsi="Times New Roman" w:cs="Times New Roman"/>
          <w:lang w:eastAsia="en-AU"/>
        </w:rPr>
        <w:t xml:space="preserve"> </w:t>
      </w:r>
      <w:r w:rsidRPr="001714A1">
        <w:rPr>
          <w:rFonts w:ascii="Times New Roman" w:eastAsia="Times New Roman" w:hAnsi="Times New Roman" w:cs="Times New Roman"/>
          <w:lang w:eastAsia="en-AU"/>
        </w:rPr>
        <w:t xml:space="preserve">the </w:t>
      </w:r>
      <w:r w:rsidRPr="001714A1">
        <w:rPr>
          <w:rFonts w:ascii="Times New Roman" w:eastAsia="Times New Roman" w:hAnsi="Times New Roman" w:cs="Times New Roman"/>
          <w:i/>
          <w:lang w:eastAsia="en-AU"/>
        </w:rPr>
        <w:t>Therapeutic Goods</w:t>
      </w:r>
      <w:r w:rsidR="001C38AF" w:rsidRPr="001714A1">
        <w:rPr>
          <w:rFonts w:ascii="Times New Roman" w:eastAsia="Times New Roman" w:hAnsi="Times New Roman" w:cs="Times New Roman"/>
          <w:i/>
          <w:lang w:eastAsia="en-AU"/>
        </w:rPr>
        <w:t xml:space="preserve"> </w:t>
      </w:r>
      <w:r w:rsidRPr="001714A1">
        <w:rPr>
          <w:rFonts w:ascii="Times New Roman" w:eastAsia="Times New Roman" w:hAnsi="Times New Roman" w:cs="Times New Roman"/>
          <w:i/>
          <w:lang w:eastAsia="en-AU"/>
        </w:rPr>
        <w:t>(Permissible Ingredients) Determination (No.</w:t>
      </w:r>
      <w:r w:rsidR="00B60F0C" w:rsidRPr="001714A1">
        <w:rPr>
          <w:rFonts w:ascii="Times New Roman" w:eastAsia="Times New Roman" w:hAnsi="Times New Roman" w:cs="Times New Roman"/>
          <w:i/>
          <w:lang w:eastAsia="en-AU"/>
        </w:rPr>
        <w:t xml:space="preserve"> </w:t>
      </w:r>
      <w:r w:rsidR="00C402E8">
        <w:rPr>
          <w:rFonts w:ascii="Times New Roman" w:eastAsia="Times New Roman" w:hAnsi="Times New Roman" w:cs="Times New Roman"/>
          <w:i/>
          <w:lang w:eastAsia="en-AU"/>
        </w:rPr>
        <w:t>3</w:t>
      </w:r>
      <w:r w:rsidR="0025481F" w:rsidRPr="001714A1">
        <w:rPr>
          <w:rFonts w:ascii="Times New Roman" w:eastAsia="Times New Roman" w:hAnsi="Times New Roman" w:cs="Times New Roman"/>
          <w:i/>
          <w:lang w:eastAsia="en-AU"/>
        </w:rPr>
        <w:t>)</w:t>
      </w:r>
      <w:r w:rsidR="0025481F">
        <w:rPr>
          <w:rFonts w:ascii="Times New Roman" w:eastAsia="Times New Roman" w:hAnsi="Times New Roman" w:cs="Times New Roman"/>
          <w:i/>
          <w:lang w:eastAsia="en-AU"/>
        </w:rPr>
        <w:t> </w:t>
      </w:r>
      <w:r w:rsidR="00562CC5" w:rsidRPr="001714A1">
        <w:rPr>
          <w:rFonts w:ascii="Times New Roman" w:eastAsia="Times New Roman" w:hAnsi="Times New Roman" w:cs="Times New Roman"/>
          <w:i/>
          <w:lang w:eastAsia="en-AU"/>
        </w:rPr>
        <w:t xml:space="preserve">2024 </w:t>
      </w:r>
      <w:r w:rsidR="00B60F0C" w:rsidRPr="001714A1">
        <w:rPr>
          <w:rFonts w:ascii="Times New Roman" w:eastAsia="Times New Roman" w:hAnsi="Times New Roman" w:cs="Times New Roman"/>
          <w:lang w:eastAsia="en-AU"/>
        </w:rPr>
        <w:t xml:space="preserve">(the </w:t>
      </w:r>
      <w:r w:rsidR="00E67371" w:rsidRPr="001714A1">
        <w:rPr>
          <w:rFonts w:ascii="Times New Roman" w:eastAsia="Times New Roman" w:hAnsi="Times New Roman" w:cs="Times New Roman"/>
          <w:lang w:eastAsia="en-AU"/>
        </w:rPr>
        <w:t xml:space="preserve">former </w:t>
      </w:r>
      <w:r w:rsidR="00B60F0C" w:rsidRPr="001714A1">
        <w:rPr>
          <w:rFonts w:ascii="Times New Roman" w:eastAsia="Times New Roman" w:hAnsi="Times New Roman" w:cs="Times New Roman"/>
          <w:lang w:eastAsia="en-AU"/>
        </w:rPr>
        <w:t>Determination)</w:t>
      </w:r>
      <w:r w:rsidR="007C503B" w:rsidRPr="001714A1">
        <w:rPr>
          <w:rFonts w:ascii="Times New Roman" w:eastAsia="Times New Roman" w:hAnsi="Times New Roman" w:cs="Times New Roman"/>
          <w:lang w:eastAsia="en-AU"/>
        </w:rPr>
        <w:t xml:space="preserve"> and specifies those ingredients that may be contained in a medicine that is listed in the Register and requirements in relation to the inclusion of those ingredients in such medicines</w:t>
      </w:r>
      <w:r w:rsidR="001C38AF" w:rsidRPr="001714A1">
        <w:rPr>
          <w:rFonts w:ascii="Times New Roman" w:eastAsia="Times New Roman" w:hAnsi="Times New Roman" w:cs="Times New Roman"/>
          <w:lang w:eastAsia="en-AU"/>
        </w:rPr>
        <w:t>.</w:t>
      </w:r>
    </w:p>
    <w:p w14:paraId="44353B94"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013E1782" w14:textId="761B1BF5" w:rsidR="00EF1F18" w:rsidRPr="001714A1" w:rsidRDefault="00EF1F18" w:rsidP="00266E11">
      <w:pPr>
        <w:autoSpaceDE w:val="0"/>
        <w:autoSpaceDN w:val="0"/>
        <w:adjustRightInd w:val="0"/>
        <w:spacing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t>B</w:t>
      </w:r>
      <w:r w:rsidR="00E01934" w:rsidRPr="001714A1">
        <w:rPr>
          <w:rFonts w:ascii="Times New Roman" w:eastAsia="Times New Roman" w:hAnsi="Times New Roman" w:cs="Times New Roman"/>
          <w:b/>
          <w:bCs/>
          <w:lang w:eastAsia="en-AU"/>
        </w:rPr>
        <w:t>ackground</w:t>
      </w:r>
    </w:p>
    <w:p w14:paraId="090C8A55"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val="en-US" w:eastAsia="en-AU"/>
        </w:rPr>
      </w:pPr>
    </w:p>
    <w:p w14:paraId="46189311" w14:textId="13177167" w:rsidR="00D4773E" w:rsidRPr="001714A1" w:rsidRDefault="00D4773E"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Medicines that are listed in the Register under section 26A of the Act are considered to be low risk and are not individually evaluated before those medicines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sidRPr="001714A1">
        <w:rPr>
          <w:rFonts w:ascii="Times New Roman" w:eastAsia="Times New Roman" w:hAnsi="Times New Roman" w:cs="Times New Roman"/>
          <w:lang w:eastAsia="en-AU"/>
        </w:rPr>
        <w:t xml:space="preserve"> </w:t>
      </w:r>
      <w:r w:rsidRPr="001714A1">
        <w:rPr>
          <w:rFonts w:ascii="Times New Roman" w:eastAsia="Times New Roman" w:hAnsi="Times New Roman" w:cs="Times New Roman"/>
          <w:lang w:eastAsia="en-AU"/>
        </w:rPr>
        <w:t>When listed under section</w:t>
      </w:r>
      <w:r w:rsidR="00B63C60" w:rsidRPr="001714A1">
        <w:rPr>
          <w:rFonts w:ascii="Times New Roman" w:eastAsia="Times New Roman" w:hAnsi="Times New Roman" w:cs="Times New Roman"/>
          <w:lang w:eastAsia="en-AU"/>
        </w:rPr>
        <w:t> </w:t>
      </w:r>
      <w:r w:rsidRPr="001714A1">
        <w:rPr>
          <w:rFonts w:ascii="Times New Roman" w:eastAsia="Times New Roman" w:hAnsi="Times New Roman" w:cs="Times New Roman"/>
          <w:lang w:eastAsia="en-AU"/>
        </w:rPr>
        <w:t>26AE, these listed medicines are commonly referred to as ‘assessed listed medicines’.</w:t>
      </w:r>
    </w:p>
    <w:p w14:paraId="593DB8C4"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37CEDFE6" w14:textId="3CC6A692" w:rsidR="00D4773E" w:rsidRPr="001714A1" w:rsidRDefault="00D4773E"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As the safety and quality of medicines listed under section</w:t>
      </w:r>
      <w:r w:rsidR="00B60F0C" w:rsidRPr="001714A1">
        <w:rPr>
          <w:rFonts w:ascii="Times New Roman" w:eastAsia="Times New Roman" w:hAnsi="Times New Roman" w:cs="Times New Roman"/>
          <w:lang w:eastAsia="en-AU"/>
        </w:rPr>
        <w:t>s</w:t>
      </w:r>
      <w:r w:rsidRPr="001714A1">
        <w:rPr>
          <w:rFonts w:ascii="Times New Roman" w:eastAsia="Times New Roman" w:hAnsi="Times New Roman" w:cs="Times New Roman"/>
          <w:lang w:eastAsia="en-AU"/>
        </w:rPr>
        <w:t xml:space="preserve"> 26A and 26AE are not evaluated by the TGA before being given marketing approval, the Act contains mechanisms to help ensure that those medicines are of appropriate quality and able to be used safely by consumers. In particular, medicines listed under section</w:t>
      </w:r>
      <w:r w:rsidR="00831B38" w:rsidRPr="001714A1">
        <w:rPr>
          <w:rFonts w:ascii="Times New Roman" w:eastAsia="Times New Roman" w:hAnsi="Times New Roman" w:cs="Times New Roman"/>
          <w:lang w:eastAsia="en-AU"/>
        </w:rPr>
        <w:t>s</w:t>
      </w:r>
      <w:r w:rsidRPr="001714A1">
        <w:rPr>
          <w:rFonts w:ascii="Times New Roman" w:eastAsia="Times New Roman" w:hAnsi="Times New Roman" w:cs="Times New Roman"/>
          <w:lang w:eastAsia="en-AU"/>
        </w:rPr>
        <w:t xml:space="preserve"> 26A and 26AE may only contain ingredients from an approved list of ingredients that have been evaluated in relation to their quality</w:t>
      </w:r>
      <w:r w:rsidR="00831B38"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 xml:space="preserve"> safety and suitability for use in such medicines.</w:t>
      </w:r>
      <w:r w:rsidR="00E60C26" w:rsidRPr="001714A1">
        <w:rPr>
          <w:rFonts w:ascii="Times New Roman" w:eastAsia="Times New Roman" w:hAnsi="Times New Roman" w:cs="Times New Roman"/>
          <w:lang w:eastAsia="en-AU"/>
        </w:rPr>
        <w:t xml:space="preserve"> </w:t>
      </w:r>
      <w:r w:rsidRPr="001714A1">
        <w:rPr>
          <w:rFonts w:ascii="Times New Roman" w:eastAsia="Times New Roman" w:hAnsi="Times New Roman" w:cs="Times New Roman"/>
          <w:lang w:eastAsia="en-AU"/>
        </w:rPr>
        <w:t xml:space="preserve">Sponsors of such medicines may </w:t>
      </w:r>
      <w:r w:rsidR="008E082F" w:rsidRPr="001714A1">
        <w:rPr>
          <w:rFonts w:ascii="Times New Roman" w:eastAsia="Times New Roman" w:hAnsi="Times New Roman" w:cs="Times New Roman"/>
          <w:lang w:eastAsia="en-AU"/>
        </w:rPr>
        <w:t xml:space="preserve">also </w:t>
      </w:r>
      <w:r w:rsidRPr="001714A1">
        <w:rPr>
          <w:rFonts w:ascii="Times New Roman" w:eastAsia="Times New Roman" w:hAnsi="Times New Roman" w:cs="Times New Roman"/>
          <w:lang w:eastAsia="en-AU"/>
        </w:rPr>
        <w:t>only use indications (statements of therapeutic use) from a list of pre-approved</w:t>
      </w:r>
      <w:r w:rsidR="00556925"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 xml:space="preserve"> low</w:t>
      </w:r>
      <w:r w:rsidR="00EB7328"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level indications to ensure that these products do not overstate their therapeutic benefits.</w:t>
      </w:r>
    </w:p>
    <w:p w14:paraId="4D224BDB"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16704F00" w14:textId="6A044FE0" w:rsidR="00D4773E" w:rsidRPr="001714A1" w:rsidRDefault="00D4773E"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Under paragraphs 26A(2)(ca) and (</w:t>
      </w:r>
      <w:proofErr w:type="spellStart"/>
      <w:r w:rsidRPr="001714A1">
        <w:rPr>
          <w:rFonts w:ascii="Times New Roman" w:eastAsia="Times New Roman" w:hAnsi="Times New Roman" w:cs="Times New Roman"/>
          <w:lang w:eastAsia="en-AU"/>
        </w:rPr>
        <w:t>cb</w:t>
      </w:r>
      <w:proofErr w:type="spellEnd"/>
      <w:r w:rsidRPr="001714A1">
        <w:rPr>
          <w:rFonts w:ascii="Times New Roman" w:eastAsia="Times New Roman" w:hAnsi="Times New Roman" w:cs="Times New Roman"/>
          <w:lang w:eastAsia="en-AU"/>
        </w:rPr>
        <w:t>)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w:t>
      </w:r>
      <w:r w:rsidR="00E60C26" w:rsidRPr="001714A1">
        <w:rPr>
          <w:rFonts w:ascii="Times New Roman" w:eastAsia="Times New Roman" w:hAnsi="Times New Roman" w:cs="Times New Roman"/>
          <w:lang w:eastAsia="en-AU"/>
        </w:rPr>
        <w:t xml:space="preserve"> </w:t>
      </w:r>
      <w:r w:rsidRPr="001714A1">
        <w:rPr>
          <w:rFonts w:ascii="Times New Roman" w:eastAsia="Times New Roman" w:hAnsi="Times New Roman" w:cs="Times New Roman"/>
          <w:lang w:eastAsia="en-AU"/>
        </w:rPr>
        <w:t>Paragraphs</w:t>
      </w:r>
      <w:r w:rsidR="00615336">
        <w:rPr>
          <w:rFonts w:ascii="Times New Roman" w:eastAsia="Times New Roman" w:hAnsi="Times New Roman" w:cs="Times New Roman"/>
          <w:lang w:eastAsia="en-AU"/>
        </w:rPr>
        <w:t> </w:t>
      </w:r>
      <w:r w:rsidRPr="001714A1">
        <w:rPr>
          <w:rFonts w:ascii="Times New Roman" w:eastAsia="Times New Roman" w:hAnsi="Times New Roman" w:cs="Times New Roman"/>
          <w:lang w:eastAsia="en-AU"/>
        </w:rPr>
        <w:t xml:space="preserve">26AB(2)(d) and (e) contain equivalent certification requirements for applicants seeking </w:t>
      </w:r>
      <w:r w:rsidRPr="001714A1">
        <w:rPr>
          <w:rFonts w:ascii="Times New Roman" w:eastAsia="Times New Roman" w:hAnsi="Times New Roman" w:cs="Times New Roman"/>
          <w:lang w:eastAsia="en-AU"/>
        </w:rPr>
        <w:lastRenderedPageBreak/>
        <w:t>marketing approval in relation to assessed listed medicines.</w:t>
      </w:r>
      <w:r w:rsidR="00AC4380" w:rsidRPr="001714A1">
        <w:rPr>
          <w:rFonts w:ascii="Times New Roman" w:eastAsia="Times New Roman" w:hAnsi="Times New Roman" w:cs="Times New Roman"/>
          <w:lang w:eastAsia="en-AU"/>
        </w:rPr>
        <w:t xml:space="preserve"> </w:t>
      </w:r>
      <w:r w:rsidRPr="001714A1">
        <w:rPr>
          <w:rFonts w:ascii="Times New Roman" w:eastAsia="Times New Roman" w:hAnsi="Times New Roman" w:cs="Times New Roman"/>
          <w:lang w:eastAsia="en-AU"/>
        </w:rPr>
        <w:t>A listed (or assessed listed) medicine may be cancelled from the Register if it appears to the Secretary that such a certification is incorrect.</w:t>
      </w:r>
    </w:p>
    <w:p w14:paraId="4614586B"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6D9381AC" w14:textId="474816A1" w:rsidR="00D4773E" w:rsidRPr="001714A1" w:rsidRDefault="00D4773E"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Separately, items 3, 4A, 5, 7 and 8 of Schedule 4 to the </w:t>
      </w:r>
      <w:r w:rsidRPr="001714A1">
        <w:rPr>
          <w:rFonts w:ascii="Times New Roman" w:eastAsia="Times New Roman" w:hAnsi="Times New Roman" w:cs="Times New Roman"/>
          <w:i/>
          <w:iCs/>
          <w:lang w:eastAsia="en-AU"/>
        </w:rPr>
        <w:t>Therapeutic Goods Regulations 1990</w:t>
      </w:r>
      <w:r w:rsidR="00877FA7" w:rsidRPr="001714A1">
        <w:rPr>
          <w:rFonts w:ascii="Times New Roman" w:eastAsia="Times New Roman" w:hAnsi="Times New Roman" w:cs="Times New Roman"/>
          <w:iCs/>
          <w:lang w:eastAsia="en-AU"/>
        </w:rPr>
        <w:t xml:space="preserve"> (the Regulations)</w:t>
      </w:r>
      <w:r w:rsidRPr="001714A1">
        <w:rPr>
          <w:rFonts w:ascii="Times New Roman" w:eastAsia="Times New Roman" w:hAnsi="Times New Roman" w:cs="Times New Roman"/>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w:t>
      </w:r>
      <w:r w:rsidR="00E9229B"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 xml:space="preserve"> and must not contravene a requirement in such a determination.</w:t>
      </w:r>
    </w:p>
    <w:p w14:paraId="7CA4ACB9" w14:textId="77777777" w:rsidR="00696177" w:rsidRPr="001714A1" w:rsidRDefault="00696177" w:rsidP="00266E11">
      <w:pPr>
        <w:autoSpaceDE w:val="0"/>
        <w:autoSpaceDN w:val="0"/>
        <w:adjustRightInd w:val="0"/>
        <w:spacing w:after="0" w:line="240" w:lineRule="auto"/>
        <w:rPr>
          <w:rFonts w:ascii="Times New Roman" w:eastAsia="Times New Roman" w:hAnsi="Times New Roman" w:cs="Times New Roman"/>
          <w:lang w:eastAsia="en-AU"/>
        </w:rPr>
      </w:pPr>
    </w:p>
    <w:p w14:paraId="497DAAC4" w14:textId="5B94F5C0" w:rsidR="005B70D2" w:rsidRPr="001714A1" w:rsidRDefault="00696177" w:rsidP="00266E11">
      <w:pPr>
        <w:autoSpaceDE w:val="0"/>
        <w:autoSpaceDN w:val="0"/>
        <w:adjustRightInd w:val="0"/>
        <w:spacing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t>Purpose</w:t>
      </w:r>
    </w:p>
    <w:p w14:paraId="146311E1" w14:textId="77777777" w:rsidR="00696177" w:rsidRPr="001714A1" w:rsidRDefault="00696177" w:rsidP="00266E11">
      <w:pPr>
        <w:autoSpaceDE w:val="0"/>
        <w:autoSpaceDN w:val="0"/>
        <w:adjustRightInd w:val="0"/>
        <w:spacing w:after="0" w:line="240" w:lineRule="auto"/>
        <w:rPr>
          <w:rFonts w:ascii="Times New Roman" w:eastAsia="Times New Roman" w:hAnsi="Times New Roman" w:cs="Times New Roman"/>
          <w:lang w:eastAsia="en-AU"/>
        </w:rPr>
      </w:pPr>
    </w:p>
    <w:p w14:paraId="4EE2990C" w14:textId="3C3FC915" w:rsidR="00D4773E" w:rsidRPr="001714A1" w:rsidRDefault="00696177"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The D</w:t>
      </w:r>
      <w:r w:rsidR="00226F3C" w:rsidRPr="001714A1">
        <w:rPr>
          <w:rFonts w:ascii="Times New Roman" w:eastAsia="Times New Roman" w:hAnsi="Times New Roman" w:cs="Times New Roman"/>
          <w:lang w:eastAsia="en-AU"/>
        </w:rPr>
        <w:t>etermination</w:t>
      </w:r>
      <w:r w:rsidRPr="001714A1">
        <w:rPr>
          <w:rFonts w:ascii="Times New Roman" w:eastAsia="Times New Roman" w:hAnsi="Times New Roman" w:cs="Times New Roman"/>
          <w:lang w:eastAsia="en-AU"/>
        </w:rPr>
        <w:t>, made</w:t>
      </w:r>
      <w:r w:rsidR="00226F3C" w:rsidRPr="001714A1">
        <w:rPr>
          <w:rFonts w:ascii="Times New Roman" w:eastAsia="Times New Roman" w:hAnsi="Times New Roman" w:cs="Times New Roman"/>
          <w:lang w:eastAsia="en-AU"/>
        </w:rPr>
        <w:t xml:space="preserve"> </w:t>
      </w:r>
      <w:r w:rsidR="0062190F" w:rsidRPr="001714A1">
        <w:rPr>
          <w:rFonts w:ascii="Times New Roman" w:eastAsia="Times New Roman" w:hAnsi="Times New Roman" w:cs="Times New Roman"/>
          <w:lang w:eastAsia="en-AU"/>
        </w:rPr>
        <w:t xml:space="preserve">under </w:t>
      </w:r>
      <w:r w:rsidR="00226F3C" w:rsidRPr="001714A1">
        <w:rPr>
          <w:rFonts w:ascii="Times New Roman" w:eastAsia="Times New Roman" w:hAnsi="Times New Roman" w:cs="Times New Roman"/>
          <w:lang w:eastAsia="en-AU"/>
        </w:rPr>
        <w:t>section 26BB</w:t>
      </w:r>
      <w:r w:rsidRPr="001714A1">
        <w:rPr>
          <w:rFonts w:ascii="Times New Roman" w:eastAsia="Times New Roman" w:hAnsi="Times New Roman" w:cs="Times New Roman"/>
          <w:lang w:eastAsia="en-AU"/>
        </w:rPr>
        <w:t xml:space="preserve"> of the Act,</w:t>
      </w:r>
      <w:r w:rsidR="00226F3C" w:rsidRPr="001714A1">
        <w:rPr>
          <w:rFonts w:ascii="Times New Roman" w:eastAsia="Times New Roman" w:hAnsi="Times New Roman" w:cs="Times New Roman"/>
          <w:lang w:eastAsia="en-AU"/>
        </w:rPr>
        <w:t xml:space="preserve"> </w:t>
      </w:r>
      <w:r w:rsidR="00D4773E" w:rsidRPr="001714A1">
        <w:rPr>
          <w:rFonts w:ascii="Times New Roman" w:eastAsia="Times New Roman" w:hAnsi="Times New Roman" w:cs="Times New Roman"/>
          <w:lang w:eastAsia="en-AU"/>
        </w:rPr>
        <w:t>provide</w:t>
      </w:r>
      <w:r w:rsidRPr="001714A1">
        <w:rPr>
          <w:rFonts w:ascii="Times New Roman" w:eastAsia="Times New Roman" w:hAnsi="Times New Roman" w:cs="Times New Roman"/>
          <w:lang w:eastAsia="en-AU"/>
        </w:rPr>
        <w:t>s</w:t>
      </w:r>
      <w:r w:rsidR="00D4773E" w:rsidRPr="001714A1">
        <w:rPr>
          <w:rFonts w:ascii="Times New Roman" w:eastAsia="Times New Roman" w:hAnsi="Times New Roman" w:cs="Times New Roman"/>
          <w:lang w:eastAsia="en-AU"/>
        </w:rPr>
        <w:t xml:space="preserve"> a comprehensive list of ingredients which have been assessed or otherwise considered to be safe for use in listed medicines (including assessed listed medicines), and associated requirements to be followed when using particular ingredients in such </w:t>
      </w:r>
      <w:r w:rsidR="005208F2" w:rsidRPr="001714A1">
        <w:rPr>
          <w:rFonts w:ascii="Times New Roman" w:eastAsia="Times New Roman" w:hAnsi="Times New Roman" w:cs="Times New Roman"/>
          <w:lang w:eastAsia="en-AU"/>
        </w:rPr>
        <w:t>medicines</w:t>
      </w:r>
      <w:r w:rsidR="00D4773E" w:rsidRPr="001714A1">
        <w:rPr>
          <w:rFonts w:ascii="Times New Roman" w:eastAsia="Times New Roman" w:hAnsi="Times New Roman" w:cs="Times New Roman"/>
          <w:lang w:eastAsia="en-AU"/>
        </w:rPr>
        <w:t>.</w:t>
      </w:r>
    </w:p>
    <w:p w14:paraId="1986DC36"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2B026CDA" w14:textId="1F1446C3" w:rsidR="00A4560C" w:rsidRPr="001714A1" w:rsidRDefault="00A4560C" w:rsidP="001714A1">
      <w:pPr>
        <w:spacing w:after="0" w:line="240" w:lineRule="auto"/>
        <w:rPr>
          <w:rFonts w:ascii="Times New Roman" w:eastAsia="Times New Roman" w:hAnsi="Times New Roman" w:cs="Times New Roman"/>
          <w:lang w:val="en-US" w:eastAsia="en-AU"/>
        </w:rPr>
      </w:pPr>
      <w:r w:rsidRPr="001714A1">
        <w:rPr>
          <w:rFonts w:ascii="Times New Roman" w:eastAsia="Times New Roman" w:hAnsi="Times New Roman" w:cs="Times New Roman"/>
          <w:lang w:eastAsia="en-AU"/>
        </w:rPr>
        <w:t xml:space="preserve">The requirements imposed under the Determination </w:t>
      </w:r>
      <w:r w:rsidR="007C503B" w:rsidRPr="001714A1">
        <w:rPr>
          <w:rFonts w:ascii="Times New Roman" w:eastAsia="Times New Roman" w:hAnsi="Times New Roman" w:cs="Times New Roman"/>
          <w:lang w:eastAsia="en-AU"/>
        </w:rPr>
        <w:t xml:space="preserve">are </w:t>
      </w:r>
      <w:r w:rsidRPr="001714A1">
        <w:rPr>
          <w:rFonts w:ascii="Times New Roman" w:eastAsia="Times New Roman" w:hAnsi="Times New Roman" w:cs="Times New Roman"/>
          <w:lang w:eastAsia="en-AU"/>
        </w:rPr>
        <w:t xml:space="preserve">principally </w:t>
      </w:r>
      <w:r w:rsidR="007C503B" w:rsidRPr="001714A1">
        <w:rPr>
          <w:rFonts w:ascii="Times New Roman" w:eastAsia="Times New Roman" w:hAnsi="Times New Roman" w:cs="Times New Roman"/>
          <w:lang w:eastAsia="en-AU"/>
        </w:rPr>
        <w:t>designed to</w:t>
      </w:r>
      <w:r w:rsidRPr="001714A1">
        <w:rPr>
          <w:rFonts w:ascii="Times New Roman" w:eastAsia="Times New Roman" w:hAnsi="Times New Roman" w:cs="Times New Roman"/>
          <w:lang w:eastAsia="en-AU"/>
        </w:rPr>
        <w:t xml:space="preserve"> ensur</w:t>
      </w:r>
      <w:r w:rsidR="007C503B" w:rsidRPr="001714A1">
        <w:rPr>
          <w:rFonts w:ascii="Times New Roman" w:eastAsia="Times New Roman" w:hAnsi="Times New Roman" w:cs="Times New Roman"/>
          <w:lang w:eastAsia="en-AU"/>
        </w:rPr>
        <w:t>e</w:t>
      </w:r>
      <w:r w:rsidRPr="001714A1">
        <w:rPr>
          <w:rFonts w:ascii="Times New Roman" w:eastAsia="Times New Roman" w:hAnsi="Times New Roman" w:cs="Times New Roman"/>
          <w:lang w:eastAsia="en-AU"/>
        </w:rPr>
        <w:t xml:space="preserve"> </w:t>
      </w:r>
      <w:r w:rsidR="007C503B" w:rsidRPr="001714A1">
        <w:rPr>
          <w:rFonts w:ascii="Times New Roman" w:eastAsia="Times New Roman" w:hAnsi="Times New Roman" w:cs="Times New Roman"/>
          <w:lang w:eastAsia="en-AU"/>
        </w:rPr>
        <w:t xml:space="preserve">or support </w:t>
      </w:r>
      <w:r w:rsidRPr="001714A1">
        <w:rPr>
          <w:rFonts w:ascii="Times New Roman" w:eastAsia="Times New Roman" w:hAnsi="Times New Roman" w:cs="Times New Roman"/>
          <w:lang w:eastAsia="en-AU"/>
        </w:rPr>
        <w:t xml:space="preserve">the quality and safety of </w:t>
      </w:r>
      <w:r w:rsidR="007C503B" w:rsidRPr="001714A1">
        <w:rPr>
          <w:rFonts w:ascii="Times New Roman" w:eastAsia="Times New Roman" w:hAnsi="Times New Roman" w:cs="Times New Roman"/>
          <w:lang w:eastAsia="en-AU"/>
        </w:rPr>
        <w:t xml:space="preserve">listed medicines that contain permitted </w:t>
      </w:r>
      <w:r w:rsidRPr="001714A1">
        <w:rPr>
          <w:rFonts w:ascii="Times New Roman" w:eastAsia="Times New Roman" w:hAnsi="Times New Roman" w:cs="Times New Roman"/>
          <w:lang w:eastAsia="en-AU"/>
        </w:rPr>
        <w:t>ingredient</w:t>
      </w:r>
      <w:r w:rsidR="007C503B" w:rsidRPr="001714A1">
        <w:rPr>
          <w:rFonts w:ascii="Times New Roman" w:eastAsia="Times New Roman" w:hAnsi="Times New Roman" w:cs="Times New Roman"/>
          <w:lang w:eastAsia="en-AU"/>
        </w:rPr>
        <w:t>s</w:t>
      </w:r>
      <w:r w:rsidRPr="001714A1">
        <w:rPr>
          <w:rFonts w:ascii="Times New Roman" w:eastAsia="Times New Roman" w:hAnsi="Times New Roman" w:cs="Times New Roman"/>
          <w:lang w:eastAsia="en-AU"/>
        </w:rPr>
        <w:t xml:space="preserve">. </w:t>
      </w:r>
      <w:r w:rsidR="007C503B" w:rsidRPr="001714A1">
        <w:rPr>
          <w:rFonts w:ascii="Times New Roman" w:eastAsia="Times New Roman" w:hAnsi="Times New Roman" w:cs="Times New Roman"/>
          <w:lang w:eastAsia="en-AU"/>
        </w:rPr>
        <w:t>The r</w:t>
      </w:r>
      <w:r w:rsidRPr="001714A1">
        <w:rPr>
          <w:rFonts w:ascii="Times New Roman" w:eastAsia="Times New Roman" w:hAnsi="Times New Roman" w:cs="Times New Roman"/>
          <w:lang w:eastAsia="en-AU"/>
        </w:rPr>
        <w:t>equirements may relate, for example</w:t>
      </w:r>
      <w:r w:rsidR="00A14C5D" w:rsidRPr="001714A1">
        <w:rPr>
          <w:rFonts w:ascii="Times New Roman" w:eastAsia="Times New Roman" w:hAnsi="Times New Roman" w:cs="Times New Roman"/>
          <w:lang w:eastAsia="en-AU"/>
        </w:rPr>
        <w:t>, to</w:t>
      </w:r>
      <w:r w:rsidRPr="001714A1">
        <w:rPr>
          <w:rFonts w:ascii="Times New Roman" w:eastAsia="Times New Roman" w:hAnsi="Times New Roman" w:cs="Times New Roman"/>
          <w:lang w:eastAsia="en-AU"/>
        </w:rPr>
        <w:t>:</w:t>
      </w:r>
    </w:p>
    <w:p w14:paraId="1716BFC3" w14:textId="62D153A4" w:rsidR="00A4560C" w:rsidRPr="001714A1" w:rsidRDefault="00A4560C" w:rsidP="001714A1">
      <w:pPr>
        <w:pStyle w:val="ListParagraph"/>
        <w:numPr>
          <w:ilvl w:val="0"/>
          <w:numId w:val="11"/>
        </w:numPr>
        <w:spacing w:before="0" w:beforeAutospacing="0" w:after="0" w:afterAutospacing="0"/>
        <w:ind w:left="714" w:hanging="357"/>
        <w:rPr>
          <w:sz w:val="22"/>
          <w:szCs w:val="22"/>
        </w:rPr>
      </w:pPr>
      <w:r w:rsidRPr="001714A1">
        <w:rPr>
          <w:sz w:val="22"/>
          <w:szCs w:val="22"/>
        </w:rPr>
        <w:t xml:space="preserve">how </w:t>
      </w:r>
      <w:r w:rsidR="007C503B" w:rsidRPr="001714A1">
        <w:rPr>
          <w:sz w:val="22"/>
          <w:szCs w:val="22"/>
        </w:rPr>
        <w:t>a permitted</w:t>
      </w:r>
      <w:r w:rsidRPr="001714A1">
        <w:rPr>
          <w:sz w:val="22"/>
          <w:szCs w:val="22"/>
        </w:rPr>
        <w:t xml:space="preserve"> ingredient is to be used in the medicine, that is, as an active, homoeopathic or excipient ingredient;</w:t>
      </w:r>
    </w:p>
    <w:p w14:paraId="5EC76A23" w14:textId="0AA1EE28" w:rsidR="00A4560C" w:rsidRPr="001714A1" w:rsidRDefault="00A4560C" w:rsidP="001714A1">
      <w:pPr>
        <w:pStyle w:val="ListParagraph"/>
        <w:numPr>
          <w:ilvl w:val="0"/>
          <w:numId w:val="11"/>
        </w:numPr>
        <w:spacing w:before="0" w:beforeAutospacing="0" w:after="0" w:afterAutospacing="0"/>
        <w:ind w:left="714" w:hanging="357"/>
        <w:rPr>
          <w:sz w:val="22"/>
          <w:szCs w:val="22"/>
        </w:rPr>
      </w:pPr>
      <w:r w:rsidRPr="001714A1">
        <w:rPr>
          <w:sz w:val="22"/>
          <w:szCs w:val="22"/>
        </w:rPr>
        <w:t>the intended method of ingestion or application of the medicine, for example, oral or topical use;</w:t>
      </w:r>
    </w:p>
    <w:p w14:paraId="233FB9CD" w14:textId="2FEF7CF5" w:rsidR="00A4560C" w:rsidRPr="001714A1" w:rsidRDefault="00A4560C" w:rsidP="001714A1">
      <w:pPr>
        <w:pStyle w:val="ListParagraph"/>
        <w:numPr>
          <w:ilvl w:val="0"/>
          <w:numId w:val="11"/>
        </w:numPr>
        <w:spacing w:before="0" w:beforeAutospacing="0" w:after="0" w:afterAutospacing="0"/>
        <w:ind w:left="714" w:hanging="357"/>
        <w:rPr>
          <w:sz w:val="22"/>
          <w:szCs w:val="22"/>
        </w:rPr>
      </w:pPr>
      <w:r w:rsidRPr="001714A1">
        <w:rPr>
          <w:sz w:val="22"/>
          <w:szCs w:val="22"/>
        </w:rPr>
        <w:t>the source of the ingredient, or procedures to be followed in its manufacture;</w:t>
      </w:r>
    </w:p>
    <w:p w14:paraId="5EC7B554" w14:textId="4DFA7DF1" w:rsidR="00A4560C" w:rsidRPr="001714A1" w:rsidRDefault="00A4560C" w:rsidP="001714A1">
      <w:pPr>
        <w:pStyle w:val="ListParagraph"/>
        <w:numPr>
          <w:ilvl w:val="0"/>
          <w:numId w:val="11"/>
        </w:numPr>
        <w:spacing w:before="0" w:beforeAutospacing="0" w:after="0" w:afterAutospacing="0"/>
        <w:ind w:left="714" w:hanging="357"/>
        <w:rPr>
          <w:sz w:val="22"/>
          <w:szCs w:val="22"/>
        </w:rPr>
      </w:pPr>
      <w:r w:rsidRPr="001714A1">
        <w:rPr>
          <w:sz w:val="22"/>
          <w:szCs w:val="22"/>
        </w:rPr>
        <w:t>appropriate limits on the volume or concentration of an ingredient; and</w:t>
      </w:r>
    </w:p>
    <w:p w14:paraId="2FA4BD86" w14:textId="746ABECD" w:rsidR="00A4560C" w:rsidRPr="001714A1" w:rsidRDefault="00A4560C" w:rsidP="001714A1">
      <w:pPr>
        <w:pStyle w:val="ListParagraph"/>
        <w:numPr>
          <w:ilvl w:val="0"/>
          <w:numId w:val="11"/>
        </w:numPr>
        <w:spacing w:before="0" w:beforeAutospacing="0" w:after="0" w:afterAutospacing="0"/>
        <w:ind w:left="714" w:hanging="357"/>
        <w:rPr>
          <w:sz w:val="22"/>
          <w:szCs w:val="22"/>
        </w:rPr>
      </w:pPr>
      <w:r w:rsidRPr="001714A1">
        <w:rPr>
          <w:sz w:val="22"/>
          <w:szCs w:val="22"/>
        </w:rPr>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Pr="001714A1" w:rsidRDefault="005B70D2" w:rsidP="001714A1">
      <w:pPr>
        <w:spacing w:after="0" w:line="240" w:lineRule="auto"/>
        <w:contextualSpacing/>
        <w:rPr>
          <w:rFonts w:ascii="Times New Roman" w:eastAsia="Times New Roman" w:hAnsi="Times New Roman" w:cs="Times New Roman"/>
          <w:lang w:eastAsia="en-AU"/>
        </w:rPr>
      </w:pPr>
    </w:p>
    <w:p w14:paraId="0669FD8D" w14:textId="2B0CD97E" w:rsidR="00EE3C91" w:rsidRDefault="00EE3C91" w:rsidP="00EE3C91">
      <w:pPr>
        <w:spacing w:after="0" w:line="240" w:lineRule="auto"/>
        <w:rPr>
          <w:rFonts w:ascii="Times New Roman" w:eastAsia="Times New Roman" w:hAnsi="Times New Roman" w:cs="Times New Roman"/>
          <w:lang w:eastAsia="en-AU"/>
        </w:rPr>
      </w:pPr>
      <w:bookmarkStart w:id="1" w:name="_Hlk120027902"/>
      <w:r w:rsidRPr="001714A1">
        <w:rPr>
          <w:rFonts w:ascii="Times New Roman" w:eastAsia="Times New Roman" w:hAnsi="Times New Roman" w:cs="Times New Roman"/>
          <w:lang w:eastAsia="en-AU"/>
        </w:rPr>
        <w:t xml:space="preserve">The Determination incorporates </w:t>
      </w:r>
      <w:r w:rsidR="00494955">
        <w:rPr>
          <w:rFonts w:ascii="Times New Roman" w:eastAsia="Times New Roman" w:hAnsi="Times New Roman" w:cs="Times New Roman"/>
          <w:lang w:eastAsia="en-AU"/>
        </w:rPr>
        <w:t>the following changes to th</w:t>
      </w:r>
      <w:r w:rsidRPr="001714A1">
        <w:rPr>
          <w:rFonts w:ascii="Times New Roman" w:eastAsia="Times New Roman" w:hAnsi="Times New Roman" w:cs="Times New Roman"/>
          <w:lang w:eastAsia="en-AU"/>
        </w:rPr>
        <w:t>e former Determination</w:t>
      </w:r>
      <w:r w:rsidR="00494955">
        <w:rPr>
          <w:rFonts w:ascii="Times New Roman" w:eastAsia="Times New Roman" w:hAnsi="Times New Roman" w:cs="Times New Roman"/>
          <w:lang w:eastAsia="en-AU"/>
        </w:rPr>
        <w:t>:</w:t>
      </w:r>
    </w:p>
    <w:p w14:paraId="7057EBC1" w14:textId="77777777" w:rsidR="00416CAC" w:rsidRDefault="00416CAC" w:rsidP="00EE3C91">
      <w:pPr>
        <w:spacing w:after="0" w:line="240" w:lineRule="auto"/>
        <w:rPr>
          <w:rFonts w:ascii="Times New Roman" w:eastAsia="Times New Roman" w:hAnsi="Times New Roman" w:cs="Times New Roman"/>
          <w:lang w:eastAsia="en-AU"/>
        </w:rPr>
      </w:pPr>
    </w:p>
    <w:p w14:paraId="0825E87F" w14:textId="4A9C3372" w:rsidR="00416CAC" w:rsidRPr="00E947B7" w:rsidRDefault="00E62F61" w:rsidP="00EE3C91">
      <w:pPr>
        <w:spacing w:after="0" w:line="240" w:lineRule="auto"/>
        <w:rPr>
          <w:rFonts w:ascii="Times New Roman" w:eastAsia="Times New Roman" w:hAnsi="Times New Roman" w:cs="Times New Roman"/>
          <w:i/>
          <w:iCs/>
          <w:lang w:eastAsia="en-AU"/>
        </w:rPr>
      </w:pPr>
      <w:r>
        <w:rPr>
          <w:rFonts w:ascii="Times New Roman" w:eastAsia="Times New Roman" w:hAnsi="Times New Roman" w:cs="Times New Roman"/>
          <w:i/>
          <w:iCs/>
          <w:lang w:eastAsia="en-AU"/>
        </w:rPr>
        <w:t>New section 6A</w:t>
      </w:r>
    </w:p>
    <w:p w14:paraId="2B30B71B" w14:textId="33681699" w:rsidR="00EE3C91" w:rsidRPr="00983898" w:rsidRDefault="003E607F" w:rsidP="00EE3C91">
      <w:pPr>
        <w:pStyle w:val="ListParagraph"/>
        <w:numPr>
          <w:ilvl w:val="0"/>
          <w:numId w:val="57"/>
        </w:numPr>
        <w:spacing w:before="120" w:beforeAutospacing="0" w:after="120" w:afterAutospacing="0"/>
        <w:ind w:left="714" w:hanging="357"/>
        <w:rPr>
          <w:bCs/>
          <w:sz w:val="22"/>
          <w:szCs w:val="22"/>
        </w:rPr>
      </w:pPr>
      <w:r>
        <w:rPr>
          <w:bCs/>
          <w:sz w:val="22"/>
          <w:szCs w:val="22"/>
        </w:rPr>
        <w:t xml:space="preserve">the insertion of a new provision </w:t>
      </w:r>
      <w:r w:rsidR="00EE3C91" w:rsidRPr="00983898">
        <w:rPr>
          <w:bCs/>
          <w:sz w:val="22"/>
          <w:szCs w:val="22"/>
        </w:rPr>
        <w:t xml:space="preserve">to permit combined liver-related warnings for multiple ingredients where a similar warning is required for more than one ingredient in a </w:t>
      </w:r>
      <w:proofErr w:type="gramStart"/>
      <w:r w:rsidR="00EE3C91" w:rsidRPr="00983898">
        <w:rPr>
          <w:bCs/>
          <w:sz w:val="22"/>
          <w:szCs w:val="22"/>
        </w:rPr>
        <w:t>medicine</w:t>
      </w:r>
      <w:r>
        <w:rPr>
          <w:bCs/>
          <w:sz w:val="22"/>
          <w:szCs w:val="22"/>
        </w:rPr>
        <w:t>;</w:t>
      </w:r>
      <w:proofErr w:type="gramEnd"/>
    </w:p>
    <w:p w14:paraId="313D5D24" w14:textId="76FDB5F6" w:rsidR="00416CAC" w:rsidRPr="00E947B7" w:rsidRDefault="00416CAC" w:rsidP="00E947B7">
      <w:pPr>
        <w:spacing w:before="120" w:after="120"/>
        <w:rPr>
          <w:bCs/>
          <w:i/>
          <w:iCs/>
        </w:rPr>
      </w:pPr>
      <w:r w:rsidRPr="00E947B7">
        <w:rPr>
          <w:rFonts w:ascii="Times New Roman" w:hAnsi="Times New Roman" w:cs="Times New Roman"/>
          <w:bCs/>
          <w:i/>
          <w:iCs/>
        </w:rPr>
        <w:t>Addition of new ingredients</w:t>
      </w:r>
    </w:p>
    <w:p w14:paraId="06ED5915" w14:textId="057D4143" w:rsidR="00EE3C91" w:rsidRPr="005023DF" w:rsidRDefault="00EE3C91" w:rsidP="00EE3C91">
      <w:pPr>
        <w:pStyle w:val="ListParagraph"/>
        <w:numPr>
          <w:ilvl w:val="0"/>
          <w:numId w:val="57"/>
        </w:numPr>
        <w:spacing w:before="120" w:beforeAutospacing="0" w:after="120" w:afterAutospacing="0"/>
        <w:ind w:left="714" w:hanging="357"/>
        <w:rPr>
          <w:b/>
          <w:sz w:val="22"/>
          <w:szCs w:val="22"/>
        </w:rPr>
      </w:pPr>
      <w:r w:rsidRPr="005023DF">
        <w:rPr>
          <w:sz w:val="22"/>
          <w:szCs w:val="22"/>
        </w:rPr>
        <w:t xml:space="preserve">the addition of the new ingredient </w:t>
      </w:r>
      <w:r w:rsidRPr="005023DF">
        <w:rPr>
          <w:i/>
          <w:iCs/>
          <w:sz w:val="22"/>
          <w:szCs w:val="22"/>
        </w:rPr>
        <w:t>calcium propionate</w:t>
      </w:r>
      <w:r w:rsidRPr="005023DF">
        <w:rPr>
          <w:sz w:val="22"/>
          <w:szCs w:val="22"/>
        </w:rPr>
        <w:t xml:space="preserve"> for use in listed and assessed listed </w:t>
      </w:r>
      <w:proofErr w:type="gramStart"/>
      <w:r w:rsidRPr="005023DF">
        <w:rPr>
          <w:sz w:val="22"/>
          <w:szCs w:val="22"/>
        </w:rPr>
        <w:t>medicines;</w:t>
      </w:r>
      <w:proofErr w:type="gramEnd"/>
    </w:p>
    <w:p w14:paraId="5A7F3F0A" w14:textId="0E01D6AD" w:rsidR="00EE3C91" w:rsidRPr="00410B8A" w:rsidRDefault="00EE3C91" w:rsidP="00EE3C91">
      <w:pPr>
        <w:pStyle w:val="ListParagraph"/>
        <w:numPr>
          <w:ilvl w:val="0"/>
          <w:numId w:val="57"/>
        </w:numPr>
        <w:spacing w:after="120" w:afterAutospacing="0"/>
        <w:ind w:left="714" w:hanging="357"/>
        <w:rPr>
          <w:sz w:val="22"/>
          <w:szCs w:val="22"/>
        </w:rPr>
      </w:pPr>
      <w:r w:rsidRPr="00410B8A">
        <w:rPr>
          <w:sz w:val="22"/>
          <w:szCs w:val="22"/>
        </w:rPr>
        <w:t>the addition of the new</w:t>
      </w:r>
      <w:r>
        <w:rPr>
          <w:sz w:val="22"/>
          <w:szCs w:val="22"/>
        </w:rPr>
        <w:t xml:space="preserve"> ingredient</w:t>
      </w:r>
      <w:r w:rsidRPr="00410B8A">
        <w:rPr>
          <w:sz w:val="22"/>
          <w:szCs w:val="22"/>
        </w:rPr>
        <w:t xml:space="preserve"> </w:t>
      </w:r>
      <w:r w:rsidRPr="00410B8A">
        <w:rPr>
          <w:i/>
          <w:iCs/>
          <w:sz w:val="22"/>
          <w:szCs w:val="22"/>
        </w:rPr>
        <w:t>methyl acrylate, methyl methacrylate and methacrylic acid copolymer dispersion</w:t>
      </w:r>
      <w:r w:rsidRPr="00410B8A">
        <w:rPr>
          <w:sz w:val="22"/>
          <w:szCs w:val="22"/>
        </w:rPr>
        <w:t xml:space="preserve"> </w:t>
      </w:r>
      <w:r w:rsidRPr="00410B8A">
        <w:rPr>
          <w:i/>
          <w:iCs/>
          <w:sz w:val="22"/>
          <w:szCs w:val="22"/>
        </w:rPr>
        <w:t>(30 per cent)</w:t>
      </w:r>
      <w:r w:rsidRPr="00410B8A">
        <w:rPr>
          <w:sz w:val="22"/>
          <w:szCs w:val="22"/>
        </w:rPr>
        <w:t xml:space="preserve"> for use in listed and assessed listed medicines. The maximum recommended daily doses are with respect to the 30% aqueous dispersion of a synthetic anionic copolymer based on methyl acrylate, methyl methacrylate, and methacrylic </w:t>
      </w:r>
      <w:proofErr w:type="gramStart"/>
      <w:r w:rsidRPr="00410B8A">
        <w:rPr>
          <w:sz w:val="22"/>
          <w:szCs w:val="22"/>
        </w:rPr>
        <w:t>acid;</w:t>
      </w:r>
      <w:proofErr w:type="gramEnd"/>
    </w:p>
    <w:p w14:paraId="5EA23640" w14:textId="2D51A4B1" w:rsidR="00EE3C91" w:rsidRDefault="00EE3C91" w:rsidP="00EE3C91">
      <w:pPr>
        <w:pStyle w:val="ListParagraph"/>
        <w:numPr>
          <w:ilvl w:val="0"/>
          <w:numId w:val="57"/>
        </w:numPr>
        <w:spacing w:after="120" w:afterAutospacing="0"/>
        <w:ind w:left="714" w:hanging="357"/>
        <w:rPr>
          <w:sz w:val="22"/>
          <w:szCs w:val="22"/>
        </w:rPr>
      </w:pPr>
      <w:r w:rsidRPr="00410B8A">
        <w:rPr>
          <w:sz w:val="22"/>
          <w:szCs w:val="22"/>
        </w:rPr>
        <w:t xml:space="preserve">the addition of the new ingredient </w:t>
      </w:r>
      <w:r w:rsidRPr="00410B8A">
        <w:rPr>
          <w:i/>
          <w:iCs/>
          <w:sz w:val="22"/>
          <w:szCs w:val="22"/>
        </w:rPr>
        <w:t>polyacrylate dispersion (30 per cent)</w:t>
      </w:r>
      <w:r w:rsidRPr="00410B8A">
        <w:rPr>
          <w:sz w:val="22"/>
          <w:szCs w:val="22"/>
        </w:rPr>
        <w:t xml:space="preserve"> for use in listed and assessed listed medicines. The maximum recommended daily doses are with respect to the 30% dispersion in water of a copolymer of ethyl acrylate and methyl </w:t>
      </w:r>
      <w:proofErr w:type="gramStart"/>
      <w:r w:rsidRPr="00410B8A">
        <w:rPr>
          <w:sz w:val="22"/>
          <w:szCs w:val="22"/>
        </w:rPr>
        <w:t>methacrylate;</w:t>
      </w:r>
      <w:proofErr w:type="gramEnd"/>
    </w:p>
    <w:p w14:paraId="51D533FC" w14:textId="0198602C" w:rsidR="00416CAC" w:rsidRPr="00E947B7" w:rsidRDefault="00416CAC" w:rsidP="00E947B7">
      <w:pPr>
        <w:spacing w:before="120" w:after="120"/>
        <w:rPr>
          <w:i/>
          <w:iCs/>
        </w:rPr>
      </w:pPr>
      <w:r w:rsidRPr="00E947B7">
        <w:rPr>
          <w:rFonts w:ascii="Times New Roman" w:hAnsi="Times New Roman" w:cs="Times New Roman"/>
          <w:i/>
          <w:iCs/>
        </w:rPr>
        <w:t>Changes to existing ingredients</w:t>
      </w:r>
    </w:p>
    <w:p w14:paraId="10082A5E" w14:textId="54D1FE2D" w:rsidR="00EE3C91" w:rsidRPr="00410B8A" w:rsidRDefault="00EE3C91" w:rsidP="00E947B7">
      <w:pPr>
        <w:pStyle w:val="ListParagraph"/>
        <w:numPr>
          <w:ilvl w:val="0"/>
          <w:numId w:val="57"/>
        </w:numPr>
        <w:spacing w:before="0" w:beforeAutospacing="0" w:after="120" w:afterAutospacing="0"/>
        <w:ind w:left="714" w:hanging="357"/>
        <w:rPr>
          <w:sz w:val="22"/>
          <w:szCs w:val="22"/>
        </w:rPr>
      </w:pPr>
      <w:r w:rsidRPr="00410B8A">
        <w:rPr>
          <w:sz w:val="22"/>
          <w:szCs w:val="22"/>
        </w:rPr>
        <w:t xml:space="preserve">the change of name for the ingredient </w:t>
      </w:r>
      <w:r w:rsidRPr="00410B8A">
        <w:rPr>
          <w:i/>
          <w:iCs/>
          <w:sz w:val="22"/>
          <w:szCs w:val="22"/>
        </w:rPr>
        <w:t>rutoside</w:t>
      </w:r>
      <w:r w:rsidRPr="00410B8A">
        <w:rPr>
          <w:sz w:val="22"/>
          <w:szCs w:val="22"/>
        </w:rPr>
        <w:t xml:space="preserve"> to </w:t>
      </w:r>
      <w:r w:rsidRPr="00410B8A">
        <w:rPr>
          <w:i/>
          <w:iCs/>
          <w:sz w:val="22"/>
          <w:szCs w:val="22"/>
        </w:rPr>
        <w:t>rutoside trihydrate,</w:t>
      </w:r>
      <w:r w:rsidRPr="00410B8A">
        <w:rPr>
          <w:sz w:val="22"/>
          <w:szCs w:val="22"/>
        </w:rPr>
        <w:t xml:space="preserve"> to align with the original evaluation</w:t>
      </w:r>
      <w:r w:rsidR="00F70FB1">
        <w:rPr>
          <w:sz w:val="22"/>
          <w:szCs w:val="22"/>
        </w:rPr>
        <w:t>,</w:t>
      </w:r>
      <w:r w:rsidRPr="00410B8A">
        <w:rPr>
          <w:sz w:val="22"/>
          <w:szCs w:val="22"/>
        </w:rPr>
        <w:t xml:space="preserve"> which approved this specific hydration state, as well as the simultaneous addition of a new ingredient </w:t>
      </w:r>
      <w:r w:rsidRPr="00410B8A">
        <w:rPr>
          <w:i/>
          <w:iCs/>
          <w:sz w:val="22"/>
          <w:szCs w:val="22"/>
        </w:rPr>
        <w:t>rutoside</w:t>
      </w:r>
      <w:r w:rsidR="00F70FB1">
        <w:rPr>
          <w:sz w:val="22"/>
          <w:szCs w:val="22"/>
        </w:rPr>
        <w:t>,</w:t>
      </w:r>
      <w:r w:rsidRPr="00410B8A">
        <w:rPr>
          <w:sz w:val="22"/>
          <w:szCs w:val="22"/>
        </w:rPr>
        <w:t xml:space="preserve"> to allow for sponsors to continue using anhydrous </w:t>
      </w:r>
      <w:proofErr w:type="spellStart"/>
      <w:r w:rsidRPr="00410B8A">
        <w:rPr>
          <w:i/>
          <w:iCs/>
          <w:sz w:val="22"/>
          <w:szCs w:val="22"/>
        </w:rPr>
        <w:t>rutoside</w:t>
      </w:r>
      <w:proofErr w:type="spellEnd"/>
      <w:r w:rsidRPr="00410B8A">
        <w:rPr>
          <w:i/>
          <w:iCs/>
          <w:sz w:val="22"/>
          <w:szCs w:val="22"/>
        </w:rPr>
        <w:t xml:space="preserve"> </w:t>
      </w:r>
      <w:r w:rsidRPr="00410B8A">
        <w:rPr>
          <w:sz w:val="22"/>
          <w:szCs w:val="22"/>
        </w:rPr>
        <w:t xml:space="preserve">in listed </w:t>
      </w:r>
      <w:proofErr w:type="gramStart"/>
      <w:r w:rsidRPr="00410B8A">
        <w:rPr>
          <w:sz w:val="22"/>
          <w:szCs w:val="22"/>
        </w:rPr>
        <w:t>medicines;</w:t>
      </w:r>
      <w:proofErr w:type="gramEnd"/>
    </w:p>
    <w:p w14:paraId="244E07F4" w14:textId="5A739F15" w:rsidR="00EE3C91" w:rsidRPr="00410B8A" w:rsidRDefault="00F70FB1" w:rsidP="00EE3C91">
      <w:pPr>
        <w:pStyle w:val="ListParagraph"/>
        <w:numPr>
          <w:ilvl w:val="0"/>
          <w:numId w:val="57"/>
        </w:numPr>
        <w:spacing w:before="0" w:beforeAutospacing="0" w:after="120" w:afterAutospacing="0"/>
        <w:contextualSpacing/>
        <w:rPr>
          <w:sz w:val="22"/>
          <w:szCs w:val="22"/>
          <w:lang w:eastAsia="en-US"/>
        </w:rPr>
      </w:pPr>
      <w:r>
        <w:rPr>
          <w:sz w:val="22"/>
          <w:szCs w:val="22"/>
          <w:lang w:eastAsia="en-US"/>
        </w:rPr>
        <w:lastRenderedPageBreak/>
        <w:t>amendments</w:t>
      </w:r>
      <w:r w:rsidR="00EE3C91" w:rsidRPr="00410B8A">
        <w:rPr>
          <w:sz w:val="22"/>
          <w:szCs w:val="22"/>
          <w:lang w:eastAsia="en-US"/>
        </w:rPr>
        <w:t xml:space="preserve"> to the requirements for</w:t>
      </w:r>
      <w:r>
        <w:rPr>
          <w:sz w:val="22"/>
          <w:szCs w:val="22"/>
          <w:lang w:eastAsia="en-US"/>
        </w:rPr>
        <w:t xml:space="preserve"> the following</w:t>
      </w:r>
      <w:r w:rsidR="00EE3C91" w:rsidRPr="00410B8A">
        <w:rPr>
          <w:sz w:val="22"/>
          <w:szCs w:val="22"/>
          <w:lang w:eastAsia="en-US"/>
        </w:rPr>
        <w:t xml:space="preserve"> two ingredients</w:t>
      </w:r>
      <w:r>
        <w:rPr>
          <w:sz w:val="22"/>
          <w:szCs w:val="22"/>
          <w:lang w:eastAsia="en-US"/>
        </w:rPr>
        <w:t xml:space="preserve"> to align with the </w:t>
      </w:r>
      <w:r w:rsidR="00EE3C91" w:rsidRPr="00410B8A">
        <w:rPr>
          <w:sz w:val="22"/>
          <w:szCs w:val="22"/>
          <w:lang w:eastAsia="en-US"/>
        </w:rPr>
        <w:t>requirements in the Poisons Standard</w:t>
      </w:r>
      <w:r>
        <w:rPr>
          <w:sz w:val="22"/>
          <w:szCs w:val="22"/>
          <w:lang w:eastAsia="en-US"/>
        </w:rPr>
        <w:t xml:space="preserve">, as well as </w:t>
      </w:r>
      <w:r w:rsidR="00EE3C91" w:rsidRPr="00410B8A">
        <w:rPr>
          <w:sz w:val="22"/>
          <w:szCs w:val="22"/>
          <w:lang w:eastAsia="en-US"/>
        </w:rPr>
        <w:t>minor formatting changes and correction of minor typographical errors for the purpose of improving the internal consistency of the Determination</w:t>
      </w:r>
      <w:r>
        <w:rPr>
          <w:sz w:val="22"/>
          <w:szCs w:val="22"/>
          <w:lang w:eastAsia="en-US"/>
        </w:rPr>
        <w:t>:</w:t>
      </w:r>
    </w:p>
    <w:p w14:paraId="6093F122" w14:textId="77777777" w:rsidR="00EE3C91" w:rsidRPr="00410B8A" w:rsidRDefault="00EE3C91" w:rsidP="00EE3C91">
      <w:pPr>
        <w:pStyle w:val="ListParagraph"/>
        <w:numPr>
          <w:ilvl w:val="1"/>
          <w:numId w:val="57"/>
        </w:numPr>
        <w:spacing w:before="0" w:beforeAutospacing="0" w:after="120" w:afterAutospacing="0"/>
        <w:contextualSpacing/>
        <w:rPr>
          <w:sz w:val="22"/>
          <w:szCs w:val="22"/>
          <w:lang w:eastAsia="en-US"/>
        </w:rPr>
      </w:pPr>
      <w:r w:rsidRPr="00410B8A">
        <w:rPr>
          <w:i/>
          <w:iCs/>
          <w:sz w:val="22"/>
          <w:szCs w:val="22"/>
          <w:lang w:eastAsia="en-US"/>
        </w:rPr>
        <w:t>Rosmarinus officinalis</w:t>
      </w:r>
      <w:r w:rsidRPr="00410B8A">
        <w:rPr>
          <w:sz w:val="22"/>
          <w:szCs w:val="22"/>
          <w:lang w:eastAsia="en-US"/>
        </w:rPr>
        <w:t>; and</w:t>
      </w:r>
    </w:p>
    <w:p w14:paraId="269688DC" w14:textId="77777777" w:rsidR="00EE3C91" w:rsidRPr="00410B8A" w:rsidRDefault="00EE3C91" w:rsidP="00EE3C91">
      <w:pPr>
        <w:pStyle w:val="ListParagraph"/>
        <w:numPr>
          <w:ilvl w:val="1"/>
          <w:numId w:val="57"/>
        </w:numPr>
        <w:spacing w:before="0" w:beforeAutospacing="0" w:after="120" w:afterAutospacing="0"/>
        <w:ind w:left="1434" w:hanging="357"/>
        <w:rPr>
          <w:sz w:val="22"/>
          <w:szCs w:val="22"/>
          <w:lang w:eastAsia="en-US"/>
        </w:rPr>
      </w:pPr>
      <w:r w:rsidRPr="00410B8A">
        <w:rPr>
          <w:i/>
          <w:iCs/>
          <w:sz w:val="22"/>
          <w:szCs w:val="22"/>
          <w:lang w:eastAsia="en-US"/>
        </w:rPr>
        <w:t xml:space="preserve">Sodium </w:t>
      </w:r>
      <w:proofErr w:type="gramStart"/>
      <w:r w:rsidRPr="00410B8A">
        <w:rPr>
          <w:i/>
          <w:iCs/>
          <w:sz w:val="22"/>
          <w:szCs w:val="22"/>
          <w:lang w:eastAsia="en-US"/>
        </w:rPr>
        <w:t>hypochlorite</w:t>
      </w:r>
      <w:r w:rsidRPr="00410B8A">
        <w:rPr>
          <w:sz w:val="22"/>
          <w:szCs w:val="22"/>
          <w:lang w:eastAsia="en-US"/>
        </w:rPr>
        <w:t>;</w:t>
      </w:r>
      <w:proofErr w:type="gramEnd"/>
    </w:p>
    <w:p w14:paraId="780D1BC9" w14:textId="5DC5C02D" w:rsidR="00EE3C91" w:rsidRPr="00410B8A" w:rsidRDefault="00F70FB1" w:rsidP="00EE3C91">
      <w:pPr>
        <w:pStyle w:val="ListParagraph"/>
        <w:numPr>
          <w:ilvl w:val="0"/>
          <w:numId w:val="53"/>
        </w:numPr>
        <w:shd w:val="clear" w:color="auto" w:fill="FFFFFF"/>
        <w:spacing w:before="120" w:beforeAutospacing="0" w:after="120" w:afterAutospacing="0"/>
        <w:ind w:left="714" w:hanging="357"/>
        <w:rPr>
          <w:sz w:val="22"/>
          <w:szCs w:val="22"/>
        </w:rPr>
      </w:pPr>
      <w:r>
        <w:rPr>
          <w:sz w:val="22"/>
          <w:szCs w:val="22"/>
        </w:rPr>
        <w:t>amendments</w:t>
      </w:r>
      <w:r w:rsidR="00EE3C91" w:rsidRPr="00410B8A">
        <w:rPr>
          <w:sz w:val="22"/>
          <w:szCs w:val="22"/>
        </w:rPr>
        <w:t xml:space="preserve"> to the requirements for the ingredient </w:t>
      </w:r>
      <w:r w:rsidR="00EE3C91" w:rsidRPr="00410B8A">
        <w:rPr>
          <w:i/>
          <w:iCs/>
          <w:sz w:val="22"/>
          <w:szCs w:val="22"/>
        </w:rPr>
        <w:t xml:space="preserve">Leptospermum scoparium oil </w:t>
      </w:r>
      <w:r w:rsidR="00EE3C91" w:rsidRPr="00410B8A">
        <w:rPr>
          <w:sz w:val="22"/>
          <w:szCs w:val="22"/>
        </w:rPr>
        <w:t>for the purpose of enhancing clarity</w:t>
      </w:r>
      <w:r>
        <w:rPr>
          <w:sz w:val="22"/>
          <w:szCs w:val="22"/>
        </w:rPr>
        <w:t xml:space="preserve"> and correcting the volume limits for the nominal container capacity that trigger the requirement for a restricted flow insert, to align with the requirements outlined in the Poisons Standard, as well as </w:t>
      </w:r>
      <w:r w:rsidR="00EE3C91" w:rsidRPr="00410B8A">
        <w:rPr>
          <w:sz w:val="22"/>
          <w:szCs w:val="22"/>
        </w:rPr>
        <w:t xml:space="preserve">minor formatting changes to improve the internal consistency of the </w:t>
      </w:r>
      <w:proofErr w:type="gramStart"/>
      <w:r w:rsidR="00EE3C91" w:rsidRPr="00410B8A">
        <w:rPr>
          <w:sz w:val="22"/>
          <w:szCs w:val="22"/>
        </w:rPr>
        <w:t>Determination;</w:t>
      </w:r>
      <w:proofErr w:type="gramEnd"/>
    </w:p>
    <w:p w14:paraId="29EFF33E" w14:textId="525C7242" w:rsidR="00EE3C91" w:rsidRPr="00410B8A" w:rsidRDefault="00EE3C91" w:rsidP="00EE3C91">
      <w:pPr>
        <w:pStyle w:val="ListParagraph"/>
        <w:numPr>
          <w:ilvl w:val="0"/>
          <w:numId w:val="57"/>
        </w:numPr>
        <w:spacing w:before="0" w:beforeAutospacing="0" w:after="0" w:afterAutospacing="0"/>
        <w:ind w:left="714" w:hanging="357"/>
        <w:rPr>
          <w:sz w:val="22"/>
          <w:szCs w:val="22"/>
        </w:rPr>
      </w:pPr>
      <w:r w:rsidRPr="00410B8A">
        <w:rPr>
          <w:sz w:val="22"/>
          <w:szCs w:val="22"/>
        </w:rPr>
        <w:t>updates to applicable specific requirements, as well as minor formatting changes and correction of minor grammatical errors</w:t>
      </w:r>
      <w:r w:rsidR="00F70FB1">
        <w:rPr>
          <w:sz w:val="22"/>
          <w:szCs w:val="22"/>
        </w:rPr>
        <w:t>,</w:t>
      </w:r>
      <w:r w:rsidRPr="00410B8A">
        <w:rPr>
          <w:sz w:val="22"/>
          <w:szCs w:val="22"/>
        </w:rPr>
        <w:t xml:space="preserve"> for the purpose of improving the internal consistency of the Determination, for the following ingredients:</w:t>
      </w:r>
    </w:p>
    <w:p w14:paraId="755369DC" w14:textId="77777777" w:rsidR="00EE3C91" w:rsidRPr="00410B8A" w:rsidRDefault="00EE3C91" w:rsidP="00EE3C91">
      <w:pPr>
        <w:pStyle w:val="ListParagraph"/>
        <w:numPr>
          <w:ilvl w:val="1"/>
          <w:numId w:val="57"/>
        </w:numPr>
        <w:spacing w:after="0"/>
        <w:rPr>
          <w:sz w:val="22"/>
          <w:szCs w:val="22"/>
        </w:rPr>
      </w:pPr>
      <w:bookmarkStart w:id="2" w:name="_Hlk189130865"/>
      <w:r w:rsidRPr="00410B8A">
        <w:rPr>
          <w:i/>
          <w:iCs/>
          <w:sz w:val="22"/>
          <w:szCs w:val="22"/>
        </w:rPr>
        <w:t>Ruta graveolens</w:t>
      </w:r>
      <w:r w:rsidRPr="00410B8A">
        <w:rPr>
          <w:sz w:val="22"/>
          <w:szCs w:val="22"/>
        </w:rPr>
        <w:t xml:space="preserve"> and </w:t>
      </w:r>
      <w:r w:rsidRPr="00410B8A">
        <w:rPr>
          <w:i/>
          <w:iCs/>
          <w:sz w:val="22"/>
          <w:szCs w:val="22"/>
        </w:rPr>
        <w:t>rue oil</w:t>
      </w:r>
      <w:bookmarkEnd w:id="2"/>
      <w:r w:rsidRPr="00410B8A">
        <w:rPr>
          <w:sz w:val="22"/>
          <w:szCs w:val="22"/>
        </w:rPr>
        <w:t>: to add requirements relating to the availability of the ingredients, and to add warning statements related to pregnancy and lactation, and sunlight sensitivity;</w:t>
      </w:r>
    </w:p>
    <w:p w14:paraId="1C11230C" w14:textId="77777777" w:rsidR="00EE3C91" w:rsidRPr="00410B8A" w:rsidRDefault="00EE3C91" w:rsidP="00EE3C91">
      <w:pPr>
        <w:pStyle w:val="ListParagraph"/>
        <w:numPr>
          <w:ilvl w:val="1"/>
          <w:numId w:val="57"/>
        </w:numPr>
        <w:spacing w:after="0"/>
        <w:rPr>
          <w:sz w:val="22"/>
          <w:szCs w:val="22"/>
        </w:rPr>
      </w:pPr>
      <w:r w:rsidRPr="00410B8A">
        <w:rPr>
          <w:i/>
          <w:iCs/>
          <w:sz w:val="22"/>
          <w:szCs w:val="22"/>
        </w:rPr>
        <w:t xml:space="preserve">Parsley herb dry, parsley herb oil, parsley herb powder, parsley seed oil </w:t>
      </w:r>
      <w:r w:rsidRPr="00410B8A">
        <w:rPr>
          <w:sz w:val="22"/>
          <w:szCs w:val="22"/>
        </w:rPr>
        <w:t>and</w:t>
      </w:r>
      <w:r w:rsidRPr="00410B8A">
        <w:rPr>
          <w:i/>
          <w:iCs/>
          <w:sz w:val="22"/>
          <w:szCs w:val="22"/>
        </w:rPr>
        <w:t xml:space="preserve"> Petroselinum crispum</w:t>
      </w:r>
      <w:r w:rsidRPr="00410B8A">
        <w:rPr>
          <w:sz w:val="22"/>
          <w:szCs w:val="22"/>
        </w:rPr>
        <w:t>: to add requirements for a pregnancy warning to be included on the label except when the ingredient is used at very low concentrations;</w:t>
      </w:r>
    </w:p>
    <w:p w14:paraId="587A3C3B" w14:textId="00DF8007" w:rsidR="00EE3C91" w:rsidRPr="00410B8A" w:rsidRDefault="00EE3C91" w:rsidP="00EE3C91">
      <w:pPr>
        <w:pStyle w:val="ListParagraph"/>
        <w:numPr>
          <w:ilvl w:val="1"/>
          <w:numId w:val="57"/>
        </w:numPr>
        <w:spacing w:after="0"/>
        <w:rPr>
          <w:sz w:val="22"/>
          <w:szCs w:val="22"/>
        </w:rPr>
      </w:pPr>
      <w:r w:rsidRPr="00410B8A">
        <w:rPr>
          <w:i/>
          <w:iCs/>
          <w:sz w:val="22"/>
          <w:szCs w:val="22"/>
        </w:rPr>
        <w:t xml:space="preserve">Calcium hydroxycitrate, Garcinia gummi-gutta, Garcinia quaesita, hydroxycitrate complex, hydroxycitric acid, potassium hydroxycitrate </w:t>
      </w:r>
      <w:r w:rsidRPr="00410B8A">
        <w:rPr>
          <w:sz w:val="22"/>
          <w:szCs w:val="22"/>
        </w:rPr>
        <w:t>and</w:t>
      </w:r>
      <w:r w:rsidRPr="00410B8A">
        <w:rPr>
          <w:i/>
          <w:iCs/>
          <w:sz w:val="22"/>
          <w:szCs w:val="22"/>
        </w:rPr>
        <w:t xml:space="preserve"> sodium hydroxycitrate</w:t>
      </w:r>
      <w:r w:rsidRPr="00410B8A">
        <w:rPr>
          <w:sz w:val="22"/>
          <w:szCs w:val="22"/>
        </w:rPr>
        <w:t>: to add requirements that</w:t>
      </w:r>
      <w:r w:rsidR="00F70FB1">
        <w:rPr>
          <w:sz w:val="22"/>
          <w:szCs w:val="22"/>
        </w:rPr>
        <w:t>,</w:t>
      </w:r>
      <w:r w:rsidRPr="00410B8A">
        <w:rPr>
          <w:sz w:val="22"/>
          <w:szCs w:val="22"/>
        </w:rPr>
        <w:t xml:space="preserve"> when for oral use</w:t>
      </w:r>
      <w:r w:rsidR="00F70FB1">
        <w:rPr>
          <w:sz w:val="22"/>
          <w:szCs w:val="22"/>
        </w:rPr>
        <w:t>,</w:t>
      </w:r>
      <w:r w:rsidRPr="00410B8A">
        <w:rPr>
          <w:sz w:val="22"/>
          <w:szCs w:val="22"/>
        </w:rPr>
        <w:t xml:space="preserve"> a liver injury warning statement must be included on the medicine label, and that medicines containing these ingredients must not be directed for use in children or pregnant or lactating women;</w:t>
      </w:r>
    </w:p>
    <w:p w14:paraId="6465781A" w14:textId="764A8296" w:rsidR="00EE3C91" w:rsidRPr="00410B8A" w:rsidRDefault="00EE3C91" w:rsidP="00EE3C91">
      <w:pPr>
        <w:pStyle w:val="ListParagraph"/>
        <w:numPr>
          <w:ilvl w:val="1"/>
          <w:numId w:val="57"/>
        </w:numPr>
        <w:spacing w:after="0"/>
        <w:rPr>
          <w:sz w:val="22"/>
          <w:szCs w:val="22"/>
        </w:rPr>
      </w:pPr>
      <w:r w:rsidRPr="006C587C">
        <w:rPr>
          <w:i/>
          <w:iCs/>
          <w:sz w:val="22"/>
          <w:szCs w:val="22"/>
        </w:rPr>
        <w:t>Calcium hydroxycitrate</w:t>
      </w:r>
      <w:r>
        <w:rPr>
          <w:i/>
          <w:iCs/>
          <w:sz w:val="22"/>
          <w:szCs w:val="22"/>
        </w:rPr>
        <w:t>,</w:t>
      </w:r>
      <w:r w:rsidRPr="006C587C">
        <w:rPr>
          <w:i/>
          <w:iCs/>
          <w:sz w:val="22"/>
          <w:szCs w:val="22"/>
        </w:rPr>
        <w:t xml:space="preserve"> </w:t>
      </w:r>
      <w:r w:rsidRPr="00410B8A">
        <w:rPr>
          <w:i/>
          <w:iCs/>
          <w:sz w:val="22"/>
          <w:szCs w:val="22"/>
        </w:rPr>
        <w:t>Garcinia gummi-gutta</w:t>
      </w:r>
      <w:r>
        <w:rPr>
          <w:i/>
          <w:iCs/>
          <w:sz w:val="22"/>
          <w:szCs w:val="22"/>
        </w:rPr>
        <w:t xml:space="preserve">, </w:t>
      </w:r>
      <w:r w:rsidRPr="006C587C">
        <w:rPr>
          <w:i/>
          <w:iCs/>
          <w:sz w:val="22"/>
          <w:szCs w:val="22"/>
        </w:rPr>
        <w:t>garcinia quaesita</w:t>
      </w:r>
      <w:r>
        <w:rPr>
          <w:i/>
          <w:iCs/>
          <w:sz w:val="22"/>
          <w:szCs w:val="22"/>
        </w:rPr>
        <w:t xml:space="preserve">, </w:t>
      </w:r>
      <w:r w:rsidRPr="006C587C">
        <w:rPr>
          <w:i/>
          <w:iCs/>
          <w:sz w:val="22"/>
          <w:szCs w:val="22"/>
        </w:rPr>
        <w:t>hydroxycitrate complex</w:t>
      </w:r>
      <w:r>
        <w:rPr>
          <w:i/>
          <w:iCs/>
          <w:sz w:val="22"/>
          <w:szCs w:val="22"/>
        </w:rPr>
        <w:t xml:space="preserve">, </w:t>
      </w:r>
      <w:r w:rsidRPr="006C587C">
        <w:rPr>
          <w:i/>
          <w:iCs/>
          <w:sz w:val="22"/>
          <w:szCs w:val="22"/>
        </w:rPr>
        <w:t>hydroxycitric acid</w:t>
      </w:r>
      <w:r>
        <w:rPr>
          <w:i/>
          <w:iCs/>
          <w:sz w:val="22"/>
          <w:szCs w:val="22"/>
        </w:rPr>
        <w:t xml:space="preserve">, </w:t>
      </w:r>
      <w:r w:rsidRPr="006C587C">
        <w:rPr>
          <w:i/>
          <w:iCs/>
          <w:sz w:val="22"/>
          <w:szCs w:val="22"/>
        </w:rPr>
        <w:t xml:space="preserve">potassium </w:t>
      </w:r>
      <w:proofErr w:type="spellStart"/>
      <w:r w:rsidRPr="006C587C">
        <w:rPr>
          <w:i/>
          <w:iCs/>
          <w:sz w:val="22"/>
          <w:szCs w:val="22"/>
        </w:rPr>
        <w:t>hydroxycitrate</w:t>
      </w:r>
      <w:proofErr w:type="spellEnd"/>
      <w:r>
        <w:rPr>
          <w:i/>
          <w:iCs/>
          <w:sz w:val="22"/>
          <w:szCs w:val="22"/>
        </w:rPr>
        <w:t xml:space="preserve"> </w:t>
      </w:r>
      <w:r w:rsidRPr="00342A24">
        <w:rPr>
          <w:sz w:val="22"/>
          <w:szCs w:val="22"/>
        </w:rPr>
        <w:t>and</w:t>
      </w:r>
      <w:r>
        <w:rPr>
          <w:i/>
          <w:iCs/>
          <w:sz w:val="22"/>
          <w:szCs w:val="22"/>
        </w:rPr>
        <w:t xml:space="preserve"> </w:t>
      </w:r>
      <w:r w:rsidRPr="006C587C">
        <w:rPr>
          <w:i/>
          <w:iCs/>
          <w:sz w:val="22"/>
          <w:szCs w:val="22"/>
        </w:rPr>
        <w:t xml:space="preserve">sodium </w:t>
      </w:r>
      <w:proofErr w:type="spellStart"/>
      <w:r w:rsidRPr="006C587C">
        <w:rPr>
          <w:i/>
          <w:iCs/>
          <w:sz w:val="22"/>
          <w:szCs w:val="22"/>
        </w:rPr>
        <w:t>hydroxycitrate</w:t>
      </w:r>
      <w:proofErr w:type="spellEnd"/>
      <w:r w:rsidRPr="00410B8A">
        <w:rPr>
          <w:i/>
          <w:iCs/>
          <w:sz w:val="22"/>
          <w:szCs w:val="22"/>
        </w:rPr>
        <w:t xml:space="preserve">: </w:t>
      </w:r>
      <w:r w:rsidR="00F70FB1">
        <w:rPr>
          <w:sz w:val="22"/>
          <w:szCs w:val="22"/>
        </w:rPr>
        <w:t xml:space="preserve">to amend </w:t>
      </w:r>
      <w:r w:rsidRPr="00410B8A">
        <w:rPr>
          <w:sz w:val="22"/>
          <w:szCs w:val="22"/>
        </w:rPr>
        <w:t xml:space="preserve">the </w:t>
      </w:r>
      <w:r w:rsidR="00F70FB1">
        <w:rPr>
          <w:sz w:val="22"/>
          <w:szCs w:val="22"/>
        </w:rPr>
        <w:t xml:space="preserve">current </w:t>
      </w:r>
      <w:r w:rsidRPr="00410B8A">
        <w:rPr>
          <w:sz w:val="22"/>
          <w:szCs w:val="22"/>
        </w:rPr>
        <w:t xml:space="preserve">requirements to clarify the availability </w:t>
      </w:r>
      <w:r w:rsidR="00F70FB1">
        <w:rPr>
          <w:sz w:val="22"/>
          <w:szCs w:val="22"/>
        </w:rPr>
        <w:t xml:space="preserve">of, </w:t>
      </w:r>
      <w:r w:rsidRPr="00410B8A">
        <w:rPr>
          <w:sz w:val="22"/>
          <w:szCs w:val="22"/>
        </w:rPr>
        <w:t>and plant part permitted</w:t>
      </w:r>
      <w:r w:rsidR="00F70FB1">
        <w:rPr>
          <w:sz w:val="22"/>
          <w:szCs w:val="22"/>
        </w:rPr>
        <w:t>,</w:t>
      </w:r>
      <w:r w:rsidRPr="00410B8A">
        <w:rPr>
          <w:sz w:val="22"/>
          <w:szCs w:val="22"/>
        </w:rPr>
        <w:t xml:space="preserve"> for use in listed </w:t>
      </w:r>
      <w:proofErr w:type="gramStart"/>
      <w:r w:rsidRPr="00410B8A">
        <w:rPr>
          <w:sz w:val="22"/>
          <w:szCs w:val="22"/>
        </w:rPr>
        <w:t>medicines;</w:t>
      </w:r>
      <w:proofErr w:type="gramEnd"/>
    </w:p>
    <w:p w14:paraId="23BD6107" w14:textId="77777777" w:rsidR="00EE3C91" w:rsidRPr="00410B8A" w:rsidRDefault="00EE3C91" w:rsidP="00EE3C91">
      <w:pPr>
        <w:pStyle w:val="ListParagraph"/>
        <w:numPr>
          <w:ilvl w:val="1"/>
          <w:numId w:val="57"/>
        </w:numPr>
        <w:spacing w:after="0"/>
        <w:rPr>
          <w:sz w:val="22"/>
          <w:szCs w:val="22"/>
        </w:rPr>
      </w:pPr>
      <w:r w:rsidRPr="00410B8A">
        <w:rPr>
          <w:i/>
          <w:iCs/>
          <w:sz w:val="22"/>
          <w:szCs w:val="22"/>
        </w:rPr>
        <w:t xml:space="preserve">Xanthium sibiricum </w:t>
      </w:r>
      <w:r w:rsidRPr="00410B8A">
        <w:rPr>
          <w:sz w:val="22"/>
          <w:szCs w:val="22"/>
        </w:rPr>
        <w:t>and</w:t>
      </w:r>
      <w:r w:rsidRPr="00410B8A">
        <w:rPr>
          <w:i/>
          <w:iCs/>
          <w:sz w:val="22"/>
          <w:szCs w:val="22"/>
        </w:rPr>
        <w:t xml:space="preserve"> Xanthium strumarium:</w:t>
      </w:r>
      <w:r w:rsidRPr="00410B8A">
        <w:rPr>
          <w:sz w:val="22"/>
          <w:szCs w:val="22"/>
        </w:rPr>
        <w:t xml:space="preserve"> to add requirements related to mandatory components carboxyatractyloside and atractyloside, availability, plant part and preparation, maximum recommended daily dose and that the medicine must not be directed for use in children, those who are pregnant, likely to become pregnant, or lactating;</w:t>
      </w:r>
    </w:p>
    <w:p w14:paraId="33400C61" w14:textId="77777777" w:rsidR="00EE3C91" w:rsidRPr="00410B8A" w:rsidRDefault="00EE3C91" w:rsidP="00EE3C91">
      <w:pPr>
        <w:pStyle w:val="ListParagraph"/>
        <w:numPr>
          <w:ilvl w:val="1"/>
          <w:numId w:val="57"/>
        </w:numPr>
        <w:spacing w:after="120" w:afterAutospacing="0"/>
        <w:ind w:left="1434" w:hanging="357"/>
        <w:rPr>
          <w:sz w:val="22"/>
          <w:szCs w:val="22"/>
        </w:rPr>
      </w:pPr>
      <w:r w:rsidRPr="00410B8A">
        <w:rPr>
          <w:i/>
          <w:iCs/>
          <w:sz w:val="22"/>
          <w:szCs w:val="22"/>
        </w:rPr>
        <w:t xml:space="preserve">Phenoxyethanol: </w:t>
      </w:r>
      <w:r w:rsidRPr="00410B8A">
        <w:rPr>
          <w:sz w:val="22"/>
          <w:szCs w:val="22"/>
        </w:rPr>
        <w:t xml:space="preserve">to amend the requirements to change the maximum permitted concentration in a preparation from 15% to </w:t>
      </w:r>
      <w:proofErr w:type="gramStart"/>
      <w:r w:rsidRPr="00410B8A">
        <w:rPr>
          <w:sz w:val="22"/>
          <w:szCs w:val="22"/>
        </w:rPr>
        <w:t>1%;</w:t>
      </w:r>
      <w:proofErr w:type="gramEnd"/>
    </w:p>
    <w:p w14:paraId="3B27BFFA" w14:textId="77777777" w:rsidR="00EE3C91" w:rsidRDefault="00EE3C91" w:rsidP="00EE3C91">
      <w:pPr>
        <w:pStyle w:val="ListParagraph"/>
        <w:numPr>
          <w:ilvl w:val="0"/>
          <w:numId w:val="53"/>
        </w:numPr>
        <w:shd w:val="clear" w:color="auto" w:fill="FFFFFF"/>
        <w:spacing w:before="120" w:beforeAutospacing="0" w:after="120" w:afterAutospacing="0"/>
        <w:ind w:left="714" w:hanging="357"/>
        <w:rPr>
          <w:sz w:val="22"/>
          <w:szCs w:val="22"/>
        </w:rPr>
      </w:pPr>
      <w:r w:rsidRPr="00410B8A">
        <w:rPr>
          <w:sz w:val="22"/>
          <w:szCs w:val="22"/>
        </w:rPr>
        <w:t xml:space="preserve">changes to the specific requirements for </w:t>
      </w:r>
      <w:r w:rsidRPr="00410B8A">
        <w:rPr>
          <w:i/>
          <w:iCs/>
          <w:sz w:val="22"/>
          <w:szCs w:val="22"/>
        </w:rPr>
        <w:t>Eucalyptus oil</w:t>
      </w:r>
      <w:r w:rsidRPr="00410B8A">
        <w:rPr>
          <w:sz w:val="22"/>
          <w:szCs w:val="22"/>
        </w:rPr>
        <w:t xml:space="preserve"> to remove the plant preparation text; and minor formatting changes for the purpose of improving the internal consistency of the </w:t>
      </w:r>
      <w:proofErr w:type="gramStart"/>
      <w:r w:rsidRPr="00410B8A">
        <w:rPr>
          <w:sz w:val="22"/>
          <w:szCs w:val="22"/>
        </w:rPr>
        <w:t>Determination;</w:t>
      </w:r>
      <w:proofErr w:type="gramEnd"/>
    </w:p>
    <w:p w14:paraId="7EFCB262" w14:textId="77777777" w:rsidR="00EE3C91" w:rsidRPr="00410B8A" w:rsidRDefault="00EE3C91" w:rsidP="00EE3C91">
      <w:pPr>
        <w:pStyle w:val="ListParagraph"/>
        <w:numPr>
          <w:ilvl w:val="0"/>
          <w:numId w:val="57"/>
        </w:numPr>
        <w:spacing w:before="0" w:beforeAutospacing="0" w:after="120" w:afterAutospacing="0"/>
        <w:ind w:left="714" w:hanging="357"/>
        <w:rPr>
          <w:sz w:val="22"/>
          <w:szCs w:val="22"/>
        </w:rPr>
      </w:pPr>
      <w:r w:rsidRPr="00D675CE">
        <w:rPr>
          <w:sz w:val="22"/>
          <w:szCs w:val="22"/>
        </w:rPr>
        <w:t xml:space="preserve">amendments to the specific requirements for the ingredient </w:t>
      </w:r>
      <w:r w:rsidRPr="00410B8A">
        <w:rPr>
          <w:i/>
          <w:iCs/>
          <w:sz w:val="22"/>
          <w:szCs w:val="22"/>
        </w:rPr>
        <w:t>methyl hydrojasmonate</w:t>
      </w:r>
      <w:r w:rsidRPr="00D675CE">
        <w:rPr>
          <w:sz w:val="22"/>
          <w:szCs w:val="22"/>
        </w:rPr>
        <w:t>, in relation to its use in flavour proprietary excipient formulations</w:t>
      </w:r>
      <w:r>
        <w:rPr>
          <w:sz w:val="22"/>
          <w:szCs w:val="22"/>
        </w:rPr>
        <w:t xml:space="preserve">, and </w:t>
      </w:r>
      <w:r w:rsidRPr="00E947B7">
        <w:rPr>
          <w:sz w:val="22"/>
          <w:szCs w:val="22"/>
        </w:rPr>
        <w:t xml:space="preserve">minor formatting </w:t>
      </w:r>
      <w:r w:rsidRPr="00410B8A">
        <w:rPr>
          <w:sz w:val="22"/>
          <w:szCs w:val="22"/>
        </w:rPr>
        <w:t>changes for the purposes of improving the internal consistency of the Determination;</w:t>
      </w:r>
    </w:p>
    <w:p w14:paraId="3F544E44" w14:textId="16D6B0CB" w:rsidR="00EE3C91" w:rsidRPr="00410B8A" w:rsidRDefault="00EE3C91" w:rsidP="00EE3C91">
      <w:pPr>
        <w:pStyle w:val="ListParagraph"/>
        <w:numPr>
          <w:ilvl w:val="0"/>
          <w:numId w:val="57"/>
        </w:numPr>
        <w:spacing w:after="120" w:afterAutospacing="0"/>
        <w:ind w:left="714" w:hanging="357"/>
        <w:rPr>
          <w:sz w:val="22"/>
          <w:szCs w:val="22"/>
        </w:rPr>
      </w:pPr>
      <w:r w:rsidRPr="00D675CE">
        <w:rPr>
          <w:sz w:val="22"/>
          <w:szCs w:val="22"/>
        </w:rPr>
        <w:t xml:space="preserve">updates to applicable requirements for the ingredient </w:t>
      </w:r>
      <w:r w:rsidRPr="00410B8A">
        <w:rPr>
          <w:i/>
          <w:iCs/>
          <w:sz w:val="22"/>
          <w:szCs w:val="22"/>
        </w:rPr>
        <w:t>Citrullus vulgaris</w:t>
      </w:r>
      <w:r w:rsidRPr="00410B8A">
        <w:rPr>
          <w:sz w:val="22"/>
          <w:szCs w:val="22"/>
        </w:rPr>
        <w:t xml:space="preserve">, to allow for its use as </w:t>
      </w:r>
      <w:r w:rsidR="00F70FB1">
        <w:rPr>
          <w:sz w:val="22"/>
          <w:szCs w:val="22"/>
        </w:rPr>
        <w:t xml:space="preserve">an </w:t>
      </w:r>
      <w:r w:rsidRPr="00410B8A">
        <w:rPr>
          <w:sz w:val="22"/>
          <w:szCs w:val="22"/>
        </w:rPr>
        <w:t>excipient with restrictions that are consistent with another synonymous ingredient, ‘water melon’</w:t>
      </w:r>
      <w:r>
        <w:rPr>
          <w:sz w:val="22"/>
          <w:szCs w:val="22"/>
        </w:rPr>
        <w:t>, a</w:t>
      </w:r>
      <w:r w:rsidR="00F70FB1">
        <w:rPr>
          <w:sz w:val="22"/>
          <w:szCs w:val="22"/>
        </w:rPr>
        <w:t>s well as</w:t>
      </w:r>
      <w:r>
        <w:rPr>
          <w:sz w:val="22"/>
          <w:szCs w:val="22"/>
        </w:rPr>
        <w:t xml:space="preserve"> the removal of </w:t>
      </w:r>
      <w:r w:rsidR="0083072A">
        <w:rPr>
          <w:sz w:val="22"/>
          <w:szCs w:val="22"/>
        </w:rPr>
        <w:t xml:space="preserve">the </w:t>
      </w:r>
      <w:r>
        <w:rPr>
          <w:sz w:val="22"/>
          <w:szCs w:val="22"/>
        </w:rPr>
        <w:t>‘water melon’</w:t>
      </w:r>
      <w:r w:rsidRPr="00C54CD2">
        <w:rPr>
          <w:sz w:val="22"/>
          <w:szCs w:val="22"/>
        </w:rPr>
        <w:t xml:space="preserve"> </w:t>
      </w:r>
      <w:r w:rsidRPr="00410B8A">
        <w:rPr>
          <w:sz w:val="22"/>
          <w:szCs w:val="22"/>
        </w:rPr>
        <w:t>Approved Food Name (AFN) category</w:t>
      </w:r>
      <w:r w:rsidR="00F70FB1">
        <w:rPr>
          <w:sz w:val="22"/>
          <w:szCs w:val="22"/>
        </w:rPr>
        <w:t>,</w:t>
      </w:r>
      <w:r w:rsidRPr="00410B8A">
        <w:rPr>
          <w:sz w:val="22"/>
          <w:szCs w:val="22"/>
        </w:rPr>
        <w:t xml:space="preserve"> that </w:t>
      </w:r>
      <w:r>
        <w:rPr>
          <w:sz w:val="22"/>
          <w:szCs w:val="22"/>
        </w:rPr>
        <w:t>is a</w:t>
      </w:r>
      <w:r w:rsidRPr="00410B8A">
        <w:rPr>
          <w:sz w:val="22"/>
          <w:szCs w:val="22"/>
        </w:rPr>
        <w:t xml:space="preserve"> duplicate substance and which remain</w:t>
      </w:r>
      <w:r>
        <w:rPr>
          <w:sz w:val="22"/>
          <w:szCs w:val="22"/>
        </w:rPr>
        <w:t>s</w:t>
      </w:r>
      <w:r w:rsidRPr="00410B8A">
        <w:rPr>
          <w:sz w:val="22"/>
          <w:szCs w:val="22"/>
        </w:rPr>
        <w:t xml:space="preserve"> available for use in listed medicines under synonyms or alternative name</w:t>
      </w:r>
      <w:r>
        <w:rPr>
          <w:sz w:val="22"/>
          <w:szCs w:val="22"/>
        </w:rPr>
        <w:t>s</w:t>
      </w:r>
      <w:r w:rsidRPr="00410B8A">
        <w:rPr>
          <w:sz w:val="22"/>
          <w:szCs w:val="22"/>
        </w:rPr>
        <w:t>;</w:t>
      </w:r>
    </w:p>
    <w:p w14:paraId="204B5980" w14:textId="2D9B15F1" w:rsidR="00EE3C91" w:rsidRPr="00D675CE" w:rsidRDefault="00EE3C91" w:rsidP="00EE3C91">
      <w:pPr>
        <w:pStyle w:val="ListParagraph"/>
        <w:numPr>
          <w:ilvl w:val="0"/>
          <w:numId w:val="57"/>
        </w:numPr>
        <w:spacing w:after="120" w:afterAutospacing="0"/>
        <w:ind w:left="714" w:hanging="357"/>
        <w:rPr>
          <w:sz w:val="22"/>
          <w:szCs w:val="22"/>
        </w:rPr>
      </w:pPr>
      <w:r w:rsidRPr="00410B8A">
        <w:rPr>
          <w:sz w:val="22"/>
          <w:szCs w:val="22"/>
        </w:rPr>
        <w:t xml:space="preserve">updates to applicable requirements for the ingredient </w:t>
      </w:r>
      <w:r w:rsidRPr="00410B8A">
        <w:rPr>
          <w:i/>
          <w:iCs/>
          <w:sz w:val="22"/>
          <w:szCs w:val="22"/>
        </w:rPr>
        <w:t>Raphanus sativus</w:t>
      </w:r>
      <w:r w:rsidRPr="00410B8A">
        <w:rPr>
          <w:sz w:val="22"/>
          <w:szCs w:val="22"/>
        </w:rPr>
        <w:t xml:space="preserve"> to allow for its use as</w:t>
      </w:r>
      <w:r w:rsidR="0083072A">
        <w:rPr>
          <w:sz w:val="22"/>
          <w:szCs w:val="22"/>
        </w:rPr>
        <w:t xml:space="preserve"> an</w:t>
      </w:r>
      <w:r w:rsidRPr="00410B8A">
        <w:rPr>
          <w:sz w:val="22"/>
          <w:szCs w:val="22"/>
        </w:rPr>
        <w:t xml:space="preserve"> excipient with restrictions that are consistent with another synonymous ingredient, ‘radish’</w:t>
      </w:r>
      <w:r>
        <w:rPr>
          <w:sz w:val="22"/>
          <w:szCs w:val="22"/>
        </w:rPr>
        <w:t xml:space="preserve">, </w:t>
      </w:r>
      <w:r w:rsidR="00F70FB1">
        <w:rPr>
          <w:sz w:val="22"/>
          <w:szCs w:val="22"/>
        </w:rPr>
        <w:t xml:space="preserve">as well as </w:t>
      </w:r>
      <w:r>
        <w:rPr>
          <w:sz w:val="22"/>
          <w:szCs w:val="22"/>
        </w:rPr>
        <w:t xml:space="preserve">the removal of </w:t>
      </w:r>
      <w:r w:rsidR="0083072A">
        <w:rPr>
          <w:sz w:val="22"/>
          <w:szCs w:val="22"/>
        </w:rPr>
        <w:t xml:space="preserve">the </w:t>
      </w:r>
      <w:r>
        <w:rPr>
          <w:sz w:val="22"/>
          <w:szCs w:val="22"/>
        </w:rPr>
        <w:t xml:space="preserve">‘radish’ </w:t>
      </w:r>
      <w:r w:rsidRPr="00410B8A">
        <w:rPr>
          <w:sz w:val="22"/>
          <w:szCs w:val="22"/>
        </w:rPr>
        <w:t>AFN category</w:t>
      </w:r>
      <w:r w:rsidR="00F70FB1">
        <w:rPr>
          <w:sz w:val="22"/>
          <w:szCs w:val="22"/>
        </w:rPr>
        <w:t>,</w:t>
      </w:r>
      <w:r w:rsidRPr="00410B8A">
        <w:rPr>
          <w:sz w:val="22"/>
          <w:szCs w:val="22"/>
        </w:rPr>
        <w:t xml:space="preserve"> that </w:t>
      </w:r>
      <w:r>
        <w:rPr>
          <w:sz w:val="22"/>
          <w:szCs w:val="22"/>
        </w:rPr>
        <w:t>is a</w:t>
      </w:r>
      <w:r w:rsidRPr="00410B8A">
        <w:rPr>
          <w:sz w:val="22"/>
          <w:szCs w:val="22"/>
        </w:rPr>
        <w:t xml:space="preserve"> duplicate substance and which remain</w:t>
      </w:r>
      <w:r>
        <w:rPr>
          <w:sz w:val="22"/>
          <w:szCs w:val="22"/>
        </w:rPr>
        <w:t>s</w:t>
      </w:r>
      <w:r w:rsidRPr="00410B8A">
        <w:rPr>
          <w:sz w:val="22"/>
          <w:szCs w:val="22"/>
        </w:rPr>
        <w:t xml:space="preserve"> available for use in listed medicines under synonyms or alternative name</w:t>
      </w:r>
      <w:r>
        <w:rPr>
          <w:sz w:val="22"/>
          <w:szCs w:val="22"/>
        </w:rPr>
        <w:t>s</w:t>
      </w:r>
      <w:r w:rsidRPr="00410B8A">
        <w:rPr>
          <w:sz w:val="22"/>
          <w:szCs w:val="22"/>
        </w:rPr>
        <w:t>;</w:t>
      </w:r>
    </w:p>
    <w:p w14:paraId="05B55254" w14:textId="15534676" w:rsidR="00EE3C91" w:rsidRPr="00410B8A" w:rsidRDefault="00EE3C91" w:rsidP="00EE3C91">
      <w:pPr>
        <w:pStyle w:val="ListParagraph"/>
        <w:numPr>
          <w:ilvl w:val="0"/>
          <w:numId w:val="57"/>
        </w:numPr>
        <w:spacing w:after="0"/>
        <w:rPr>
          <w:sz w:val="22"/>
          <w:szCs w:val="22"/>
        </w:rPr>
      </w:pPr>
      <w:r w:rsidRPr="00410B8A">
        <w:rPr>
          <w:sz w:val="22"/>
          <w:szCs w:val="22"/>
        </w:rPr>
        <w:lastRenderedPageBreak/>
        <w:t xml:space="preserve">minor amendments to </w:t>
      </w:r>
      <w:r w:rsidR="00F70FB1">
        <w:rPr>
          <w:sz w:val="22"/>
          <w:szCs w:val="22"/>
        </w:rPr>
        <w:t xml:space="preserve">the following </w:t>
      </w:r>
      <w:r w:rsidRPr="00410B8A">
        <w:rPr>
          <w:sz w:val="22"/>
          <w:szCs w:val="22"/>
        </w:rPr>
        <w:t>nine ingredients to reflect the expiry of transition periods for requirements relating to those ingredients:</w:t>
      </w:r>
    </w:p>
    <w:p w14:paraId="1824174A" w14:textId="77777777" w:rsidR="00EE3C91" w:rsidRPr="00410B8A" w:rsidRDefault="00EE3C91" w:rsidP="00EE3C91">
      <w:pPr>
        <w:pStyle w:val="ListParagraph"/>
        <w:numPr>
          <w:ilvl w:val="1"/>
          <w:numId w:val="57"/>
        </w:numPr>
        <w:spacing w:after="0"/>
        <w:rPr>
          <w:i/>
          <w:iCs/>
          <w:sz w:val="22"/>
          <w:szCs w:val="22"/>
        </w:rPr>
      </w:pPr>
      <w:r w:rsidRPr="00410B8A">
        <w:rPr>
          <w:i/>
          <w:iCs/>
          <w:sz w:val="22"/>
          <w:szCs w:val="22"/>
        </w:rPr>
        <w:t xml:space="preserve">Curcuma aromatica; </w:t>
      </w:r>
    </w:p>
    <w:p w14:paraId="3B9E4341" w14:textId="77777777" w:rsidR="00EE3C91" w:rsidRPr="00410B8A" w:rsidRDefault="00EE3C91" w:rsidP="00EE3C91">
      <w:pPr>
        <w:pStyle w:val="ListParagraph"/>
        <w:numPr>
          <w:ilvl w:val="1"/>
          <w:numId w:val="57"/>
        </w:numPr>
        <w:spacing w:after="0"/>
        <w:rPr>
          <w:i/>
          <w:iCs/>
          <w:sz w:val="22"/>
          <w:szCs w:val="22"/>
        </w:rPr>
      </w:pPr>
      <w:r w:rsidRPr="00410B8A">
        <w:rPr>
          <w:i/>
          <w:iCs/>
          <w:sz w:val="22"/>
          <w:szCs w:val="22"/>
        </w:rPr>
        <w:t xml:space="preserve">Curcuma longa; </w:t>
      </w:r>
    </w:p>
    <w:p w14:paraId="4186F87E" w14:textId="77777777" w:rsidR="00EE3C91" w:rsidRPr="00410B8A" w:rsidRDefault="00EE3C91" w:rsidP="00EE3C91">
      <w:pPr>
        <w:pStyle w:val="ListParagraph"/>
        <w:numPr>
          <w:ilvl w:val="1"/>
          <w:numId w:val="57"/>
        </w:numPr>
        <w:spacing w:after="0"/>
        <w:rPr>
          <w:i/>
          <w:iCs/>
          <w:sz w:val="22"/>
          <w:szCs w:val="22"/>
        </w:rPr>
      </w:pPr>
      <w:r w:rsidRPr="00410B8A">
        <w:rPr>
          <w:i/>
          <w:iCs/>
          <w:sz w:val="22"/>
          <w:szCs w:val="22"/>
        </w:rPr>
        <w:t xml:space="preserve">Curcuma zanthorrhiza; </w:t>
      </w:r>
    </w:p>
    <w:p w14:paraId="71F7D87B" w14:textId="77777777" w:rsidR="00EE3C91" w:rsidRPr="00410B8A" w:rsidRDefault="00EE3C91" w:rsidP="00EE3C91">
      <w:pPr>
        <w:pStyle w:val="ListParagraph"/>
        <w:numPr>
          <w:ilvl w:val="1"/>
          <w:numId w:val="57"/>
        </w:numPr>
        <w:spacing w:after="0"/>
        <w:rPr>
          <w:i/>
          <w:iCs/>
          <w:sz w:val="22"/>
          <w:szCs w:val="22"/>
        </w:rPr>
      </w:pPr>
      <w:r w:rsidRPr="00410B8A">
        <w:rPr>
          <w:i/>
          <w:iCs/>
          <w:sz w:val="22"/>
          <w:szCs w:val="22"/>
        </w:rPr>
        <w:t>Curcuma zedoaria;</w:t>
      </w:r>
    </w:p>
    <w:p w14:paraId="4C38D74D" w14:textId="77777777" w:rsidR="00EE3C91" w:rsidRPr="00410B8A" w:rsidRDefault="00EE3C91" w:rsidP="00EE3C91">
      <w:pPr>
        <w:pStyle w:val="ListParagraph"/>
        <w:numPr>
          <w:ilvl w:val="1"/>
          <w:numId w:val="57"/>
        </w:numPr>
        <w:spacing w:after="0"/>
        <w:rPr>
          <w:i/>
          <w:iCs/>
          <w:sz w:val="22"/>
          <w:szCs w:val="22"/>
        </w:rPr>
      </w:pPr>
      <w:r w:rsidRPr="00410B8A">
        <w:rPr>
          <w:i/>
          <w:iCs/>
          <w:sz w:val="22"/>
          <w:szCs w:val="22"/>
        </w:rPr>
        <w:t>Curcumin;</w:t>
      </w:r>
    </w:p>
    <w:p w14:paraId="3BA87F1D" w14:textId="77777777" w:rsidR="00EE3C91" w:rsidRPr="00410B8A" w:rsidRDefault="00EE3C91" w:rsidP="00EE3C91">
      <w:pPr>
        <w:pStyle w:val="ListParagraph"/>
        <w:numPr>
          <w:ilvl w:val="1"/>
          <w:numId w:val="57"/>
        </w:numPr>
        <w:spacing w:after="0"/>
        <w:rPr>
          <w:i/>
          <w:iCs/>
          <w:sz w:val="22"/>
          <w:szCs w:val="22"/>
        </w:rPr>
      </w:pPr>
      <w:r w:rsidRPr="00410B8A">
        <w:rPr>
          <w:i/>
          <w:iCs/>
          <w:sz w:val="22"/>
          <w:szCs w:val="22"/>
        </w:rPr>
        <w:t>Camellia sinensis;</w:t>
      </w:r>
    </w:p>
    <w:p w14:paraId="4A2142B7" w14:textId="77777777" w:rsidR="00EE3C91" w:rsidRPr="00410B8A" w:rsidRDefault="00EE3C91" w:rsidP="00EE3C91">
      <w:pPr>
        <w:pStyle w:val="ListParagraph"/>
        <w:numPr>
          <w:ilvl w:val="1"/>
          <w:numId w:val="57"/>
        </w:numPr>
        <w:spacing w:after="0"/>
        <w:rPr>
          <w:i/>
          <w:iCs/>
          <w:sz w:val="22"/>
          <w:szCs w:val="22"/>
        </w:rPr>
      </w:pPr>
      <w:r w:rsidRPr="00410B8A">
        <w:rPr>
          <w:i/>
          <w:iCs/>
          <w:sz w:val="22"/>
          <w:szCs w:val="22"/>
        </w:rPr>
        <w:t>Soy phosphatidylserine-enriched soy lecithin liquid;</w:t>
      </w:r>
    </w:p>
    <w:p w14:paraId="790955BF" w14:textId="77777777" w:rsidR="00EE3C91" w:rsidRPr="00410B8A" w:rsidRDefault="00EE3C91" w:rsidP="00EE3C91">
      <w:pPr>
        <w:pStyle w:val="ListParagraph"/>
        <w:numPr>
          <w:ilvl w:val="1"/>
          <w:numId w:val="57"/>
        </w:numPr>
        <w:spacing w:after="0"/>
        <w:rPr>
          <w:i/>
          <w:iCs/>
          <w:sz w:val="22"/>
          <w:szCs w:val="22"/>
        </w:rPr>
      </w:pPr>
      <w:r w:rsidRPr="00410B8A">
        <w:rPr>
          <w:i/>
          <w:iCs/>
          <w:sz w:val="22"/>
          <w:szCs w:val="22"/>
        </w:rPr>
        <w:t xml:space="preserve">Soy phosphatidylserine-enriched soy lecithin powder; </w:t>
      </w:r>
      <w:r w:rsidRPr="00410B8A">
        <w:rPr>
          <w:sz w:val="22"/>
          <w:szCs w:val="22"/>
        </w:rPr>
        <w:t>and</w:t>
      </w:r>
    </w:p>
    <w:p w14:paraId="762B7679" w14:textId="77777777" w:rsidR="00EE3C91" w:rsidRPr="00410B8A" w:rsidRDefault="00EE3C91" w:rsidP="00EE3C91">
      <w:pPr>
        <w:pStyle w:val="ListParagraph"/>
        <w:numPr>
          <w:ilvl w:val="1"/>
          <w:numId w:val="57"/>
        </w:numPr>
        <w:spacing w:after="0" w:afterAutospacing="0"/>
        <w:ind w:left="1434" w:hanging="357"/>
        <w:rPr>
          <w:sz w:val="22"/>
          <w:szCs w:val="22"/>
        </w:rPr>
      </w:pPr>
      <w:r w:rsidRPr="00410B8A">
        <w:rPr>
          <w:i/>
          <w:iCs/>
          <w:sz w:val="22"/>
          <w:szCs w:val="22"/>
        </w:rPr>
        <w:t xml:space="preserve">Terminalia </w:t>
      </w:r>
      <w:proofErr w:type="spellStart"/>
      <w:r w:rsidRPr="00410B8A">
        <w:rPr>
          <w:i/>
          <w:iCs/>
          <w:sz w:val="22"/>
          <w:szCs w:val="22"/>
        </w:rPr>
        <w:t>ferdinandiana</w:t>
      </w:r>
      <w:proofErr w:type="spellEnd"/>
      <w:r>
        <w:rPr>
          <w:sz w:val="22"/>
          <w:szCs w:val="22"/>
        </w:rPr>
        <w:t>;</w:t>
      </w:r>
    </w:p>
    <w:p w14:paraId="7C6CE3FC" w14:textId="0E622A08" w:rsidR="00EE3C91" w:rsidRPr="00D675CE" w:rsidRDefault="00EE3C91" w:rsidP="00EE3C91">
      <w:pPr>
        <w:pStyle w:val="ListParagraph"/>
        <w:numPr>
          <w:ilvl w:val="0"/>
          <w:numId w:val="53"/>
        </w:numPr>
        <w:shd w:val="clear" w:color="auto" w:fill="FFFFFF"/>
        <w:spacing w:before="120" w:beforeAutospacing="0"/>
        <w:ind w:left="714" w:hanging="357"/>
        <w:rPr>
          <w:sz w:val="22"/>
          <w:szCs w:val="22"/>
        </w:rPr>
      </w:pPr>
      <w:r w:rsidRPr="00D675CE">
        <w:rPr>
          <w:sz w:val="22"/>
          <w:szCs w:val="22"/>
        </w:rPr>
        <w:t xml:space="preserve">the removal of requirements for the following </w:t>
      </w:r>
      <w:r w:rsidR="00F70FB1">
        <w:rPr>
          <w:sz w:val="22"/>
          <w:szCs w:val="22"/>
        </w:rPr>
        <w:t xml:space="preserve">two </w:t>
      </w:r>
      <w:r w:rsidRPr="00D675CE">
        <w:rPr>
          <w:sz w:val="22"/>
          <w:szCs w:val="22"/>
        </w:rPr>
        <w:t>ingredients to reflect the expiry of the periods of exclusive use for relevant sponsors:</w:t>
      </w:r>
    </w:p>
    <w:p w14:paraId="78732744" w14:textId="77777777" w:rsidR="00EE3C91" w:rsidRPr="00D675CE" w:rsidRDefault="00EE3C91" w:rsidP="00EE3C91">
      <w:pPr>
        <w:pStyle w:val="ListParagraph"/>
        <w:numPr>
          <w:ilvl w:val="1"/>
          <w:numId w:val="53"/>
        </w:numPr>
        <w:rPr>
          <w:sz w:val="22"/>
          <w:szCs w:val="22"/>
        </w:rPr>
      </w:pPr>
      <w:r w:rsidRPr="00410B8A">
        <w:rPr>
          <w:i/>
          <w:iCs/>
          <w:sz w:val="22"/>
          <w:szCs w:val="22"/>
        </w:rPr>
        <w:t>Hemp Seed Oil</w:t>
      </w:r>
      <w:r w:rsidRPr="00D675CE">
        <w:rPr>
          <w:sz w:val="22"/>
          <w:szCs w:val="22"/>
        </w:rPr>
        <w:t>; and</w:t>
      </w:r>
    </w:p>
    <w:p w14:paraId="74B64B1E" w14:textId="77777777" w:rsidR="00EE3C91" w:rsidRPr="00D675CE" w:rsidRDefault="00EE3C91" w:rsidP="00EE3C91">
      <w:pPr>
        <w:pStyle w:val="ListParagraph"/>
        <w:numPr>
          <w:ilvl w:val="1"/>
          <w:numId w:val="53"/>
        </w:numPr>
        <w:rPr>
          <w:sz w:val="22"/>
          <w:szCs w:val="22"/>
        </w:rPr>
      </w:pPr>
      <w:r w:rsidRPr="00410B8A">
        <w:rPr>
          <w:i/>
          <w:iCs/>
          <w:sz w:val="22"/>
          <w:szCs w:val="22"/>
        </w:rPr>
        <w:t>3-Fucosyllactose</w:t>
      </w:r>
      <w:r>
        <w:rPr>
          <w:sz w:val="22"/>
          <w:szCs w:val="22"/>
        </w:rPr>
        <w:t>;</w:t>
      </w:r>
    </w:p>
    <w:p w14:paraId="106CC200" w14:textId="70EF77FF" w:rsidR="00EE3C91" w:rsidRPr="00D675CE" w:rsidRDefault="00EE3C91" w:rsidP="00EE3C91">
      <w:pPr>
        <w:pStyle w:val="ListParagraph"/>
        <w:numPr>
          <w:ilvl w:val="0"/>
          <w:numId w:val="53"/>
        </w:numPr>
        <w:shd w:val="clear" w:color="auto" w:fill="FFFFFF"/>
        <w:spacing w:before="120" w:beforeAutospacing="0"/>
        <w:ind w:left="714" w:hanging="357"/>
        <w:rPr>
          <w:sz w:val="22"/>
          <w:szCs w:val="22"/>
        </w:rPr>
      </w:pPr>
      <w:r>
        <w:rPr>
          <w:sz w:val="22"/>
          <w:szCs w:val="22"/>
        </w:rPr>
        <w:t>c</w:t>
      </w:r>
      <w:r w:rsidRPr="00D675CE">
        <w:rPr>
          <w:sz w:val="22"/>
          <w:szCs w:val="22"/>
        </w:rPr>
        <w:t>orrection</w:t>
      </w:r>
      <w:r w:rsidR="00F70FB1">
        <w:rPr>
          <w:sz w:val="22"/>
          <w:szCs w:val="22"/>
        </w:rPr>
        <w:t>s</w:t>
      </w:r>
      <w:r w:rsidRPr="00D675CE">
        <w:rPr>
          <w:sz w:val="22"/>
          <w:szCs w:val="22"/>
        </w:rPr>
        <w:t xml:space="preserve"> of minor typographical errors and minor formatting changes fo</w:t>
      </w:r>
      <w:r w:rsidR="00402C94">
        <w:rPr>
          <w:sz w:val="22"/>
          <w:szCs w:val="22"/>
        </w:rPr>
        <w:t xml:space="preserve">r the ingredient </w:t>
      </w:r>
      <w:r w:rsidR="00F70FB1" w:rsidRPr="00410B8A">
        <w:rPr>
          <w:i/>
          <w:iCs/>
          <w:sz w:val="22"/>
          <w:szCs w:val="22"/>
        </w:rPr>
        <w:t>1-heptanol</w:t>
      </w:r>
      <w:r w:rsidRPr="00D675CE">
        <w:rPr>
          <w:sz w:val="22"/>
          <w:szCs w:val="22"/>
        </w:rPr>
        <w:t xml:space="preserve"> for the purpose of improving the internal consistency of the Determination</w:t>
      </w:r>
      <w:r w:rsidR="00320624">
        <w:rPr>
          <w:sz w:val="22"/>
          <w:szCs w:val="22"/>
        </w:rPr>
        <w:t>.</w:t>
      </w:r>
    </w:p>
    <w:bookmarkEnd w:id="0"/>
    <w:bookmarkEnd w:id="1"/>
    <w:p w14:paraId="586E85BD" w14:textId="46E915F5" w:rsidR="004F3C94" w:rsidRPr="001714A1" w:rsidRDefault="00EF1F18" w:rsidP="00266E11">
      <w:pPr>
        <w:autoSpaceDE w:val="0"/>
        <w:autoSpaceDN w:val="0"/>
        <w:adjustRightInd w:val="0"/>
        <w:spacing w:after="0" w:line="240" w:lineRule="auto"/>
        <w:rPr>
          <w:rFonts w:ascii="Times New Roman" w:hAnsi="Times New Roman" w:cs="Times New Roman"/>
        </w:rPr>
      </w:pPr>
      <w:r w:rsidRPr="001714A1">
        <w:rPr>
          <w:rFonts w:ascii="Times New Roman" w:eastAsia="Times New Roman" w:hAnsi="Times New Roman" w:cs="Times New Roman"/>
          <w:b/>
          <w:bCs/>
          <w:lang w:eastAsia="en-AU"/>
        </w:rPr>
        <w:t>C</w:t>
      </w:r>
      <w:r w:rsidR="00E1152E" w:rsidRPr="001714A1">
        <w:rPr>
          <w:rFonts w:ascii="Times New Roman" w:eastAsia="Times New Roman" w:hAnsi="Times New Roman" w:cs="Times New Roman"/>
          <w:b/>
          <w:bCs/>
          <w:lang w:eastAsia="en-AU"/>
        </w:rPr>
        <w:t>onsultation</w:t>
      </w:r>
    </w:p>
    <w:p w14:paraId="3D519EAC" w14:textId="77777777" w:rsidR="007F272E" w:rsidRDefault="007F272E" w:rsidP="001714A1">
      <w:pPr>
        <w:spacing w:after="0" w:line="240" w:lineRule="auto"/>
        <w:rPr>
          <w:rFonts w:ascii="Times New Roman" w:hAnsi="Times New Roman" w:cs="Times New Roman"/>
          <w:lang w:eastAsia="en-AU"/>
        </w:rPr>
      </w:pPr>
    </w:p>
    <w:p w14:paraId="342588EF" w14:textId="77777777" w:rsidR="00EE3C91" w:rsidRDefault="00EE3C91" w:rsidP="00EE3C91">
      <w:pPr>
        <w:spacing w:after="120" w:line="240" w:lineRule="auto"/>
        <w:rPr>
          <w:rFonts w:ascii="Times New Roman" w:hAnsi="Times New Roman" w:cs="Times New Roman"/>
        </w:rPr>
      </w:pPr>
      <w:r w:rsidRPr="00203D4D">
        <w:rPr>
          <w:rFonts w:ascii="Times New Roman" w:hAnsi="Times New Roman" w:cs="Times New Roman"/>
        </w:rPr>
        <w:t xml:space="preserve">Between August 2024 and </w:t>
      </w:r>
      <w:r>
        <w:rPr>
          <w:rFonts w:ascii="Times New Roman" w:hAnsi="Times New Roman" w:cs="Times New Roman"/>
        </w:rPr>
        <w:t>January</w:t>
      </w:r>
      <w:r w:rsidRPr="00203D4D">
        <w:rPr>
          <w:rFonts w:ascii="Times New Roman" w:hAnsi="Times New Roman" w:cs="Times New Roman"/>
        </w:rPr>
        <w:t xml:space="preserve"> 202</w:t>
      </w:r>
      <w:r>
        <w:rPr>
          <w:rFonts w:ascii="Times New Roman" w:hAnsi="Times New Roman" w:cs="Times New Roman"/>
        </w:rPr>
        <w:t>5</w:t>
      </w:r>
      <w:r w:rsidRPr="00203D4D">
        <w:rPr>
          <w:rFonts w:ascii="Times New Roman" w:hAnsi="Times New Roman" w:cs="Times New Roman"/>
        </w:rPr>
        <w:t xml:space="preserve">, the TGA engaged directly with the applicant who applied for the approval of the ingredient </w:t>
      </w:r>
      <w:r w:rsidRPr="00E947B7">
        <w:rPr>
          <w:rFonts w:ascii="Times New Roman" w:hAnsi="Times New Roman" w:cs="Times New Roman"/>
          <w:i/>
          <w:iCs/>
        </w:rPr>
        <w:t>calcium propionate</w:t>
      </w:r>
      <w:r w:rsidRPr="00203D4D">
        <w:rPr>
          <w:rFonts w:ascii="Times New Roman" w:hAnsi="Times New Roman" w:cs="Times New Roman"/>
        </w:rPr>
        <w:t>, in connection with the application.</w:t>
      </w:r>
    </w:p>
    <w:p w14:paraId="2C08288F" w14:textId="77777777" w:rsidR="001312D6" w:rsidRDefault="00EE3C91" w:rsidP="00EE3C91">
      <w:pPr>
        <w:spacing w:after="120" w:line="240" w:lineRule="auto"/>
        <w:rPr>
          <w:rFonts w:ascii="Times New Roman" w:hAnsi="Times New Roman" w:cs="Times New Roman"/>
        </w:rPr>
      </w:pPr>
      <w:r w:rsidRPr="00203D4D">
        <w:rPr>
          <w:rFonts w:ascii="Times New Roman" w:hAnsi="Times New Roman" w:cs="Times New Roman"/>
        </w:rPr>
        <w:t>Between June 2024 and December 2024</w:t>
      </w:r>
      <w:r>
        <w:rPr>
          <w:rFonts w:ascii="Times New Roman" w:hAnsi="Times New Roman" w:cs="Times New Roman"/>
        </w:rPr>
        <w:t>,</w:t>
      </w:r>
      <w:r w:rsidRPr="00203D4D">
        <w:rPr>
          <w:rFonts w:ascii="Times New Roman" w:hAnsi="Times New Roman" w:cs="Times New Roman"/>
        </w:rPr>
        <w:t xml:space="preserve"> the TGA engaged directly with</w:t>
      </w:r>
      <w:r w:rsidR="001312D6">
        <w:rPr>
          <w:rFonts w:ascii="Times New Roman" w:hAnsi="Times New Roman" w:cs="Times New Roman"/>
        </w:rPr>
        <w:t>:</w:t>
      </w:r>
    </w:p>
    <w:p w14:paraId="1F02F85E" w14:textId="5A870039" w:rsidR="00EE3C91" w:rsidRDefault="00EE3C91" w:rsidP="001312D6">
      <w:pPr>
        <w:pStyle w:val="ListParagraph"/>
        <w:numPr>
          <w:ilvl w:val="0"/>
          <w:numId w:val="60"/>
        </w:numPr>
        <w:spacing w:after="120"/>
      </w:pPr>
      <w:r w:rsidRPr="001312D6">
        <w:t xml:space="preserve">the applicant who applied for the approval of the ingredient </w:t>
      </w:r>
      <w:r w:rsidRPr="00E947B7">
        <w:rPr>
          <w:i/>
          <w:iCs/>
        </w:rPr>
        <w:t>methyl acrylate, methyl methacrylate and methacrylic acid copolymer dispersion (30 per cent)</w:t>
      </w:r>
      <w:r w:rsidRPr="001312D6">
        <w:t>, in connection with the application</w:t>
      </w:r>
      <w:r w:rsidR="001312D6">
        <w:t>; and</w:t>
      </w:r>
    </w:p>
    <w:p w14:paraId="4FFEE2D3" w14:textId="205FD56E" w:rsidR="00EE3C91" w:rsidRDefault="001312D6" w:rsidP="00E947B7">
      <w:pPr>
        <w:pStyle w:val="ListParagraph"/>
        <w:numPr>
          <w:ilvl w:val="0"/>
          <w:numId w:val="60"/>
        </w:numPr>
        <w:spacing w:after="120"/>
      </w:pPr>
      <w:r>
        <w:t>the</w:t>
      </w:r>
      <w:r w:rsidR="00EE3C91" w:rsidRPr="00203D4D">
        <w:t xml:space="preserve"> applicant who applied for the approval of the ingredient </w:t>
      </w:r>
      <w:r w:rsidR="00EE3C91" w:rsidRPr="00E947B7">
        <w:rPr>
          <w:i/>
          <w:iCs/>
        </w:rPr>
        <w:t>Polyacrylate dispersion (30 per cent)</w:t>
      </w:r>
      <w:r w:rsidR="00EE3C91" w:rsidRPr="00203D4D">
        <w:t>, in connection with the application.</w:t>
      </w:r>
    </w:p>
    <w:p w14:paraId="2C4D71C0" w14:textId="2783930D" w:rsidR="00EE3C91" w:rsidRDefault="00EE3C91" w:rsidP="00EE3C91">
      <w:pPr>
        <w:spacing w:after="120" w:line="240" w:lineRule="auto"/>
        <w:rPr>
          <w:rFonts w:ascii="Times New Roman" w:hAnsi="Times New Roman" w:cs="Times New Roman"/>
        </w:rPr>
      </w:pPr>
      <w:r w:rsidRPr="00203D4D">
        <w:rPr>
          <w:rFonts w:ascii="Times New Roman" w:hAnsi="Times New Roman" w:cs="Times New Roman"/>
        </w:rPr>
        <w:t>The issue of duplicative requirements from the Determination that are already reflected separately in other legislative instrument</w:t>
      </w:r>
      <w:r w:rsidR="00402C94">
        <w:rPr>
          <w:rFonts w:ascii="Times New Roman" w:hAnsi="Times New Roman" w:cs="Times New Roman"/>
        </w:rPr>
        <w:t>s</w:t>
      </w:r>
      <w:r w:rsidRPr="00203D4D">
        <w:rPr>
          <w:rFonts w:ascii="Times New Roman" w:hAnsi="Times New Roman" w:cs="Times New Roman"/>
        </w:rPr>
        <w:t xml:space="preserve"> has been </w:t>
      </w:r>
      <w:r w:rsidR="00402C94">
        <w:rPr>
          <w:rFonts w:ascii="Times New Roman" w:hAnsi="Times New Roman" w:cs="Times New Roman"/>
        </w:rPr>
        <w:t xml:space="preserve">the </w:t>
      </w:r>
      <w:r w:rsidRPr="00203D4D">
        <w:rPr>
          <w:rFonts w:ascii="Times New Roman" w:hAnsi="Times New Roman" w:cs="Times New Roman"/>
        </w:rPr>
        <w:t>subject of on-going consultation with the Complementary and Over the Counter Medicines Regulatory and Technical Consultative Forum (ComTech) since October 2019. ComTech is a forum that facilitates consultation between the TGA and representatives from the complementary and over the counter medicines industries including Accord Australasia, the Association of Therapeutic Goods Consultants, Complementary Medicines Australia and Consumer Healthcare Products Australia. ComTech were generally supportive of the removal of legislative duplication; however, members considered that reflections of the stipulations of the Poisons Standard were beneficial for listed and assessed listed medicine sponsors.</w:t>
      </w:r>
      <w:r w:rsidR="00402C94">
        <w:rPr>
          <w:rFonts w:ascii="Times New Roman" w:hAnsi="Times New Roman" w:cs="Times New Roman"/>
        </w:rPr>
        <w:t xml:space="preserve"> </w:t>
      </w:r>
      <w:r w:rsidRPr="00203D4D">
        <w:rPr>
          <w:rFonts w:ascii="Times New Roman" w:hAnsi="Times New Roman" w:cs="Times New Roman"/>
        </w:rPr>
        <w:t>ComTech members were presented with proposed changes in October 2021, April 2022, October 2022, October 2023, May 2024 and September 2024, and Members noted their assent to the changes that were</w:t>
      </w:r>
      <w:r w:rsidR="008B59B3">
        <w:rPr>
          <w:rFonts w:ascii="Times New Roman" w:hAnsi="Times New Roman" w:cs="Times New Roman"/>
        </w:rPr>
        <w:t xml:space="preserve"> proposed for inclusion in the Determination.</w:t>
      </w:r>
    </w:p>
    <w:p w14:paraId="72D198B8" w14:textId="77777777" w:rsidR="008B59B3" w:rsidRDefault="00EE3C91" w:rsidP="00E947B7">
      <w:pPr>
        <w:spacing w:before="100" w:beforeAutospacing="1" w:after="0" w:line="240" w:lineRule="auto"/>
        <w:rPr>
          <w:rFonts w:ascii="Times New Roman" w:eastAsia="Times New Roman" w:hAnsi="Times New Roman" w:cs="Times New Roman"/>
          <w:lang w:eastAsia="en-AU"/>
        </w:rPr>
      </w:pPr>
      <w:r w:rsidRPr="00410B8A">
        <w:rPr>
          <w:rFonts w:ascii="Times New Roman" w:eastAsia="Times New Roman" w:hAnsi="Times New Roman" w:cs="Times New Roman"/>
          <w:lang w:eastAsia="en-AU"/>
        </w:rPr>
        <w:t xml:space="preserve">The TGA conducted a </w:t>
      </w:r>
      <w:r w:rsidRPr="00410B8A">
        <w:rPr>
          <w:rFonts w:ascii="Times New Roman" w:hAnsi="Times New Roman" w:cs="Times New Roman"/>
        </w:rPr>
        <w:t>public consultation</w:t>
      </w:r>
      <w:r w:rsidRPr="00410B8A">
        <w:rPr>
          <w:rFonts w:ascii="Times New Roman" w:eastAsia="Times New Roman" w:hAnsi="Times New Roman" w:cs="Times New Roman"/>
          <w:lang w:eastAsia="en-AU"/>
        </w:rPr>
        <w:t xml:space="preserve"> regarding proposed amendments to the applicable specific requirements to: </w:t>
      </w:r>
    </w:p>
    <w:p w14:paraId="01579F9A" w14:textId="77777777" w:rsidR="008B59B3" w:rsidRPr="00E947B7" w:rsidRDefault="00EE3C91" w:rsidP="00E947B7">
      <w:pPr>
        <w:pStyle w:val="ListParagraph"/>
        <w:numPr>
          <w:ilvl w:val="0"/>
          <w:numId w:val="57"/>
        </w:numPr>
        <w:spacing w:before="120" w:beforeAutospacing="0" w:after="120" w:afterAutospacing="0"/>
        <w:ind w:left="714" w:hanging="357"/>
        <w:rPr>
          <w:bCs/>
          <w:sz w:val="22"/>
          <w:szCs w:val="22"/>
        </w:rPr>
      </w:pPr>
      <w:r w:rsidRPr="00E947B7">
        <w:rPr>
          <w:bCs/>
          <w:sz w:val="22"/>
          <w:szCs w:val="22"/>
        </w:rPr>
        <w:t xml:space="preserve">address the risk of pregnancy contraindications and other toxic effects for the herbal ingredients </w:t>
      </w:r>
      <w:r w:rsidRPr="00E947B7">
        <w:rPr>
          <w:bCs/>
          <w:i/>
          <w:iCs/>
          <w:sz w:val="22"/>
          <w:szCs w:val="22"/>
        </w:rPr>
        <w:t>Ruta graveolens</w:t>
      </w:r>
      <w:r w:rsidRPr="00E947B7">
        <w:rPr>
          <w:bCs/>
          <w:sz w:val="22"/>
          <w:szCs w:val="22"/>
        </w:rPr>
        <w:t xml:space="preserve">, </w:t>
      </w:r>
      <w:r w:rsidRPr="00E947B7">
        <w:rPr>
          <w:bCs/>
          <w:i/>
          <w:iCs/>
          <w:sz w:val="22"/>
          <w:szCs w:val="22"/>
        </w:rPr>
        <w:t xml:space="preserve">rue oil, parsley herb dry, parsley herb oil, parsley herb powder, parsley seed oil </w:t>
      </w:r>
      <w:r w:rsidRPr="00E947B7">
        <w:rPr>
          <w:bCs/>
          <w:sz w:val="22"/>
          <w:szCs w:val="22"/>
        </w:rPr>
        <w:t xml:space="preserve">and </w:t>
      </w:r>
      <w:r w:rsidRPr="00E947B7">
        <w:rPr>
          <w:bCs/>
          <w:i/>
          <w:iCs/>
          <w:sz w:val="22"/>
          <w:szCs w:val="22"/>
        </w:rPr>
        <w:t>Petroselinum crispum</w:t>
      </w:r>
      <w:r w:rsidRPr="00E947B7">
        <w:rPr>
          <w:bCs/>
          <w:sz w:val="22"/>
          <w:szCs w:val="22"/>
        </w:rPr>
        <w:t xml:space="preserve">; </w:t>
      </w:r>
    </w:p>
    <w:p w14:paraId="7F675D07" w14:textId="64A30ADB" w:rsidR="008B59B3" w:rsidRPr="00E947B7" w:rsidRDefault="00EE3C91" w:rsidP="00E947B7">
      <w:pPr>
        <w:pStyle w:val="ListParagraph"/>
        <w:numPr>
          <w:ilvl w:val="0"/>
          <w:numId w:val="57"/>
        </w:numPr>
        <w:spacing w:before="120" w:beforeAutospacing="0" w:after="120" w:afterAutospacing="0"/>
        <w:ind w:left="714" w:hanging="357"/>
        <w:rPr>
          <w:bCs/>
          <w:sz w:val="22"/>
          <w:szCs w:val="22"/>
        </w:rPr>
      </w:pPr>
      <w:r w:rsidRPr="00E947B7">
        <w:rPr>
          <w:bCs/>
          <w:sz w:val="22"/>
          <w:szCs w:val="22"/>
        </w:rPr>
        <w:t xml:space="preserve">address the risk of liver injury for </w:t>
      </w:r>
      <w:r w:rsidRPr="00E947B7">
        <w:rPr>
          <w:bCs/>
          <w:i/>
          <w:iCs/>
          <w:sz w:val="22"/>
          <w:szCs w:val="22"/>
        </w:rPr>
        <w:t xml:space="preserve">Garcinia species, hydroxycitric acid, </w:t>
      </w:r>
      <w:proofErr w:type="spellStart"/>
      <w:r w:rsidRPr="00E947B7">
        <w:rPr>
          <w:bCs/>
          <w:i/>
          <w:iCs/>
          <w:sz w:val="22"/>
          <w:szCs w:val="22"/>
        </w:rPr>
        <w:t>hydroxycitrate</w:t>
      </w:r>
      <w:proofErr w:type="spellEnd"/>
      <w:r w:rsidRPr="00E947B7">
        <w:rPr>
          <w:bCs/>
          <w:i/>
          <w:iCs/>
          <w:sz w:val="22"/>
          <w:szCs w:val="22"/>
        </w:rPr>
        <w:t xml:space="preserve"> complex</w:t>
      </w:r>
      <w:r w:rsidRPr="00E947B7">
        <w:rPr>
          <w:bCs/>
          <w:sz w:val="22"/>
          <w:szCs w:val="22"/>
        </w:rPr>
        <w:t xml:space="preserve"> and </w:t>
      </w:r>
      <w:r w:rsidRPr="00E947B7">
        <w:rPr>
          <w:bCs/>
          <w:i/>
          <w:iCs/>
          <w:sz w:val="22"/>
          <w:szCs w:val="22"/>
        </w:rPr>
        <w:t>salts</w:t>
      </w:r>
      <w:r w:rsidRPr="00E947B7">
        <w:rPr>
          <w:bCs/>
          <w:sz w:val="22"/>
          <w:szCs w:val="22"/>
        </w:rPr>
        <w:t>;</w:t>
      </w:r>
    </w:p>
    <w:p w14:paraId="122F77FD" w14:textId="4B25A2D9" w:rsidR="008B59B3" w:rsidRPr="00E947B7" w:rsidRDefault="00EE3C91" w:rsidP="00E947B7">
      <w:pPr>
        <w:pStyle w:val="ListParagraph"/>
        <w:numPr>
          <w:ilvl w:val="0"/>
          <w:numId w:val="57"/>
        </w:numPr>
        <w:spacing w:before="120" w:beforeAutospacing="0" w:after="120" w:afterAutospacing="0"/>
        <w:ind w:left="714" w:hanging="357"/>
        <w:rPr>
          <w:bCs/>
          <w:sz w:val="22"/>
          <w:szCs w:val="22"/>
        </w:rPr>
      </w:pPr>
      <w:r w:rsidRPr="00E947B7">
        <w:rPr>
          <w:bCs/>
          <w:sz w:val="22"/>
          <w:szCs w:val="22"/>
        </w:rPr>
        <w:t xml:space="preserve">address the risk of toxicity for the ingredients </w:t>
      </w:r>
      <w:r w:rsidRPr="00E947B7">
        <w:rPr>
          <w:bCs/>
          <w:i/>
          <w:iCs/>
          <w:sz w:val="22"/>
          <w:szCs w:val="22"/>
        </w:rPr>
        <w:t>Xanthium sibiricum</w:t>
      </w:r>
      <w:r w:rsidRPr="00E947B7">
        <w:rPr>
          <w:bCs/>
          <w:sz w:val="22"/>
          <w:szCs w:val="22"/>
        </w:rPr>
        <w:t xml:space="preserve"> and </w:t>
      </w:r>
      <w:r w:rsidRPr="00E947B7">
        <w:rPr>
          <w:bCs/>
          <w:i/>
          <w:iCs/>
          <w:sz w:val="22"/>
          <w:szCs w:val="22"/>
        </w:rPr>
        <w:t>Xanthium strumarium</w:t>
      </w:r>
      <w:r w:rsidRPr="00E947B7">
        <w:rPr>
          <w:bCs/>
          <w:sz w:val="22"/>
          <w:szCs w:val="22"/>
        </w:rPr>
        <w:t xml:space="preserve">; </w:t>
      </w:r>
    </w:p>
    <w:p w14:paraId="188EB5AB" w14:textId="7FA58817" w:rsidR="008B59B3" w:rsidRPr="00E947B7" w:rsidRDefault="00EE3C91" w:rsidP="00E947B7">
      <w:pPr>
        <w:pStyle w:val="ListParagraph"/>
        <w:numPr>
          <w:ilvl w:val="0"/>
          <w:numId w:val="57"/>
        </w:numPr>
        <w:spacing w:before="120" w:beforeAutospacing="0" w:after="120" w:afterAutospacing="0"/>
        <w:ind w:left="714" w:hanging="357"/>
        <w:rPr>
          <w:bCs/>
          <w:sz w:val="22"/>
          <w:szCs w:val="22"/>
        </w:rPr>
      </w:pPr>
      <w:r w:rsidRPr="00E947B7">
        <w:rPr>
          <w:bCs/>
          <w:sz w:val="22"/>
          <w:szCs w:val="22"/>
        </w:rPr>
        <w:lastRenderedPageBreak/>
        <w:t xml:space="preserve">align the requirements for the ingredient </w:t>
      </w:r>
      <w:r w:rsidRPr="00E947B7">
        <w:rPr>
          <w:bCs/>
          <w:i/>
          <w:iCs/>
          <w:sz w:val="22"/>
          <w:szCs w:val="22"/>
        </w:rPr>
        <w:t>phenoxyethanol</w:t>
      </w:r>
      <w:r w:rsidRPr="00E947B7">
        <w:rPr>
          <w:bCs/>
          <w:sz w:val="22"/>
          <w:szCs w:val="22"/>
        </w:rPr>
        <w:t xml:space="preserve"> with the Poison Standard; and</w:t>
      </w:r>
    </w:p>
    <w:p w14:paraId="0E2CF350" w14:textId="0C62D0F8" w:rsidR="008B59B3" w:rsidRPr="00E947B7" w:rsidRDefault="008B59B3" w:rsidP="00E947B7">
      <w:pPr>
        <w:pStyle w:val="ListParagraph"/>
        <w:numPr>
          <w:ilvl w:val="0"/>
          <w:numId w:val="57"/>
        </w:numPr>
        <w:spacing w:before="120" w:beforeAutospacing="0" w:after="120" w:afterAutospacing="0"/>
        <w:ind w:left="714" w:hanging="357"/>
        <w:rPr>
          <w:bCs/>
          <w:sz w:val="22"/>
          <w:szCs w:val="22"/>
        </w:rPr>
      </w:pPr>
      <w:r w:rsidRPr="00E947B7">
        <w:rPr>
          <w:bCs/>
          <w:sz w:val="22"/>
          <w:szCs w:val="22"/>
        </w:rPr>
        <w:t>clarify</w:t>
      </w:r>
      <w:r w:rsidR="00EE3C91" w:rsidRPr="00E947B7">
        <w:rPr>
          <w:bCs/>
          <w:sz w:val="22"/>
          <w:szCs w:val="22"/>
        </w:rPr>
        <w:t xml:space="preserve"> the hydration state of </w:t>
      </w:r>
      <w:r w:rsidR="00EE3C91" w:rsidRPr="00E947B7">
        <w:rPr>
          <w:bCs/>
          <w:i/>
          <w:iCs/>
          <w:sz w:val="22"/>
          <w:szCs w:val="22"/>
        </w:rPr>
        <w:t>rutoside</w:t>
      </w:r>
      <w:r w:rsidR="00EE3C91" w:rsidRPr="00E947B7">
        <w:rPr>
          <w:bCs/>
          <w:sz w:val="22"/>
          <w:szCs w:val="22"/>
        </w:rPr>
        <w:t xml:space="preserve">. </w:t>
      </w:r>
    </w:p>
    <w:p w14:paraId="3211A6F9" w14:textId="0E1B45D4" w:rsidR="00EE3C91" w:rsidRPr="00E947B7" w:rsidRDefault="00EE3C91" w:rsidP="00E947B7">
      <w:pPr>
        <w:spacing w:before="100" w:beforeAutospacing="1" w:after="0" w:line="240" w:lineRule="auto"/>
        <w:rPr>
          <w:rFonts w:ascii="Times New Roman" w:eastAsia="Times New Roman" w:hAnsi="Times New Roman" w:cs="Times New Roman"/>
          <w:lang w:eastAsia="en-AU"/>
        </w:rPr>
      </w:pPr>
      <w:r w:rsidRPr="00E947B7">
        <w:rPr>
          <w:rFonts w:ascii="Times New Roman" w:eastAsia="Times New Roman" w:hAnsi="Times New Roman" w:cs="Times New Roman"/>
          <w:lang w:eastAsia="en-AU"/>
        </w:rPr>
        <w:t xml:space="preserve">The consultation was published on 2 August 2024, with feedback requested by 13 September 2024. Nine submissions were received. Specifically, </w:t>
      </w:r>
      <w:r w:rsidR="008B59B3">
        <w:rPr>
          <w:rFonts w:ascii="Times New Roman" w:eastAsia="Times New Roman" w:hAnsi="Times New Roman" w:cs="Times New Roman"/>
          <w:lang w:eastAsia="en-AU"/>
        </w:rPr>
        <w:t>6</w:t>
      </w:r>
      <w:r w:rsidRPr="00E947B7">
        <w:rPr>
          <w:rFonts w:ascii="Times New Roman" w:eastAsia="Times New Roman" w:hAnsi="Times New Roman" w:cs="Times New Roman"/>
          <w:lang w:eastAsia="en-AU"/>
        </w:rPr>
        <w:t xml:space="preserve"> responses were received to the proposals for herbal ingredients with pregnancy contraindications, 4 responses to the proposed liver warning statement for </w:t>
      </w:r>
      <w:r w:rsidRPr="00E947B7">
        <w:rPr>
          <w:rFonts w:ascii="Times New Roman" w:eastAsia="Times New Roman" w:hAnsi="Times New Roman" w:cs="Times New Roman"/>
          <w:i/>
          <w:iCs/>
          <w:lang w:eastAsia="en-AU"/>
        </w:rPr>
        <w:t>Garcinia species</w:t>
      </w:r>
      <w:r w:rsidRPr="00E947B7">
        <w:rPr>
          <w:rFonts w:ascii="Times New Roman" w:eastAsia="Times New Roman" w:hAnsi="Times New Roman" w:cs="Times New Roman"/>
          <w:lang w:eastAsia="en-AU"/>
        </w:rPr>
        <w:t xml:space="preserve"> and related ingredients, 7 responses to the proposed removal of </w:t>
      </w:r>
      <w:r w:rsidRPr="00E947B7">
        <w:rPr>
          <w:rFonts w:ascii="Times New Roman" w:eastAsia="Times New Roman" w:hAnsi="Times New Roman" w:cs="Times New Roman"/>
          <w:i/>
          <w:iCs/>
          <w:lang w:eastAsia="en-AU"/>
        </w:rPr>
        <w:t>Xanthium</w:t>
      </w:r>
      <w:r w:rsidRPr="00E947B7">
        <w:rPr>
          <w:rFonts w:ascii="Times New Roman" w:eastAsia="Times New Roman" w:hAnsi="Times New Roman" w:cs="Times New Roman"/>
          <w:lang w:eastAsia="en-AU"/>
        </w:rPr>
        <w:t xml:space="preserve"> species, 6 responses to the proposed update to the requirements for </w:t>
      </w:r>
      <w:r w:rsidRPr="00E947B7">
        <w:rPr>
          <w:rFonts w:ascii="Times New Roman" w:eastAsia="Times New Roman" w:hAnsi="Times New Roman" w:cs="Times New Roman"/>
          <w:i/>
          <w:iCs/>
          <w:lang w:eastAsia="en-AU"/>
        </w:rPr>
        <w:t>phenoxyethanol</w:t>
      </w:r>
      <w:r w:rsidRPr="00E947B7">
        <w:rPr>
          <w:rFonts w:ascii="Times New Roman" w:eastAsia="Times New Roman" w:hAnsi="Times New Roman" w:cs="Times New Roman"/>
          <w:lang w:eastAsia="en-AU"/>
        </w:rPr>
        <w:t xml:space="preserve"> and 4 responses to the proposed clarification to the requirements for </w:t>
      </w:r>
      <w:r w:rsidRPr="00E947B7">
        <w:rPr>
          <w:rFonts w:ascii="Times New Roman" w:eastAsia="Times New Roman" w:hAnsi="Times New Roman" w:cs="Times New Roman"/>
          <w:i/>
          <w:iCs/>
          <w:lang w:eastAsia="en-AU"/>
        </w:rPr>
        <w:t>rutoside</w:t>
      </w:r>
      <w:r w:rsidRPr="00E947B7">
        <w:rPr>
          <w:rFonts w:ascii="Times New Roman" w:eastAsia="Times New Roman" w:hAnsi="Times New Roman" w:cs="Times New Roman"/>
          <w:lang w:eastAsia="en-AU"/>
        </w:rPr>
        <w:t xml:space="preserve">. </w:t>
      </w:r>
      <w:bookmarkStart w:id="3" w:name="_Hlk190337233"/>
      <w:r w:rsidRPr="00E947B7">
        <w:rPr>
          <w:rFonts w:ascii="Times New Roman" w:eastAsia="Times New Roman" w:hAnsi="Times New Roman" w:cs="Times New Roman"/>
          <w:lang w:eastAsia="en-AU"/>
        </w:rPr>
        <w:t xml:space="preserve">The responses varied in stance and recommendations. The feedback from professional medical groups was supportive of </w:t>
      </w:r>
      <w:r w:rsidR="00E62F61">
        <w:rPr>
          <w:rFonts w:ascii="Times New Roman" w:eastAsia="Times New Roman" w:hAnsi="Times New Roman" w:cs="Times New Roman"/>
          <w:lang w:eastAsia="en-AU"/>
        </w:rPr>
        <w:t>all</w:t>
      </w:r>
      <w:r w:rsidRPr="00E947B7">
        <w:rPr>
          <w:rFonts w:ascii="Times New Roman" w:eastAsia="Times New Roman" w:hAnsi="Times New Roman" w:cs="Times New Roman"/>
          <w:lang w:eastAsia="en-AU"/>
        </w:rPr>
        <w:t xml:space="preserve"> of the proposals, however the majority of respondents from the complementary medicines industry only partially supported the proposals, with many suggesting rewording or clarification of the proposed warning statements and requirements. This feedback was considered</w:t>
      </w:r>
      <w:r w:rsidR="00E62F61">
        <w:rPr>
          <w:rFonts w:ascii="Times New Roman" w:eastAsia="Times New Roman" w:hAnsi="Times New Roman" w:cs="Times New Roman"/>
          <w:lang w:eastAsia="en-AU"/>
        </w:rPr>
        <w:t xml:space="preserve">, and some changes were made to the proposed decisions using a risk-based and evidence-based approach. In the </w:t>
      </w:r>
      <w:r w:rsidRPr="00E947B7">
        <w:rPr>
          <w:rFonts w:ascii="Times New Roman" w:eastAsia="Times New Roman" w:hAnsi="Times New Roman" w:cs="Times New Roman"/>
          <w:lang w:eastAsia="en-AU"/>
        </w:rPr>
        <w:t>notice outlining the final decisions for these ingredients, which was published to the TGA Consultation Hub on 2 December 2024</w:t>
      </w:r>
      <w:r w:rsidR="00E62F61">
        <w:rPr>
          <w:rFonts w:ascii="Times New Roman" w:eastAsia="Times New Roman" w:hAnsi="Times New Roman" w:cs="Times New Roman"/>
          <w:lang w:eastAsia="en-AU"/>
        </w:rPr>
        <w:t xml:space="preserve">, </w:t>
      </w:r>
      <w:r w:rsidRPr="00E947B7">
        <w:rPr>
          <w:rFonts w:ascii="Times New Roman" w:eastAsia="Times New Roman" w:hAnsi="Times New Roman" w:cs="Times New Roman"/>
          <w:lang w:eastAsia="en-AU"/>
        </w:rPr>
        <w:t>the TGA committed to implementing these changes on 1</w:t>
      </w:r>
      <w:r w:rsidR="001312D6">
        <w:rPr>
          <w:rFonts w:ascii="Times New Roman" w:eastAsia="Times New Roman" w:hAnsi="Times New Roman" w:cs="Times New Roman"/>
          <w:lang w:eastAsia="en-AU"/>
        </w:rPr>
        <w:t> </w:t>
      </w:r>
      <w:r w:rsidRPr="00E947B7">
        <w:rPr>
          <w:rFonts w:ascii="Times New Roman" w:eastAsia="Times New Roman" w:hAnsi="Times New Roman" w:cs="Times New Roman"/>
          <w:lang w:eastAsia="en-AU"/>
        </w:rPr>
        <w:t>March</w:t>
      </w:r>
      <w:r w:rsidR="001312D6">
        <w:rPr>
          <w:rFonts w:ascii="Times New Roman" w:eastAsia="Times New Roman" w:hAnsi="Times New Roman" w:cs="Times New Roman"/>
          <w:lang w:eastAsia="en-AU"/>
        </w:rPr>
        <w:t> </w:t>
      </w:r>
      <w:r w:rsidRPr="00E947B7">
        <w:rPr>
          <w:rFonts w:ascii="Times New Roman" w:eastAsia="Times New Roman" w:hAnsi="Times New Roman" w:cs="Times New Roman"/>
          <w:lang w:eastAsia="en-AU"/>
        </w:rPr>
        <w:t>2025.</w:t>
      </w:r>
      <w:bookmarkEnd w:id="3"/>
    </w:p>
    <w:p w14:paraId="7DD5077C" w14:textId="5F0B1DBA" w:rsidR="00D675CE" w:rsidRPr="00E947B7" w:rsidRDefault="001312D6" w:rsidP="00E947B7">
      <w:pPr>
        <w:spacing w:before="100" w:beforeAutospacing="1"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sidR="00EE3C91" w:rsidRPr="00E947B7">
        <w:rPr>
          <w:rFonts w:ascii="Times New Roman" w:eastAsia="Times New Roman" w:hAnsi="Times New Roman" w:cs="Times New Roman"/>
          <w:lang w:eastAsia="en-AU"/>
        </w:rPr>
        <w:t>TGA conducted targeted consultation on phasing out Australian Food Name (AFN) ingredient names as part of a ComTech meeting held on 19 October 2022</w:t>
      </w:r>
      <w:r w:rsidR="008B59B3">
        <w:rPr>
          <w:rFonts w:ascii="Times New Roman" w:eastAsia="Times New Roman" w:hAnsi="Times New Roman" w:cs="Times New Roman"/>
          <w:lang w:eastAsia="en-AU"/>
        </w:rPr>
        <w:t>,</w:t>
      </w:r>
      <w:r w:rsidR="00EE3C91" w:rsidRPr="00E947B7">
        <w:rPr>
          <w:rFonts w:ascii="Times New Roman" w:eastAsia="Times New Roman" w:hAnsi="Times New Roman" w:cs="Times New Roman"/>
          <w:lang w:eastAsia="en-AU"/>
        </w:rPr>
        <w:t xml:space="preserve"> with updates on 18 October 2023. </w:t>
      </w:r>
      <w:r>
        <w:rPr>
          <w:rFonts w:ascii="Times New Roman" w:eastAsia="Times New Roman" w:hAnsi="Times New Roman" w:cs="Times New Roman"/>
          <w:lang w:eastAsia="en-AU"/>
        </w:rPr>
        <w:t xml:space="preserve">The </w:t>
      </w:r>
      <w:r w:rsidR="00EE3C91" w:rsidRPr="00E947B7">
        <w:rPr>
          <w:rFonts w:ascii="Times New Roman" w:eastAsia="Times New Roman" w:hAnsi="Times New Roman" w:cs="Times New Roman"/>
          <w:lang w:eastAsia="en-AU"/>
        </w:rPr>
        <w:t>TGA committed to remov</w:t>
      </w:r>
      <w:r>
        <w:rPr>
          <w:rFonts w:ascii="Times New Roman" w:eastAsia="Times New Roman" w:hAnsi="Times New Roman" w:cs="Times New Roman"/>
          <w:lang w:eastAsia="en-AU"/>
        </w:rPr>
        <w:t>ing</w:t>
      </w:r>
      <w:r w:rsidR="00EE3C91" w:rsidRPr="00E947B7">
        <w:rPr>
          <w:rFonts w:ascii="Times New Roman" w:eastAsia="Times New Roman" w:hAnsi="Times New Roman" w:cs="Times New Roman"/>
          <w:lang w:eastAsia="en-AU"/>
        </w:rPr>
        <w:t xml:space="preserve"> ingredients that were not in use and had a suitable substitute ingredient. On 16 January 2025, </w:t>
      </w:r>
      <w:r>
        <w:rPr>
          <w:rFonts w:ascii="Times New Roman" w:eastAsia="Times New Roman" w:hAnsi="Times New Roman" w:cs="Times New Roman"/>
          <w:lang w:eastAsia="en-AU"/>
        </w:rPr>
        <w:t xml:space="preserve">the </w:t>
      </w:r>
      <w:r w:rsidR="00EE3C91" w:rsidRPr="00E947B7">
        <w:rPr>
          <w:rFonts w:ascii="Times New Roman" w:eastAsia="Times New Roman" w:hAnsi="Times New Roman" w:cs="Times New Roman"/>
          <w:lang w:eastAsia="en-AU"/>
        </w:rPr>
        <w:t xml:space="preserve">TGA advised ComTech that the availability of Australian Herbal Name (AHN) ingredients </w:t>
      </w:r>
      <w:r w:rsidR="00FA4402">
        <w:rPr>
          <w:rFonts w:ascii="Times New Roman" w:eastAsia="Times New Roman" w:hAnsi="Times New Roman" w:cs="Times New Roman"/>
          <w:lang w:eastAsia="en-AU"/>
        </w:rPr>
        <w:t>will</w:t>
      </w:r>
      <w:r w:rsidR="00EE3C91" w:rsidRPr="00E947B7">
        <w:rPr>
          <w:rFonts w:ascii="Times New Roman" w:eastAsia="Times New Roman" w:hAnsi="Times New Roman" w:cs="Times New Roman"/>
          <w:lang w:eastAsia="en-AU"/>
        </w:rPr>
        <w:t xml:space="preserve"> be expanded, such as </w:t>
      </w:r>
      <w:r w:rsidR="00EE3C91" w:rsidRPr="00E947B7">
        <w:rPr>
          <w:rFonts w:ascii="Times New Roman" w:eastAsia="Times New Roman" w:hAnsi="Times New Roman" w:cs="Times New Roman"/>
          <w:i/>
          <w:iCs/>
          <w:lang w:eastAsia="en-AU"/>
        </w:rPr>
        <w:t>Citrullus vulgaris</w:t>
      </w:r>
      <w:r w:rsidR="00EE3C91" w:rsidRPr="00E947B7">
        <w:rPr>
          <w:rFonts w:ascii="Times New Roman" w:eastAsia="Times New Roman" w:hAnsi="Times New Roman" w:cs="Times New Roman"/>
          <w:lang w:eastAsia="en-AU"/>
        </w:rPr>
        <w:t xml:space="preserve"> and </w:t>
      </w:r>
      <w:r w:rsidR="00EE3C91" w:rsidRPr="00E947B7">
        <w:rPr>
          <w:rFonts w:ascii="Times New Roman" w:eastAsia="Times New Roman" w:hAnsi="Times New Roman" w:cs="Times New Roman"/>
          <w:i/>
          <w:iCs/>
          <w:lang w:eastAsia="en-AU"/>
        </w:rPr>
        <w:t>Raphanus sativus</w:t>
      </w:r>
      <w:r w:rsidR="00EE3C91" w:rsidRPr="00E947B7">
        <w:rPr>
          <w:rFonts w:ascii="Times New Roman" w:eastAsia="Times New Roman" w:hAnsi="Times New Roman" w:cs="Times New Roman"/>
          <w:lang w:eastAsia="en-AU"/>
        </w:rPr>
        <w:t xml:space="preserve">, for excipient use </w:t>
      </w:r>
      <w:r w:rsidR="00FA4402">
        <w:rPr>
          <w:rFonts w:ascii="Times New Roman" w:eastAsia="Times New Roman" w:hAnsi="Times New Roman" w:cs="Times New Roman"/>
          <w:lang w:eastAsia="en-AU"/>
        </w:rPr>
        <w:t xml:space="preserve">and a </w:t>
      </w:r>
      <w:r w:rsidR="00EE3C91" w:rsidRPr="00E947B7">
        <w:rPr>
          <w:rFonts w:ascii="Times New Roman" w:eastAsia="Times New Roman" w:hAnsi="Times New Roman" w:cs="Times New Roman"/>
          <w:lang w:eastAsia="en-AU"/>
        </w:rPr>
        <w:t xml:space="preserve">suitable alternative ingredient </w:t>
      </w:r>
      <w:r w:rsidR="00FA4402">
        <w:rPr>
          <w:rFonts w:ascii="Times New Roman" w:eastAsia="Times New Roman" w:hAnsi="Times New Roman" w:cs="Times New Roman"/>
          <w:lang w:eastAsia="en-AU"/>
        </w:rPr>
        <w:t xml:space="preserve">will be made </w:t>
      </w:r>
      <w:r w:rsidR="00EE3C91" w:rsidRPr="00E947B7">
        <w:rPr>
          <w:rFonts w:ascii="Times New Roman" w:eastAsia="Times New Roman" w:hAnsi="Times New Roman" w:cs="Times New Roman"/>
          <w:lang w:eastAsia="en-AU"/>
        </w:rPr>
        <w:t>available for substitution.</w:t>
      </w:r>
    </w:p>
    <w:p w14:paraId="23A0BDFD" w14:textId="7F91BC98" w:rsidR="00203D4D" w:rsidRPr="00410B8A" w:rsidRDefault="00203D4D" w:rsidP="001714A1">
      <w:pPr>
        <w:spacing w:after="0" w:line="240" w:lineRule="auto"/>
        <w:rPr>
          <w:rFonts w:ascii="Times New Roman" w:hAnsi="Times New Roman" w:cs="Times New Roman"/>
        </w:rPr>
      </w:pPr>
    </w:p>
    <w:p w14:paraId="7A00BF75" w14:textId="02ADDD4F" w:rsidR="0050197A" w:rsidRPr="001714A1" w:rsidRDefault="0050197A" w:rsidP="000862C6">
      <w:pPr>
        <w:keepNext/>
        <w:autoSpaceDE w:val="0"/>
        <w:autoSpaceDN w:val="0"/>
        <w:adjustRightInd w:val="0"/>
        <w:spacing w:after="0" w:line="240" w:lineRule="auto"/>
        <w:rPr>
          <w:rFonts w:ascii="Times New Roman" w:hAnsi="Times New Roman" w:cs="Times New Roman"/>
          <w:b/>
          <w:lang w:eastAsia="en-AU"/>
        </w:rPr>
      </w:pPr>
      <w:r w:rsidRPr="001714A1">
        <w:rPr>
          <w:rFonts w:ascii="Times New Roman" w:hAnsi="Times New Roman" w:cs="Times New Roman"/>
          <w:b/>
          <w:lang w:eastAsia="en-AU"/>
        </w:rPr>
        <w:t>Incorporation by reference</w:t>
      </w:r>
    </w:p>
    <w:p w14:paraId="630FC084" w14:textId="06FBC14E" w:rsidR="005B70D2" w:rsidRPr="001714A1" w:rsidRDefault="005B70D2" w:rsidP="000862C6">
      <w:pPr>
        <w:keepNext/>
        <w:autoSpaceDE w:val="0"/>
        <w:autoSpaceDN w:val="0"/>
        <w:adjustRightInd w:val="0"/>
        <w:spacing w:after="0" w:line="240" w:lineRule="auto"/>
        <w:rPr>
          <w:rFonts w:ascii="Times New Roman" w:eastAsia="Times New Roman" w:hAnsi="Times New Roman" w:cs="Times New Roman"/>
          <w:lang w:eastAsia="en-AU"/>
        </w:rPr>
      </w:pPr>
    </w:p>
    <w:p w14:paraId="033387EF" w14:textId="41E9F962" w:rsidR="00696177" w:rsidRPr="001714A1" w:rsidRDefault="00696177" w:rsidP="000862C6">
      <w:pPr>
        <w:keepNext/>
        <w:autoSpaceDE w:val="0"/>
        <w:autoSpaceDN w:val="0"/>
        <w:adjustRightInd w:val="0"/>
        <w:spacing w:after="0" w:line="240" w:lineRule="auto"/>
        <w:rPr>
          <w:rFonts w:ascii="Times New Roman" w:eastAsia="Times New Roman" w:hAnsi="Times New Roman" w:cs="Times New Roman"/>
          <w:i/>
          <w:iCs/>
          <w:lang w:eastAsia="en-AU"/>
        </w:rPr>
      </w:pPr>
      <w:r w:rsidRPr="001714A1">
        <w:rPr>
          <w:rFonts w:ascii="Times New Roman" w:eastAsia="Times New Roman" w:hAnsi="Times New Roman" w:cs="Times New Roman"/>
          <w:i/>
          <w:iCs/>
          <w:lang w:eastAsia="en-AU"/>
        </w:rPr>
        <w:t>Pharmacopoeia and FCC</w:t>
      </w:r>
    </w:p>
    <w:p w14:paraId="48110017" w14:textId="77777777" w:rsidR="00696177" w:rsidRPr="001714A1" w:rsidRDefault="00696177" w:rsidP="000862C6">
      <w:pPr>
        <w:keepNext/>
        <w:autoSpaceDE w:val="0"/>
        <w:autoSpaceDN w:val="0"/>
        <w:adjustRightInd w:val="0"/>
        <w:spacing w:after="0" w:line="240" w:lineRule="auto"/>
        <w:rPr>
          <w:rFonts w:ascii="Times New Roman" w:eastAsia="Times New Roman" w:hAnsi="Times New Roman" w:cs="Times New Roman"/>
          <w:lang w:eastAsia="en-AU"/>
        </w:rPr>
      </w:pPr>
    </w:p>
    <w:p w14:paraId="09BDDD8C" w14:textId="7F997153" w:rsidR="0050197A" w:rsidRPr="001714A1"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 xml:space="preserve">The </w:t>
      </w:r>
      <w:r w:rsidRPr="001714A1">
        <w:rPr>
          <w:rFonts w:ascii="Times New Roman" w:eastAsia="Times New Roman" w:hAnsi="Times New Roman" w:cs="Times New Roman"/>
          <w:lang w:eastAsia="en-AU"/>
        </w:rPr>
        <w:t>Determination</w:t>
      </w:r>
      <w:r w:rsidRPr="001714A1">
        <w:rPr>
          <w:rFonts w:ascii="Times New Roman" w:hAnsi="Times New Roman" w:cs="Times New Roman"/>
        </w:rPr>
        <w:t xml:space="preserve"> references the British Pharmacopoeia, European Pharmacopoeia and United States Pharmacopeia-National Formulary, and the note in section 4 of the Determination makes it clear that each </w:t>
      </w:r>
      <w:r w:rsidR="00646D68" w:rsidRPr="001714A1">
        <w:rPr>
          <w:rFonts w:ascii="Times New Roman" w:hAnsi="Times New Roman" w:cs="Times New Roman"/>
        </w:rPr>
        <w:t>is</w:t>
      </w:r>
      <w:r w:rsidRPr="001714A1">
        <w:rPr>
          <w:rFonts w:ascii="Times New Roman" w:hAnsi="Times New Roman" w:cs="Times New Roman"/>
        </w:rPr>
        <w:t xml:space="preserve"> defined in subsection 3(1) of the Act.</w:t>
      </w:r>
    </w:p>
    <w:p w14:paraId="371A8AD8" w14:textId="77777777" w:rsidR="005B70D2" w:rsidRPr="001714A1" w:rsidRDefault="005B70D2" w:rsidP="00266E11">
      <w:pPr>
        <w:autoSpaceDE w:val="0"/>
        <w:autoSpaceDN w:val="0"/>
        <w:adjustRightInd w:val="0"/>
        <w:spacing w:after="0" w:line="240" w:lineRule="auto"/>
        <w:rPr>
          <w:rFonts w:ascii="Times New Roman" w:hAnsi="Times New Roman" w:cs="Times New Roman"/>
        </w:rPr>
      </w:pPr>
    </w:p>
    <w:p w14:paraId="53E90904" w14:textId="27BAF951" w:rsidR="0050197A" w:rsidRPr="001714A1"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 xml:space="preserve">The definitions of the pharmacopoeia in subsection 3(1) of the Act refer to the publications of each as </w:t>
      </w:r>
      <w:r w:rsidR="00B51CD1">
        <w:rPr>
          <w:rFonts w:ascii="Times New Roman" w:hAnsi="Times New Roman" w:cs="Times New Roman"/>
        </w:rPr>
        <w:t>in force from time to time</w:t>
      </w:r>
      <w:r w:rsidRPr="001714A1">
        <w:rPr>
          <w:rFonts w:ascii="Times New Roman" w:hAnsi="Times New Roman" w:cs="Times New Roman"/>
        </w:rPr>
        <w:t>.</w:t>
      </w:r>
      <w:r w:rsidR="00E60C26" w:rsidRPr="001714A1">
        <w:rPr>
          <w:rFonts w:ascii="Times New Roman" w:hAnsi="Times New Roman" w:cs="Times New Roman"/>
        </w:rPr>
        <w:t xml:space="preserve"> </w:t>
      </w:r>
      <w:r w:rsidRPr="001714A1">
        <w:rPr>
          <w:rFonts w:ascii="Times New Roman" w:hAnsi="Times New Roman" w:cs="Times New Roman"/>
        </w:rPr>
        <w:t xml:space="preserve">The intention in this Determination is therefore to adopt the defined meaning of the pharmacopoeia as set out in subsection 3(1) of the Act (an approach permitted by subsection </w:t>
      </w:r>
      <w:r w:rsidR="004E2CE6" w:rsidRPr="001714A1">
        <w:rPr>
          <w:rFonts w:ascii="Times New Roman" w:hAnsi="Times New Roman" w:cs="Times New Roman"/>
        </w:rPr>
        <w:t>26BB</w:t>
      </w:r>
      <w:r w:rsidRPr="001714A1">
        <w:rPr>
          <w:rFonts w:ascii="Times New Roman" w:hAnsi="Times New Roman" w:cs="Times New Roman"/>
        </w:rPr>
        <w:t>(</w:t>
      </w:r>
      <w:r w:rsidR="004E2CE6" w:rsidRPr="001714A1">
        <w:rPr>
          <w:rFonts w:ascii="Times New Roman" w:hAnsi="Times New Roman" w:cs="Times New Roman"/>
        </w:rPr>
        <w:t>8</w:t>
      </w:r>
      <w:r w:rsidRPr="001714A1">
        <w:rPr>
          <w:rFonts w:ascii="Times New Roman" w:hAnsi="Times New Roman" w:cs="Times New Roman"/>
        </w:rPr>
        <w:t>) of the Act). Th</w:t>
      </w:r>
      <w:r w:rsidR="00B51CD1">
        <w:rPr>
          <w:rFonts w:ascii="Times New Roman" w:hAnsi="Times New Roman" w:cs="Times New Roman"/>
        </w:rPr>
        <w:t>e</w:t>
      </w:r>
      <w:r w:rsidR="008C2503" w:rsidRPr="001714A1">
        <w:rPr>
          <w:rFonts w:ascii="Times New Roman" w:hAnsi="Times New Roman" w:cs="Times New Roman"/>
        </w:rPr>
        <w:t>se</w:t>
      </w:r>
      <w:r w:rsidRPr="001714A1">
        <w:rPr>
          <w:rFonts w:ascii="Times New Roman" w:hAnsi="Times New Roman" w:cs="Times New Roman"/>
        </w:rPr>
        <w:t xml:space="preserve"> pharmacopoeia </w:t>
      </w:r>
      <w:r w:rsidR="00B51CD1">
        <w:rPr>
          <w:rFonts w:ascii="Times New Roman" w:hAnsi="Times New Roman" w:cs="Times New Roman"/>
        </w:rPr>
        <w:t xml:space="preserve">are incorporated in the Determination as in force or existing from time to time, in accordance with these provisions, and </w:t>
      </w:r>
      <w:r w:rsidRPr="001714A1">
        <w:rPr>
          <w:rFonts w:ascii="Times New Roman" w:hAnsi="Times New Roman" w:cs="Times New Roman"/>
        </w:rPr>
        <w:t xml:space="preserve">may be accessed from </w:t>
      </w:r>
      <w:r w:rsidR="003C1CDB" w:rsidRPr="001714A1">
        <w:rPr>
          <w:rFonts w:ascii="Times New Roman" w:hAnsi="Times New Roman" w:cs="Times New Roman"/>
        </w:rPr>
        <w:t>www.pharmacopoeia.com/</w:t>
      </w:r>
      <w:r w:rsidRPr="001714A1">
        <w:rPr>
          <w:rFonts w:ascii="Times New Roman" w:hAnsi="Times New Roman" w:cs="Times New Roman"/>
        </w:rPr>
        <w:t xml:space="preserve">, </w:t>
      </w:r>
      <w:r w:rsidR="003C1CDB" w:rsidRPr="001714A1">
        <w:rPr>
          <w:rFonts w:ascii="Times New Roman" w:hAnsi="Times New Roman" w:cs="Times New Roman"/>
        </w:rPr>
        <w:t>https://pheur.edqm.eu/home</w:t>
      </w:r>
      <w:r w:rsidRPr="001714A1">
        <w:rPr>
          <w:rFonts w:ascii="Times New Roman" w:hAnsi="Times New Roman" w:cs="Times New Roman"/>
        </w:rPr>
        <w:t xml:space="preserve"> and </w:t>
      </w:r>
      <w:r w:rsidR="003C1CDB" w:rsidRPr="001714A1">
        <w:rPr>
          <w:rFonts w:ascii="Times New Roman" w:hAnsi="Times New Roman" w:cs="Times New Roman"/>
        </w:rPr>
        <w:t>www.uspnf.com/</w:t>
      </w:r>
      <w:r w:rsidRPr="001714A1">
        <w:rPr>
          <w:rFonts w:ascii="Times New Roman" w:hAnsi="Times New Roman" w:cs="Times New Roman"/>
        </w:rPr>
        <w:t>.</w:t>
      </w:r>
    </w:p>
    <w:p w14:paraId="3229837D" w14:textId="77777777" w:rsidR="005B70D2" w:rsidRPr="001714A1" w:rsidRDefault="005B70D2" w:rsidP="00266E11">
      <w:pPr>
        <w:autoSpaceDE w:val="0"/>
        <w:autoSpaceDN w:val="0"/>
        <w:adjustRightInd w:val="0"/>
        <w:spacing w:after="0" w:line="240" w:lineRule="auto"/>
        <w:rPr>
          <w:rFonts w:ascii="Times New Roman" w:hAnsi="Times New Roman" w:cs="Times New Roman"/>
        </w:rPr>
      </w:pPr>
    </w:p>
    <w:p w14:paraId="33692DF4" w14:textId="02F3B945" w:rsidR="004C1D7B" w:rsidRPr="001714A1"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The Determination also adopts</w:t>
      </w:r>
      <w:r w:rsidR="00B377CD" w:rsidRPr="001714A1">
        <w:rPr>
          <w:rFonts w:ascii="Times New Roman" w:hAnsi="Times New Roman" w:cs="Times New Roman"/>
        </w:rPr>
        <w:t xml:space="preserve"> specified</w:t>
      </w:r>
      <w:r w:rsidR="00361819" w:rsidRPr="001714A1">
        <w:rPr>
          <w:rFonts w:ascii="Times New Roman" w:hAnsi="Times New Roman" w:cs="Times New Roman"/>
        </w:rPr>
        <w:t xml:space="preserve"> applicable monographs in</w:t>
      </w:r>
      <w:r w:rsidRPr="001714A1">
        <w:rPr>
          <w:rFonts w:ascii="Times New Roman" w:hAnsi="Times New Roman" w:cs="Times New Roman"/>
        </w:rPr>
        <w:t xml:space="preserve"> the Food Chemicals Codex (the FCC) published by the United States Pharmacopeial Convention (available at </w:t>
      </w:r>
      <w:r w:rsidR="003C1CDB" w:rsidRPr="001714A1">
        <w:rPr>
          <w:rFonts w:ascii="Times New Roman" w:hAnsi="Times New Roman" w:cs="Times New Roman"/>
        </w:rPr>
        <w:t>www.foodchemicalscodex.org/</w:t>
      </w:r>
      <w:r w:rsidRPr="001714A1">
        <w:rPr>
          <w:rFonts w:ascii="Times New Roman" w:hAnsi="Times New Roman" w:cs="Times New Roman"/>
        </w:rPr>
        <w:t>)</w:t>
      </w:r>
      <w:r w:rsidR="004C1D7B" w:rsidRPr="001714A1">
        <w:rPr>
          <w:rFonts w:ascii="Times New Roman" w:hAnsi="Times New Roman" w:cs="Times New Roman"/>
        </w:rPr>
        <w:t xml:space="preserve"> in relation to the following ingredients:</w:t>
      </w:r>
    </w:p>
    <w:p w14:paraId="3473D7B4" w14:textId="64B58D8E" w:rsidR="004C1D7B" w:rsidRPr="001714A1" w:rsidRDefault="004C1D7B" w:rsidP="001714A1">
      <w:pPr>
        <w:pStyle w:val="ListParagraph"/>
        <w:numPr>
          <w:ilvl w:val="0"/>
          <w:numId w:val="11"/>
        </w:numPr>
        <w:spacing w:before="0" w:beforeAutospacing="0" w:after="0" w:afterAutospacing="0"/>
        <w:ind w:left="714" w:hanging="357"/>
        <w:rPr>
          <w:sz w:val="22"/>
          <w:szCs w:val="22"/>
        </w:rPr>
      </w:pPr>
      <w:r w:rsidRPr="001714A1">
        <w:rPr>
          <w:sz w:val="22"/>
          <w:szCs w:val="22"/>
        </w:rPr>
        <w:t>Glycerol Ester of Partially Hydrogenated Gum Rosin;</w:t>
      </w:r>
    </w:p>
    <w:p w14:paraId="5B26F0B4" w14:textId="09D54B46" w:rsidR="004C1D7B" w:rsidRPr="001714A1" w:rsidRDefault="004C1D7B" w:rsidP="001714A1">
      <w:pPr>
        <w:pStyle w:val="ListParagraph"/>
        <w:numPr>
          <w:ilvl w:val="0"/>
          <w:numId w:val="11"/>
        </w:numPr>
        <w:spacing w:before="0" w:beforeAutospacing="0" w:after="0" w:afterAutospacing="0"/>
        <w:ind w:left="714" w:hanging="357"/>
        <w:rPr>
          <w:sz w:val="22"/>
          <w:szCs w:val="22"/>
        </w:rPr>
      </w:pPr>
      <w:r w:rsidRPr="001714A1">
        <w:rPr>
          <w:sz w:val="22"/>
          <w:szCs w:val="22"/>
        </w:rPr>
        <w:t>Glyceryl Rosinate;</w:t>
      </w:r>
      <w:r w:rsidR="0070233A" w:rsidRPr="001714A1">
        <w:rPr>
          <w:sz w:val="22"/>
          <w:szCs w:val="22"/>
        </w:rPr>
        <w:t xml:space="preserve"> and</w:t>
      </w:r>
    </w:p>
    <w:p w14:paraId="4854BC9A" w14:textId="08F4D012" w:rsidR="004C1D7B" w:rsidRPr="001714A1" w:rsidRDefault="004C1D7B" w:rsidP="00266E11">
      <w:pPr>
        <w:pStyle w:val="ListParagraph"/>
        <w:numPr>
          <w:ilvl w:val="0"/>
          <w:numId w:val="41"/>
        </w:numPr>
        <w:spacing w:before="0" w:beforeAutospacing="0" w:after="0" w:afterAutospacing="0"/>
        <w:ind w:left="714" w:hanging="357"/>
        <w:contextualSpacing/>
        <w:rPr>
          <w:sz w:val="22"/>
          <w:szCs w:val="22"/>
        </w:rPr>
      </w:pPr>
      <w:r w:rsidRPr="001714A1">
        <w:rPr>
          <w:sz w:val="22"/>
          <w:szCs w:val="22"/>
        </w:rPr>
        <w:t>Polyisobutylene.</w:t>
      </w:r>
    </w:p>
    <w:p w14:paraId="0B7816B9" w14:textId="77777777" w:rsidR="004C1D7B" w:rsidRPr="001714A1" w:rsidRDefault="004C1D7B" w:rsidP="00266E11">
      <w:pPr>
        <w:autoSpaceDE w:val="0"/>
        <w:autoSpaceDN w:val="0"/>
        <w:adjustRightInd w:val="0"/>
        <w:spacing w:after="0" w:line="240" w:lineRule="auto"/>
        <w:rPr>
          <w:rFonts w:ascii="Times New Roman" w:hAnsi="Times New Roman" w:cs="Times New Roman"/>
        </w:rPr>
      </w:pPr>
    </w:p>
    <w:p w14:paraId="2B6FE1B6" w14:textId="53C27F78" w:rsidR="00B377CD" w:rsidRPr="001714A1"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The intended manner of adoption of the FCC is also as it is in force or existing from time to time</w:t>
      </w:r>
      <w:r w:rsidR="004E2CE6" w:rsidRPr="001714A1">
        <w:rPr>
          <w:rFonts w:ascii="Times New Roman" w:hAnsi="Times New Roman" w:cs="Times New Roman"/>
        </w:rPr>
        <w:t>, as permitted by subsection 26BB(8) of the Act</w:t>
      </w:r>
      <w:r w:rsidRPr="001714A1">
        <w:rPr>
          <w:rFonts w:ascii="Times New Roman" w:hAnsi="Times New Roman" w:cs="Times New Roman"/>
        </w:rPr>
        <w:t>.</w:t>
      </w:r>
    </w:p>
    <w:p w14:paraId="67A0FD73" w14:textId="43260DF5" w:rsidR="00696177" w:rsidRPr="001714A1" w:rsidRDefault="00696177" w:rsidP="00266E11">
      <w:pPr>
        <w:autoSpaceDE w:val="0"/>
        <w:autoSpaceDN w:val="0"/>
        <w:adjustRightInd w:val="0"/>
        <w:spacing w:after="0" w:line="240" w:lineRule="auto"/>
        <w:rPr>
          <w:rFonts w:ascii="Times New Roman" w:hAnsi="Times New Roman" w:cs="Times New Roman"/>
        </w:rPr>
      </w:pPr>
    </w:p>
    <w:p w14:paraId="766CFADE" w14:textId="35B2E27D" w:rsidR="00696177" w:rsidRPr="001714A1" w:rsidRDefault="00420231" w:rsidP="0042023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However, these documents are not publicly available for free. Rather, where possible, by prior written agreement and without charge, the pharmacopoeia and the FCC may be viewed by members of the public at the TGA office in Fairbairn, ACT. While these documents are not available for free, it is anticipated that the persons most affected by their adoption in the current Poisons Standard would likely be in possession of these documents. As important benchmarks for the safety of therapeutic </w:t>
      </w:r>
      <w:r>
        <w:rPr>
          <w:rFonts w:ascii="Times New Roman" w:hAnsi="Times New Roman" w:cs="Times New Roman"/>
        </w:rPr>
        <w:lastRenderedPageBreak/>
        <w:t>goods and other consumer goods, it would be infeasible from a regulatory perspective to not adopt such benchmarks on the basis that the publications are not available for free.</w:t>
      </w:r>
    </w:p>
    <w:p w14:paraId="4DE10FCF" w14:textId="77777777" w:rsidR="00696177" w:rsidRPr="001714A1" w:rsidRDefault="00696177" w:rsidP="00266E11">
      <w:pPr>
        <w:autoSpaceDE w:val="0"/>
        <w:autoSpaceDN w:val="0"/>
        <w:adjustRightInd w:val="0"/>
        <w:spacing w:after="0" w:line="240" w:lineRule="auto"/>
        <w:rPr>
          <w:rFonts w:ascii="Times New Roman" w:hAnsi="Times New Roman" w:cs="Times New Roman"/>
        </w:rPr>
      </w:pPr>
    </w:p>
    <w:p w14:paraId="3E3DFE8B" w14:textId="77777777" w:rsidR="005D1B1C" w:rsidRPr="001714A1" w:rsidRDefault="00696177"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It should also be noted, in relation to the pharmacopoeia, that the National Library’s Trove online system (www.trove.nla.gov.au/) allows users to identify libraries in Australia that are open to the public where editions (in most cases, earlier editions) of the pharmacopoeia may be viewed (for example, the University of Tasmania or the University of Western Australia in relation to the British Pharmacopoeia).</w:t>
      </w:r>
    </w:p>
    <w:p w14:paraId="34204CFD" w14:textId="77777777" w:rsidR="005D1B1C" w:rsidRPr="001714A1" w:rsidRDefault="005D1B1C" w:rsidP="00266E11">
      <w:pPr>
        <w:autoSpaceDE w:val="0"/>
        <w:autoSpaceDN w:val="0"/>
        <w:adjustRightInd w:val="0"/>
        <w:spacing w:after="0" w:line="240" w:lineRule="auto"/>
        <w:rPr>
          <w:rFonts w:ascii="Times New Roman" w:hAnsi="Times New Roman" w:cs="Times New Roman"/>
        </w:rPr>
      </w:pPr>
    </w:p>
    <w:p w14:paraId="4E284719" w14:textId="734ED9AF" w:rsidR="00696177" w:rsidRPr="001714A1" w:rsidRDefault="00696177"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Members of the public may also approach any library that participates in inter-library loans with those university libraries to request an inter-library loan, or to obtain a photocopy of a particular part or monograph for personal study or research (but not for commercial purposes). Fees apply in relation to the making of such a request. Enquiries should be made with local libraries, State libraries and the National Library.</w:t>
      </w:r>
    </w:p>
    <w:p w14:paraId="25F25562" w14:textId="016758D7" w:rsidR="00696177" w:rsidRPr="001714A1" w:rsidRDefault="00696177" w:rsidP="00266E11">
      <w:pPr>
        <w:autoSpaceDE w:val="0"/>
        <w:autoSpaceDN w:val="0"/>
        <w:adjustRightInd w:val="0"/>
        <w:spacing w:after="0" w:line="240" w:lineRule="auto"/>
        <w:rPr>
          <w:rFonts w:ascii="Times New Roman" w:hAnsi="Times New Roman" w:cs="Times New Roman"/>
        </w:rPr>
      </w:pPr>
    </w:p>
    <w:p w14:paraId="74C7F410" w14:textId="25C27792" w:rsidR="00696177" w:rsidRPr="001714A1" w:rsidRDefault="00696177" w:rsidP="00266E11">
      <w:pPr>
        <w:autoSpaceDE w:val="0"/>
        <w:autoSpaceDN w:val="0"/>
        <w:adjustRightInd w:val="0"/>
        <w:spacing w:after="0" w:line="240" w:lineRule="auto"/>
        <w:rPr>
          <w:rFonts w:ascii="Times New Roman" w:hAnsi="Times New Roman" w:cs="Times New Roman"/>
          <w:i/>
          <w:iCs/>
        </w:rPr>
      </w:pPr>
      <w:r w:rsidRPr="001714A1">
        <w:rPr>
          <w:rFonts w:ascii="Times New Roman" w:hAnsi="Times New Roman" w:cs="Times New Roman"/>
          <w:i/>
          <w:iCs/>
        </w:rPr>
        <w:t>Other documents incorporated by reference</w:t>
      </w:r>
    </w:p>
    <w:p w14:paraId="314BEE1E" w14:textId="77777777" w:rsidR="00B377CD" w:rsidRPr="001714A1" w:rsidRDefault="00B377CD" w:rsidP="00266E11">
      <w:pPr>
        <w:autoSpaceDE w:val="0"/>
        <w:autoSpaceDN w:val="0"/>
        <w:adjustRightInd w:val="0"/>
        <w:spacing w:after="0" w:line="240" w:lineRule="auto"/>
        <w:rPr>
          <w:rFonts w:ascii="Times New Roman" w:hAnsi="Times New Roman" w:cs="Times New Roman"/>
        </w:rPr>
      </w:pPr>
    </w:p>
    <w:p w14:paraId="16E33428" w14:textId="2EEFDE94" w:rsidR="00696177" w:rsidRPr="001714A1" w:rsidRDefault="0050197A" w:rsidP="00266E11">
      <w:pPr>
        <w:autoSpaceDE w:val="0"/>
        <w:autoSpaceDN w:val="0"/>
        <w:adjustRightInd w:val="0"/>
        <w:spacing w:after="0" w:line="240" w:lineRule="auto"/>
        <w:rPr>
          <w:rFonts w:ascii="Times New Roman" w:hAnsi="Times New Roman" w:cs="Times New Roman"/>
          <w:lang w:eastAsia="en-AU"/>
        </w:rPr>
      </w:pPr>
      <w:r w:rsidRPr="001714A1">
        <w:rPr>
          <w:rFonts w:ascii="Times New Roman" w:hAnsi="Times New Roman" w:cs="Times New Roman"/>
          <w:lang w:eastAsia="en-AU"/>
        </w:rPr>
        <w:t xml:space="preserve">The Determination </w:t>
      </w:r>
      <w:r w:rsidR="007046BC" w:rsidRPr="001714A1">
        <w:rPr>
          <w:rFonts w:ascii="Times New Roman" w:hAnsi="Times New Roman" w:cs="Times New Roman"/>
          <w:lang w:eastAsia="en-AU"/>
        </w:rPr>
        <w:t xml:space="preserve">also </w:t>
      </w:r>
      <w:r w:rsidR="00696177" w:rsidRPr="001714A1">
        <w:rPr>
          <w:rFonts w:ascii="Times New Roman" w:hAnsi="Times New Roman" w:cs="Times New Roman"/>
          <w:lang w:eastAsia="en-AU"/>
        </w:rPr>
        <w:t>incorporates the following documents:</w:t>
      </w:r>
    </w:p>
    <w:p w14:paraId="7D08AC7D" w14:textId="633861CF" w:rsidR="005B70D2" w:rsidRPr="001714A1" w:rsidRDefault="0050197A" w:rsidP="001714A1">
      <w:pPr>
        <w:pStyle w:val="ListParagraph"/>
        <w:numPr>
          <w:ilvl w:val="0"/>
          <w:numId w:val="41"/>
        </w:numPr>
        <w:autoSpaceDE w:val="0"/>
        <w:autoSpaceDN w:val="0"/>
        <w:adjustRightInd w:val="0"/>
        <w:spacing w:before="0" w:beforeAutospacing="0" w:after="0" w:afterAutospacing="0"/>
        <w:ind w:left="714" w:hanging="357"/>
        <w:rPr>
          <w:sz w:val="22"/>
          <w:szCs w:val="22"/>
        </w:rPr>
      </w:pPr>
      <w:r w:rsidRPr="001714A1">
        <w:rPr>
          <w:sz w:val="22"/>
          <w:szCs w:val="22"/>
        </w:rPr>
        <w:t xml:space="preserve">the </w:t>
      </w:r>
      <w:r w:rsidRPr="001714A1">
        <w:rPr>
          <w:rStyle w:val="Hyperlink"/>
          <w:i/>
          <w:color w:val="auto"/>
          <w:sz w:val="22"/>
          <w:szCs w:val="22"/>
          <w:u w:val="none"/>
        </w:rPr>
        <w:t>Animal Products Act 1999</w:t>
      </w:r>
      <w:r w:rsidRPr="001714A1">
        <w:rPr>
          <w:rStyle w:val="Hyperlink"/>
          <w:color w:val="auto"/>
          <w:sz w:val="22"/>
          <w:szCs w:val="22"/>
          <w:u w:val="none"/>
        </w:rPr>
        <w:t xml:space="preserve"> and the </w:t>
      </w:r>
      <w:r w:rsidRPr="001714A1">
        <w:rPr>
          <w:rStyle w:val="Hyperlink"/>
          <w:i/>
          <w:color w:val="auto"/>
          <w:sz w:val="22"/>
          <w:szCs w:val="22"/>
          <w:u w:val="none"/>
        </w:rPr>
        <w:t>Animal Welfare Act 1999</w:t>
      </w:r>
      <w:r w:rsidRPr="001714A1">
        <w:rPr>
          <w:rStyle w:val="Hyperlink"/>
          <w:color w:val="auto"/>
          <w:sz w:val="22"/>
          <w:szCs w:val="22"/>
          <w:u w:val="none"/>
        </w:rPr>
        <w:t xml:space="preserve"> </w:t>
      </w:r>
      <w:r w:rsidRPr="001714A1">
        <w:rPr>
          <w:sz w:val="22"/>
          <w:szCs w:val="22"/>
        </w:rPr>
        <w:t>of New Zealand</w:t>
      </w:r>
      <w:r w:rsidR="00A64D74" w:rsidRPr="001714A1">
        <w:rPr>
          <w:sz w:val="22"/>
          <w:szCs w:val="22"/>
        </w:rPr>
        <w:t>, and regulations made under these Acts,</w:t>
      </w:r>
      <w:r w:rsidRPr="001714A1">
        <w:rPr>
          <w:sz w:val="22"/>
          <w:szCs w:val="22"/>
        </w:rPr>
        <w:t xml:space="preserve"> </w:t>
      </w:r>
      <w:r w:rsidR="00A64D74" w:rsidRPr="001714A1">
        <w:rPr>
          <w:sz w:val="22"/>
          <w:szCs w:val="22"/>
        </w:rPr>
        <w:t>in relation to two ingredients (Deer Velvet Antler Powder and Deer Velvet Antler Slice)</w:t>
      </w:r>
      <w:r w:rsidR="00696177" w:rsidRPr="001714A1">
        <w:rPr>
          <w:sz w:val="22"/>
          <w:szCs w:val="22"/>
        </w:rPr>
        <w:t>, which</w:t>
      </w:r>
      <w:r w:rsidRPr="001714A1">
        <w:rPr>
          <w:sz w:val="22"/>
          <w:szCs w:val="22"/>
        </w:rPr>
        <w:t xml:space="preserve"> </w:t>
      </w:r>
      <w:r w:rsidR="007046BC" w:rsidRPr="001714A1">
        <w:rPr>
          <w:sz w:val="22"/>
          <w:szCs w:val="22"/>
        </w:rPr>
        <w:t xml:space="preserve">are incorporated as in force or existing from time to time (as permitted by subsection 26BB(8) of the Act) and </w:t>
      </w:r>
      <w:r w:rsidRPr="001714A1">
        <w:rPr>
          <w:sz w:val="22"/>
          <w:szCs w:val="22"/>
        </w:rPr>
        <w:t xml:space="preserve">are available for free from </w:t>
      </w:r>
      <w:r w:rsidR="003C1CDB" w:rsidRPr="001714A1">
        <w:rPr>
          <w:sz w:val="22"/>
          <w:szCs w:val="22"/>
        </w:rPr>
        <w:t>www.legislation.govt.nz/</w:t>
      </w:r>
      <w:r w:rsidR="005D1B1C" w:rsidRPr="001714A1">
        <w:rPr>
          <w:rStyle w:val="Hyperlink"/>
          <w:color w:val="auto"/>
          <w:sz w:val="22"/>
          <w:szCs w:val="22"/>
          <w:u w:val="none"/>
        </w:rPr>
        <w:t>;</w:t>
      </w:r>
    </w:p>
    <w:p w14:paraId="166CDB99" w14:textId="0ADDE953" w:rsidR="0050197A" w:rsidRPr="001714A1" w:rsidRDefault="00696177" w:rsidP="001714A1">
      <w:pPr>
        <w:pStyle w:val="ListParagraph"/>
        <w:numPr>
          <w:ilvl w:val="0"/>
          <w:numId w:val="41"/>
        </w:numPr>
        <w:autoSpaceDE w:val="0"/>
        <w:autoSpaceDN w:val="0"/>
        <w:adjustRightInd w:val="0"/>
        <w:spacing w:before="0" w:beforeAutospacing="0" w:after="0" w:afterAutospacing="0"/>
        <w:ind w:left="714" w:hanging="357"/>
        <w:rPr>
          <w:sz w:val="22"/>
          <w:szCs w:val="22"/>
        </w:rPr>
      </w:pPr>
      <w:r w:rsidRPr="001714A1">
        <w:rPr>
          <w:sz w:val="22"/>
          <w:szCs w:val="22"/>
        </w:rPr>
        <w:t xml:space="preserve">the </w:t>
      </w:r>
      <w:r w:rsidR="0050197A" w:rsidRPr="001714A1">
        <w:rPr>
          <w:sz w:val="22"/>
          <w:szCs w:val="22"/>
        </w:rPr>
        <w:t>World Health Organization publication ‘</w:t>
      </w:r>
      <w:r w:rsidR="0050197A" w:rsidRPr="001714A1">
        <w:rPr>
          <w:i/>
          <w:sz w:val="22"/>
          <w:szCs w:val="22"/>
        </w:rPr>
        <w:t>Expert consultation on oral rehydration salts formulation</w:t>
      </w:r>
      <w:r w:rsidR="0050197A" w:rsidRPr="001714A1">
        <w:rPr>
          <w:sz w:val="22"/>
          <w:szCs w:val="22"/>
        </w:rPr>
        <w:t xml:space="preserve">’, </w:t>
      </w:r>
      <w:r w:rsidR="007046BC" w:rsidRPr="001714A1">
        <w:rPr>
          <w:sz w:val="22"/>
          <w:szCs w:val="22"/>
        </w:rPr>
        <w:t>which is incorporated as at</w:t>
      </w:r>
      <w:r w:rsidR="0050197A" w:rsidRPr="001714A1">
        <w:rPr>
          <w:sz w:val="22"/>
          <w:szCs w:val="22"/>
        </w:rPr>
        <w:t xml:space="preserve"> 18 July 2001</w:t>
      </w:r>
      <w:r w:rsidR="007046BC" w:rsidRPr="001714A1">
        <w:rPr>
          <w:sz w:val="22"/>
          <w:szCs w:val="22"/>
        </w:rPr>
        <w:t xml:space="preserve"> </w:t>
      </w:r>
      <w:r w:rsidR="00F86CAF" w:rsidRPr="001714A1">
        <w:rPr>
          <w:sz w:val="22"/>
          <w:szCs w:val="22"/>
        </w:rPr>
        <w:t>and which</w:t>
      </w:r>
      <w:r w:rsidR="0050197A" w:rsidRPr="001714A1">
        <w:rPr>
          <w:sz w:val="22"/>
          <w:szCs w:val="22"/>
        </w:rPr>
        <w:t xml:space="preserve"> is available for free from </w:t>
      </w:r>
      <w:r w:rsidR="00AA36EC" w:rsidRPr="001714A1">
        <w:rPr>
          <w:sz w:val="22"/>
          <w:szCs w:val="22"/>
        </w:rPr>
        <w:t>www.rehydrate.org/ors/expert-consultation.html</w:t>
      </w:r>
      <w:r w:rsidR="005D1B1C" w:rsidRPr="001714A1">
        <w:rPr>
          <w:sz w:val="22"/>
          <w:szCs w:val="22"/>
        </w:rPr>
        <w:t>;</w:t>
      </w:r>
    </w:p>
    <w:p w14:paraId="4BAEFBF6" w14:textId="454695E3" w:rsidR="003034B3" w:rsidRPr="001714A1" w:rsidRDefault="00526197" w:rsidP="001714A1">
      <w:pPr>
        <w:pStyle w:val="ListParagraph"/>
        <w:numPr>
          <w:ilvl w:val="0"/>
          <w:numId w:val="41"/>
        </w:numPr>
        <w:autoSpaceDE w:val="0"/>
        <w:autoSpaceDN w:val="0"/>
        <w:adjustRightInd w:val="0"/>
        <w:spacing w:before="0" w:beforeAutospacing="0" w:after="0" w:afterAutospacing="0"/>
        <w:ind w:left="714" w:hanging="357"/>
        <w:rPr>
          <w:sz w:val="22"/>
          <w:szCs w:val="22"/>
        </w:rPr>
      </w:pPr>
      <w:r w:rsidRPr="001714A1">
        <w:rPr>
          <w:sz w:val="22"/>
          <w:szCs w:val="22"/>
        </w:rPr>
        <w:t>the</w:t>
      </w:r>
      <w:r w:rsidR="003034B3" w:rsidRPr="001714A1">
        <w:rPr>
          <w:sz w:val="22"/>
          <w:szCs w:val="22"/>
        </w:rPr>
        <w:t xml:space="preserve"> ‘code tables’ </w:t>
      </w:r>
      <w:r w:rsidR="00696177" w:rsidRPr="001714A1">
        <w:rPr>
          <w:sz w:val="22"/>
          <w:szCs w:val="22"/>
        </w:rPr>
        <w:t>in</w:t>
      </w:r>
      <w:r w:rsidR="002C0561" w:rsidRPr="001714A1">
        <w:rPr>
          <w:sz w:val="22"/>
          <w:szCs w:val="22"/>
        </w:rPr>
        <w:t xml:space="preserve"> ‘TGA eBusiness Services’</w:t>
      </w:r>
      <w:r w:rsidR="00696177" w:rsidRPr="001714A1">
        <w:rPr>
          <w:sz w:val="22"/>
          <w:szCs w:val="22"/>
        </w:rPr>
        <w:t xml:space="preserve">, </w:t>
      </w:r>
      <w:r w:rsidR="003034B3" w:rsidRPr="001714A1">
        <w:rPr>
          <w:sz w:val="22"/>
          <w:szCs w:val="22"/>
        </w:rPr>
        <w:t xml:space="preserve">which </w:t>
      </w:r>
      <w:r w:rsidR="007046BC" w:rsidRPr="001714A1">
        <w:rPr>
          <w:sz w:val="22"/>
          <w:szCs w:val="22"/>
        </w:rPr>
        <w:t xml:space="preserve">are incorporated by reference as in force or existing from time to time (as permitted by subsection 26BB(8) of the Act) and </w:t>
      </w:r>
      <w:r w:rsidR="003034B3" w:rsidRPr="001714A1">
        <w:rPr>
          <w:sz w:val="22"/>
          <w:szCs w:val="22"/>
        </w:rPr>
        <w:t xml:space="preserve">may be accessed </w:t>
      </w:r>
      <w:r w:rsidR="00696177" w:rsidRPr="001714A1">
        <w:rPr>
          <w:sz w:val="22"/>
          <w:szCs w:val="22"/>
        </w:rPr>
        <w:t xml:space="preserve">for free </w:t>
      </w:r>
      <w:r w:rsidR="003034B3" w:rsidRPr="001714A1">
        <w:rPr>
          <w:sz w:val="22"/>
          <w:szCs w:val="22"/>
        </w:rPr>
        <w:t xml:space="preserve">at </w:t>
      </w:r>
      <w:r w:rsidR="00AA36EC" w:rsidRPr="001714A1">
        <w:rPr>
          <w:sz w:val="22"/>
          <w:szCs w:val="22"/>
        </w:rPr>
        <w:t>www.ebs.tga.gov.au</w:t>
      </w:r>
      <w:r w:rsidR="003034B3" w:rsidRPr="001714A1">
        <w:rPr>
          <w:sz w:val="22"/>
          <w:szCs w:val="22"/>
        </w:rPr>
        <w:t>.</w:t>
      </w:r>
    </w:p>
    <w:p w14:paraId="328A3BE2" w14:textId="77777777" w:rsidR="00266E11" w:rsidRPr="001714A1" w:rsidRDefault="00266E11" w:rsidP="00266E11">
      <w:pPr>
        <w:autoSpaceDE w:val="0"/>
        <w:autoSpaceDN w:val="0"/>
        <w:adjustRightInd w:val="0"/>
        <w:spacing w:after="0" w:line="240" w:lineRule="auto"/>
        <w:rPr>
          <w:rFonts w:ascii="Times New Roman" w:hAnsi="Times New Roman" w:cs="Times New Roman"/>
        </w:rPr>
      </w:pPr>
    </w:p>
    <w:p w14:paraId="7C177C36" w14:textId="4F560853" w:rsidR="005B70D2" w:rsidRDefault="00266E11" w:rsidP="00266E11">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Other details</w:t>
      </w:r>
    </w:p>
    <w:p w14:paraId="3F6279CA" w14:textId="77777777" w:rsidR="00266E11" w:rsidRPr="001714A1" w:rsidRDefault="00266E11" w:rsidP="00266E11">
      <w:pPr>
        <w:autoSpaceDE w:val="0"/>
        <w:autoSpaceDN w:val="0"/>
        <w:adjustRightInd w:val="0"/>
        <w:spacing w:after="0" w:line="240" w:lineRule="auto"/>
        <w:rPr>
          <w:rFonts w:ascii="Times New Roman" w:hAnsi="Times New Roman" w:cs="Times New Roman"/>
        </w:rPr>
      </w:pPr>
    </w:p>
    <w:p w14:paraId="25583419" w14:textId="0BB66386" w:rsidR="0050197A" w:rsidRPr="001714A1"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 xml:space="preserve">Details of the Determination are set out in </w:t>
      </w:r>
      <w:r w:rsidRPr="001714A1">
        <w:rPr>
          <w:rFonts w:ascii="Times New Roman" w:hAnsi="Times New Roman" w:cs="Times New Roman"/>
          <w:b/>
        </w:rPr>
        <w:t>Attachment A</w:t>
      </w:r>
      <w:r w:rsidRPr="001714A1">
        <w:rPr>
          <w:rFonts w:ascii="Times New Roman" w:hAnsi="Times New Roman" w:cs="Times New Roman"/>
        </w:rPr>
        <w:t>.</w:t>
      </w:r>
    </w:p>
    <w:p w14:paraId="6F14BAE2" w14:textId="77777777" w:rsidR="005B70D2" w:rsidRPr="001714A1" w:rsidRDefault="005B70D2" w:rsidP="00266E11">
      <w:pPr>
        <w:autoSpaceDE w:val="0"/>
        <w:autoSpaceDN w:val="0"/>
        <w:adjustRightInd w:val="0"/>
        <w:spacing w:after="0" w:line="240" w:lineRule="auto"/>
        <w:rPr>
          <w:rFonts w:ascii="Times New Roman" w:hAnsi="Times New Roman" w:cs="Times New Roman"/>
        </w:rPr>
      </w:pPr>
    </w:p>
    <w:p w14:paraId="43D36B50" w14:textId="2C96F02F" w:rsidR="0050197A"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 xml:space="preserve">The Determination is compatible with the human rights and freedoms recognised or declared under section 3 of the </w:t>
      </w:r>
      <w:r w:rsidRPr="001714A1">
        <w:rPr>
          <w:rFonts w:ascii="Times New Roman" w:hAnsi="Times New Roman" w:cs="Times New Roman"/>
          <w:i/>
        </w:rPr>
        <w:t>Human Rights (Parliamentary Scrutiny) Act 2011</w:t>
      </w:r>
      <w:r w:rsidRPr="001714A1">
        <w:rPr>
          <w:rFonts w:ascii="Times New Roman" w:hAnsi="Times New Roman" w:cs="Times New Roman"/>
        </w:rPr>
        <w:t>.</w:t>
      </w:r>
      <w:r w:rsidR="00E60C26" w:rsidRPr="001714A1">
        <w:rPr>
          <w:rFonts w:ascii="Times New Roman" w:hAnsi="Times New Roman" w:cs="Times New Roman"/>
        </w:rPr>
        <w:t xml:space="preserve"> </w:t>
      </w:r>
      <w:r w:rsidRPr="001714A1">
        <w:rPr>
          <w:rFonts w:ascii="Times New Roman" w:hAnsi="Times New Roman" w:cs="Times New Roman"/>
        </w:rPr>
        <w:t xml:space="preserve">A full statement of compatibility is set out in </w:t>
      </w:r>
      <w:r w:rsidRPr="001714A1">
        <w:rPr>
          <w:rFonts w:ascii="Times New Roman" w:hAnsi="Times New Roman" w:cs="Times New Roman"/>
          <w:b/>
        </w:rPr>
        <w:t>Attachment B</w:t>
      </w:r>
      <w:r w:rsidRPr="001714A1">
        <w:rPr>
          <w:rFonts w:ascii="Times New Roman" w:hAnsi="Times New Roman" w:cs="Times New Roman"/>
        </w:rPr>
        <w:t>.</w:t>
      </w:r>
    </w:p>
    <w:p w14:paraId="1775E52E" w14:textId="77777777" w:rsidR="00266E11" w:rsidRDefault="00266E11" w:rsidP="00266E11">
      <w:pPr>
        <w:autoSpaceDE w:val="0"/>
        <w:autoSpaceDN w:val="0"/>
        <w:adjustRightInd w:val="0"/>
        <w:spacing w:after="0" w:line="240" w:lineRule="auto"/>
        <w:rPr>
          <w:rFonts w:ascii="Times New Roman" w:hAnsi="Times New Roman" w:cs="Times New Roman"/>
        </w:rPr>
      </w:pPr>
    </w:p>
    <w:p w14:paraId="1820B968" w14:textId="5511FF92" w:rsidR="00266E11" w:rsidRPr="002B3AA9" w:rsidRDefault="00266E11" w:rsidP="00266E11">
      <w:pPr>
        <w:autoSpaceDE w:val="0"/>
        <w:autoSpaceDN w:val="0"/>
        <w:adjustRightInd w:val="0"/>
        <w:spacing w:after="0" w:line="240" w:lineRule="auto"/>
        <w:rPr>
          <w:rFonts w:ascii="Times New Roman" w:eastAsia="Times New Roman" w:hAnsi="Times New Roman" w:cs="Times New Roman"/>
          <w:lang w:eastAsia="en-AU"/>
        </w:rPr>
      </w:pPr>
      <w:r w:rsidRPr="002B3AA9">
        <w:rPr>
          <w:rFonts w:ascii="Times New Roman" w:eastAsia="Times New Roman" w:hAnsi="Times New Roman" w:cs="Times New Roman"/>
          <w:lang w:eastAsia="en-AU"/>
        </w:rPr>
        <w:t>The Office of Impact Analysis (OIA) has previously advised that an impact analysis is not required for updates to determinations made under section 26BB of the Act that are minor or machinery in nature, including the introduction of new permitted ingredients, corrections of errors, clarifications of requirements and ingredient names, changes to reflect scheduling decisions in the Poisons Standard and the outcomes of TGA safety evaluations where the regulatory impacts are minor or machinery in nature (OIA references 14416, 20999 and 21645).</w:t>
      </w:r>
    </w:p>
    <w:p w14:paraId="59D103B8" w14:textId="77777777" w:rsidR="005B70D2" w:rsidRPr="001714A1" w:rsidRDefault="005B70D2" w:rsidP="00266E11">
      <w:pPr>
        <w:autoSpaceDE w:val="0"/>
        <w:autoSpaceDN w:val="0"/>
        <w:adjustRightInd w:val="0"/>
        <w:spacing w:after="0" w:line="240" w:lineRule="auto"/>
        <w:rPr>
          <w:rFonts w:ascii="Times New Roman" w:hAnsi="Times New Roman" w:cs="Times New Roman"/>
        </w:rPr>
      </w:pPr>
    </w:p>
    <w:p w14:paraId="42B80A9F" w14:textId="0AD5BA6B" w:rsidR="005B70D2" w:rsidRPr="001714A1" w:rsidRDefault="0050197A"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hAnsi="Times New Roman" w:cs="Times New Roman"/>
        </w:rPr>
        <w:t xml:space="preserve">This Determination is a disallowable legislative instrument for the purposes of the </w:t>
      </w:r>
      <w:r w:rsidRPr="001714A1">
        <w:rPr>
          <w:rFonts w:ascii="Times New Roman" w:hAnsi="Times New Roman" w:cs="Times New Roman"/>
          <w:i/>
        </w:rPr>
        <w:t xml:space="preserve">Legislation </w:t>
      </w:r>
      <w:r w:rsidR="00392D21" w:rsidRPr="001714A1">
        <w:rPr>
          <w:rFonts w:ascii="Times New Roman" w:hAnsi="Times New Roman" w:cs="Times New Roman"/>
          <w:i/>
        </w:rPr>
        <w:t>Act</w:t>
      </w:r>
      <w:r w:rsidR="00392D21">
        <w:rPr>
          <w:rFonts w:ascii="Times New Roman" w:hAnsi="Times New Roman" w:cs="Times New Roman"/>
          <w:i/>
        </w:rPr>
        <w:t> </w:t>
      </w:r>
      <w:r w:rsidRPr="001714A1">
        <w:rPr>
          <w:rFonts w:ascii="Times New Roman" w:hAnsi="Times New Roman" w:cs="Times New Roman"/>
          <w:i/>
        </w:rPr>
        <w:t>2003</w:t>
      </w:r>
      <w:r w:rsidRPr="001714A1">
        <w:rPr>
          <w:rFonts w:ascii="Times New Roman" w:hAnsi="Times New Roman" w:cs="Times New Roman"/>
        </w:rPr>
        <w:t xml:space="preserve"> and commences </w:t>
      </w:r>
      <w:r w:rsidR="005119A8" w:rsidRPr="001714A1">
        <w:rPr>
          <w:rFonts w:ascii="Times New Roman" w:hAnsi="Times New Roman" w:cs="Times New Roman"/>
        </w:rPr>
        <w:t>on</w:t>
      </w:r>
      <w:r w:rsidR="004A517C">
        <w:rPr>
          <w:rFonts w:ascii="Times New Roman" w:hAnsi="Times New Roman" w:cs="Times New Roman"/>
        </w:rPr>
        <w:t>1 March 2025</w:t>
      </w:r>
      <w:r w:rsidR="00FE52D9" w:rsidRPr="001714A1">
        <w:rPr>
          <w:rFonts w:ascii="Times New Roman" w:hAnsi="Times New Roman" w:cs="Times New Roman"/>
        </w:rPr>
        <w:t>.</w:t>
      </w:r>
    </w:p>
    <w:p w14:paraId="4F8CA9DD" w14:textId="5306B0C3" w:rsidR="0029115B" w:rsidRPr="001714A1" w:rsidRDefault="0050197A" w:rsidP="00266E11">
      <w:pPr>
        <w:spacing w:after="0" w:line="240" w:lineRule="auto"/>
        <w:jc w:val="right"/>
        <w:rPr>
          <w:rFonts w:ascii="Times New Roman" w:eastAsia="Times New Roman" w:hAnsi="Times New Roman" w:cs="Times New Roman"/>
          <w:b/>
          <w:lang w:eastAsia="en-AU"/>
        </w:rPr>
      </w:pPr>
      <w:r w:rsidRPr="001714A1">
        <w:rPr>
          <w:rFonts w:ascii="Times New Roman" w:eastAsia="Times New Roman" w:hAnsi="Times New Roman" w:cs="Times New Roman"/>
          <w:lang w:eastAsia="en-AU"/>
        </w:rPr>
        <w:br w:type="page"/>
      </w:r>
      <w:r w:rsidR="0040312B" w:rsidRPr="001714A1">
        <w:rPr>
          <w:rFonts w:ascii="Times New Roman" w:eastAsia="Times New Roman" w:hAnsi="Times New Roman" w:cs="Times New Roman"/>
          <w:b/>
          <w:lang w:eastAsia="en-AU"/>
        </w:rPr>
        <w:lastRenderedPageBreak/>
        <w:t>Attachment A</w:t>
      </w:r>
    </w:p>
    <w:p w14:paraId="247D1E71" w14:textId="77777777" w:rsidR="005D1B1C" w:rsidRPr="001714A1" w:rsidRDefault="005D1B1C" w:rsidP="001714A1">
      <w:pPr>
        <w:spacing w:after="0" w:line="240" w:lineRule="auto"/>
        <w:jc w:val="right"/>
        <w:rPr>
          <w:rFonts w:ascii="Times New Roman" w:eastAsia="Times New Roman" w:hAnsi="Times New Roman" w:cs="Times New Roman"/>
          <w:bCs/>
          <w:lang w:eastAsia="en-AU"/>
        </w:rPr>
      </w:pPr>
    </w:p>
    <w:p w14:paraId="625D6C8F" w14:textId="420F29FF" w:rsidR="0040312B" w:rsidRPr="001714A1" w:rsidRDefault="0040312B" w:rsidP="001714A1">
      <w:pPr>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b/>
          <w:lang w:eastAsia="en-AU"/>
        </w:rPr>
        <w:t xml:space="preserve">Details of the </w:t>
      </w:r>
      <w:r w:rsidRPr="001714A1">
        <w:rPr>
          <w:rFonts w:ascii="Times New Roman" w:eastAsia="Times New Roman" w:hAnsi="Times New Roman" w:cs="Times New Roman"/>
          <w:b/>
          <w:i/>
          <w:lang w:eastAsia="en-AU"/>
        </w:rPr>
        <w:t xml:space="preserve">Therapeutic Goods (Permissible Ingredients) Determination </w:t>
      </w:r>
      <w:r w:rsidR="00045C71" w:rsidRPr="001714A1">
        <w:rPr>
          <w:rFonts w:ascii="Times New Roman" w:eastAsia="Times New Roman" w:hAnsi="Times New Roman" w:cs="Times New Roman"/>
          <w:b/>
          <w:i/>
          <w:lang w:eastAsia="en-AU"/>
        </w:rPr>
        <w:t>(No.</w:t>
      </w:r>
      <w:r w:rsidR="00C92827" w:rsidRPr="001714A1">
        <w:rPr>
          <w:rFonts w:ascii="Times New Roman" w:eastAsia="Times New Roman" w:hAnsi="Times New Roman" w:cs="Times New Roman"/>
          <w:b/>
          <w:i/>
          <w:lang w:eastAsia="en-AU"/>
        </w:rPr>
        <w:t xml:space="preserve"> </w:t>
      </w:r>
      <w:r w:rsidR="0070414B">
        <w:rPr>
          <w:rFonts w:ascii="Times New Roman" w:eastAsia="Times New Roman" w:hAnsi="Times New Roman" w:cs="Times New Roman"/>
          <w:b/>
          <w:i/>
          <w:lang w:eastAsia="en-AU"/>
        </w:rPr>
        <w:t>1</w:t>
      </w:r>
      <w:r w:rsidR="00392D21" w:rsidRPr="001714A1">
        <w:rPr>
          <w:rFonts w:ascii="Times New Roman" w:eastAsia="Times New Roman" w:hAnsi="Times New Roman" w:cs="Times New Roman"/>
          <w:b/>
          <w:i/>
          <w:lang w:eastAsia="en-AU"/>
        </w:rPr>
        <w:t>)</w:t>
      </w:r>
      <w:r w:rsidR="00392D21">
        <w:rPr>
          <w:rFonts w:ascii="Times New Roman" w:eastAsia="Times New Roman" w:hAnsi="Times New Roman" w:cs="Times New Roman"/>
          <w:b/>
          <w:i/>
          <w:lang w:eastAsia="en-AU"/>
        </w:rPr>
        <w:t> </w:t>
      </w:r>
      <w:r w:rsidR="0070414B" w:rsidRPr="001714A1">
        <w:rPr>
          <w:rFonts w:ascii="Times New Roman" w:eastAsia="Times New Roman" w:hAnsi="Times New Roman" w:cs="Times New Roman"/>
          <w:b/>
          <w:i/>
          <w:lang w:eastAsia="en-AU"/>
        </w:rPr>
        <w:t>202</w:t>
      </w:r>
      <w:r w:rsidR="0070414B">
        <w:rPr>
          <w:rFonts w:ascii="Times New Roman" w:eastAsia="Times New Roman" w:hAnsi="Times New Roman" w:cs="Times New Roman"/>
          <w:b/>
          <w:i/>
          <w:lang w:eastAsia="en-AU"/>
        </w:rPr>
        <w:t>5</w:t>
      </w:r>
    </w:p>
    <w:p w14:paraId="0A22269D" w14:textId="77777777" w:rsidR="005D1B1C" w:rsidRPr="001714A1" w:rsidRDefault="005D1B1C" w:rsidP="00266E11">
      <w:pPr>
        <w:autoSpaceDE w:val="0"/>
        <w:autoSpaceDN w:val="0"/>
        <w:adjustRightInd w:val="0"/>
        <w:spacing w:after="0" w:line="240" w:lineRule="auto"/>
        <w:rPr>
          <w:rFonts w:ascii="Times New Roman" w:eastAsia="Times New Roman" w:hAnsi="Times New Roman" w:cs="Times New Roman"/>
          <w:bCs/>
          <w:lang w:eastAsia="en-AU"/>
        </w:rPr>
      </w:pPr>
    </w:p>
    <w:p w14:paraId="351A8BA8" w14:textId="2ABB86A3" w:rsidR="0040312B" w:rsidRPr="001714A1" w:rsidRDefault="0040312B"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 xml:space="preserve">Section 1 </w:t>
      </w:r>
      <w:r w:rsidR="005D1B1C" w:rsidRPr="001714A1">
        <w:rPr>
          <w:rFonts w:ascii="Times New Roman" w:eastAsia="Times New Roman" w:hAnsi="Times New Roman" w:cs="Times New Roman"/>
          <w:b/>
          <w:lang w:eastAsia="en-AU"/>
        </w:rPr>
        <w:t>–</w:t>
      </w:r>
      <w:r w:rsidR="008F4502" w:rsidRPr="001714A1">
        <w:rPr>
          <w:rFonts w:ascii="Times New Roman" w:eastAsia="Times New Roman" w:hAnsi="Times New Roman" w:cs="Times New Roman"/>
          <w:b/>
          <w:lang w:eastAsia="en-AU"/>
        </w:rPr>
        <w:t xml:space="preserve"> </w:t>
      </w:r>
      <w:r w:rsidRPr="001714A1">
        <w:rPr>
          <w:rFonts w:ascii="Times New Roman" w:eastAsia="Times New Roman" w:hAnsi="Times New Roman" w:cs="Times New Roman"/>
          <w:b/>
          <w:lang w:eastAsia="en-AU"/>
        </w:rPr>
        <w:t>Name</w:t>
      </w:r>
    </w:p>
    <w:p w14:paraId="7A596BC1"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566C8079" w14:textId="244F3862" w:rsidR="0040312B" w:rsidRPr="001714A1" w:rsidRDefault="0040312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This section provides that the name of the </w:t>
      </w:r>
      <w:r w:rsidR="00C92827" w:rsidRPr="001714A1">
        <w:rPr>
          <w:rFonts w:ascii="Times New Roman" w:eastAsia="Times New Roman" w:hAnsi="Times New Roman" w:cs="Times New Roman"/>
          <w:lang w:eastAsia="en-AU"/>
        </w:rPr>
        <w:t>instrument</w:t>
      </w:r>
      <w:r w:rsidRPr="001714A1">
        <w:rPr>
          <w:rFonts w:ascii="Times New Roman" w:eastAsia="Times New Roman" w:hAnsi="Times New Roman" w:cs="Times New Roman"/>
          <w:lang w:eastAsia="en-AU"/>
        </w:rPr>
        <w:t xml:space="preserve"> is the </w:t>
      </w:r>
      <w:r w:rsidRPr="001714A1">
        <w:rPr>
          <w:rFonts w:ascii="Times New Roman" w:eastAsia="Times New Roman" w:hAnsi="Times New Roman" w:cs="Times New Roman"/>
          <w:i/>
          <w:lang w:eastAsia="en-AU"/>
        </w:rPr>
        <w:t xml:space="preserve">Therapeutic Goods (Permissible Ingredients) Determination </w:t>
      </w:r>
      <w:r w:rsidR="00045C71" w:rsidRPr="001714A1">
        <w:rPr>
          <w:rFonts w:ascii="Times New Roman" w:eastAsia="Times New Roman" w:hAnsi="Times New Roman" w:cs="Times New Roman"/>
          <w:i/>
          <w:lang w:eastAsia="en-AU"/>
        </w:rPr>
        <w:t>(No.</w:t>
      </w:r>
      <w:r w:rsidR="00C92827" w:rsidRPr="001714A1">
        <w:rPr>
          <w:rFonts w:ascii="Times New Roman" w:eastAsia="Times New Roman" w:hAnsi="Times New Roman" w:cs="Times New Roman"/>
          <w:i/>
          <w:lang w:eastAsia="en-AU"/>
        </w:rPr>
        <w:t xml:space="preserve"> </w:t>
      </w:r>
      <w:r w:rsidR="0070414B">
        <w:rPr>
          <w:rFonts w:ascii="Times New Roman" w:eastAsia="Times New Roman" w:hAnsi="Times New Roman" w:cs="Times New Roman"/>
          <w:i/>
          <w:lang w:eastAsia="en-AU"/>
        </w:rPr>
        <w:t>1</w:t>
      </w:r>
      <w:r w:rsidR="00045C71" w:rsidRPr="001714A1">
        <w:rPr>
          <w:rFonts w:ascii="Times New Roman" w:eastAsia="Times New Roman" w:hAnsi="Times New Roman" w:cs="Times New Roman"/>
          <w:i/>
          <w:lang w:eastAsia="en-AU"/>
        </w:rPr>
        <w:t xml:space="preserve">) </w:t>
      </w:r>
      <w:r w:rsidR="0070414B" w:rsidRPr="001714A1">
        <w:rPr>
          <w:rFonts w:ascii="Times New Roman" w:eastAsia="Times New Roman" w:hAnsi="Times New Roman" w:cs="Times New Roman"/>
          <w:i/>
          <w:lang w:eastAsia="en-AU"/>
        </w:rPr>
        <w:t>202</w:t>
      </w:r>
      <w:r w:rsidR="0070414B">
        <w:rPr>
          <w:rFonts w:ascii="Times New Roman" w:eastAsia="Times New Roman" w:hAnsi="Times New Roman" w:cs="Times New Roman"/>
          <w:i/>
          <w:lang w:eastAsia="en-AU"/>
        </w:rPr>
        <w:t>5</w:t>
      </w:r>
      <w:r w:rsidR="0070414B" w:rsidRPr="001714A1">
        <w:rPr>
          <w:rFonts w:ascii="Times New Roman" w:eastAsia="Times New Roman" w:hAnsi="Times New Roman" w:cs="Times New Roman"/>
          <w:lang w:eastAsia="en-AU"/>
        </w:rPr>
        <w:t xml:space="preserve"> </w:t>
      </w:r>
      <w:r w:rsidR="00AE2E87" w:rsidRPr="001714A1">
        <w:rPr>
          <w:rFonts w:ascii="Times New Roman" w:eastAsia="Times New Roman" w:hAnsi="Times New Roman" w:cs="Times New Roman"/>
          <w:lang w:eastAsia="en-AU"/>
        </w:rPr>
        <w:t>(the Determination)</w:t>
      </w:r>
      <w:r w:rsidRPr="001714A1">
        <w:rPr>
          <w:rFonts w:ascii="Times New Roman" w:eastAsia="Times New Roman" w:hAnsi="Times New Roman" w:cs="Times New Roman"/>
          <w:lang w:eastAsia="en-AU"/>
        </w:rPr>
        <w:t>.</w:t>
      </w:r>
    </w:p>
    <w:p w14:paraId="2D769B9C"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1B8996FF" w14:textId="37528F08" w:rsidR="0040312B" w:rsidRPr="001714A1" w:rsidRDefault="0040312B"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Section 2</w:t>
      </w:r>
      <w:r w:rsidR="008F4502" w:rsidRPr="001714A1">
        <w:rPr>
          <w:rFonts w:ascii="Times New Roman" w:eastAsia="Times New Roman" w:hAnsi="Times New Roman" w:cs="Times New Roman"/>
          <w:b/>
          <w:lang w:eastAsia="en-AU"/>
        </w:rPr>
        <w:t xml:space="preserve"> </w:t>
      </w:r>
      <w:r w:rsidR="005D1B1C" w:rsidRPr="001714A1">
        <w:rPr>
          <w:rFonts w:ascii="Times New Roman" w:eastAsia="Times New Roman" w:hAnsi="Times New Roman" w:cs="Times New Roman"/>
          <w:b/>
          <w:lang w:eastAsia="en-AU"/>
        </w:rPr>
        <w:t>–</w:t>
      </w:r>
      <w:r w:rsidRPr="001714A1">
        <w:rPr>
          <w:rFonts w:ascii="Times New Roman" w:eastAsia="Times New Roman" w:hAnsi="Times New Roman" w:cs="Times New Roman"/>
          <w:b/>
          <w:lang w:eastAsia="en-AU"/>
        </w:rPr>
        <w:t xml:space="preserve"> Commencement</w:t>
      </w:r>
    </w:p>
    <w:p w14:paraId="3547213B"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087283D7" w14:textId="2E0448E6" w:rsidR="0050197A" w:rsidRPr="001714A1" w:rsidRDefault="0050197A"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This section provides that the Determination </w:t>
      </w:r>
      <w:r w:rsidR="00FB4355" w:rsidRPr="001714A1">
        <w:rPr>
          <w:rFonts w:ascii="Times New Roman" w:eastAsia="Times New Roman" w:hAnsi="Times New Roman" w:cs="Times New Roman"/>
          <w:lang w:eastAsia="en-AU"/>
        </w:rPr>
        <w:t xml:space="preserve">commences </w:t>
      </w:r>
      <w:r w:rsidR="00C978DE" w:rsidRPr="001714A1">
        <w:rPr>
          <w:rFonts w:ascii="Times New Roman" w:eastAsia="Times New Roman" w:hAnsi="Times New Roman" w:cs="Times New Roman"/>
          <w:lang w:eastAsia="en-AU"/>
        </w:rPr>
        <w:t>on</w:t>
      </w:r>
      <w:r w:rsidR="00227559">
        <w:rPr>
          <w:rFonts w:ascii="Times New Roman" w:hAnsi="Times New Roman" w:cs="Times New Roman"/>
        </w:rPr>
        <w:t>1 March 2025</w:t>
      </w:r>
      <w:r w:rsidRPr="001714A1">
        <w:rPr>
          <w:rFonts w:ascii="Times New Roman" w:eastAsia="Times New Roman" w:hAnsi="Times New Roman" w:cs="Times New Roman"/>
          <w:lang w:eastAsia="en-AU"/>
        </w:rPr>
        <w:t>.</w:t>
      </w:r>
    </w:p>
    <w:p w14:paraId="0771BF32"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0EEDC031" w14:textId="69A45551" w:rsidR="0040312B" w:rsidRPr="001714A1" w:rsidRDefault="0040312B"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 xml:space="preserve">Section 3 </w:t>
      </w:r>
      <w:r w:rsidR="005D1B1C" w:rsidRPr="001714A1">
        <w:rPr>
          <w:rFonts w:ascii="Times New Roman" w:eastAsia="Times New Roman" w:hAnsi="Times New Roman" w:cs="Times New Roman"/>
          <w:b/>
          <w:lang w:eastAsia="en-AU"/>
        </w:rPr>
        <w:t>–</w:t>
      </w:r>
      <w:r w:rsidR="008F4502" w:rsidRPr="001714A1">
        <w:rPr>
          <w:rFonts w:ascii="Times New Roman" w:eastAsia="Times New Roman" w:hAnsi="Times New Roman" w:cs="Times New Roman"/>
          <w:b/>
          <w:lang w:eastAsia="en-AU"/>
        </w:rPr>
        <w:t xml:space="preserve"> </w:t>
      </w:r>
      <w:r w:rsidRPr="001714A1">
        <w:rPr>
          <w:rFonts w:ascii="Times New Roman" w:eastAsia="Times New Roman" w:hAnsi="Times New Roman" w:cs="Times New Roman"/>
          <w:b/>
          <w:lang w:eastAsia="en-AU"/>
        </w:rPr>
        <w:t>Authority</w:t>
      </w:r>
    </w:p>
    <w:p w14:paraId="441C748B"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51F2D730" w14:textId="23603AE7" w:rsidR="0040312B" w:rsidRPr="001714A1" w:rsidRDefault="0040312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This section provides that the legislative authority for making the Determination is </w:t>
      </w:r>
      <w:r w:rsidR="00FB4355" w:rsidRPr="001714A1">
        <w:rPr>
          <w:rFonts w:ascii="Times New Roman" w:eastAsia="Times New Roman" w:hAnsi="Times New Roman" w:cs="Times New Roman"/>
          <w:lang w:eastAsia="en-AU"/>
        </w:rPr>
        <w:t>sub</w:t>
      </w:r>
      <w:r w:rsidRPr="001714A1">
        <w:rPr>
          <w:rFonts w:ascii="Times New Roman" w:eastAsia="Times New Roman" w:hAnsi="Times New Roman" w:cs="Times New Roman"/>
          <w:lang w:eastAsia="en-AU"/>
        </w:rPr>
        <w:t>section</w:t>
      </w:r>
      <w:r w:rsidR="00477FBB">
        <w:rPr>
          <w:rFonts w:ascii="Times New Roman" w:eastAsia="Times New Roman" w:hAnsi="Times New Roman" w:cs="Times New Roman"/>
          <w:lang w:eastAsia="en-AU"/>
        </w:rPr>
        <w:t> </w:t>
      </w:r>
      <w:r w:rsidRPr="001714A1">
        <w:rPr>
          <w:rFonts w:ascii="Times New Roman" w:eastAsia="Times New Roman" w:hAnsi="Times New Roman" w:cs="Times New Roman"/>
          <w:lang w:eastAsia="en-AU"/>
        </w:rPr>
        <w:t>26B</w:t>
      </w:r>
      <w:r w:rsidR="001B7ED3" w:rsidRPr="001714A1">
        <w:rPr>
          <w:rFonts w:ascii="Times New Roman" w:eastAsia="Times New Roman" w:hAnsi="Times New Roman" w:cs="Times New Roman"/>
          <w:lang w:eastAsia="en-AU"/>
        </w:rPr>
        <w:t>B(1)</w:t>
      </w:r>
      <w:r w:rsidRPr="001714A1">
        <w:rPr>
          <w:rFonts w:ascii="Times New Roman" w:eastAsia="Times New Roman" w:hAnsi="Times New Roman" w:cs="Times New Roman"/>
          <w:lang w:eastAsia="en-AU"/>
        </w:rPr>
        <w:t xml:space="preserve"> of the</w:t>
      </w:r>
      <w:r w:rsidR="00C92827" w:rsidRPr="001714A1">
        <w:rPr>
          <w:rFonts w:ascii="Times New Roman" w:eastAsia="Times New Roman" w:hAnsi="Times New Roman" w:cs="Times New Roman"/>
          <w:lang w:eastAsia="en-AU"/>
        </w:rPr>
        <w:t xml:space="preserve"> </w:t>
      </w:r>
      <w:r w:rsidR="00C92827" w:rsidRPr="001714A1">
        <w:rPr>
          <w:rFonts w:ascii="Times New Roman" w:eastAsia="Times New Roman" w:hAnsi="Times New Roman" w:cs="Times New Roman"/>
          <w:i/>
          <w:lang w:eastAsia="en-AU"/>
        </w:rPr>
        <w:t>Therapeutic Goods Act 1989</w:t>
      </w:r>
      <w:r w:rsidR="00C92827" w:rsidRPr="001714A1">
        <w:rPr>
          <w:rFonts w:ascii="Times New Roman" w:eastAsia="Times New Roman" w:hAnsi="Times New Roman" w:cs="Times New Roman"/>
          <w:lang w:eastAsia="en-AU"/>
        </w:rPr>
        <w:t xml:space="preserve"> (the</w:t>
      </w:r>
      <w:r w:rsidRPr="001714A1">
        <w:rPr>
          <w:rFonts w:ascii="Times New Roman" w:eastAsia="Times New Roman" w:hAnsi="Times New Roman" w:cs="Times New Roman"/>
          <w:lang w:eastAsia="en-AU"/>
        </w:rPr>
        <w:t xml:space="preserve"> Act</w:t>
      </w:r>
      <w:r w:rsidR="00C92827"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w:t>
      </w:r>
    </w:p>
    <w:p w14:paraId="6D555B37"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6C363FE6" w14:textId="765E42D3" w:rsidR="0040312B" w:rsidRPr="001714A1" w:rsidRDefault="0040312B"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Section 4</w:t>
      </w:r>
      <w:r w:rsidR="001B7ED3" w:rsidRPr="001714A1">
        <w:rPr>
          <w:rFonts w:ascii="Times New Roman" w:eastAsia="Times New Roman" w:hAnsi="Times New Roman" w:cs="Times New Roman"/>
          <w:b/>
          <w:lang w:eastAsia="en-AU"/>
        </w:rPr>
        <w:t xml:space="preserve"> </w:t>
      </w:r>
      <w:r w:rsidR="005D1B1C" w:rsidRPr="001714A1">
        <w:rPr>
          <w:rFonts w:ascii="Times New Roman" w:eastAsia="Times New Roman" w:hAnsi="Times New Roman" w:cs="Times New Roman"/>
          <w:b/>
          <w:lang w:eastAsia="en-AU"/>
        </w:rPr>
        <w:t>–</w:t>
      </w:r>
      <w:r w:rsidR="008F4502" w:rsidRPr="001714A1">
        <w:rPr>
          <w:rFonts w:ascii="Times New Roman" w:eastAsia="Times New Roman" w:hAnsi="Times New Roman" w:cs="Times New Roman"/>
          <w:b/>
          <w:lang w:eastAsia="en-AU"/>
        </w:rPr>
        <w:t xml:space="preserve"> </w:t>
      </w:r>
      <w:r w:rsidR="001B7ED3" w:rsidRPr="001714A1">
        <w:rPr>
          <w:rFonts w:ascii="Times New Roman" w:eastAsia="Times New Roman" w:hAnsi="Times New Roman" w:cs="Times New Roman"/>
          <w:b/>
          <w:lang w:eastAsia="en-AU"/>
        </w:rPr>
        <w:t>Interpretation</w:t>
      </w:r>
    </w:p>
    <w:p w14:paraId="736737B5"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0D82FB5D" w14:textId="309C7F8A" w:rsidR="0091180B" w:rsidRPr="001714A1" w:rsidRDefault="0091180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Subsection 4(1) provides definitions for a number of terms used in the Determination. These include ‘code tables’, ‘excipient’, ‘homoeopathic preparation ingredient’ and ‘TGA eBusiness Services’.</w:t>
      </w:r>
    </w:p>
    <w:p w14:paraId="7ED596F6"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7DCB529C" w14:textId="48A3233C" w:rsidR="0091180B" w:rsidRPr="001714A1" w:rsidRDefault="0091180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The note to this section also makes it clear that a number of expressions used in the Determination have the same meaning as in the Act, </w:t>
      </w:r>
      <w:r w:rsidR="00012FF5" w:rsidRPr="001714A1">
        <w:rPr>
          <w:rFonts w:ascii="Times New Roman" w:eastAsia="Times New Roman" w:hAnsi="Times New Roman" w:cs="Times New Roman"/>
          <w:lang w:eastAsia="en-AU"/>
        </w:rPr>
        <w:t>including</w:t>
      </w:r>
      <w:r w:rsidRPr="001714A1">
        <w:rPr>
          <w:rFonts w:ascii="Times New Roman" w:eastAsia="Times New Roman" w:hAnsi="Times New Roman" w:cs="Times New Roman"/>
          <w:lang w:eastAsia="en-AU"/>
        </w:rPr>
        <w:t xml:space="preserve"> ‘British Pharmacopoeia’, ‘European Pharmacopoeia’ and ‘United States Pharmacopeia-National Formulary’.</w:t>
      </w:r>
    </w:p>
    <w:p w14:paraId="1EC4FFBC"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783E573B" w14:textId="13A4B5F8" w:rsidR="00AE2E87" w:rsidRPr="001714A1" w:rsidRDefault="0091180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Subsection 4(2) provides that the terms set out in closed brackets in column 4 of the table in Schedule</w:t>
      </w:r>
      <w:r w:rsidR="00DB2F9A">
        <w:rPr>
          <w:rFonts w:ascii="Times New Roman" w:eastAsia="Times New Roman" w:hAnsi="Times New Roman" w:cs="Times New Roman"/>
          <w:lang w:eastAsia="en-AU"/>
        </w:rPr>
        <w:t> </w:t>
      </w:r>
      <w:r w:rsidRPr="001714A1">
        <w:rPr>
          <w:rFonts w:ascii="Times New Roman" w:eastAsia="Times New Roman" w:hAnsi="Times New Roman" w:cs="Times New Roman"/>
          <w:lang w:eastAsia="en-AU"/>
        </w:rPr>
        <w:t>1 to the Determination that are associated with warning statements in relation to particular ingredients, are terms from the code tables under the heading ‘Product Warning’, and are not required to be included on the label of the medicine.</w:t>
      </w:r>
    </w:p>
    <w:p w14:paraId="4AEBDA41"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0AA57C3B" w14:textId="47FBB284" w:rsidR="001B7ED3" w:rsidRPr="001714A1" w:rsidRDefault="001B7ED3"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 xml:space="preserve">Section 5 </w:t>
      </w:r>
      <w:r w:rsidR="005D1B1C" w:rsidRPr="001714A1">
        <w:rPr>
          <w:rFonts w:ascii="Times New Roman" w:eastAsia="Times New Roman" w:hAnsi="Times New Roman" w:cs="Times New Roman"/>
          <w:b/>
          <w:lang w:eastAsia="en-AU"/>
        </w:rPr>
        <w:t>–</w:t>
      </w:r>
      <w:r w:rsidR="008F4502" w:rsidRPr="001714A1">
        <w:rPr>
          <w:rFonts w:ascii="Times New Roman" w:eastAsia="Times New Roman" w:hAnsi="Times New Roman" w:cs="Times New Roman"/>
          <w:b/>
          <w:lang w:eastAsia="en-AU"/>
        </w:rPr>
        <w:t xml:space="preserve"> </w:t>
      </w:r>
      <w:r w:rsidRPr="001714A1">
        <w:rPr>
          <w:rFonts w:ascii="Times New Roman" w:eastAsia="Times New Roman" w:hAnsi="Times New Roman" w:cs="Times New Roman"/>
          <w:b/>
          <w:lang w:eastAsia="en-AU"/>
        </w:rPr>
        <w:t>Permissible ingredients</w:t>
      </w:r>
    </w:p>
    <w:p w14:paraId="7F32AE94"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099B9869" w14:textId="3750F3C7" w:rsidR="001B7ED3" w:rsidRPr="001714A1" w:rsidRDefault="001B7ED3"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This section provides that the ingredients specified in column 2 of the table in Schedule 1 to the Determination are specified for the purposes of paragraph 26BB(1)(a) of the Act.</w:t>
      </w:r>
    </w:p>
    <w:p w14:paraId="37A4E306"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3132B7BB" w14:textId="0836D056" w:rsidR="001B7ED3" w:rsidRPr="001714A1" w:rsidRDefault="001B7ED3"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Section 6</w:t>
      </w:r>
      <w:r w:rsidR="008F4502" w:rsidRPr="001714A1">
        <w:rPr>
          <w:rFonts w:ascii="Times New Roman" w:eastAsia="Times New Roman" w:hAnsi="Times New Roman" w:cs="Times New Roman"/>
          <w:b/>
          <w:lang w:eastAsia="en-AU"/>
        </w:rPr>
        <w:t xml:space="preserve"> </w:t>
      </w:r>
      <w:r w:rsidR="005D1B1C" w:rsidRPr="001714A1">
        <w:rPr>
          <w:rFonts w:ascii="Times New Roman" w:eastAsia="Times New Roman" w:hAnsi="Times New Roman" w:cs="Times New Roman"/>
          <w:b/>
          <w:lang w:eastAsia="en-AU"/>
        </w:rPr>
        <w:t>–</w:t>
      </w:r>
      <w:r w:rsidRPr="001714A1">
        <w:rPr>
          <w:rFonts w:ascii="Times New Roman" w:eastAsia="Times New Roman" w:hAnsi="Times New Roman" w:cs="Times New Roman"/>
          <w:b/>
          <w:lang w:eastAsia="en-AU"/>
        </w:rPr>
        <w:t xml:space="preserve"> Requirements in relation to permissible ingredients being contained in medicine</w:t>
      </w:r>
    </w:p>
    <w:p w14:paraId="439B1FCD"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01BF54A2" w14:textId="6056DA52" w:rsidR="001B7ED3" w:rsidRPr="001714A1" w:rsidRDefault="001B7ED3"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This section provides that for an ingredient mentioned in column 2 of an item in the table in Schedule</w:t>
      </w:r>
      <w:r w:rsidR="00DB2F9A">
        <w:rPr>
          <w:rFonts w:ascii="Times New Roman" w:eastAsia="Times New Roman" w:hAnsi="Times New Roman" w:cs="Times New Roman"/>
          <w:lang w:eastAsia="en-AU"/>
        </w:rPr>
        <w:t> </w:t>
      </w:r>
      <w:r w:rsidRPr="001714A1">
        <w:rPr>
          <w:rFonts w:ascii="Times New Roman" w:eastAsia="Times New Roman" w:hAnsi="Times New Roman" w:cs="Times New Roman"/>
          <w:lang w:eastAsia="en-AU"/>
        </w:rPr>
        <w:t>1 to the Determination, the requirements in paragraphs 6(a) to (c) are specified for the purposes of paragraph 26BB(1)(b) of the Act. These include, for example, that the ingredient must only be used in a medicine for a purpose specified in relation to the ingredient in column 3 of that item</w:t>
      </w:r>
      <w:r w:rsidR="00712626" w:rsidRPr="001714A1">
        <w:rPr>
          <w:rFonts w:ascii="Times New Roman" w:eastAsia="Times New Roman" w:hAnsi="Times New Roman" w:cs="Times New Roman"/>
          <w:lang w:eastAsia="en-AU"/>
        </w:rPr>
        <w:t xml:space="preserve"> and</w:t>
      </w:r>
      <w:r w:rsidR="00635670" w:rsidRPr="001714A1">
        <w:rPr>
          <w:rFonts w:ascii="Times New Roman" w:eastAsia="Times New Roman" w:hAnsi="Times New Roman" w:cs="Times New Roman"/>
          <w:lang w:eastAsia="en-AU"/>
        </w:rPr>
        <w:t xml:space="preserve"> the ingredient must comply with the requirements specified in column 4</w:t>
      </w:r>
      <w:r w:rsidRPr="001714A1">
        <w:rPr>
          <w:rFonts w:ascii="Times New Roman" w:eastAsia="Times New Roman" w:hAnsi="Times New Roman" w:cs="Times New Roman"/>
          <w:lang w:eastAsia="en-AU"/>
        </w:rPr>
        <w:t>.</w:t>
      </w:r>
    </w:p>
    <w:p w14:paraId="6E79FE28" w14:textId="77777777" w:rsidR="0036611B"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701C8017" w14:textId="2530B424" w:rsidR="00402C94" w:rsidRDefault="00402C94" w:rsidP="00266E11">
      <w:pPr>
        <w:autoSpaceDE w:val="0"/>
        <w:autoSpaceDN w:val="0"/>
        <w:adjustRightInd w:val="0"/>
        <w:spacing w:after="0" w:line="240" w:lineRule="auto"/>
        <w:rPr>
          <w:rFonts w:ascii="Times New Roman" w:eastAsia="Times New Roman" w:hAnsi="Times New Roman" w:cs="Times New Roman"/>
          <w:b/>
          <w:bCs/>
          <w:lang w:eastAsia="en-AU"/>
        </w:rPr>
      </w:pPr>
      <w:r>
        <w:rPr>
          <w:rFonts w:ascii="Times New Roman" w:eastAsia="Times New Roman" w:hAnsi="Times New Roman" w:cs="Times New Roman"/>
          <w:b/>
          <w:bCs/>
          <w:lang w:eastAsia="en-AU"/>
        </w:rPr>
        <w:t>Section 6A – Requirements relating to warning statements on labels</w:t>
      </w:r>
    </w:p>
    <w:p w14:paraId="1741C80C" w14:textId="77777777" w:rsidR="00402C94" w:rsidRDefault="00402C94" w:rsidP="00266E11">
      <w:pPr>
        <w:autoSpaceDE w:val="0"/>
        <w:autoSpaceDN w:val="0"/>
        <w:adjustRightInd w:val="0"/>
        <w:spacing w:after="0" w:line="240" w:lineRule="auto"/>
        <w:rPr>
          <w:rFonts w:ascii="Times New Roman" w:eastAsia="Times New Roman" w:hAnsi="Times New Roman" w:cs="Times New Roman"/>
          <w:b/>
          <w:bCs/>
          <w:lang w:eastAsia="en-AU"/>
        </w:rPr>
      </w:pPr>
    </w:p>
    <w:p w14:paraId="0FF4C77F" w14:textId="40B61E49" w:rsidR="00402C94" w:rsidRDefault="00402C94" w:rsidP="00266E11">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section provides that where more than one ingredient in a medicine must comply with a requirement, specified in column 4 of the table in Schedule 1 in relation to the ingredient, </w:t>
      </w:r>
      <w:r w:rsidR="00BC0611">
        <w:rPr>
          <w:rFonts w:ascii="Times New Roman" w:eastAsia="Times New Roman" w:hAnsi="Times New Roman" w:cs="Times New Roman"/>
          <w:lang w:eastAsia="en-AU"/>
        </w:rPr>
        <w:t xml:space="preserve">for a liver toxicity-related warning statement </w:t>
      </w:r>
      <w:r>
        <w:rPr>
          <w:rFonts w:ascii="Times New Roman" w:eastAsia="Times New Roman" w:hAnsi="Times New Roman" w:cs="Times New Roman"/>
          <w:lang w:eastAsia="en-AU"/>
        </w:rPr>
        <w:t xml:space="preserve">on the medicine label in the form prescribed in </w:t>
      </w:r>
      <w:r w:rsidR="00BC0611">
        <w:rPr>
          <w:rFonts w:ascii="Times New Roman" w:eastAsia="Times New Roman" w:hAnsi="Times New Roman" w:cs="Times New Roman"/>
          <w:lang w:eastAsia="en-AU"/>
        </w:rPr>
        <w:t>paragraphs</w:t>
      </w:r>
      <w:r>
        <w:rPr>
          <w:rFonts w:ascii="Times New Roman" w:eastAsia="Times New Roman" w:hAnsi="Times New Roman" w:cs="Times New Roman"/>
          <w:lang w:eastAsia="en-AU"/>
        </w:rPr>
        <w:t xml:space="preserve"> 6A(a) or (b), the warning statement may be stated only once on the label of the medicine </w:t>
      </w:r>
      <w:r w:rsidR="00BC0611">
        <w:rPr>
          <w:rFonts w:ascii="Times New Roman" w:eastAsia="Times New Roman" w:hAnsi="Times New Roman" w:cs="Times New Roman"/>
          <w:lang w:eastAsia="en-AU"/>
        </w:rPr>
        <w:t>provided that</w:t>
      </w:r>
      <w:r>
        <w:rPr>
          <w:rFonts w:ascii="Times New Roman" w:eastAsia="Times New Roman" w:hAnsi="Times New Roman" w:cs="Times New Roman"/>
          <w:lang w:eastAsia="en-AU"/>
        </w:rPr>
        <w:t xml:space="preserve"> the requirements specified in </w:t>
      </w:r>
      <w:r w:rsidR="00BC0611">
        <w:rPr>
          <w:rFonts w:ascii="Times New Roman" w:eastAsia="Times New Roman" w:hAnsi="Times New Roman" w:cs="Times New Roman"/>
          <w:lang w:eastAsia="en-AU"/>
        </w:rPr>
        <w:t>paragraphs</w:t>
      </w:r>
      <w:r>
        <w:rPr>
          <w:rFonts w:ascii="Times New Roman" w:eastAsia="Times New Roman" w:hAnsi="Times New Roman" w:cs="Times New Roman"/>
          <w:lang w:eastAsia="en-AU"/>
        </w:rPr>
        <w:t xml:space="preserve"> 6A(c) to (e) have been complied with.</w:t>
      </w:r>
    </w:p>
    <w:p w14:paraId="231FBCF0" w14:textId="77777777" w:rsidR="00402C94" w:rsidRPr="00402C94" w:rsidRDefault="00402C94" w:rsidP="00266E11">
      <w:pPr>
        <w:autoSpaceDE w:val="0"/>
        <w:autoSpaceDN w:val="0"/>
        <w:adjustRightInd w:val="0"/>
        <w:spacing w:after="0" w:line="240" w:lineRule="auto"/>
        <w:rPr>
          <w:rFonts w:ascii="Times New Roman" w:eastAsia="Times New Roman" w:hAnsi="Times New Roman" w:cs="Times New Roman"/>
          <w:lang w:eastAsia="en-AU"/>
        </w:rPr>
      </w:pPr>
    </w:p>
    <w:p w14:paraId="241E7A35" w14:textId="44EC3091" w:rsidR="001B7ED3" w:rsidRPr="001714A1" w:rsidRDefault="001B7ED3" w:rsidP="00E947B7">
      <w:pPr>
        <w:keepNext/>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lastRenderedPageBreak/>
        <w:t xml:space="preserve">Section 7 </w:t>
      </w:r>
      <w:r w:rsidR="005D1B1C" w:rsidRPr="001714A1">
        <w:rPr>
          <w:rFonts w:ascii="Times New Roman" w:eastAsia="Times New Roman" w:hAnsi="Times New Roman" w:cs="Times New Roman"/>
          <w:b/>
          <w:lang w:eastAsia="en-AU"/>
        </w:rPr>
        <w:t>–</w:t>
      </w:r>
      <w:r w:rsidR="008F4502" w:rsidRPr="001714A1">
        <w:rPr>
          <w:rFonts w:ascii="Times New Roman" w:eastAsia="Times New Roman" w:hAnsi="Times New Roman" w:cs="Times New Roman"/>
          <w:b/>
          <w:lang w:eastAsia="en-AU"/>
        </w:rPr>
        <w:t xml:space="preserve"> </w:t>
      </w:r>
      <w:r w:rsidRPr="001714A1">
        <w:rPr>
          <w:rFonts w:ascii="Times New Roman" w:eastAsia="Times New Roman" w:hAnsi="Times New Roman" w:cs="Times New Roman"/>
          <w:b/>
          <w:lang w:eastAsia="en-AU"/>
        </w:rPr>
        <w:t>Repeals</w:t>
      </w:r>
    </w:p>
    <w:p w14:paraId="1B762AF2" w14:textId="77777777" w:rsidR="0036611B" w:rsidRPr="001714A1" w:rsidRDefault="0036611B" w:rsidP="00E947B7">
      <w:pPr>
        <w:keepNext/>
        <w:autoSpaceDE w:val="0"/>
        <w:autoSpaceDN w:val="0"/>
        <w:adjustRightInd w:val="0"/>
        <w:spacing w:after="0" w:line="240" w:lineRule="auto"/>
        <w:rPr>
          <w:rFonts w:ascii="Times New Roman" w:eastAsia="Times New Roman" w:hAnsi="Times New Roman" w:cs="Times New Roman"/>
          <w:bCs/>
          <w:lang w:eastAsia="en-AU"/>
        </w:rPr>
      </w:pPr>
    </w:p>
    <w:p w14:paraId="4043154E" w14:textId="1713F6A8" w:rsidR="001B7ED3" w:rsidRPr="001714A1" w:rsidRDefault="001B7ED3"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This section provides that </w:t>
      </w:r>
      <w:r w:rsidR="00410762" w:rsidRPr="001714A1">
        <w:rPr>
          <w:rFonts w:ascii="Times New Roman" w:eastAsia="Times New Roman" w:hAnsi="Times New Roman" w:cs="Times New Roman"/>
          <w:lang w:eastAsia="en-AU"/>
        </w:rPr>
        <w:t xml:space="preserve">the </w:t>
      </w:r>
      <w:r w:rsidR="00410762" w:rsidRPr="001714A1">
        <w:rPr>
          <w:rFonts w:ascii="Times New Roman" w:eastAsia="Times New Roman" w:hAnsi="Times New Roman" w:cs="Times New Roman"/>
          <w:i/>
          <w:iCs/>
          <w:lang w:eastAsia="en-AU"/>
        </w:rPr>
        <w:t>Therapeutic Goods (Permissible Ingredients) Determination (No. </w:t>
      </w:r>
      <w:r w:rsidR="00DC45D3">
        <w:rPr>
          <w:rFonts w:ascii="Times New Roman" w:eastAsia="Times New Roman" w:hAnsi="Times New Roman" w:cs="Times New Roman"/>
          <w:i/>
          <w:iCs/>
          <w:lang w:eastAsia="en-AU"/>
        </w:rPr>
        <w:t>3</w:t>
      </w:r>
      <w:r w:rsidR="00211A36" w:rsidRPr="001714A1">
        <w:rPr>
          <w:rFonts w:ascii="Times New Roman" w:eastAsia="Times New Roman" w:hAnsi="Times New Roman" w:cs="Times New Roman"/>
          <w:i/>
          <w:iCs/>
          <w:lang w:eastAsia="en-AU"/>
        </w:rPr>
        <w:t>)</w:t>
      </w:r>
      <w:r w:rsidR="00211A36">
        <w:rPr>
          <w:rFonts w:ascii="Times New Roman" w:eastAsia="Times New Roman" w:hAnsi="Times New Roman" w:cs="Times New Roman"/>
          <w:i/>
          <w:iCs/>
          <w:lang w:eastAsia="en-AU"/>
        </w:rPr>
        <w:t> </w:t>
      </w:r>
      <w:r w:rsidR="00562CC5" w:rsidRPr="001714A1">
        <w:rPr>
          <w:rFonts w:ascii="Times New Roman" w:eastAsia="Times New Roman" w:hAnsi="Times New Roman" w:cs="Times New Roman"/>
          <w:i/>
          <w:iCs/>
          <w:lang w:eastAsia="en-AU"/>
        </w:rPr>
        <w:t>202</w:t>
      </w:r>
      <w:r w:rsidR="00DC45D3">
        <w:rPr>
          <w:rFonts w:ascii="Times New Roman" w:eastAsia="Times New Roman" w:hAnsi="Times New Roman" w:cs="Times New Roman"/>
          <w:i/>
          <w:iCs/>
          <w:lang w:eastAsia="en-AU"/>
        </w:rPr>
        <w:t>4</w:t>
      </w:r>
      <w:r w:rsidR="00562CC5" w:rsidRPr="001714A1">
        <w:rPr>
          <w:rFonts w:ascii="Times New Roman" w:eastAsia="Times New Roman" w:hAnsi="Times New Roman" w:cs="Times New Roman"/>
          <w:i/>
          <w:iCs/>
          <w:lang w:eastAsia="en-AU"/>
        </w:rPr>
        <w:t xml:space="preserve"> </w:t>
      </w:r>
      <w:r w:rsidRPr="001714A1">
        <w:rPr>
          <w:rFonts w:ascii="Times New Roman" w:eastAsia="Times New Roman" w:hAnsi="Times New Roman" w:cs="Times New Roman"/>
          <w:lang w:eastAsia="en-AU"/>
        </w:rPr>
        <w:t>is repealed.</w:t>
      </w:r>
    </w:p>
    <w:p w14:paraId="74A903C6"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3AC09063" w14:textId="5E501E2C" w:rsidR="00AE2E87" w:rsidRPr="001714A1" w:rsidRDefault="00AE2E87"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 xml:space="preserve">Schedule 1 – </w:t>
      </w:r>
      <w:r w:rsidR="0091180B" w:rsidRPr="001714A1">
        <w:rPr>
          <w:rFonts w:ascii="Times New Roman" w:eastAsia="Times New Roman" w:hAnsi="Times New Roman" w:cs="Times New Roman"/>
          <w:b/>
          <w:lang w:eastAsia="en-AU"/>
        </w:rPr>
        <w:t>Specified permissible ingredients and requirements applying to these ingredients when contained in a medicine</w:t>
      </w:r>
      <w:r w:rsidR="00B37440" w:rsidRPr="001714A1">
        <w:rPr>
          <w:rFonts w:ascii="Times New Roman" w:eastAsia="Times New Roman" w:hAnsi="Times New Roman" w:cs="Times New Roman"/>
          <w:b/>
          <w:lang w:eastAsia="en-AU"/>
        </w:rPr>
        <w:t>.</w:t>
      </w:r>
    </w:p>
    <w:p w14:paraId="7A138953"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443DB472" w14:textId="12B8B4D3" w:rsidR="0036611B" w:rsidRPr="001714A1" w:rsidRDefault="00CA2F70"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This Schedule specifies ingredients and related requirements for the purposes of sections 5 and 6 of the Determination.</w:t>
      </w:r>
    </w:p>
    <w:p w14:paraId="54F027CA" w14:textId="77777777" w:rsidR="00EF1F18" w:rsidRPr="001714A1" w:rsidRDefault="00EF1F18" w:rsidP="001714A1">
      <w:pPr>
        <w:spacing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lang w:eastAsia="en-AU"/>
        </w:rPr>
        <w:br w:type="page"/>
      </w:r>
    </w:p>
    <w:p w14:paraId="1C3354F0" w14:textId="77777777" w:rsidR="005F2423" w:rsidRPr="001714A1" w:rsidRDefault="005F2423" w:rsidP="00266E11">
      <w:pPr>
        <w:spacing w:after="0" w:line="240" w:lineRule="auto"/>
        <w:jc w:val="right"/>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lastRenderedPageBreak/>
        <w:t>Attachment B</w:t>
      </w:r>
    </w:p>
    <w:p w14:paraId="76006688" w14:textId="77777777" w:rsidR="005D1B1C" w:rsidRPr="001714A1" w:rsidRDefault="005D1B1C" w:rsidP="001714A1">
      <w:pPr>
        <w:spacing w:after="0" w:line="240" w:lineRule="auto"/>
        <w:jc w:val="right"/>
        <w:rPr>
          <w:rFonts w:ascii="Times New Roman" w:eastAsia="Times New Roman" w:hAnsi="Times New Roman" w:cs="Times New Roman"/>
          <w:lang w:val="en-US" w:eastAsia="en-AU"/>
        </w:rPr>
      </w:pPr>
    </w:p>
    <w:p w14:paraId="784E4BE2" w14:textId="77777777" w:rsidR="00EF1F18" w:rsidRPr="001714A1" w:rsidRDefault="00EF1F18" w:rsidP="001714A1">
      <w:pPr>
        <w:spacing w:after="0" w:line="240" w:lineRule="auto"/>
        <w:jc w:val="center"/>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t>Statement of Compatibility with Human Rights</w:t>
      </w:r>
    </w:p>
    <w:p w14:paraId="6EC20EFD" w14:textId="77777777" w:rsidR="00510EB5" w:rsidRPr="001714A1" w:rsidRDefault="00510EB5" w:rsidP="00266E11">
      <w:pPr>
        <w:spacing w:after="0" w:line="240" w:lineRule="auto"/>
        <w:jc w:val="center"/>
        <w:rPr>
          <w:rFonts w:ascii="Times New Roman" w:eastAsia="Times New Roman" w:hAnsi="Times New Roman" w:cs="Times New Roman"/>
          <w:lang w:val="en-US" w:eastAsia="en-AU"/>
        </w:rPr>
      </w:pPr>
    </w:p>
    <w:p w14:paraId="25C603B6" w14:textId="52FDCCC1" w:rsidR="00510EB5" w:rsidRPr="001714A1" w:rsidRDefault="00EF1F18" w:rsidP="00266E11">
      <w:pPr>
        <w:spacing w:after="0" w:line="240" w:lineRule="auto"/>
        <w:jc w:val="center"/>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Prepared in accordance with Part 3 of the</w:t>
      </w:r>
      <w:r w:rsidRPr="001714A1">
        <w:rPr>
          <w:rFonts w:ascii="Times New Roman" w:eastAsia="Times New Roman" w:hAnsi="Times New Roman" w:cs="Times New Roman"/>
          <w:i/>
          <w:iCs/>
          <w:lang w:eastAsia="en-AU"/>
        </w:rPr>
        <w:t xml:space="preserve"> Human Rights (Parliamentary Scrutiny) Act 2011</w:t>
      </w:r>
      <w:r w:rsidR="00207B8A" w:rsidRPr="001714A1">
        <w:rPr>
          <w:rFonts w:ascii="Times New Roman" w:eastAsia="Times New Roman" w:hAnsi="Times New Roman" w:cs="Times New Roman"/>
          <w:i/>
          <w:iCs/>
          <w:lang w:eastAsia="en-AU"/>
        </w:rPr>
        <w:t>.</w:t>
      </w:r>
    </w:p>
    <w:p w14:paraId="38892413" w14:textId="77777777" w:rsidR="00510EB5" w:rsidRPr="001714A1" w:rsidRDefault="00510EB5" w:rsidP="00266E11">
      <w:pPr>
        <w:spacing w:after="0" w:line="240" w:lineRule="auto"/>
        <w:jc w:val="center"/>
        <w:rPr>
          <w:rFonts w:ascii="Times New Roman" w:eastAsia="Times New Roman" w:hAnsi="Times New Roman" w:cs="Times New Roman"/>
          <w:lang w:val="en-US" w:eastAsia="en-AU"/>
        </w:rPr>
      </w:pPr>
    </w:p>
    <w:p w14:paraId="439E57CA" w14:textId="5B2C0209" w:rsidR="004761AE" w:rsidRPr="001714A1" w:rsidRDefault="005F2423" w:rsidP="00940C8C">
      <w:pPr>
        <w:spacing w:after="0" w:line="240" w:lineRule="auto"/>
        <w:jc w:val="center"/>
        <w:rPr>
          <w:rFonts w:ascii="Times New Roman" w:eastAsia="Times New Roman" w:hAnsi="Times New Roman" w:cs="Times New Roman"/>
          <w:lang w:eastAsia="en-AU"/>
        </w:rPr>
      </w:pPr>
      <w:r w:rsidRPr="001714A1">
        <w:rPr>
          <w:rFonts w:ascii="Times New Roman" w:eastAsia="Times New Roman" w:hAnsi="Times New Roman" w:cs="Times New Roman"/>
          <w:b/>
          <w:i/>
          <w:lang w:eastAsia="en-AU"/>
        </w:rPr>
        <w:t>Therapeutic Goods (Permissible Ingredients) Determination (No.</w:t>
      </w:r>
      <w:r w:rsidR="00DC45D3">
        <w:rPr>
          <w:rFonts w:ascii="Times New Roman" w:eastAsia="Times New Roman" w:hAnsi="Times New Roman" w:cs="Times New Roman"/>
          <w:b/>
          <w:i/>
          <w:lang w:eastAsia="en-AU"/>
        </w:rPr>
        <w:t>1</w:t>
      </w:r>
      <w:r w:rsidR="00211A36" w:rsidRPr="001714A1">
        <w:rPr>
          <w:rFonts w:ascii="Times New Roman" w:eastAsia="Times New Roman" w:hAnsi="Times New Roman" w:cs="Times New Roman"/>
          <w:b/>
          <w:i/>
          <w:lang w:eastAsia="en-AU"/>
        </w:rPr>
        <w:t>)</w:t>
      </w:r>
      <w:r w:rsidR="00211A36">
        <w:rPr>
          <w:rFonts w:ascii="Times New Roman" w:eastAsia="Times New Roman" w:hAnsi="Times New Roman" w:cs="Times New Roman"/>
          <w:b/>
          <w:i/>
          <w:lang w:eastAsia="en-AU"/>
        </w:rPr>
        <w:t> </w:t>
      </w:r>
      <w:r w:rsidR="00F6512E" w:rsidRPr="001714A1">
        <w:rPr>
          <w:rFonts w:ascii="Times New Roman" w:eastAsia="Times New Roman" w:hAnsi="Times New Roman" w:cs="Times New Roman"/>
          <w:b/>
          <w:i/>
          <w:lang w:eastAsia="en-AU"/>
        </w:rPr>
        <w:t>202</w:t>
      </w:r>
      <w:r w:rsidR="00DC45D3">
        <w:rPr>
          <w:rFonts w:ascii="Times New Roman" w:eastAsia="Times New Roman" w:hAnsi="Times New Roman" w:cs="Times New Roman"/>
          <w:b/>
          <w:i/>
          <w:lang w:eastAsia="en-AU"/>
        </w:rPr>
        <w:t>5</w:t>
      </w:r>
    </w:p>
    <w:p w14:paraId="46031090" w14:textId="77777777" w:rsidR="00DC45D3" w:rsidRDefault="00DC45D3" w:rsidP="00266E11">
      <w:pPr>
        <w:spacing w:after="0" w:line="240" w:lineRule="auto"/>
        <w:contextualSpacing/>
        <w:rPr>
          <w:rFonts w:ascii="Times New Roman" w:eastAsia="Times New Roman" w:hAnsi="Times New Roman" w:cs="Times New Roman"/>
          <w:lang w:eastAsia="en-AU"/>
        </w:rPr>
      </w:pPr>
    </w:p>
    <w:p w14:paraId="2C9AC34B" w14:textId="7AF28C73" w:rsidR="00510EB5" w:rsidRPr="001714A1" w:rsidRDefault="00EF1F18" w:rsidP="00266E11">
      <w:pPr>
        <w:spacing w:after="0" w:line="240" w:lineRule="auto"/>
        <w:contextualSpacing/>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This </w:t>
      </w:r>
      <w:r w:rsidR="005F2423" w:rsidRPr="001714A1">
        <w:rPr>
          <w:rFonts w:ascii="Times New Roman" w:eastAsia="Times New Roman" w:hAnsi="Times New Roman" w:cs="Times New Roman"/>
          <w:lang w:eastAsia="en-AU"/>
        </w:rPr>
        <w:t xml:space="preserve">disallowable </w:t>
      </w:r>
      <w:r w:rsidRPr="001714A1">
        <w:rPr>
          <w:rFonts w:ascii="Times New Roman" w:eastAsia="Times New Roman" w:hAnsi="Times New Roman" w:cs="Times New Roman"/>
          <w:lang w:eastAsia="en-AU"/>
        </w:rPr>
        <w:t>legislative instrument is compatible with the human rights and freedoms recognised or declared in the international instruments listed in section</w:t>
      </w:r>
      <w:r w:rsidRPr="001714A1">
        <w:rPr>
          <w:rFonts w:ascii="Times New Roman" w:hAnsi="Times New Roman" w:cs="Times New Roman"/>
        </w:rPr>
        <w:t> </w:t>
      </w:r>
      <w:r w:rsidRPr="001714A1">
        <w:rPr>
          <w:rFonts w:ascii="Times New Roman" w:eastAsia="Times New Roman" w:hAnsi="Times New Roman" w:cs="Times New Roman"/>
          <w:lang w:eastAsia="en-AU"/>
        </w:rPr>
        <w:t xml:space="preserve">3 of the </w:t>
      </w:r>
      <w:r w:rsidRPr="001714A1">
        <w:rPr>
          <w:rFonts w:ascii="Times New Roman" w:eastAsia="Times New Roman" w:hAnsi="Times New Roman" w:cs="Times New Roman"/>
          <w:i/>
          <w:iCs/>
          <w:lang w:eastAsia="en-AU"/>
        </w:rPr>
        <w:t>Human Rights (Parliamentary Scrutiny) Act 2011</w:t>
      </w:r>
      <w:r w:rsidRPr="001714A1">
        <w:rPr>
          <w:rFonts w:ascii="Times New Roman" w:eastAsia="Times New Roman" w:hAnsi="Times New Roman" w:cs="Times New Roman"/>
          <w:lang w:eastAsia="en-AU"/>
        </w:rPr>
        <w:t>.</w:t>
      </w:r>
    </w:p>
    <w:p w14:paraId="4842CD1E" w14:textId="77777777" w:rsidR="00EF1F18" w:rsidRPr="001714A1" w:rsidRDefault="00EF1F18" w:rsidP="00266E11">
      <w:pPr>
        <w:spacing w:after="0" w:line="240" w:lineRule="auto"/>
        <w:rPr>
          <w:rFonts w:ascii="Times New Roman" w:eastAsia="Times New Roman" w:hAnsi="Times New Roman" w:cs="Times New Roman"/>
          <w:lang w:val="en-US" w:eastAsia="en-AU"/>
        </w:rPr>
      </w:pPr>
    </w:p>
    <w:p w14:paraId="45C3CC91" w14:textId="77777777" w:rsidR="00EF1F18" w:rsidRPr="001714A1" w:rsidRDefault="00EF1F18" w:rsidP="00266E11">
      <w:pPr>
        <w:spacing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t>Overview of the Legislative Instrument</w:t>
      </w:r>
    </w:p>
    <w:p w14:paraId="038BBA42" w14:textId="77777777" w:rsidR="00005653" w:rsidRPr="001714A1" w:rsidRDefault="00005653" w:rsidP="00266E11">
      <w:pPr>
        <w:spacing w:after="0" w:line="240" w:lineRule="auto"/>
        <w:rPr>
          <w:rFonts w:ascii="Times New Roman" w:eastAsia="Times New Roman" w:hAnsi="Times New Roman" w:cs="Times New Roman"/>
          <w:lang w:val="en-US" w:eastAsia="en-AU"/>
        </w:rPr>
      </w:pPr>
    </w:p>
    <w:p w14:paraId="5B1BCC8D"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Subsection 26BB(1) of the Act relevantly provides that the Minister may, by legislative instrument, make a determination specifying ingredients and, for some or all of those ingredients, requirements in relation to those ingredients being contained in a medicine. Under subsections 26BB(2), (2A) and (3) of the Act, such requirements may relate to particular ingredients not being contained in particular medicines or being contained in particular medicines only in specified circumstances or within permitted concentrations or total amounts of an ingredient in a medicine.</w:t>
      </w:r>
    </w:p>
    <w:p w14:paraId="5483291E"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46CD5351" w14:textId="4738F0B5" w:rsidR="007046BC" w:rsidRPr="001714A1" w:rsidRDefault="00E75A1E" w:rsidP="00266E11">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purpose of a l</w:t>
      </w:r>
      <w:r w:rsidR="007046BC" w:rsidRPr="001714A1">
        <w:rPr>
          <w:rFonts w:ascii="Times New Roman" w:eastAsia="Times New Roman" w:hAnsi="Times New Roman" w:cs="Times New Roman"/>
          <w:lang w:eastAsia="en-AU"/>
        </w:rPr>
        <w:t>egislative instruments made under section 26BB of the Act</w:t>
      </w:r>
      <w:r>
        <w:rPr>
          <w:rFonts w:ascii="Times New Roman" w:eastAsia="Times New Roman" w:hAnsi="Times New Roman" w:cs="Times New Roman"/>
          <w:lang w:eastAsia="en-AU"/>
        </w:rPr>
        <w:t xml:space="preserve"> is to</w:t>
      </w:r>
      <w:r w:rsidR="007046BC" w:rsidRPr="001714A1">
        <w:rPr>
          <w:rFonts w:ascii="Times New Roman" w:eastAsia="Times New Roman" w:hAnsi="Times New Roman" w:cs="Times New Roman"/>
          <w:lang w:eastAsia="en-AU"/>
        </w:rPr>
        <w:t xml:space="preserve"> specify those ingredients that may be contained in a medicine that is listed in the Australian Register of Therapeutic Goods (the Register) under section 26A or 26AE of the Act, and specify requirements in relation to the inclusion of those ingredients in such medicines.</w:t>
      </w:r>
      <w:r>
        <w:rPr>
          <w:rFonts w:ascii="Times New Roman" w:eastAsia="Times New Roman" w:hAnsi="Times New Roman" w:cs="Times New Roman"/>
          <w:lang w:eastAsia="en-AU"/>
        </w:rPr>
        <w:t xml:space="preserve"> Listed medicines can only use ingredients specified in an instrument under section 26BB.</w:t>
      </w:r>
    </w:p>
    <w:p w14:paraId="4E022816"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43C8AFC8" w14:textId="0F25C37E"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The </w:t>
      </w:r>
      <w:r w:rsidRPr="001714A1">
        <w:rPr>
          <w:rFonts w:ascii="Times New Roman" w:eastAsia="Times New Roman" w:hAnsi="Times New Roman" w:cs="Times New Roman"/>
          <w:bCs/>
          <w:i/>
          <w:lang w:eastAsia="en-AU"/>
        </w:rPr>
        <w:t xml:space="preserve">Therapeutic Goods (Permissible Ingredients) Determination (No. </w:t>
      </w:r>
      <w:r w:rsidR="004710F8">
        <w:rPr>
          <w:rFonts w:ascii="Times New Roman" w:eastAsia="Times New Roman" w:hAnsi="Times New Roman" w:cs="Times New Roman"/>
          <w:bCs/>
          <w:i/>
          <w:lang w:eastAsia="en-AU"/>
        </w:rPr>
        <w:t>1</w:t>
      </w:r>
      <w:r w:rsidRPr="001714A1">
        <w:rPr>
          <w:rFonts w:ascii="Times New Roman" w:eastAsia="Times New Roman" w:hAnsi="Times New Roman" w:cs="Times New Roman"/>
          <w:bCs/>
          <w:i/>
          <w:lang w:eastAsia="en-AU"/>
        </w:rPr>
        <w:t xml:space="preserve">) </w:t>
      </w:r>
      <w:r w:rsidR="004710F8" w:rsidRPr="001714A1">
        <w:rPr>
          <w:rFonts w:ascii="Times New Roman" w:eastAsia="Times New Roman" w:hAnsi="Times New Roman" w:cs="Times New Roman"/>
          <w:bCs/>
          <w:i/>
          <w:lang w:eastAsia="en-AU"/>
        </w:rPr>
        <w:t>202</w:t>
      </w:r>
      <w:r w:rsidR="004710F8">
        <w:rPr>
          <w:rFonts w:ascii="Times New Roman" w:eastAsia="Times New Roman" w:hAnsi="Times New Roman" w:cs="Times New Roman"/>
          <w:bCs/>
          <w:i/>
          <w:lang w:eastAsia="en-AU"/>
        </w:rPr>
        <w:t>5</w:t>
      </w:r>
      <w:r w:rsidR="004710F8" w:rsidRPr="001714A1">
        <w:rPr>
          <w:rFonts w:ascii="Times New Roman" w:eastAsia="Times New Roman" w:hAnsi="Times New Roman" w:cs="Times New Roman"/>
          <w:bCs/>
          <w:i/>
          <w:lang w:eastAsia="en-AU"/>
        </w:rPr>
        <w:t xml:space="preserve"> </w:t>
      </w:r>
      <w:r w:rsidRPr="001714A1">
        <w:rPr>
          <w:rFonts w:ascii="Times New Roman" w:eastAsia="Times New Roman" w:hAnsi="Times New Roman" w:cs="Times New Roman"/>
          <w:bCs/>
          <w:lang w:eastAsia="en-AU"/>
        </w:rPr>
        <w:t>(the</w:t>
      </w:r>
      <w:r w:rsidR="005D1B1C" w:rsidRPr="001714A1">
        <w:rPr>
          <w:rFonts w:ascii="Times New Roman" w:eastAsia="Times New Roman" w:hAnsi="Times New Roman" w:cs="Times New Roman"/>
          <w:bCs/>
          <w:lang w:eastAsia="en-AU"/>
        </w:rPr>
        <w:t> </w:t>
      </w:r>
      <w:r w:rsidRPr="001714A1">
        <w:rPr>
          <w:rFonts w:ascii="Times New Roman" w:eastAsia="Times New Roman" w:hAnsi="Times New Roman" w:cs="Times New Roman"/>
          <w:lang w:eastAsia="en-AU"/>
        </w:rPr>
        <w:t xml:space="preserve">Determination) repeals and replaces the </w:t>
      </w:r>
      <w:r w:rsidRPr="001714A1">
        <w:rPr>
          <w:rFonts w:ascii="Times New Roman" w:eastAsia="Times New Roman" w:hAnsi="Times New Roman" w:cs="Times New Roman"/>
          <w:i/>
          <w:lang w:eastAsia="en-AU"/>
        </w:rPr>
        <w:t xml:space="preserve">Therapeutic Goods (Permissible Ingredients) Determination (No. </w:t>
      </w:r>
      <w:r w:rsidR="004710F8">
        <w:rPr>
          <w:rFonts w:ascii="Times New Roman" w:eastAsia="Times New Roman" w:hAnsi="Times New Roman" w:cs="Times New Roman"/>
          <w:i/>
          <w:lang w:eastAsia="en-AU"/>
        </w:rPr>
        <w:t>3</w:t>
      </w:r>
      <w:r w:rsidR="00211A36" w:rsidRPr="001714A1">
        <w:rPr>
          <w:rFonts w:ascii="Times New Roman" w:eastAsia="Times New Roman" w:hAnsi="Times New Roman" w:cs="Times New Roman"/>
          <w:i/>
          <w:lang w:eastAsia="en-AU"/>
        </w:rPr>
        <w:t>)</w:t>
      </w:r>
      <w:r w:rsidR="00211A36">
        <w:rPr>
          <w:rFonts w:ascii="Times New Roman" w:eastAsia="Times New Roman" w:hAnsi="Times New Roman" w:cs="Times New Roman"/>
          <w:i/>
          <w:lang w:eastAsia="en-AU"/>
        </w:rPr>
        <w:t> </w:t>
      </w:r>
      <w:r w:rsidR="00562CC5" w:rsidRPr="001714A1">
        <w:rPr>
          <w:rFonts w:ascii="Times New Roman" w:eastAsia="Times New Roman" w:hAnsi="Times New Roman" w:cs="Times New Roman"/>
          <w:i/>
          <w:lang w:eastAsia="en-AU"/>
        </w:rPr>
        <w:t xml:space="preserve">2024 </w:t>
      </w:r>
      <w:r w:rsidRPr="001714A1">
        <w:rPr>
          <w:rFonts w:ascii="Times New Roman" w:eastAsia="Times New Roman" w:hAnsi="Times New Roman" w:cs="Times New Roman"/>
          <w:lang w:eastAsia="en-AU"/>
        </w:rPr>
        <w:t>(the former Determination) and specifies those ingredients that may be contained in a medicine that is listed in the Register and requirements in relation to the inclusion of those ingredients in such medicines.</w:t>
      </w:r>
    </w:p>
    <w:p w14:paraId="050C52B1"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44CD0B45"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i/>
          <w:iCs/>
          <w:lang w:eastAsia="en-AU"/>
        </w:rPr>
      </w:pPr>
      <w:r w:rsidRPr="001714A1">
        <w:rPr>
          <w:rFonts w:ascii="Times New Roman" w:eastAsia="Times New Roman" w:hAnsi="Times New Roman" w:cs="Times New Roman"/>
          <w:i/>
          <w:iCs/>
          <w:lang w:eastAsia="en-AU"/>
        </w:rPr>
        <w:t>Background</w:t>
      </w:r>
    </w:p>
    <w:p w14:paraId="09362E09"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val="en-US" w:eastAsia="en-AU"/>
        </w:rPr>
      </w:pPr>
    </w:p>
    <w:p w14:paraId="7E90CC2F"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Medicines that are listed in the Register under section 26A of the Act are considered to be low risk and are not individually evaluated before those medicines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 When listed under section 26AE, these listed medicines are commonly referred to as ‘assessed listed medicines’.</w:t>
      </w:r>
    </w:p>
    <w:p w14:paraId="13F61AC4"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636D960F"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As the safety and quality of medicines listed under sections 26A and 26AE are not evaluated by the TGA before being given marketing approval, the Act contains mechanisms to help ensure that those medicines are of appropriate quality and able to be used safely by consumers. In particular, medicines listed under sections 26A and 26AE may only contain ingredients from an approved list of ingredients that have been evaluated in relation to their quality, safety and suitability for use in such medicines. Sponsors of such medicines may also only use indications (statements of therapeutic use) from a list of pre-approved, low-level indications to ensure that these products do not overstate their therapeutic benefits.</w:t>
      </w:r>
    </w:p>
    <w:p w14:paraId="7E22BAE0"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15682621"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 Paragraphs </w:t>
      </w:r>
      <w:r w:rsidRPr="001714A1">
        <w:rPr>
          <w:rFonts w:ascii="Times New Roman" w:eastAsia="Times New Roman" w:hAnsi="Times New Roman" w:cs="Times New Roman"/>
          <w:lang w:eastAsia="en-AU"/>
        </w:rPr>
        <w:lastRenderedPageBreak/>
        <w:t>26AB(2)(d) and (e) contain equivalent certification requirements for applicants seeking marketing approval in relation to assessed listed medicines. A listed (or assessed listed) medicine may be cancelled from the Register if it appears to the Secretary that such a certification is incorrect.</w:t>
      </w:r>
    </w:p>
    <w:p w14:paraId="578B721D"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1BA5B03C" w14:textId="0B3F5C05"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Separately, items 3, 4A, 5, 7 and 8 of Schedule 4 to the </w:t>
      </w:r>
      <w:r w:rsidRPr="001714A1">
        <w:rPr>
          <w:rFonts w:ascii="Times New Roman" w:eastAsia="Times New Roman" w:hAnsi="Times New Roman" w:cs="Times New Roman"/>
          <w:i/>
          <w:iCs/>
          <w:lang w:eastAsia="en-AU"/>
        </w:rPr>
        <w:t>Therapeutic Goods Regulations 1990</w:t>
      </w:r>
      <w:r w:rsidRPr="001714A1">
        <w:rPr>
          <w:rFonts w:ascii="Times New Roman" w:eastAsia="Times New Roman" w:hAnsi="Times New Roman" w:cs="Times New Roman"/>
          <w:iCs/>
          <w:lang w:eastAsia="en-AU"/>
        </w:rPr>
        <w:t xml:space="preserve"> (the</w:t>
      </w:r>
      <w:r w:rsidR="00266E11">
        <w:rPr>
          <w:rFonts w:ascii="Times New Roman" w:eastAsia="Times New Roman" w:hAnsi="Times New Roman" w:cs="Times New Roman"/>
          <w:iCs/>
          <w:lang w:eastAsia="en-AU"/>
        </w:rPr>
        <w:t> </w:t>
      </w:r>
      <w:r w:rsidRPr="001714A1">
        <w:rPr>
          <w:rFonts w:ascii="Times New Roman" w:eastAsia="Times New Roman" w:hAnsi="Times New Roman" w:cs="Times New Roman"/>
          <w:iCs/>
          <w:lang w:eastAsia="en-AU"/>
        </w:rPr>
        <w:t>Regulations)</w:t>
      </w:r>
      <w:r w:rsidRPr="001714A1">
        <w:rPr>
          <w:rFonts w:ascii="Times New Roman" w:eastAsia="Times New Roman" w:hAnsi="Times New Roman" w:cs="Times New Roman"/>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 and must not contravene a requirement in such a determination.</w:t>
      </w:r>
    </w:p>
    <w:p w14:paraId="3E669E47"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01D2D147"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i/>
          <w:iCs/>
          <w:lang w:eastAsia="en-AU"/>
        </w:rPr>
      </w:pPr>
      <w:r w:rsidRPr="001714A1">
        <w:rPr>
          <w:rFonts w:ascii="Times New Roman" w:eastAsia="Times New Roman" w:hAnsi="Times New Roman" w:cs="Times New Roman"/>
          <w:i/>
          <w:iCs/>
          <w:lang w:eastAsia="en-AU"/>
        </w:rPr>
        <w:t>Purpose</w:t>
      </w:r>
    </w:p>
    <w:p w14:paraId="0FB34F36"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6CF289DB"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The Determination, made under section 26BB of the Act, provides a comprehensive list of ingredients which have been assessed or otherwise considered to be safe for use in listed medicines (including assessed listed medicines), and associated requirements to be followed when using particular ingredients in such products.</w:t>
      </w:r>
    </w:p>
    <w:p w14:paraId="2F9F9317"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17DAAF00" w14:textId="77777777" w:rsidR="007046BC" w:rsidRPr="001714A1" w:rsidRDefault="007046BC" w:rsidP="001714A1">
      <w:pPr>
        <w:spacing w:after="0" w:line="240" w:lineRule="auto"/>
        <w:rPr>
          <w:rFonts w:ascii="Times New Roman" w:eastAsia="Times New Roman" w:hAnsi="Times New Roman" w:cs="Times New Roman"/>
          <w:lang w:val="en-US" w:eastAsia="en-AU"/>
        </w:rPr>
      </w:pPr>
      <w:r w:rsidRPr="001714A1">
        <w:rPr>
          <w:rFonts w:ascii="Times New Roman" w:eastAsia="Times New Roman" w:hAnsi="Times New Roman" w:cs="Times New Roman"/>
          <w:lang w:eastAsia="en-AU"/>
        </w:rPr>
        <w:t>The requirements imposed under the Determination are principally designed to ensure or support the quality and safety of listed medicines that contain permitted ingredients. The requirements may relate, for example, to:</w:t>
      </w:r>
    </w:p>
    <w:p w14:paraId="3B785E14" w14:textId="77777777" w:rsidR="007046BC" w:rsidRPr="001714A1" w:rsidRDefault="007046BC" w:rsidP="001714A1">
      <w:pPr>
        <w:pStyle w:val="ListParagraph"/>
        <w:numPr>
          <w:ilvl w:val="0"/>
          <w:numId w:val="11"/>
        </w:numPr>
        <w:spacing w:before="0" w:beforeAutospacing="0" w:after="0" w:afterAutospacing="0"/>
        <w:ind w:left="714" w:hanging="357"/>
        <w:rPr>
          <w:sz w:val="22"/>
          <w:szCs w:val="22"/>
        </w:rPr>
      </w:pPr>
      <w:r w:rsidRPr="001714A1">
        <w:rPr>
          <w:sz w:val="22"/>
          <w:szCs w:val="22"/>
        </w:rPr>
        <w:t>how a permitted ingredient is to be used in the medicine, that is, as an active, homoeopathic or excipient ingredient;</w:t>
      </w:r>
    </w:p>
    <w:p w14:paraId="13BDFF42" w14:textId="77777777" w:rsidR="007046BC" w:rsidRPr="001714A1" w:rsidRDefault="007046BC" w:rsidP="001714A1">
      <w:pPr>
        <w:pStyle w:val="ListParagraph"/>
        <w:numPr>
          <w:ilvl w:val="0"/>
          <w:numId w:val="11"/>
        </w:numPr>
        <w:spacing w:before="0" w:beforeAutospacing="0" w:after="0" w:afterAutospacing="0"/>
        <w:ind w:left="714" w:hanging="357"/>
        <w:rPr>
          <w:sz w:val="22"/>
          <w:szCs w:val="22"/>
        </w:rPr>
      </w:pPr>
      <w:r w:rsidRPr="001714A1">
        <w:rPr>
          <w:sz w:val="22"/>
          <w:szCs w:val="22"/>
        </w:rPr>
        <w:t>the intended method of ingestion or application of the medicine, for example, oral or topical use;</w:t>
      </w:r>
    </w:p>
    <w:p w14:paraId="7AF64038" w14:textId="77777777" w:rsidR="007046BC" w:rsidRPr="001714A1" w:rsidRDefault="007046BC" w:rsidP="001714A1">
      <w:pPr>
        <w:pStyle w:val="ListParagraph"/>
        <w:numPr>
          <w:ilvl w:val="0"/>
          <w:numId w:val="11"/>
        </w:numPr>
        <w:spacing w:before="0" w:beforeAutospacing="0" w:after="0" w:afterAutospacing="0"/>
        <w:ind w:left="714" w:hanging="357"/>
        <w:rPr>
          <w:sz w:val="22"/>
          <w:szCs w:val="22"/>
        </w:rPr>
      </w:pPr>
      <w:r w:rsidRPr="001714A1">
        <w:rPr>
          <w:sz w:val="22"/>
          <w:szCs w:val="22"/>
        </w:rPr>
        <w:t>the source of the ingredient, or procedures to be followed in its manufacture;</w:t>
      </w:r>
    </w:p>
    <w:p w14:paraId="540A9BDA" w14:textId="77777777" w:rsidR="007046BC" w:rsidRPr="001714A1" w:rsidRDefault="007046BC" w:rsidP="001714A1">
      <w:pPr>
        <w:pStyle w:val="ListParagraph"/>
        <w:numPr>
          <w:ilvl w:val="0"/>
          <w:numId w:val="11"/>
        </w:numPr>
        <w:spacing w:before="0" w:beforeAutospacing="0" w:after="0" w:afterAutospacing="0"/>
        <w:ind w:left="714" w:hanging="357"/>
        <w:rPr>
          <w:sz w:val="22"/>
          <w:szCs w:val="22"/>
        </w:rPr>
      </w:pPr>
      <w:r w:rsidRPr="001714A1">
        <w:rPr>
          <w:sz w:val="22"/>
          <w:szCs w:val="22"/>
        </w:rPr>
        <w:t>appropriate limits on the volume or concentration of an ingredient; and</w:t>
      </w:r>
    </w:p>
    <w:p w14:paraId="3609EF9C" w14:textId="77777777" w:rsidR="007046BC" w:rsidRPr="001714A1" w:rsidRDefault="007046BC" w:rsidP="001714A1">
      <w:pPr>
        <w:pStyle w:val="ListParagraph"/>
        <w:numPr>
          <w:ilvl w:val="0"/>
          <w:numId w:val="11"/>
        </w:numPr>
        <w:spacing w:before="0" w:beforeAutospacing="0" w:after="0" w:afterAutospacing="0"/>
        <w:ind w:left="714" w:hanging="357"/>
        <w:rPr>
          <w:sz w:val="22"/>
          <w:szCs w:val="22"/>
        </w:rPr>
      </w:pPr>
      <w:r w:rsidRPr="001714A1">
        <w:rPr>
          <w:sz w:val="22"/>
          <w:szCs w:val="22"/>
        </w:rPr>
        <w:t>the inclusion of relevant safety information on product labels, for example, allergen advice or advice about the use of medicine containing the ingredient for susceptible members of the population such as children and pregnant women.</w:t>
      </w:r>
    </w:p>
    <w:p w14:paraId="5F5EA1E9" w14:textId="77777777" w:rsidR="00105D61" w:rsidRDefault="00105D61" w:rsidP="00105D61">
      <w:pPr>
        <w:spacing w:after="0" w:line="240" w:lineRule="auto"/>
        <w:rPr>
          <w:rFonts w:ascii="Times New Roman" w:eastAsia="Times New Roman" w:hAnsi="Times New Roman" w:cs="Times New Roman"/>
          <w:lang w:eastAsia="en-AU"/>
        </w:rPr>
      </w:pPr>
    </w:p>
    <w:p w14:paraId="0A1719F0" w14:textId="25483D26" w:rsidR="00105D61" w:rsidRDefault="00105D61" w:rsidP="00105D61">
      <w:pPr>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The Determination incorporates </w:t>
      </w:r>
      <w:r>
        <w:rPr>
          <w:rFonts w:ascii="Times New Roman" w:eastAsia="Times New Roman" w:hAnsi="Times New Roman" w:cs="Times New Roman"/>
          <w:lang w:eastAsia="en-AU"/>
        </w:rPr>
        <w:t>the following changes to th</w:t>
      </w:r>
      <w:r w:rsidRPr="001714A1">
        <w:rPr>
          <w:rFonts w:ascii="Times New Roman" w:eastAsia="Times New Roman" w:hAnsi="Times New Roman" w:cs="Times New Roman"/>
          <w:lang w:eastAsia="en-AU"/>
        </w:rPr>
        <w:t>e former Determination</w:t>
      </w:r>
      <w:r>
        <w:rPr>
          <w:rFonts w:ascii="Times New Roman" w:eastAsia="Times New Roman" w:hAnsi="Times New Roman" w:cs="Times New Roman"/>
          <w:lang w:eastAsia="en-AU"/>
        </w:rPr>
        <w:t>:</w:t>
      </w:r>
    </w:p>
    <w:p w14:paraId="334AC270" w14:textId="77777777" w:rsidR="00105D61" w:rsidRDefault="00105D61" w:rsidP="00105D61">
      <w:pPr>
        <w:spacing w:after="0" w:line="240" w:lineRule="auto"/>
        <w:rPr>
          <w:rFonts w:ascii="Times New Roman" w:eastAsia="Times New Roman" w:hAnsi="Times New Roman" w:cs="Times New Roman"/>
          <w:lang w:eastAsia="en-AU"/>
        </w:rPr>
      </w:pPr>
    </w:p>
    <w:p w14:paraId="561209A5" w14:textId="77777777" w:rsidR="00105D61" w:rsidRPr="00E947B7" w:rsidRDefault="00105D61" w:rsidP="00105D61">
      <w:pPr>
        <w:spacing w:after="0" w:line="240" w:lineRule="auto"/>
        <w:rPr>
          <w:rFonts w:ascii="Times New Roman" w:eastAsia="Times New Roman" w:hAnsi="Times New Roman" w:cs="Times New Roman"/>
          <w:i/>
          <w:iCs/>
          <w:lang w:eastAsia="en-AU"/>
        </w:rPr>
      </w:pPr>
      <w:r>
        <w:rPr>
          <w:rFonts w:ascii="Times New Roman" w:eastAsia="Times New Roman" w:hAnsi="Times New Roman" w:cs="Times New Roman"/>
          <w:i/>
          <w:iCs/>
          <w:lang w:eastAsia="en-AU"/>
        </w:rPr>
        <w:t>New section 6A</w:t>
      </w:r>
    </w:p>
    <w:p w14:paraId="0D08D94F" w14:textId="77777777" w:rsidR="00105D61" w:rsidRPr="00983898" w:rsidRDefault="00105D61" w:rsidP="00105D61">
      <w:pPr>
        <w:pStyle w:val="ListParagraph"/>
        <w:numPr>
          <w:ilvl w:val="0"/>
          <w:numId w:val="57"/>
        </w:numPr>
        <w:spacing w:before="120" w:beforeAutospacing="0" w:after="120" w:afterAutospacing="0"/>
        <w:ind w:left="714" w:hanging="357"/>
        <w:rPr>
          <w:bCs/>
          <w:sz w:val="22"/>
          <w:szCs w:val="22"/>
        </w:rPr>
      </w:pPr>
      <w:r>
        <w:rPr>
          <w:bCs/>
          <w:sz w:val="22"/>
          <w:szCs w:val="22"/>
        </w:rPr>
        <w:t xml:space="preserve">the insertion of a new provision </w:t>
      </w:r>
      <w:r w:rsidRPr="00983898">
        <w:rPr>
          <w:bCs/>
          <w:sz w:val="22"/>
          <w:szCs w:val="22"/>
        </w:rPr>
        <w:t>to permit combined liver-related warnings for multiple ingredients where a similar warning is required for more than one ingredient in a medicine</w:t>
      </w:r>
      <w:r>
        <w:rPr>
          <w:bCs/>
          <w:sz w:val="22"/>
          <w:szCs w:val="22"/>
        </w:rPr>
        <w:t>;</w:t>
      </w:r>
    </w:p>
    <w:p w14:paraId="2785616D" w14:textId="77777777" w:rsidR="00105D61" w:rsidRPr="00E947B7" w:rsidRDefault="00105D61" w:rsidP="00105D61">
      <w:pPr>
        <w:spacing w:before="120" w:after="120"/>
        <w:rPr>
          <w:bCs/>
          <w:i/>
          <w:iCs/>
        </w:rPr>
      </w:pPr>
      <w:r w:rsidRPr="00E947B7">
        <w:rPr>
          <w:rFonts w:ascii="Times New Roman" w:hAnsi="Times New Roman" w:cs="Times New Roman"/>
          <w:bCs/>
          <w:i/>
          <w:iCs/>
        </w:rPr>
        <w:t>Addition of new ingredients</w:t>
      </w:r>
    </w:p>
    <w:p w14:paraId="42F74F24" w14:textId="77777777" w:rsidR="00105D61" w:rsidRPr="005023DF" w:rsidRDefault="00105D61" w:rsidP="00105D61">
      <w:pPr>
        <w:pStyle w:val="ListParagraph"/>
        <w:numPr>
          <w:ilvl w:val="0"/>
          <w:numId w:val="57"/>
        </w:numPr>
        <w:spacing w:before="120" w:beforeAutospacing="0" w:after="120" w:afterAutospacing="0"/>
        <w:ind w:left="714" w:hanging="357"/>
        <w:rPr>
          <w:b/>
          <w:sz w:val="22"/>
          <w:szCs w:val="22"/>
        </w:rPr>
      </w:pPr>
      <w:r w:rsidRPr="005023DF">
        <w:rPr>
          <w:sz w:val="22"/>
          <w:szCs w:val="22"/>
        </w:rPr>
        <w:t xml:space="preserve">the addition of the new ingredient </w:t>
      </w:r>
      <w:r w:rsidRPr="005023DF">
        <w:rPr>
          <w:i/>
          <w:iCs/>
          <w:sz w:val="22"/>
          <w:szCs w:val="22"/>
        </w:rPr>
        <w:t>calcium propionate</w:t>
      </w:r>
      <w:r w:rsidRPr="005023DF">
        <w:rPr>
          <w:sz w:val="22"/>
          <w:szCs w:val="22"/>
        </w:rPr>
        <w:t xml:space="preserve"> for use in listed and assessed listed medicines;</w:t>
      </w:r>
    </w:p>
    <w:p w14:paraId="24A3E8EE" w14:textId="77777777" w:rsidR="00105D61" w:rsidRPr="00410B8A" w:rsidRDefault="00105D61" w:rsidP="00105D61">
      <w:pPr>
        <w:pStyle w:val="ListParagraph"/>
        <w:numPr>
          <w:ilvl w:val="0"/>
          <w:numId w:val="57"/>
        </w:numPr>
        <w:spacing w:after="120" w:afterAutospacing="0"/>
        <w:ind w:left="714" w:hanging="357"/>
        <w:rPr>
          <w:sz w:val="22"/>
          <w:szCs w:val="22"/>
        </w:rPr>
      </w:pPr>
      <w:r w:rsidRPr="00410B8A">
        <w:rPr>
          <w:sz w:val="22"/>
          <w:szCs w:val="22"/>
        </w:rPr>
        <w:t>the addition of the new</w:t>
      </w:r>
      <w:r>
        <w:rPr>
          <w:sz w:val="22"/>
          <w:szCs w:val="22"/>
        </w:rPr>
        <w:t xml:space="preserve"> ingredient</w:t>
      </w:r>
      <w:r w:rsidRPr="00410B8A">
        <w:rPr>
          <w:sz w:val="22"/>
          <w:szCs w:val="22"/>
        </w:rPr>
        <w:t xml:space="preserve"> </w:t>
      </w:r>
      <w:r w:rsidRPr="00410B8A">
        <w:rPr>
          <w:i/>
          <w:iCs/>
          <w:sz w:val="22"/>
          <w:szCs w:val="22"/>
        </w:rPr>
        <w:t>methyl acrylate, methyl methacrylate and methacrylic acid copolymer dispersion</w:t>
      </w:r>
      <w:r w:rsidRPr="00410B8A">
        <w:rPr>
          <w:sz w:val="22"/>
          <w:szCs w:val="22"/>
        </w:rPr>
        <w:t xml:space="preserve"> </w:t>
      </w:r>
      <w:r w:rsidRPr="00410B8A">
        <w:rPr>
          <w:i/>
          <w:iCs/>
          <w:sz w:val="22"/>
          <w:szCs w:val="22"/>
        </w:rPr>
        <w:t>(30 per cent)</w:t>
      </w:r>
      <w:r w:rsidRPr="00410B8A">
        <w:rPr>
          <w:sz w:val="22"/>
          <w:szCs w:val="22"/>
        </w:rPr>
        <w:t xml:space="preserve"> for use in listed and assessed listed medicines. The maximum recommended daily doses are with respect to the 30% aqueous dispersion of a synthetic anionic copolymer based on methyl acrylate, methyl methacrylate, and methacrylic acid;</w:t>
      </w:r>
    </w:p>
    <w:p w14:paraId="3F2BA590" w14:textId="77777777" w:rsidR="00105D61" w:rsidRDefault="00105D61" w:rsidP="00105D61">
      <w:pPr>
        <w:pStyle w:val="ListParagraph"/>
        <w:numPr>
          <w:ilvl w:val="0"/>
          <w:numId w:val="57"/>
        </w:numPr>
        <w:spacing w:after="120" w:afterAutospacing="0"/>
        <w:ind w:left="714" w:hanging="357"/>
        <w:rPr>
          <w:sz w:val="22"/>
          <w:szCs w:val="22"/>
        </w:rPr>
      </w:pPr>
      <w:r w:rsidRPr="00410B8A">
        <w:rPr>
          <w:sz w:val="22"/>
          <w:szCs w:val="22"/>
        </w:rPr>
        <w:t xml:space="preserve">the addition of the new ingredient </w:t>
      </w:r>
      <w:r w:rsidRPr="00410B8A">
        <w:rPr>
          <w:i/>
          <w:iCs/>
          <w:sz w:val="22"/>
          <w:szCs w:val="22"/>
        </w:rPr>
        <w:t>polyacrylate dispersion (30 per cent)</w:t>
      </w:r>
      <w:r w:rsidRPr="00410B8A">
        <w:rPr>
          <w:sz w:val="22"/>
          <w:szCs w:val="22"/>
        </w:rPr>
        <w:t xml:space="preserve"> for use in listed and assessed listed medicines. The maximum recommended daily doses are with respect to the 30% dispersion in water of a copolymer of ethyl acrylate and methyl methacrylate;</w:t>
      </w:r>
    </w:p>
    <w:p w14:paraId="087B5A82" w14:textId="77777777" w:rsidR="00105D61" w:rsidRPr="00E947B7" w:rsidRDefault="00105D61" w:rsidP="00105D61">
      <w:pPr>
        <w:spacing w:before="120" w:after="120"/>
        <w:rPr>
          <w:i/>
          <w:iCs/>
        </w:rPr>
      </w:pPr>
      <w:r w:rsidRPr="00E947B7">
        <w:rPr>
          <w:rFonts w:ascii="Times New Roman" w:hAnsi="Times New Roman" w:cs="Times New Roman"/>
          <w:i/>
          <w:iCs/>
        </w:rPr>
        <w:t>Changes to existing ingredients</w:t>
      </w:r>
    </w:p>
    <w:p w14:paraId="7F4BF4DB" w14:textId="77777777" w:rsidR="00105D61" w:rsidRPr="00410B8A" w:rsidRDefault="00105D61" w:rsidP="00105D61">
      <w:pPr>
        <w:pStyle w:val="ListParagraph"/>
        <w:numPr>
          <w:ilvl w:val="0"/>
          <w:numId w:val="57"/>
        </w:numPr>
        <w:spacing w:before="0" w:beforeAutospacing="0" w:after="120" w:afterAutospacing="0"/>
        <w:ind w:left="714" w:hanging="357"/>
        <w:rPr>
          <w:sz w:val="22"/>
          <w:szCs w:val="22"/>
        </w:rPr>
      </w:pPr>
      <w:r w:rsidRPr="00410B8A">
        <w:rPr>
          <w:sz w:val="22"/>
          <w:szCs w:val="22"/>
        </w:rPr>
        <w:t xml:space="preserve">the change of name for the ingredient </w:t>
      </w:r>
      <w:proofErr w:type="spellStart"/>
      <w:r w:rsidRPr="00410B8A">
        <w:rPr>
          <w:i/>
          <w:iCs/>
          <w:sz w:val="22"/>
          <w:szCs w:val="22"/>
        </w:rPr>
        <w:t>rutoside</w:t>
      </w:r>
      <w:proofErr w:type="spellEnd"/>
      <w:r w:rsidRPr="00410B8A">
        <w:rPr>
          <w:sz w:val="22"/>
          <w:szCs w:val="22"/>
        </w:rPr>
        <w:t xml:space="preserve"> to </w:t>
      </w:r>
      <w:proofErr w:type="spellStart"/>
      <w:r w:rsidRPr="00410B8A">
        <w:rPr>
          <w:i/>
          <w:iCs/>
          <w:sz w:val="22"/>
          <w:szCs w:val="22"/>
        </w:rPr>
        <w:t>rutoside</w:t>
      </w:r>
      <w:proofErr w:type="spellEnd"/>
      <w:r w:rsidRPr="00410B8A">
        <w:rPr>
          <w:i/>
          <w:iCs/>
          <w:sz w:val="22"/>
          <w:szCs w:val="22"/>
        </w:rPr>
        <w:t xml:space="preserve"> trihydrate,</w:t>
      </w:r>
      <w:r w:rsidRPr="00410B8A">
        <w:rPr>
          <w:sz w:val="22"/>
          <w:szCs w:val="22"/>
        </w:rPr>
        <w:t xml:space="preserve"> to align with the original evaluation</w:t>
      </w:r>
      <w:r>
        <w:rPr>
          <w:sz w:val="22"/>
          <w:szCs w:val="22"/>
        </w:rPr>
        <w:t>,</w:t>
      </w:r>
      <w:r w:rsidRPr="00410B8A">
        <w:rPr>
          <w:sz w:val="22"/>
          <w:szCs w:val="22"/>
        </w:rPr>
        <w:t xml:space="preserve"> which approved this specific hydration state, as well as the simultaneous addition of a new ingredient </w:t>
      </w:r>
      <w:proofErr w:type="spellStart"/>
      <w:r w:rsidRPr="00410B8A">
        <w:rPr>
          <w:i/>
          <w:iCs/>
          <w:sz w:val="22"/>
          <w:szCs w:val="22"/>
        </w:rPr>
        <w:t>rutoside</w:t>
      </w:r>
      <w:proofErr w:type="spellEnd"/>
      <w:r>
        <w:rPr>
          <w:sz w:val="22"/>
          <w:szCs w:val="22"/>
        </w:rPr>
        <w:t>,</w:t>
      </w:r>
      <w:r w:rsidRPr="00410B8A">
        <w:rPr>
          <w:sz w:val="22"/>
          <w:szCs w:val="22"/>
        </w:rPr>
        <w:t xml:space="preserve"> to allow for sponsors to continue using anhydrous </w:t>
      </w:r>
      <w:proofErr w:type="spellStart"/>
      <w:r w:rsidRPr="00410B8A">
        <w:rPr>
          <w:i/>
          <w:iCs/>
          <w:sz w:val="22"/>
          <w:szCs w:val="22"/>
        </w:rPr>
        <w:t>rutoside</w:t>
      </w:r>
      <w:proofErr w:type="spellEnd"/>
      <w:r w:rsidRPr="00410B8A">
        <w:rPr>
          <w:i/>
          <w:iCs/>
          <w:sz w:val="22"/>
          <w:szCs w:val="22"/>
        </w:rPr>
        <w:t xml:space="preserve"> </w:t>
      </w:r>
      <w:r w:rsidRPr="00410B8A">
        <w:rPr>
          <w:sz w:val="22"/>
          <w:szCs w:val="22"/>
        </w:rPr>
        <w:t>in listed medicines;</w:t>
      </w:r>
    </w:p>
    <w:p w14:paraId="1FFD6847" w14:textId="77777777" w:rsidR="00105D61" w:rsidRPr="00410B8A" w:rsidRDefault="00105D61" w:rsidP="00105D61">
      <w:pPr>
        <w:pStyle w:val="ListParagraph"/>
        <w:numPr>
          <w:ilvl w:val="0"/>
          <w:numId w:val="57"/>
        </w:numPr>
        <w:spacing w:before="0" w:beforeAutospacing="0" w:after="120" w:afterAutospacing="0"/>
        <w:contextualSpacing/>
        <w:rPr>
          <w:sz w:val="22"/>
          <w:szCs w:val="22"/>
          <w:lang w:eastAsia="en-US"/>
        </w:rPr>
      </w:pPr>
      <w:r>
        <w:rPr>
          <w:sz w:val="22"/>
          <w:szCs w:val="22"/>
          <w:lang w:eastAsia="en-US"/>
        </w:rPr>
        <w:lastRenderedPageBreak/>
        <w:t>amendments</w:t>
      </w:r>
      <w:r w:rsidRPr="00410B8A">
        <w:rPr>
          <w:sz w:val="22"/>
          <w:szCs w:val="22"/>
          <w:lang w:eastAsia="en-US"/>
        </w:rPr>
        <w:t xml:space="preserve"> to the requirements for</w:t>
      </w:r>
      <w:r>
        <w:rPr>
          <w:sz w:val="22"/>
          <w:szCs w:val="22"/>
          <w:lang w:eastAsia="en-US"/>
        </w:rPr>
        <w:t xml:space="preserve"> the following</w:t>
      </w:r>
      <w:r w:rsidRPr="00410B8A">
        <w:rPr>
          <w:sz w:val="22"/>
          <w:szCs w:val="22"/>
          <w:lang w:eastAsia="en-US"/>
        </w:rPr>
        <w:t xml:space="preserve"> two ingredients</w:t>
      </w:r>
      <w:r>
        <w:rPr>
          <w:sz w:val="22"/>
          <w:szCs w:val="22"/>
          <w:lang w:eastAsia="en-US"/>
        </w:rPr>
        <w:t xml:space="preserve"> to align with the </w:t>
      </w:r>
      <w:r w:rsidRPr="00410B8A">
        <w:rPr>
          <w:sz w:val="22"/>
          <w:szCs w:val="22"/>
          <w:lang w:eastAsia="en-US"/>
        </w:rPr>
        <w:t>requirements in the Poisons Standard</w:t>
      </w:r>
      <w:r>
        <w:rPr>
          <w:sz w:val="22"/>
          <w:szCs w:val="22"/>
          <w:lang w:eastAsia="en-US"/>
        </w:rPr>
        <w:t xml:space="preserve">, as well as </w:t>
      </w:r>
      <w:r w:rsidRPr="00410B8A">
        <w:rPr>
          <w:sz w:val="22"/>
          <w:szCs w:val="22"/>
          <w:lang w:eastAsia="en-US"/>
        </w:rPr>
        <w:t>minor formatting changes and correction of minor typographical errors for the purpose of improving the internal consistency of the Determination</w:t>
      </w:r>
      <w:r>
        <w:rPr>
          <w:sz w:val="22"/>
          <w:szCs w:val="22"/>
          <w:lang w:eastAsia="en-US"/>
        </w:rPr>
        <w:t>:</w:t>
      </w:r>
    </w:p>
    <w:p w14:paraId="579622DD" w14:textId="77777777" w:rsidR="00105D61" w:rsidRPr="00410B8A" w:rsidRDefault="00105D61" w:rsidP="00105D61">
      <w:pPr>
        <w:pStyle w:val="ListParagraph"/>
        <w:numPr>
          <w:ilvl w:val="1"/>
          <w:numId w:val="57"/>
        </w:numPr>
        <w:spacing w:before="0" w:beforeAutospacing="0" w:after="120" w:afterAutospacing="0"/>
        <w:contextualSpacing/>
        <w:rPr>
          <w:sz w:val="22"/>
          <w:szCs w:val="22"/>
          <w:lang w:eastAsia="en-US"/>
        </w:rPr>
      </w:pPr>
      <w:r w:rsidRPr="00410B8A">
        <w:rPr>
          <w:i/>
          <w:iCs/>
          <w:sz w:val="22"/>
          <w:szCs w:val="22"/>
          <w:lang w:eastAsia="en-US"/>
        </w:rPr>
        <w:t>Rosmarinus officinalis</w:t>
      </w:r>
      <w:r w:rsidRPr="00410B8A">
        <w:rPr>
          <w:sz w:val="22"/>
          <w:szCs w:val="22"/>
          <w:lang w:eastAsia="en-US"/>
        </w:rPr>
        <w:t>; and</w:t>
      </w:r>
    </w:p>
    <w:p w14:paraId="35C46588" w14:textId="77777777" w:rsidR="00105D61" w:rsidRPr="00410B8A" w:rsidRDefault="00105D61" w:rsidP="00105D61">
      <w:pPr>
        <w:pStyle w:val="ListParagraph"/>
        <w:numPr>
          <w:ilvl w:val="1"/>
          <w:numId w:val="57"/>
        </w:numPr>
        <w:spacing w:before="0" w:beforeAutospacing="0" w:after="120" w:afterAutospacing="0"/>
        <w:ind w:left="1434" w:hanging="357"/>
        <w:rPr>
          <w:sz w:val="22"/>
          <w:szCs w:val="22"/>
          <w:lang w:eastAsia="en-US"/>
        </w:rPr>
      </w:pPr>
      <w:r w:rsidRPr="00410B8A">
        <w:rPr>
          <w:i/>
          <w:iCs/>
          <w:sz w:val="22"/>
          <w:szCs w:val="22"/>
          <w:lang w:eastAsia="en-US"/>
        </w:rPr>
        <w:t>Sodium hypochlorite</w:t>
      </w:r>
      <w:r w:rsidRPr="00410B8A">
        <w:rPr>
          <w:sz w:val="22"/>
          <w:szCs w:val="22"/>
          <w:lang w:eastAsia="en-US"/>
        </w:rPr>
        <w:t>;</w:t>
      </w:r>
    </w:p>
    <w:p w14:paraId="4A77E5CD" w14:textId="77777777" w:rsidR="00105D61" w:rsidRPr="00410B8A" w:rsidRDefault="00105D61" w:rsidP="00105D61">
      <w:pPr>
        <w:pStyle w:val="ListParagraph"/>
        <w:numPr>
          <w:ilvl w:val="0"/>
          <w:numId w:val="53"/>
        </w:numPr>
        <w:shd w:val="clear" w:color="auto" w:fill="FFFFFF"/>
        <w:spacing w:before="120" w:beforeAutospacing="0" w:after="120" w:afterAutospacing="0"/>
        <w:ind w:left="714" w:hanging="357"/>
        <w:rPr>
          <w:sz w:val="22"/>
          <w:szCs w:val="22"/>
        </w:rPr>
      </w:pPr>
      <w:r>
        <w:rPr>
          <w:sz w:val="22"/>
          <w:szCs w:val="22"/>
        </w:rPr>
        <w:t>amendments</w:t>
      </w:r>
      <w:r w:rsidRPr="00410B8A">
        <w:rPr>
          <w:sz w:val="22"/>
          <w:szCs w:val="22"/>
        </w:rPr>
        <w:t xml:space="preserve"> to the requirements for the ingredient </w:t>
      </w:r>
      <w:r w:rsidRPr="00410B8A">
        <w:rPr>
          <w:i/>
          <w:iCs/>
          <w:sz w:val="22"/>
          <w:szCs w:val="22"/>
        </w:rPr>
        <w:t xml:space="preserve">Leptospermum </w:t>
      </w:r>
      <w:proofErr w:type="spellStart"/>
      <w:r w:rsidRPr="00410B8A">
        <w:rPr>
          <w:i/>
          <w:iCs/>
          <w:sz w:val="22"/>
          <w:szCs w:val="22"/>
        </w:rPr>
        <w:t>scoparium</w:t>
      </w:r>
      <w:proofErr w:type="spellEnd"/>
      <w:r w:rsidRPr="00410B8A">
        <w:rPr>
          <w:i/>
          <w:iCs/>
          <w:sz w:val="22"/>
          <w:szCs w:val="22"/>
        </w:rPr>
        <w:t xml:space="preserve"> oil </w:t>
      </w:r>
      <w:r w:rsidRPr="00410B8A">
        <w:rPr>
          <w:sz w:val="22"/>
          <w:szCs w:val="22"/>
        </w:rPr>
        <w:t>for the purpose of enhancing clarity</w:t>
      </w:r>
      <w:r>
        <w:rPr>
          <w:sz w:val="22"/>
          <w:szCs w:val="22"/>
        </w:rPr>
        <w:t xml:space="preserve"> and correcting the volume limits for the nominal container capacity that trigger the requirement for a restricted flow insert, to align with the requirements outlined in the Poisons Standard, as well as </w:t>
      </w:r>
      <w:r w:rsidRPr="00410B8A">
        <w:rPr>
          <w:sz w:val="22"/>
          <w:szCs w:val="22"/>
        </w:rPr>
        <w:t>minor formatting changes to improve the internal consistency of the Determination;</w:t>
      </w:r>
    </w:p>
    <w:p w14:paraId="74B7C9AD" w14:textId="77777777" w:rsidR="00105D61" w:rsidRPr="00410B8A" w:rsidRDefault="00105D61" w:rsidP="00105D61">
      <w:pPr>
        <w:pStyle w:val="ListParagraph"/>
        <w:numPr>
          <w:ilvl w:val="0"/>
          <w:numId w:val="57"/>
        </w:numPr>
        <w:spacing w:before="0" w:beforeAutospacing="0" w:after="0" w:afterAutospacing="0"/>
        <w:ind w:left="714" w:hanging="357"/>
        <w:rPr>
          <w:sz w:val="22"/>
          <w:szCs w:val="22"/>
        </w:rPr>
      </w:pPr>
      <w:r w:rsidRPr="00410B8A">
        <w:rPr>
          <w:sz w:val="22"/>
          <w:szCs w:val="22"/>
        </w:rPr>
        <w:t>updates to applicable specific requirements, as well as minor formatting changes and correction of minor grammatical errors</w:t>
      </w:r>
      <w:r>
        <w:rPr>
          <w:sz w:val="22"/>
          <w:szCs w:val="22"/>
        </w:rPr>
        <w:t>,</w:t>
      </w:r>
      <w:r w:rsidRPr="00410B8A">
        <w:rPr>
          <w:sz w:val="22"/>
          <w:szCs w:val="22"/>
        </w:rPr>
        <w:t xml:space="preserve"> for the purpose of improving the internal consistency of the Determination, for the following ingredients:</w:t>
      </w:r>
    </w:p>
    <w:p w14:paraId="49C0FABE" w14:textId="77777777" w:rsidR="00105D61" w:rsidRPr="00410B8A" w:rsidRDefault="00105D61" w:rsidP="00105D61">
      <w:pPr>
        <w:pStyle w:val="ListParagraph"/>
        <w:numPr>
          <w:ilvl w:val="1"/>
          <w:numId w:val="57"/>
        </w:numPr>
        <w:spacing w:after="0"/>
        <w:rPr>
          <w:sz w:val="22"/>
          <w:szCs w:val="22"/>
        </w:rPr>
      </w:pPr>
      <w:r w:rsidRPr="00410B8A">
        <w:rPr>
          <w:i/>
          <w:iCs/>
          <w:sz w:val="22"/>
          <w:szCs w:val="22"/>
        </w:rPr>
        <w:t>Ruta graveolens</w:t>
      </w:r>
      <w:r w:rsidRPr="00410B8A">
        <w:rPr>
          <w:sz w:val="22"/>
          <w:szCs w:val="22"/>
        </w:rPr>
        <w:t xml:space="preserve"> and </w:t>
      </w:r>
      <w:r w:rsidRPr="00410B8A">
        <w:rPr>
          <w:i/>
          <w:iCs/>
          <w:sz w:val="22"/>
          <w:szCs w:val="22"/>
        </w:rPr>
        <w:t>rue oil</w:t>
      </w:r>
      <w:r w:rsidRPr="00410B8A">
        <w:rPr>
          <w:sz w:val="22"/>
          <w:szCs w:val="22"/>
        </w:rPr>
        <w:t>: to add requirements relating to the availability of the ingredients, and to add warning statements related to pregnancy and lactation, and sunlight sensitivity;</w:t>
      </w:r>
    </w:p>
    <w:p w14:paraId="0B601F79" w14:textId="77777777" w:rsidR="00105D61" w:rsidRPr="00410B8A" w:rsidRDefault="00105D61" w:rsidP="00105D61">
      <w:pPr>
        <w:pStyle w:val="ListParagraph"/>
        <w:numPr>
          <w:ilvl w:val="1"/>
          <w:numId w:val="57"/>
        </w:numPr>
        <w:spacing w:after="0"/>
        <w:rPr>
          <w:sz w:val="22"/>
          <w:szCs w:val="22"/>
        </w:rPr>
      </w:pPr>
      <w:r w:rsidRPr="00410B8A">
        <w:rPr>
          <w:i/>
          <w:iCs/>
          <w:sz w:val="22"/>
          <w:szCs w:val="22"/>
        </w:rPr>
        <w:t xml:space="preserve">Parsley herb dry, parsley herb oil, parsley herb powder, parsley seed oil </w:t>
      </w:r>
      <w:r w:rsidRPr="00410B8A">
        <w:rPr>
          <w:sz w:val="22"/>
          <w:szCs w:val="22"/>
        </w:rPr>
        <w:t>and</w:t>
      </w:r>
      <w:r w:rsidRPr="00410B8A">
        <w:rPr>
          <w:i/>
          <w:iCs/>
          <w:sz w:val="22"/>
          <w:szCs w:val="22"/>
        </w:rPr>
        <w:t xml:space="preserve"> Petroselinum </w:t>
      </w:r>
      <w:proofErr w:type="spellStart"/>
      <w:r w:rsidRPr="00410B8A">
        <w:rPr>
          <w:i/>
          <w:iCs/>
          <w:sz w:val="22"/>
          <w:szCs w:val="22"/>
        </w:rPr>
        <w:t>crispum</w:t>
      </w:r>
      <w:proofErr w:type="spellEnd"/>
      <w:r w:rsidRPr="00410B8A">
        <w:rPr>
          <w:sz w:val="22"/>
          <w:szCs w:val="22"/>
        </w:rPr>
        <w:t>: to add requirements for a pregnancy warning to be included on the label except when the ingredient is used at very low concentrations;</w:t>
      </w:r>
    </w:p>
    <w:p w14:paraId="01A40D46" w14:textId="77777777" w:rsidR="00105D61" w:rsidRPr="00410B8A" w:rsidRDefault="00105D61" w:rsidP="00105D61">
      <w:pPr>
        <w:pStyle w:val="ListParagraph"/>
        <w:numPr>
          <w:ilvl w:val="1"/>
          <w:numId w:val="57"/>
        </w:numPr>
        <w:spacing w:after="0"/>
        <w:rPr>
          <w:sz w:val="22"/>
          <w:szCs w:val="22"/>
        </w:rPr>
      </w:pPr>
      <w:r w:rsidRPr="00410B8A">
        <w:rPr>
          <w:i/>
          <w:iCs/>
          <w:sz w:val="22"/>
          <w:szCs w:val="22"/>
        </w:rPr>
        <w:t xml:space="preserve">Calcium hydroxycitrate, Garcinia gummi-gutta, Garcinia quaesita, hydroxycitrate complex, hydroxycitric acid, potassium hydroxycitrate </w:t>
      </w:r>
      <w:r w:rsidRPr="00410B8A">
        <w:rPr>
          <w:sz w:val="22"/>
          <w:szCs w:val="22"/>
        </w:rPr>
        <w:t>and</w:t>
      </w:r>
      <w:r w:rsidRPr="00410B8A">
        <w:rPr>
          <w:i/>
          <w:iCs/>
          <w:sz w:val="22"/>
          <w:szCs w:val="22"/>
        </w:rPr>
        <w:t xml:space="preserve"> sodium hydroxycitrate</w:t>
      </w:r>
      <w:r w:rsidRPr="00410B8A">
        <w:rPr>
          <w:sz w:val="22"/>
          <w:szCs w:val="22"/>
        </w:rPr>
        <w:t>: to add requirements that</w:t>
      </w:r>
      <w:r>
        <w:rPr>
          <w:sz w:val="22"/>
          <w:szCs w:val="22"/>
        </w:rPr>
        <w:t>,</w:t>
      </w:r>
      <w:r w:rsidRPr="00410B8A">
        <w:rPr>
          <w:sz w:val="22"/>
          <w:szCs w:val="22"/>
        </w:rPr>
        <w:t xml:space="preserve"> when for oral use</w:t>
      </w:r>
      <w:r>
        <w:rPr>
          <w:sz w:val="22"/>
          <w:szCs w:val="22"/>
        </w:rPr>
        <w:t>,</w:t>
      </w:r>
      <w:r w:rsidRPr="00410B8A">
        <w:rPr>
          <w:sz w:val="22"/>
          <w:szCs w:val="22"/>
        </w:rPr>
        <w:t xml:space="preserve"> a liver injury warning statement must be included on the medicine label, and that medicines containing these ingredients must not be directed for use in children or pregnant or lactating women;</w:t>
      </w:r>
    </w:p>
    <w:p w14:paraId="0D9DDF45" w14:textId="77777777" w:rsidR="00105D61" w:rsidRPr="00410B8A" w:rsidRDefault="00105D61" w:rsidP="00105D61">
      <w:pPr>
        <w:pStyle w:val="ListParagraph"/>
        <w:numPr>
          <w:ilvl w:val="1"/>
          <w:numId w:val="57"/>
        </w:numPr>
        <w:spacing w:after="0"/>
        <w:rPr>
          <w:sz w:val="22"/>
          <w:szCs w:val="22"/>
        </w:rPr>
      </w:pPr>
      <w:r w:rsidRPr="006C587C">
        <w:rPr>
          <w:i/>
          <w:iCs/>
          <w:sz w:val="22"/>
          <w:szCs w:val="22"/>
        </w:rPr>
        <w:t>Calcium hydroxycitrate</w:t>
      </w:r>
      <w:r>
        <w:rPr>
          <w:i/>
          <w:iCs/>
          <w:sz w:val="22"/>
          <w:szCs w:val="22"/>
        </w:rPr>
        <w:t>,</w:t>
      </w:r>
      <w:r w:rsidRPr="006C587C">
        <w:rPr>
          <w:i/>
          <w:iCs/>
          <w:sz w:val="22"/>
          <w:szCs w:val="22"/>
        </w:rPr>
        <w:t xml:space="preserve"> </w:t>
      </w:r>
      <w:r w:rsidRPr="00410B8A">
        <w:rPr>
          <w:i/>
          <w:iCs/>
          <w:sz w:val="22"/>
          <w:szCs w:val="22"/>
        </w:rPr>
        <w:t>Garcinia gummi-gutta</w:t>
      </w:r>
      <w:r>
        <w:rPr>
          <w:i/>
          <w:iCs/>
          <w:sz w:val="22"/>
          <w:szCs w:val="22"/>
        </w:rPr>
        <w:t xml:space="preserve">, </w:t>
      </w:r>
      <w:r w:rsidRPr="006C587C">
        <w:rPr>
          <w:i/>
          <w:iCs/>
          <w:sz w:val="22"/>
          <w:szCs w:val="22"/>
        </w:rPr>
        <w:t>garcinia quaesita</w:t>
      </w:r>
      <w:r>
        <w:rPr>
          <w:i/>
          <w:iCs/>
          <w:sz w:val="22"/>
          <w:szCs w:val="22"/>
        </w:rPr>
        <w:t xml:space="preserve">, </w:t>
      </w:r>
      <w:r w:rsidRPr="006C587C">
        <w:rPr>
          <w:i/>
          <w:iCs/>
          <w:sz w:val="22"/>
          <w:szCs w:val="22"/>
        </w:rPr>
        <w:t>hydroxycitrate complex</w:t>
      </w:r>
      <w:r>
        <w:rPr>
          <w:i/>
          <w:iCs/>
          <w:sz w:val="22"/>
          <w:szCs w:val="22"/>
        </w:rPr>
        <w:t xml:space="preserve">, </w:t>
      </w:r>
      <w:r w:rsidRPr="006C587C">
        <w:rPr>
          <w:i/>
          <w:iCs/>
          <w:sz w:val="22"/>
          <w:szCs w:val="22"/>
        </w:rPr>
        <w:t>hydroxycitric acid</w:t>
      </w:r>
      <w:r>
        <w:rPr>
          <w:i/>
          <w:iCs/>
          <w:sz w:val="22"/>
          <w:szCs w:val="22"/>
        </w:rPr>
        <w:t xml:space="preserve">, </w:t>
      </w:r>
      <w:r w:rsidRPr="006C587C">
        <w:rPr>
          <w:i/>
          <w:iCs/>
          <w:sz w:val="22"/>
          <w:szCs w:val="22"/>
        </w:rPr>
        <w:t>potassium hydroxycitrate</w:t>
      </w:r>
      <w:r>
        <w:rPr>
          <w:i/>
          <w:iCs/>
          <w:sz w:val="22"/>
          <w:szCs w:val="22"/>
        </w:rPr>
        <w:t xml:space="preserve"> </w:t>
      </w:r>
      <w:r w:rsidRPr="00342A24">
        <w:rPr>
          <w:sz w:val="22"/>
          <w:szCs w:val="22"/>
        </w:rPr>
        <w:t>and</w:t>
      </w:r>
      <w:r>
        <w:rPr>
          <w:i/>
          <w:iCs/>
          <w:sz w:val="22"/>
          <w:szCs w:val="22"/>
        </w:rPr>
        <w:t xml:space="preserve"> </w:t>
      </w:r>
      <w:r w:rsidRPr="006C587C">
        <w:rPr>
          <w:i/>
          <w:iCs/>
          <w:sz w:val="22"/>
          <w:szCs w:val="22"/>
        </w:rPr>
        <w:t>sodium hydroxycitrate</w:t>
      </w:r>
      <w:r w:rsidRPr="00410B8A">
        <w:rPr>
          <w:i/>
          <w:iCs/>
          <w:sz w:val="22"/>
          <w:szCs w:val="22"/>
        </w:rPr>
        <w:t xml:space="preserve">: </w:t>
      </w:r>
      <w:r>
        <w:rPr>
          <w:sz w:val="22"/>
          <w:szCs w:val="22"/>
        </w:rPr>
        <w:t xml:space="preserve">to amend </w:t>
      </w:r>
      <w:r w:rsidRPr="00410B8A">
        <w:rPr>
          <w:sz w:val="22"/>
          <w:szCs w:val="22"/>
        </w:rPr>
        <w:t xml:space="preserve">the </w:t>
      </w:r>
      <w:r>
        <w:rPr>
          <w:sz w:val="22"/>
          <w:szCs w:val="22"/>
        </w:rPr>
        <w:t xml:space="preserve">current </w:t>
      </w:r>
      <w:r w:rsidRPr="00410B8A">
        <w:rPr>
          <w:sz w:val="22"/>
          <w:szCs w:val="22"/>
        </w:rPr>
        <w:t xml:space="preserve">requirements to clarify the availability </w:t>
      </w:r>
      <w:r>
        <w:rPr>
          <w:sz w:val="22"/>
          <w:szCs w:val="22"/>
        </w:rPr>
        <w:t xml:space="preserve">of, </w:t>
      </w:r>
      <w:r w:rsidRPr="00410B8A">
        <w:rPr>
          <w:sz w:val="22"/>
          <w:szCs w:val="22"/>
        </w:rPr>
        <w:t>and plant part permitted</w:t>
      </w:r>
      <w:r>
        <w:rPr>
          <w:sz w:val="22"/>
          <w:szCs w:val="22"/>
        </w:rPr>
        <w:t>,</w:t>
      </w:r>
      <w:r w:rsidRPr="00410B8A">
        <w:rPr>
          <w:sz w:val="22"/>
          <w:szCs w:val="22"/>
        </w:rPr>
        <w:t xml:space="preserve"> for use in listed medicines;</w:t>
      </w:r>
    </w:p>
    <w:p w14:paraId="7C8B0D51" w14:textId="77777777" w:rsidR="00105D61" w:rsidRPr="00410B8A" w:rsidRDefault="00105D61" w:rsidP="00105D61">
      <w:pPr>
        <w:pStyle w:val="ListParagraph"/>
        <w:numPr>
          <w:ilvl w:val="1"/>
          <w:numId w:val="57"/>
        </w:numPr>
        <w:spacing w:after="0"/>
        <w:rPr>
          <w:sz w:val="22"/>
          <w:szCs w:val="22"/>
        </w:rPr>
      </w:pPr>
      <w:r w:rsidRPr="00410B8A">
        <w:rPr>
          <w:i/>
          <w:iCs/>
          <w:sz w:val="22"/>
          <w:szCs w:val="22"/>
        </w:rPr>
        <w:t xml:space="preserve">Xanthium sibiricum </w:t>
      </w:r>
      <w:r w:rsidRPr="00410B8A">
        <w:rPr>
          <w:sz w:val="22"/>
          <w:szCs w:val="22"/>
        </w:rPr>
        <w:t>and</w:t>
      </w:r>
      <w:r w:rsidRPr="00410B8A">
        <w:rPr>
          <w:i/>
          <w:iCs/>
          <w:sz w:val="22"/>
          <w:szCs w:val="22"/>
        </w:rPr>
        <w:t xml:space="preserve"> Xanthium strumarium:</w:t>
      </w:r>
      <w:r w:rsidRPr="00410B8A">
        <w:rPr>
          <w:sz w:val="22"/>
          <w:szCs w:val="22"/>
        </w:rPr>
        <w:t xml:space="preserve"> to add requirements related to mandatory components carboxyatractyloside and atractyloside, availability, plant part and preparation, maximum recommended daily dose and that the medicine must not be directed for use in children, those who are pregnant, likely to become pregnant, or lactating;</w:t>
      </w:r>
    </w:p>
    <w:p w14:paraId="7D8ACB0E" w14:textId="77777777" w:rsidR="00105D61" w:rsidRPr="00410B8A" w:rsidRDefault="00105D61" w:rsidP="00105D61">
      <w:pPr>
        <w:pStyle w:val="ListParagraph"/>
        <w:numPr>
          <w:ilvl w:val="1"/>
          <w:numId w:val="57"/>
        </w:numPr>
        <w:spacing w:after="120" w:afterAutospacing="0"/>
        <w:ind w:left="1434" w:hanging="357"/>
        <w:rPr>
          <w:sz w:val="22"/>
          <w:szCs w:val="22"/>
        </w:rPr>
      </w:pPr>
      <w:r w:rsidRPr="00410B8A">
        <w:rPr>
          <w:i/>
          <w:iCs/>
          <w:sz w:val="22"/>
          <w:szCs w:val="22"/>
        </w:rPr>
        <w:t xml:space="preserve">Phenoxyethanol: </w:t>
      </w:r>
      <w:r w:rsidRPr="00410B8A">
        <w:rPr>
          <w:sz w:val="22"/>
          <w:szCs w:val="22"/>
        </w:rPr>
        <w:t>to amend the requirements to change the maximum permitted concentration in a preparation from 15% to 1%;</w:t>
      </w:r>
    </w:p>
    <w:p w14:paraId="509CCC99" w14:textId="77777777" w:rsidR="00105D61" w:rsidRDefault="00105D61" w:rsidP="00105D61">
      <w:pPr>
        <w:pStyle w:val="ListParagraph"/>
        <w:numPr>
          <w:ilvl w:val="0"/>
          <w:numId w:val="53"/>
        </w:numPr>
        <w:shd w:val="clear" w:color="auto" w:fill="FFFFFF"/>
        <w:spacing w:before="120" w:beforeAutospacing="0" w:after="120" w:afterAutospacing="0"/>
        <w:ind w:left="714" w:hanging="357"/>
        <w:rPr>
          <w:sz w:val="22"/>
          <w:szCs w:val="22"/>
        </w:rPr>
      </w:pPr>
      <w:r w:rsidRPr="00410B8A">
        <w:rPr>
          <w:sz w:val="22"/>
          <w:szCs w:val="22"/>
        </w:rPr>
        <w:t xml:space="preserve">changes to the specific requirements for </w:t>
      </w:r>
      <w:r w:rsidRPr="00410B8A">
        <w:rPr>
          <w:i/>
          <w:iCs/>
          <w:sz w:val="22"/>
          <w:szCs w:val="22"/>
        </w:rPr>
        <w:t>Eucalyptus oil</w:t>
      </w:r>
      <w:r w:rsidRPr="00410B8A">
        <w:rPr>
          <w:sz w:val="22"/>
          <w:szCs w:val="22"/>
        </w:rPr>
        <w:t xml:space="preserve"> to remove the plant preparation text; and minor formatting changes for the purpose of improving the internal consistency of the Determination;</w:t>
      </w:r>
    </w:p>
    <w:p w14:paraId="2A61F4CE" w14:textId="77777777" w:rsidR="00105D61" w:rsidRPr="00410B8A" w:rsidRDefault="00105D61" w:rsidP="00105D61">
      <w:pPr>
        <w:pStyle w:val="ListParagraph"/>
        <w:numPr>
          <w:ilvl w:val="0"/>
          <w:numId w:val="57"/>
        </w:numPr>
        <w:spacing w:before="0" w:beforeAutospacing="0" w:after="120" w:afterAutospacing="0"/>
        <w:ind w:left="714" w:hanging="357"/>
        <w:rPr>
          <w:sz w:val="22"/>
          <w:szCs w:val="22"/>
        </w:rPr>
      </w:pPr>
      <w:r w:rsidRPr="00D675CE">
        <w:rPr>
          <w:sz w:val="22"/>
          <w:szCs w:val="22"/>
        </w:rPr>
        <w:t xml:space="preserve">amendments to the specific requirements for the ingredient </w:t>
      </w:r>
      <w:r w:rsidRPr="00410B8A">
        <w:rPr>
          <w:i/>
          <w:iCs/>
          <w:sz w:val="22"/>
          <w:szCs w:val="22"/>
        </w:rPr>
        <w:t>methyl hydrojasmonate</w:t>
      </w:r>
      <w:r w:rsidRPr="00D675CE">
        <w:rPr>
          <w:sz w:val="22"/>
          <w:szCs w:val="22"/>
        </w:rPr>
        <w:t>, in relation to its use in flavour proprietary excipient formulations</w:t>
      </w:r>
      <w:r>
        <w:rPr>
          <w:sz w:val="22"/>
          <w:szCs w:val="22"/>
        </w:rPr>
        <w:t xml:space="preserve">, and </w:t>
      </w:r>
      <w:r w:rsidRPr="00E947B7">
        <w:rPr>
          <w:sz w:val="22"/>
          <w:szCs w:val="22"/>
        </w:rPr>
        <w:t xml:space="preserve">minor formatting </w:t>
      </w:r>
      <w:r w:rsidRPr="00410B8A">
        <w:rPr>
          <w:sz w:val="22"/>
          <w:szCs w:val="22"/>
        </w:rPr>
        <w:t>changes for the purposes of improving the internal consistency of the Determination;</w:t>
      </w:r>
    </w:p>
    <w:p w14:paraId="0AF959E8" w14:textId="77777777" w:rsidR="00105D61" w:rsidRPr="00410B8A" w:rsidRDefault="00105D61" w:rsidP="00105D61">
      <w:pPr>
        <w:pStyle w:val="ListParagraph"/>
        <w:numPr>
          <w:ilvl w:val="0"/>
          <w:numId w:val="57"/>
        </w:numPr>
        <w:spacing w:after="120" w:afterAutospacing="0"/>
        <w:ind w:left="714" w:hanging="357"/>
        <w:rPr>
          <w:sz w:val="22"/>
          <w:szCs w:val="22"/>
        </w:rPr>
      </w:pPr>
      <w:r w:rsidRPr="00D675CE">
        <w:rPr>
          <w:sz w:val="22"/>
          <w:szCs w:val="22"/>
        </w:rPr>
        <w:t xml:space="preserve">updates to applicable requirements for the ingredient </w:t>
      </w:r>
      <w:r w:rsidRPr="00410B8A">
        <w:rPr>
          <w:i/>
          <w:iCs/>
          <w:sz w:val="22"/>
          <w:szCs w:val="22"/>
        </w:rPr>
        <w:t>Citrullus vulgaris</w:t>
      </w:r>
      <w:r w:rsidRPr="00410B8A">
        <w:rPr>
          <w:sz w:val="22"/>
          <w:szCs w:val="22"/>
        </w:rPr>
        <w:t xml:space="preserve">, to allow for its use as </w:t>
      </w:r>
      <w:r>
        <w:rPr>
          <w:sz w:val="22"/>
          <w:szCs w:val="22"/>
        </w:rPr>
        <w:t xml:space="preserve">an </w:t>
      </w:r>
      <w:r w:rsidRPr="00410B8A">
        <w:rPr>
          <w:sz w:val="22"/>
          <w:szCs w:val="22"/>
        </w:rPr>
        <w:t>excipient with restrictions that are consistent with another synonymous ingredient, ‘water melon’</w:t>
      </w:r>
      <w:r>
        <w:rPr>
          <w:sz w:val="22"/>
          <w:szCs w:val="22"/>
        </w:rPr>
        <w:t>, as well as the removal of the ‘water melon’</w:t>
      </w:r>
      <w:r w:rsidRPr="00C54CD2">
        <w:rPr>
          <w:sz w:val="22"/>
          <w:szCs w:val="22"/>
        </w:rPr>
        <w:t xml:space="preserve"> </w:t>
      </w:r>
      <w:r w:rsidRPr="00410B8A">
        <w:rPr>
          <w:sz w:val="22"/>
          <w:szCs w:val="22"/>
        </w:rPr>
        <w:t>Approved Food Name (AFN) category</w:t>
      </w:r>
      <w:r>
        <w:rPr>
          <w:sz w:val="22"/>
          <w:szCs w:val="22"/>
        </w:rPr>
        <w:t>,</w:t>
      </w:r>
      <w:r w:rsidRPr="00410B8A">
        <w:rPr>
          <w:sz w:val="22"/>
          <w:szCs w:val="22"/>
        </w:rPr>
        <w:t xml:space="preserve"> that </w:t>
      </w:r>
      <w:r>
        <w:rPr>
          <w:sz w:val="22"/>
          <w:szCs w:val="22"/>
        </w:rPr>
        <w:t>is a</w:t>
      </w:r>
      <w:r w:rsidRPr="00410B8A">
        <w:rPr>
          <w:sz w:val="22"/>
          <w:szCs w:val="22"/>
        </w:rPr>
        <w:t xml:space="preserve"> duplicate substance and which remain</w:t>
      </w:r>
      <w:r>
        <w:rPr>
          <w:sz w:val="22"/>
          <w:szCs w:val="22"/>
        </w:rPr>
        <w:t>s</w:t>
      </w:r>
      <w:r w:rsidRPr="00410B8A">
        <w:rPr>
          <w:sz w:val="22"/>
          <w:szCs w:val="22"/>
        </w:rPr>
        <w:t xml:space="preserve"> available for use in listed medicines under synonyms or alternative name</w:t>
      </w:r>
      <w:r>
        <w:rPr>
          <w:sz w:val="22"/>
          <w:szCs w:val="22"/>
        </w:rPr>
        <w:t>s</w:t>
      </w:r>
      <w:r w:rsidRPr="00410B8A">
        <w:rPr>
          <w:sz w:val="22"/>
          <w:szCs w:val="22"/>
        </w:rPr>
        <w:t>;</w:t>
      </w:r>
    </w:p>
    <w:p w14:paraId="1AFACF4F" w14:textId="77777777" w:rsidR="00105D61" w:rsidRPr="00D675CE" w:rsidRDefault="00105D61" w:rsidP="00105D61">
      <w:pPr>
        <w:pStyle w:val="ListParagraph"/>
        <w:numPr>
          <w:ilvl w:val="0"/>
          <w:numId w:val="57"/>
        </w:numPr>
        <w:spacing w:after="120" w:afterAutospacing="0"/>
        <w:ind w:left="714" w:hanging="357"/>
        <w:rPr>
          <w:sz w:val="22"/>
          <w:szCs w:val="22"/>
        </w:rPr>
      </w:pPr>
      <w:r w:rsidRPr="00410B8A">
        <w:rPr>
          <w:sz w:val="22"/>
          <w:szCs w:val="22"/>
        </w:rPr>
        <w:t xml:space="preserve">updates to applicable requirements for the ingredient </w:t>
      </w:r>
      <w:r w:rsidRPr="00410B8A">
        <w:rPr>
          <w:i/>
          <w:iCs/>
          <w:sz w:val="22"/>
          <w:szCs w:val="22"/>
        </w:rPr>
        <w:t>Raphanus sativus</w:t>
      </w:r>
      <w:r w:rsidRPr="00410B8A">
        <w:rPr>
          <w:sz w:val="22"/>
          <w:szCs w:val="22"/>
        </w:rPr>
        <w:t xml:space="preserve"> to allow for its use as</w:t>
      </w:r>
      <w:r>
        <w:rPr>
          <w:sz w:val="22"/>
          <w:szCs w:val="22"/>
        </w:rPr>
        <w:t xml:space="preserve"> an</w:t>
      </w:r>
      <w:r w:rsidRPr="00410B8A">
        <w:rPr>
          <w:sz w:val="22"/>
          <w:szCs w:val="22"/>
        </w:rPr>
        <w:t xml:space="preserve"> excipient with restrictions that are consistent with another synonymous ingredient, ‘radish’</w:t>
      </w:r>
      <w:r>
        <w:rPr>
          <w:sz w:val="22"/>
          <w:szCs w:val="22"/>
        </w:rPr>
        <w:t xml:space="preserve">, as well as the removal of the ‘radish’ </w:t>
      </w:r>
      <w:r w:rsidRPr="00410B8A">
        <w:rPr>
          <w:sz w:val="22"/>
          <w:szCs w:val="22"/>
        </w:rPr>
        <w:t>AFN category</w:t>
      </w:r>
      <w:r>
        <w:rPr>
          <w:sz w:val="22"/>
          <w:szCs w:val="22"/>
        </w:rPr>
        <w:t>,</w:t>
      </w:r>
      <w:r w:rsidRPr="00410B8A">
        <w:rPr>
          <w:sz w:val="22"/>
          <w:szCs w:val="22"/>
        </w:rPr>
        <w:t xml:space="preserve"> that </w:t>
      </w:r>
      <w:r>
        <w:rPr>
          <w:sz w:val="22"/>
          <w:szCs w:val="22"/>
        </w:rPr>
        <w:t>is a</w:t>
      </w:r>
      <w:r w:rsidRPr="00410B8A">
        <w:rPr>
          <w:sz w:val="22"/>
          <w:szCs w:val="22"/>
        </w:rPr>
        <w:t xml:space="preserve"> duplicate substance and which remain</w:t>
      </w:r>
      <w:r>
        <w:rPr>
          <w:sz w:val="22"/>
          <w:szCs w:val="22"/>
        </w:rPr>
        <w:t>s</w:t>
      </w:r>
      <w:r w:rsidRPr="00410B8A">
        <w:rPr>
          <w:sz w:val="22"/>
          <w:szCs w:val="22"/>
        </w:rPr>
        <w:t xml:space="preserve"> available for use in listed medicines under synonyms or alternative name</w:t>
      </w:r>
      <w:r>
        <w:rPr>
          <w:sz w:val="22"/>
          <w:szCs w:val="22"/>
        </w:rPr>
        <w:t>s</w:t>
      </w:r>
      <w:r w:rsidRPr="00410B8A">
        <w:rPr>
          <w:sz w:val="22"/>
          <w:szCs w:val="22"/>
        </w:rPr>
        <w:t>;</w:t>
      </w:r>
    </w:p>
    <w:p w14:paraId="22EFBBC1" w14:textId="77777777" w:rsidR="00105D61" w:rsidRPr="00410B8A" w:rsidRDefault="00105D61" w:rsidP="00105D61">
      <w:pPr>
        <w:pStyle w:val="ListParagraph"/>
        <w:numPr>
          <w:ilvl w:val="0"/>
          <w:numId w:val="57"/>
        </w:numPr>
        <w:spacing w:after="0"/>
        <w:rPr>
          <w:sz w:val="22"/>
          <w:szCs w:val="22"/>
        </w:rPr>
      </w:pPr>
      <w:r w:rsidRPr="00410B8A">
        <w:rPr>
          <w:sz w:val="22"/>
          <w:szCs w:val="22"/>
        </w:rPr>
        <w:lastRenderedPageBreak/>
        <w:t xml:space="preserve">minor amendments to </w:t>
      </w:r>
      <w:r>
        <w:rPr>
          <w:sz w:val="22"/>
          <w:szCs w:val="22"/>
        </w:rPr>
        <w:t xml:space="preserve">the following </w:t>
      </w:r>
      <w:r w:rsidRPr="00410B8A">
        <w:rPr>
          <w:sz w:val="22"/>
          <w:szCs w:val="22"/>
        </w:rPr>
        <w:t>nine ingredients to reflect the expiry of transition periods for requirements relating to those ingredients:</w:t>
      </w:r>
    </w:p>
    <w:p w14:paraId="62029B7A" w14:textId="77777777" w:rsidR="00105D61" w:rsidRPr="00410B8A" w:rsidRDefault="00105D61" w:rsidP="00105D61">
      <w:pPr>
        <w:pStyle w:val="ListParagraph"/>
        <w:numPr>
          <w:ilvl w:val="1"/>
          <w:numId w:val="57"/>
        </w:numPr>
        <w:spacing w:after="0"/>
        <w:rPr>
          <w:i/>
          <w:iCs/>
          <w:sz w:val="22"/>
          <w:szCs w:val="22"/>
        </w:rPr>
      </w:pPr>
      <w:r w:rsidRPr="00410B8A">
        <w:rPr>
          <w:i/>
          <w:iCs/>
          <w:sz w:val="22"/>
          <w:szCs w:val="22"/>
        </w:rPr>
        <w:t xml:space="preserve">Curcuma aromatica; </w:t>
      </w:r>
    </w:p>
    <w:p w14:paraId="19137249" w14:textId="77777777" w:rsidR="00105D61" w:rsidRPr="00410B8A" w:rsidRDefault="00105D61" w:rsidP="00105D61">
      <w:pPr>
        <w:pStyle w:val="ListParagraph"/>
        <w:numPr>
          <w:ilvl w:val="1"/>
          <w:numId w:val="57"/>
        </w:numPr>
        <w:spacing w:after="0"/>
        <w:rPr>
          <w:i/>
          <w:iCs/>
          <w:sz w:val="22"/>
          <w:szCs w:val="22"/>
        </w:rPr>
      </w:pPr>
      <w:r w:rsidRPr="00410B8A">
        <w:rPr>
          <w:i/>
          <w:iCs/>
          <w:sz w:val="22"/>
          <w:szCs w:val="22"/>
        </w:rPr>
        <w:t xml:space="preserve">Curcuma longa; </w:t>
      </w:r>
    </w:p>
    <w:p w14:paraId="1A1421A1" w14:textId="77777777" w:rsidR="00105D61" w:rsidRPr="00410B8A" w:rsidRDefault="00105D61" w:rsidP="00105D61">
      <w:pPr>
        <w:pStyle w:val="ListParagraph"/>
        <w:numPr>
          <w:ilvl w:val="1"/>
          <w:numId w:val="57"/>
        </w:numPr>
        <w:spacing w:after="0"/>
        <w:rPr>
          <w:i/>
          <w:iCs/>
          <w:sz w:val="22"/>
          <w:szCs w:val="22"/>
        </w:rPr>
      </w:pPr>
      <w:r w:rsidRPr="00410B8A">
        <w:rPr>
          <w:i/>
          <w:iCs/>
          <w:sz w:val="22"/>
          <w:szCs w:val="22"/>
        </w:rPr>
        <w:t xml:space="preserve">Curcuma zanthorrhiza; </w:t>
      </w:r>
    </w:p>
    <w:p w14:paraId="115ADF6E" w14:textId="77777777" w:rsidR="00105D61" w:rsidRPr="00410B8A" w:rsidRDefault="00105D61" w:rsidP="00105D61">
      <w:pPr>
        <w:pStyle w:val="ListParagraph"/>
        <w:numPr>
          <w:ilvl w:val="1"/>
          <w:numId w:val="57"/>
        </w:numPr>
        <w:spacing w:after="0"/>
        <w:rPr>
          <w:i/>
          <w:iCs/>
          <w:sz w:val="22"/>
          <w:szCs w:val="22"/>
        </w:rPr>
      </w:pPr>
      <w:r w:rsidRPr="00410B8A">
        <w:rPr>
          <w:i/>
          <w:iCs/>
          <w:sz w:val="22"/>
          <w:szCs w:val="22"/>
        </w:rPr>
        <w:t>Curcuma zedoaria;</w:t>
      </w:r>
    </w:p>
    <w:p w14:paraId="663A2C71" w14:textId="77777777" w:rsidR="00105D61" w:rsidRPr="00410B8A" w:rsidRDefault="00105D61" w:rsidP="00105D61">
      <w:pPr>
        <w:pStyle w:val="ListParagraph"/>
        <w:numPr>
          <w:ilvl w:val="1"/>
          <w:numId w:val="57"/>
        </w:numPr>
        <w:spacing w:after="0"/>
        <w:rPr>
          <w:i/>
          <w:iCs/>
          <w:sz w:val="22"/>
          <w:szCs w:val="22"/>
        </w:rPr>
      </w:pPr>
      <w:r w:rsidRPr="00410B8A">
        <w:rPr>
          <w:i/>
          <w:iCs/>
          <w:sz w:val="22"/>
          <w:szCs w:val="22"/>
        </w:rPr>
        <w:t>Curcumin;</w:t>
      </w:r>
    </w:p>
    <w:p w14:paraId="60C7CEB4" w14:textId="77777777" w:rsidR="00105D61" w:rsidRPr="00410B8A" w:rsidRDefault="00105D61" w:rsidP="00105D61">
      <w:pPr>
        <w:pStyle w:val="ListParagraph"/>
        <w:numPr>
          <w:ilvl w:val="1"/>
          <w:numId w:val="57"/>
        </w:numPr>
        <w:spacing w:after="0"/>
        <w:rPr>
          <w:i/>
          <w:iCs/>
          <w:sz w:val="22"/>
          <w:szCs w:val="22"/>
        </w:rPr>
      </w:pPr>
      <w:r w:rsidRPr="00410B8A">
        <w:rPr>
          <w:i/>
          <w:iCs/>
          <w:sz w:val="22"/>
          <w:szCs w:val="22"/>
        </w:rPr>
        <w:t>Camellia sinensis;</w:t>
      </w:r>
    </w:p>
    <w:p w14:paraId="6C51BF8E" w14:textId="77777777" w:rsidR="00105D61" w:rsidRPr="00410B8A" w:rsidRDefault="00105D61" w:rsidP="00105D61">
      <w:pPr>
        <w:pStyle w:val="ListParagraph"/>
        <w:numPr>
          <w:ilvl w:val="1"/>
          <w:numId w:val="57"/>
        </w:numPr>
        <w:spacing w:after="0"/>
        <w:rPr>
          <w:i/>
          <w:iCs/>
          <w:sz w:val="22"/>
          <w:szCs w:val="22"/>
        </w:rPr>
      </w:pPr>
      <w:r w:rsidRPr="00410B8A">
        <w:rPr>
          <w:i/>
          <w:iCs/>
          <w:sz w:val="22"/>
          <w:szCs w:val="22"/>
        </w:rPr>
        <w:t>Soy phosphatidylserine-enriched soy lecithin liquid;</w:t>
      </w:r>
    </w:p>
    <w:p w14:paraId="172EA792" w14:textId="77777777" w:rsidR="00105D61" w:rsidRPr="00410B8A" w:rsidRDefault="00105D61" w:rsidP="00105D61">
      <w:pPr>
        <w:pStyle w:val="ListParagraph"/>
        <w:numPr>
          <w:ilvl w:val="1"/>
          <w:numId w:val="57"/>
        </w:numPr>
        <w:spacing w:after="0"/>
        <w:rPr>
          <w:i/>
          <w:iCs/>
          <w:sz w:val="22"/>
          <w:szCs w:val="22"/>
        </w:rPr>
      </w:pPr>
      <w:r w:rsidRPr="00410B8A">
        <w:rPr>
          <w:i/>
          <w:iCs/>
          <w:sz w:val="22"/>
          <w:szCs w:val="22"/>
        </w:rPr>
        <w:t xml:space="preserve">Soy phosphatidylserine-enriched soy lecithin powder; </w:t>
      </w:r>
      <w:r w:rsidRPr="00410B8A">
        <w:rPr>
          <w:sz w:val="22"/>
          <w:szCs w:val="22"/>
        </w:rPr>
        <w:t>and</w:t>
      </w:r>
    </w:p>
    <w:p w14:paraId="73DF3E9D" w14:textId="77777777" w:rsidR="00105D61" w:rsidRPr="00410B8A" w:rsidRDefault="00105D61" w:rsidP="00105D61">
      <w:pPr>
        <w:pStyle w:val="ListParagraph"/>
        <w:numPr>
          <w:ilvl w:val="1"/>
          <w:numId w:val="57"/>
        </w:numPr>
        <w:spacing w:after="0" w:afterAutospacing="0"/>
        <w:ind w:left="1434" w:hanging="357"/>
        <w:rPr>
          <w:sz w:val="22"/>
          <w:szCs w:val="22"/>
        </w:rPr>
      </w:pPr>
      <w:r w:rsidRPr="00410B8A">
        <w:rPr>
          <w:i/>
          <w:iCs/>
          <w:sz w:val="22"/>
          <w:szCs w:val="22"/>
        </w:rPr>
        <w:t>Terminalia ferdinandiana</w:t>
      </w:r>
      <w:r>
        <w:rPr>
          <w:sz w:val="22"/>
          <w:szCs w:val="22"/>
        </w:rPr>
        <w:t>;</w:t>
      </w:r>
    </w:p>
    <w:p w14:paraId="5671FE2D" w14:textId="77777777" w:rsidR="00105D61" w:rsidRPr="00D675CE" w:rsidRDefault="00105D61" w:rsidP="00105D61">
      <w:pPr>
        <w:pStyle w:val="ListParagraph"/>
        <w:numPr>
          <w:ilvl w:val="0"/>
          <w:numId w:val="53"/>
        </w:numPr>
        <w:shd w:val="clear" w:color="auto" w:fill="FFFFFF"/>
        <w:spacing w:before="120" w:beforeAutospacing="0"/>
        <w:ind w:left="714" w:hanging="357"/>
        <w:rPr>
          <w:sz w:val="22"/>
          <w:szCs w:val="22"/>
        </w:rPr>
      </w:pPr>
      <w:r w:rsidRPr="00D675CE">
        <w:rPr>
          <w:sz w:val="22"/>
          <w:szCs w:val="22"/>
        </w:rPr>
        <w:t xml:space="preserve">the removal of requirements for the following </w:t>
      </w:r>
      <w:r>
        <w:rPr>
          <w:sz w:val="22"/>
          <w:szCs w:val="22"/>
        </w:rPr>
        <w:t xml:space="preserve">two </w:t>
      </w:r>
      <w:r w:rsidRPr="00D675CE">
        <w:rPr>
          <w:sz w:val="22"/>
          <w:szCs w:val="22"/>
        </w:rPr>
        <w:t>ingredients to reflect the expiry of the periods of exclusive use for relevant sponsors:</w:t>
      </w:r>
    </w:p>
    <w:p w14:paraId="6E30E8F9" w14:textId="77777777" w:rsidR="00105D61" w:rsidRPr="00D675CE" w:rsidRDefault="00105D61" w:rsidP="00105D61">
      <w:pPr>
        <w:pStyle w:val="ListParagraph"/>
        <w:numPr>
          <w:ilvl w:val="1"/>
          <w:numId w:val="53"/>
        </w:numPr>
        <w:rPr>
          <w:sz w:val="22"/>
          <w:szCs w:val="22"/>
        </w:rPr>
      </w:pPr>
      <w:r w:rsidRPr="00410B8A">
        <w:rPr>
          <w:i/>
          <w:iCs/>
          <w:sz w:val="22"/>
          <w:szCs w:val="22"/>
        </w:rPr>
        <w:t>Hemp Seed Oil</w:t>
      </w:r>
      <w:r w:rsidRPr="00D675CE">
        <w:rPr>
          <w:sz w:val="22"/>
          <w:szCs w:val="22"/>
        </w:rPr>
        <w:t>; and</w:t>
      </w:r>
    </w:p>
    <w:p w14:paraId="6566967C" w14:textId="77777777" w:rsidR="00105D61" w:rsidRPr="00D675CE" w:rsidRDefault="00105D61" w:rsidP="00105D61">
      <w:pPr>
        <w:pStyle w:val="ListParagraph"/>
        <w:numPr>
          <w:ilvl w:val="1"/>
          <w:numId w:val="53"/>
        </w:numPr>
        <w:rPr>
          <w:sz w:val="22"/>
          <w:szCs w:val="22"/>
        </w:rPr>
      </w:pPr>
      <w:r w:rsidRPr="00410B8A">
        <w:rPr>
          <w:i/>
          <w:iCs/>
          <w:sz w:val="22"/>
          <w:szCs w:val="22"/>
        </w:rPr>
        <w:t>3-Fucosyllactose</w:t>
      </w:r>
      <w:r>
        <w:rPr>
          <w:sz w:val="22"/>
          <w:szCs w:val="22"/>
        </w:rPr>
        <w:t>;</w:t>
      </w:r>
    </w:p>
    <w:p w14:paraId="3639FF5A" w14:textId="2BA800F8" w:rsidR="007046BC" w:rsidRDefault="00105D61" w:rsidP="006C6177">
      <w:pPr>
        <w:pStyle w:val="ListParagraph"/>
        <w:numPr>
          <w:ilvl w:val="0"/>
          <w:numId w:val="53"/>
        </w:numPr>
        <w:shd w:val="clear" w:color="auto" w:fill="FFFFFF"/>
        <w:spacing w:before="120" w:beforeAutospacing="0" w:after="0" w:afterAutospacing="0"/>
        <w:ind w:left="714" w:hanging="357"/>
      </w:pPr>
      <w:r>
        <w:rPr>
          <w:sz w:val="22"/>
          <w:szCs w:val="22"/>
        </w:rPr>
        <w:t>c</w:t>
      </w:r>
      <w:r w:rsidRPr="00D675CE">
        <w:rPr>
          <w:sz w:val="22"/>
          <w:szCs w:val="22"/>
        </w:rPr>
        <w:t>orrection</w:t>
      </w:r>
      <w:r>
        <w:rPr>
          <w:sz w:val="22"/>
          <w:szCs w:val="22"/>
        </w:rPr>
        <w:t>s</w:t>
      </w:r>
      <w:r w:rsidRPr="00D675CE">
        <w:rPr>
          <w:sz w:val="22"/>
          <w:szCs w:val="22"/>
        </w:rPr>
        <w:t xml:space="preserve"> of minor typographical errors and minor formatting changes fo</w:t>
      </w:r>
      <w:r>
        <w:rPr>
          <w:sz w:val="22"/>
          <w:szCs w:val="22"/>
        </w:rPr>
        <w:t xml:space="preserve">r the ingredient </w:t>
      </w:r>
      <w:r w:rsidRPr="00410B8A">
        <w:rPr>
          <w:i/>
          <w:iCs/>
          <w:sz w:val="22"/>
          <w:szCs w:val="22"/>
        </w:rPr>
        <w:t>1-heptanol</w:t>
      </w:r>
      <w:r w:rsidRPr="00D675CE">
        <w:rPr>
          <w:sz w:val="22"/>
          <w:szCs w:val="22"/>
        </w:rPr>
        <w:t xml:space="preserve"> for the purpose of improving the internal consistency of the Determination</w:t>
      </w:r>
      <w:r>
        <w:rPr>
          <w:sz w:val="22"/>
          <w:szCs w:val="22"/>
        </w:rPr>
        <w:t>.</w:t>
      </w:r>
    </w:p>
    <w:p w14:paraId="714FDF26" w14:textId="1B561BD0" w:rsidR="006263A5" w:rsidRPr="006C6177" w:rsidRDefault="006263A5" w:rsidP="006C6177">
      <w:pPr>
        <w:spacing w:after="0" w:line="240" w:lineRule="auto"/>
        <w:rPr>
          <w:rFonts w:ascii="Times New Roman" w:eastAsia="Times New Roman" w:hAnsi="Times New Roman" w:cs="Times New Roman"/>
          <w:lang w:val="en-US" w:eastAsia="en-AU"/>
        </w:rPr>
      </w:pPr>
    </w:p>
    <w:p w14:paraId="685A0A7D" w14:textId="026B8166" w:rsidR="00EF1F18" w:rsidRPr="001714A1" w:rsidRDefault="00EF1F18" w:rsidP="003767C6">
      <w:pPr>
        <w:keepNext/>
        <w:spacing w:before="120"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t>Human rights implications</w:t>
      </w:r>
    </w:p>
    <w:p w14:paraId="61514795" w14:textId="77777777" w:rsidR="00510EB5" w:rsidRPr="001714A1" w:rsidRDefault="00510EB5" w:rsidP="00266E11">
      <w:pPr>
        <w:keepNext/>
        <w:spacing w:after="0" w:line="240" w:lineRule="auto"/>
        <w:rPr>
          <w:rFonts w:ascii="Times New Roman" w:eastAsia="Times New Roman" w:hAnsi="Times New Roman" w:cs="Times New Roman"/>
          <w:lang w:val="en-US" w:eastAsia="en-AU"/>
        </w:rPr>
      </w:pPr>
    </w:p>
    <w:p w14:paraId="4705336E" w14:textId="00A61656" w:rsidR="00635670" w:rsidRPr="001714A1" w:rsidRDefault="008F596A" w:rsidP="00266E11">
      <w:pPr>
        <w:spacing w:after="0" w:line="240" w:lineRule="auto"/>
        <w:contextualSpacing/>
        <w:rPr>
          <w:rFonts w:ascii="Times New Roman" w:hAnsi="Times New Roman" w:cs="Times New Roman"/>
          <w:bCs/>
        </w:rPr>
      </w:pPr>
      <w:r w:rsidRPr="001714A1">
        <w:rPr>
          <w:rFonts w:ascii="Times New Roman" w:hAnsi="Times New Roman" w:cs="Times New Roman"/>
          <w:bCs/>
        </w:rPr>
        <w:t xml:space="preserve">The </w:t>
      </w:r>
      <w:r w:rsidR="00635670" w:rsidRPr="001714A1">
        <w:rPr>
          <w:rFonts w:ascii="Times New Roman" w:hAnsi="Times New Roman" w:cs="Times New Roman"/>
          <w:bCs/>
        </w:rPr>
        <w:t>Determination</w:t>
      </w:r>
      <w:r w:rsidR="00985AE3" w:rsidRPr="001714A1">
        <w:rPr>
          <w:rFonts w:ascii="Times New Roman" w:hAnsi="Times New Roman" w:cs="Times New Roman"/>
          <w:bCs/>
        </w:rPr>
        <w:t xml:space="preserve"> </w:t>
      </w:r>
      <w:r w:rsidRPr="001714A1">
        <w:rPr>
          <w:rFonts w:ascii="Times New Roman" w:hAnsi="Times New Roman" w:cs="Times New Roman"/>
          <w:bCs/>
        </w:rPr>
        <w:t xml:space="preserve">engages the right to health in Article 12 of the International Covenant on Economic, Social and Cultural Rights (the ICESCR). Article 12 of the ICESCR promotes the right of all individuals to enjoy the highest attainable standard of physical and mental health, and includes an obligation to take reasonable measures within available resources to progressively secure broader enjoyment of the right. </w:t>
      </w:r>
    </w:p>
    <w:p w14:paraId="38B7E4E2" w14:textId="77777777" w:rsidR="00635670" w:rsidRPr="001714A1" w:rsidRDefault="00635670" w:rsidP="00266E11">
      <w:pPr>
        <w:spacing w:after="0" w:line="240" w:lineRule="auto"/>
        <w:contextualSpacing/>
        <w:rPr>
          <w:rFonts w:ascii="Times New Roman" w:hAnsi="Times New Roman" w:cs="Times New Roman"/>
          <w:bCs/>
        </w:rPr>
      </w:pPr>
    </w:p>
    <w:p w14:paraId="063407BC" w14:textId="68D0BEA0" w:rsidR="00510EB5" w:rsidRPr="001714A1" w:rsidRDefault="008F596A" w:rsidP="00266E11">
      <w:pPr>
        <w:spacing w:after="0" w:line="240" w:lineRule="auto"/>
        <w:contextualSpacing/>
        <w:rPr>
          <w:rFonts w:ascii="Times New Roman" w:eastAsia="Times New Roman" w:hAnsi="Times New Roman" w:cs="Times New Roman"/>
          <w:lang w:eastAsia="en-AU"/>
        </w:rPr>
      </w:pPr>
      <w:r w:rsidRPr="001714A1">
        <w:rPr>
          <w:rFonts w:ascii="Times New Roman" w:hAnsi="Times New Roman" w:cs="Times New Roman"/>
        </w:rPr>
        <w:t xml:space="preserve">In </w:t>
      </w:r>
      <w:r w:rsidRPr="001714A1">
        <w:rPr>
          <w:rFonts w:ascii="Times New Roman" w:hAnsi="Times New Roman" w:cs="Times New Roman"/>
          <w:i/>
          <w:iCs/>
        </w:rPr>
        <w:t>General Comment No. 14: The Right to the Highest Attainable Standard of Health (Art.</w:t>
      </w:r>
      <w:r w:rsidR="005D1B1C" w:rsidRPr="001714A1">
        <w:rPr>
          <w:rFonts w:ascii="Times New Roman" w:hAnsi="Times New Roman" w:cs="Times New Roman"/>
          <w:i/>
          <w:iCs/>
        </w:rPr>
        <w:t> </w:t>
      </w:r>
      <w:r w:rsidRPr="001714A1">
        <w:rPr>
          <w:rFonts w:ascii="Times New Roman" w:hAnsi="Times New Roman" w:cs="Times New Roman"/>
          <w:i/>
          <w:iCs/>
        </w:rPr>
        <w:t xml:space="preserve">12) </w:t>
      </w:r>
      <w:r w:rsidRPr="001714A1">
        <w:rPr>
          <w:rFonts w:ascii="Times New Roman" w:hAnsi="Times New Roman" w:cs="Times New Roman"/>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Pr="001714A1" w:rsidRDefault="00510EB5" w:rsidP="00266E11">
      <w:pPr>
        <w:spacing w:after="0" w:line="240" w:lineRule="auto"/>
        <w:contextualSpacing/>
        <w:rPr>
          <w:rFonts w:ascii="Times New Roman" w:hAnsi="Times New Roman" w:cs="Times New Roman"/>
        </w:rPr>
      </w:pPr>
    </w:p>
    <w:p w14:paraId="163E7727" w14:textId="40E45C38" w:rsidR="00DD5F7F" w:rsidRPr="001714A1" w:rsidRDefault="00DD5F7F" w:rsidP="00266E11">
      <w:pPr>
        <w:spacing w:after="0" w:line="240" w:lineRule="auto"/>
        <w:contextualSpacing/>
        <w:rPr>
          <w:rFonts w:ascii="Times New Roman" w:hAnsi="Times New Roman" w:cs="Times New Roman"/>
        </w:rPr>
      </w:pPr>
      <w:r w:rsidRPr="001714A1">
        <w:rPr>
          <w:rFonts w:ascii="Times New Roman" w:hAnsi="Times New Roman" w:cs="Times New Roman"/>
        </w:rPr>
        <w:t>The instrument takes positive steps to promote the right to health by ensuring the safety and quality of therapeutic goods that are listed medicines.</w:t>
      </w:r>
      <w:r w:rsidR="00E60C26" w:rsidRPr="001714A1">
        <w:rPr>
          <w:rFonts w:ascii="Times New Roman" w:hAnsi="Times New Roman" w:cs="Times New Roman"/>
        </w:rPr>
        <w:t xml:space="preserve"> </w:t>
      </w:r>
      <w:r w:rsidR="00635670" w:rsidRPr="001714A1">
        <w:rPr>
          <w:rFonts w:ascii="Times New Roman" w:hAnsi="Times New Roman" w:cs="Times New Roman"/>
        </w:rPr>
        <w:t>The Determination prescribes</w:t>
      </w:r>
      <w:r w:rsidRPr="001714A1">
        <w:rPr>
          <w:rFonts w:ascii="Times New Roman" w:hAnsi="Times New Roman" w:cs="Times New Roman"/>
        </w:rPr>
        <w:t xml:space="preserve"> those ingredients that are considered to be safe for use in listed medicines</w:t>
      </w:r>
      <w:r w:rsidR="00635670" w:rsidRPr="001714A1">
        <w:rPr>
          <w:rFonts w:ascii="Times New Roman" w:hAnsi="Times New Roman" w:cs="Times New Roman"/>
        </w:rPr>
        <w:t xml:space="preserve">. The Determination also sets </w:t>
      </w:r>
      <w:r w:rsidRPr="001714A1">
        <w:rPr>
          <w:rFonts w:ascii="Times New Roman" w:hAnsi="Times New Roman" w:cs="Times New Roman"/>
        </w:rPr>
        <w:t>out important requirements relating to the use of those ingredients in such medicines</w:t>
      </w:r>
      <w:r w:rsidR="00635670" w:rsidRPr="001714A1">
        <w:rPr>
          <w:rFonts w:ascii="Times New Roman" w:hAnsi="Times New Roman" w:cs="Times New Roman"/>
        </w:rPr>
        <w:t xml:space="preserve">. Such </w:t>
      </w:r>
      <w:r w:rsidRPr="001714A1">
        <w:rPr>
          <w:rFonts w:ascii="Times New Roman" w:hAnsi="Times New Roman" w:cs="Times New Roman"/>
        </w:rPr>
        <w:t xml:space="preserve">requirements may relate, for example, to maximum concentrations of such ingredients in listed medicines, or to the inclusion of warning statements on medicine labels </w:t>
      </w:r>
      <w:r w:rsidR="00635670" w:rsidRPr="001714A1">
        <w:rPr>
          <w:rFonts w:ascii="Times New Roman" w:hAnsi="Times New Roman" w:cs="Times New Roman"/>
        </w:rPr>
        <w:t>(</w:t>
      </w:r>
      <w:r w:rsidRPr="001714A1">
        <w:rPr>
          <w:rFonts w:ascii="Times New Roman" w:hAnsi="Times New Roman" w:cs="Times New Roman"/>
        </w:rPr>
        <w:t>such as ‘Keep out of reach of children’ for relevant ingredients)</w:t>
      </w:r>
      <w:r w:rsidR="00635670" w:rsidRPr="001714A1">
        <w:rPr>
          <w:rFonts w:ascii="Times New Roman" w:hAnsi="Times New Roman" w:cs="Times New Roman"/>
        </w:rPr>
        <w:t>. Through the Determination</w:t>
      </w:r>
      <w:r w:rsidRPr="001714A1">
        <w:rPr>
          <w:rFonts w:ascii="Times New Roman" w:hAnsi="Times New Roman" w:cs="Times New Roman"/>
        </w:rPr>
        <w:t>, the safety of Australian consumers will be better protected, and they will be better able to make informed decisions about such medicines.</w:t>
      </w:r>
    </w:p>
    <w:p w14:paraId="756DBF00" w14:textId="77777777" w:rsidR="00DD5F7F" w:rsidRPr="001714A1" w:rsidRDefault="00DD5F7F" w:rsidP="00266E11">
      <w:pPr>
        <w:spacing w:after="0" w:line="240" w:lineRule="auto"/>
        <w:contextualSpacing/>
        <w:rPr>
          <w:rFonts w:ascii="Times New Roman" w:hAnsi="Times New Roman" w:cs="Times New Roman"/>
        </w:rPr>
      </w:pPr>
    </w:p>
    <w:p w14:paraId="30FFB6E5" w14:textId="177FC52E" w:rsidR="00510EB5" w:rsidRPr="001714A1" w:rsidRDefault="008F596A" w:rsidP="00266E11">
      <w:pPr>
        <w:spacing w:after="0" w:line="240" w:lineRule="auto"/>
        <w:contextualSpacing/>
        <w:rPr>
          <w:rFonts w:ascii="Times New Roman" w:eastAsia="Times New Roman" w:hAnsi="Times New Roman" w:cs="Times New Roman"/>
          <w:lang w:eastAsia="en-AU"/>
        </w:rPr>
      </w:pPr>
      <w:r w:rsidRPr="001714A1">
        <w:rPr>
          <w:rFonts w:ascii="Times New Roman" w:hAnsi="Times New Roman" w:cs="Times New Roman"/>
        </w:rPr>
        <w:t xml:space="preserve">This is particularly important for listed medicines, given that those medicines are not evaluated for safety and quality by the TGA prior to listing in the </w:t>
      </w:r>
      <w:r w:rsidR="00A34A44" w:rsidRPr="001714A1">
        <w:rPr>
          <w:rFonts w:ascii="Times New Roman" w:hAnsi="Times New Roman" w:cs="Times New Roman"/>
        </w:rPr>
        <w:t>Register</w:t>
      </w:r>
      <w:r w:rsidR="00635670" w:rsidRPr="001714A1">
        <w:rPr>
          <w:rFonts w:ascii="Times New Roman" w:hAnsi="Times New Roman" w:cs="Times New Roman"/>
        </w:rPr>
        <w:t>. Further, those medicines</w:t>
      </w:r>
      <w:r w:rsidRPr="001714A1">
        <w:rPr>
          <w:rFonts w:ascii="Times New Roman" w:hAnsi="Times New Roman" w:cs="Times New Roman"/>
        </w:rPr>
        <w:t xml:space="preserve"> are usually available for self-selection by consumers without a requirement to first obtain the advice or prescription of a registered medical </w:t>
      </w:r>
      <w:r w:rsidR="0041360E" w:rsidRPr="001714A1">
        <w:rPr>
          <w:rFonts w:ascii="Times New Roman" w:hAnsi="Times New Roman" w:cs="Times New Roman"/>
        </w:rPr>
        <w:t>practitioner</w:t>
      </w:r>
      <w:r w:rsidRPr="001714A1">
        <w:rPr>
          <w:rFonts w:ascii="Times New Roman" w:hAnsi="Times New Roman" w:cs="Times New Roman"/>
        </w:rPr>
        <w:t xml:space="preserve"> or the advice of a pharmacist.</w:t>
      </w:r>
    </w:p>
    <w:p w14:paraId="5D183399" w14:textId="77777777" w:rsidR="00510EB5" w:rsidRPr="001714A1" w:rsidRDefault="00510EB5" w:rsidP="00266E11">
      <w:pPr>
        <w:spacing w:after="0" w:line="240" w:lineRule="auto"/>
        <w:contextualSpacing/>
        <w:rPr>
          <w:rFonts w:ascii="Times New Roman" w:eastAsia="Times New Roman" w:hAnsi="Times New Roman" w:cs="Times New Roman"/>
          <w:lang w:eastAsia="en-AU"/>
        </w:rPr>
      </w:pPr>
    </w:p>
    <w:p w14:paraId="04806E92" w14:textId="0627CB69" w:rsidR="00EF1F18" w:rsidRPr="001714A1" w:rsidRDefault="00EF1F18" w:rsidP="001714A1">
      <w:pPr>
        <w:spacing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t>Conclusion</w:t>
      </w:r>
    </w:p>
    <w:p w14:paraId="3FB3203C" w14:textId="77777777" w:rsidR="00712EA4" w:rsidRPr="00922A18" w:rsidRDefault="00712EA4" w:rsidP="001714A1">
      <w:pPr>
        <w:spacing w:after="0" w:line="240" w:lineRule="auto"/>
        <w:rPr>
          <w:rFonts w:ascii="Times New Roman" w:eastAsia="Times New Roman" w:hAnsi="Times New Roman" w:cs="Times New Roman"/>
          <w:lang w:val="en-US" w:eastAsia="en-AU"/>
        </w:rPr>
      </w:pPr>
    </w:p>
    <w:p w14:paraId="63D98AB2" w14:textId="7B614214" w:rsidR="008C0845" w:rsidRPr="00922A18" w:rsidRDefault="00EF1F18" w:rsidP="00266E11">
      <w:pPr>
        <w:spacing w:after="0" w:line="240" w:lineRule="auto"/>
        <w:contextualSpacing/>
      </w:pPr>
      <w:r w:rsidRPr="00922A18">
        <w:rPr>
          <w:rFonts w:ascii="Times New Roman" w:hAnsi="Times New Roman" w:cs="Times New Roman"/>
        </w:rPr>
        <w:t>This legislative instrument is compatible with human rights</w:t>
      </w:r>
      <w:r w:rsidR="00A34A44" w:rsidRPr="00922A18">
        <w:rPr>
          <w:rFonts w:ascii="Times New Roman" w:hAnsi="Times New Roman" w:cs="Times New Roman"/>
        </w:rPr>
        <w:t xml:space="preserve"> because it promotes the right to health in Article 12 of the ICESCR and </w:t>
      </w:r>
      <w:r w:rsidRPr="00922A18">
        <w:rPr>
          <w:rFonts w:ascii="Times New Roman" w:hAnsi="Times New Roman" w:cs="Times New Roman"/>
        </w:rPr>
        <w:t xml:space="preserve">does not raise any </w:t>
      </w:r>
      <w:r w:rsidR="00A34A44" w:rsidRPr="00922A18">
        <w:rPr>
          <w:rFonts w:ascii="Times New Roman" w:hAnsi="Times New Roman" w:cs="Times New Roman"/>
        </w:rPr>
        <w:t xml:space="preserve">other </w:t>
      </w:r>
      <w:r w:rsidRPr="00922A18">
        <w:rPr>
          <w:rFonts w:ascii="Times New Roman" w:hAnsi="Times New Roman" w:cs="Times New Roman"/>
        </w:rPr>
        <w:t>human</w:t>
      </w:r>
      <w:r w:rsidRPr="00DB3889">
        <w:rPr>
          <w:rFonts w:ascii="Times New Roman" w:hAnsi="Times New Roman" w:cs="Times New Roman"/>
        </w:rPr>
        <w:t xml:space="preserve"> rights issues.</w:t>
      </w:r>
    </w:p>
    <w:sectPr w:rsidR="008C0845" w:rsidRPr="00922A18" w:rsidSect="00680B29">
      <w:footerReference w:type="default" r:id="rId8"/>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4D84E" w14:textId="77777777" w:rsidR="00C54C5F" w:rsidRDefault="00C54C5F" w:rsidP="008939B1">
      <w:pPr>
        <w:spacing w:after="0" w:line="240" w:lineRule="auto"/>
      </w:pPr>
      <w:r>
        <w:separator/>
      </w:r>
    </w:p>
    <w:p w14:paraId="56AB2CBC" w14:textId="77777777" w:rsidR="00C54C5F" w:rsidRDefault="00C54C5F"/>
  </w:endnote>
  <w:endnote w:type="continuationSeparator" w:id="0">
    <w:p w14:paraId="4F854CF9" w14:textId="77777777" w:rsidR="00C54C5F" w:rsidRDefault="00C54C5F" w:rsidP="008939B1">
      <w:pPr>
        <w:spacing w:after="0" w:line="240" w:lineRule="auto"/>
      </w:pPr>
      <w:r>
        <w:continuationSeparator/>
      </w:r>
    </w:p>
    <w:p w14:paraId="47E6CBB1" w14:textId="77777777" w:rsidR="00C54C5F" w:rsidRDefault="00C54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02084" w14:textId="253FEAF3" w:rsidR="004A79B9" w:rsidRPr="00AC5813" w:rsidRDefault="004A79B9"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66F675D6" w14:textId="77777777" w:rsidR="004A79B9" w:rsidRDefault="004A79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56868" w14:textId="77777777" w:rsidR="00C54C5F" w:rsidRDefault="00C54C5F" w:rsidP="008939B1">
      <w:pPr>
        <w:spacing w:after="0" w:line="240" w:lineRule="auto"/>
      </w:pPr>
      <w:r>
        <w:separator/>
      </w:r>
    </w:p>
    <w:p w14:paraId="6EE323D6" w14:textId="77777777" w:rsidR="00C54C5F" w:rsidRDefault="00C54C5F"/>
  </w:footnote>
  <w:footnote w:type="continuationSeparator" w:id="0">
    <w:p w14:paraId="084F68BB" w14:textId="77777777" w:rsidR="00C54C5F" w:rsidRDefault="00C54C5F" w:rsidP="008939B1">
      <w:pPr>
        <w:spacing w:after="0" w:line="240" w:lineRule="auto"/>
      </w:pPr>
      <w:r>
        <w:continuationSeparator/>
      </w:r>
    </w:p>
    <w:p w14:paraId="697193EA" w14:textId="77777777" w:rsidR="00C54C5F" w:rsidRDefault="00C54C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749"/>
    <w:multiLevelType w:val="hybridMultilevel"/>
    <w:tmpl w:val="FC2822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56482"/>
    <w:multiLevelType w:val="hybridMultilevel"/>
    <w:tmpl w:val="244C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22052"/>
    <w:multiLevelType w:val="hybridMultilevel"/>
    <w:tmpl w:val="36D61F9C"/>
    <w:lvl w:ilvl="0" w:tplc="2B9C4F34">
      <w:numFmt w:val="bullet"/>
      <w:lvlText w:val="-"/>
      <w:lvlJc w:val="left"/>
      <w:pPr>
        <w:ind w:left="720" w:hanging="360"/>
      </w:pPr>
      <w:rPr>
        <w:rFonts w:ascii="Cambria" w:eastAsia="MS Mincho"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7E0820"/>
    <w:multiLevelType w:val="hybridMultilevel"/>
    <w:tmpl w:val="E560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6E8023C"/>
    <w:multiLevelType w:val="hybridMultilevel"/>
    <w:tmpl w:val="60AABDE4"/>
    <w:lvl w:ilvl="0" w:tplc="899A42F0">
      <w:start w:val="1"/>
      <w:numFmt w:val="lowerRom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15150C"/>
    <w:multiLevelType w:val="hybridMultilevel"/>
    <w:tmpl w:val="4C98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4B2776"/>
    <w:multiLevelType w:val="hybridMultilevel"/>
    <w:tmpl w:val="07C8F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8873969"/>
    <w:multiLevelType w:val="hybridMultilevel"/>
    <w:tmpl w:val="7C8CA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A25DF2"/>
    <w:multiLevelType w:val="hybridMultilevel"/>
    <w:tmpl w:val="AE568F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1810B56"/>
    <w:multiLevelType w:val="hybridMultilevel"/>
    <w:tmpl w:val="020AAAB2"/>
    <w:lvl w:ilvl="0" w:tplc="FFD07FA2">
      <w:start w:val="1"/>
      <w:numFmt w:val="bullet"/>
      <w:lvlText w:val=""/>
      <w:lvlJc w:val="left"/>
      <w:pPr>
        <w:ind w:left="720" w:hanging="360"/>
      </w:pPr>
      <w:rPr>
        <w:rFonts w:ascii="Symbol" w:hAnsi="Symbol"/>
      </w:rPr>
    </w:lvl>
    <w:lvl w:ilvl="1" w:tplc="0ABC415E">
      <w:start w:val="1"/>
      <w:numFmt w:val="bullet"/>
      <w:lvlText w:val=""/>
      <w:lvlJc w:val="left"/>
      <w:pPr>
        <w:ind w:left="720" w:hanging="360"/>
      </w:pPr>
      <w:rPr>
        <w:rFonts w:ascii="Symbol" w:hAnsi="Symbol"/>
      </w:rPr>
    </w:lvl>
    <w:lvl w:ilvl="2" w:tplc="164E2256">
      <w:start w:val="1"/>
      <w:numFmt w:val="bullet"/>
      <w:lvlText w:val=""/>
      <w:lvlJc w:val="left"/>
      <w:pPr>
        <w:ind w:left="720" w:hanging="360"/>
      </w:pPr>
      <w:rPr>
        <w:rFonts w:ascii="Symbol" w:hAnsi="Symbol"/>
      </w:rPr>
    </w:lvl>
    <w:lvl w:ilvl="3" w:tplc="92707A20">
      <w:start w:val="1"/>
      <w:numFmt w:val="bullet"/>
      <w:lvlText w:val=""/>
      <w:lvlJc w:val="left"/>
      <w:pPr>
        <w:ind w:left="720" w:hanging="360"/>
      </w:pPr>
      <w:rPr>
        <w:rFonts w:ascii="Symbol" w:hAnsi="Symbol"/>
      </w:rPr>
    </w:lvl>
    <w:lvl w:ilvl="4" w:tplc="BB6E1EF2">
      <w:start w:val="1"/>
      <w:numFmt w:val="bullet"/>
      <w:lvlText w:val=""/>
      <w:lvlJc w:val="left"/>
      <w:pPr>
        <w:ind w:left="720" w:hanging="360"/>
      </w:pPr>
      <w:rPr>
        <w:rFonts w:ascii="Symbol" w:hAnsi="Symbol"/>
      </w:rPr>
    </w:lvl>
    <w:lvl w:ilvl="5" w:tplc="802C9EC8">
      <w:start w:val="1"/>
      <w:numFmt w:val="bullet"/>
      <w:lvlText w:val=""/>
      <w:lvlJc w:val="left"/>
      <w:pPr>
        <w:ind w:left="720" w:hanging="360"/>
      </w:pPr>
      <w:rPr>
        <w:rFonts w:ascii="Symbol" w:hAnsi="Symbol"/>
      </w:rPr>
    </w:lvl>
    <w:lvl w:ilvl="6" w:tplc="D606376A">
      <w:start w:val="1"/>
      <w:numFmt w:val="bullet"/>
      <w:lvlText w:val=""/>
      <w:lvlJc w:val="left"/>
      <w:pPr>
        <w:ind w:left="720" w:hanging="360"/>
      </w:pPr>
      <w:rPr>
        <w:rFonts w:ascii="Symbol" w:hAnsi="Symbol"/>
      </w:rPr>
    </w:lvl>
    <w:lvl w:ilvl="7" w:tplc="3E06D786">
      <w:start w:val="1"/>
      <w:numFmt w:val="bullet"/>
      <w:lvlText w:val=""/>
      <w:lvlJc w:val="left"/>
      <w:pPr>
        <w:ind w:left="720" w:hanging="360"/>
      </w:pPr>
      <w:rPr>
        <w:rFonts w:ascii="Symbol" w:hAnsi="Symbol"/>
      </w:rPr>
    </w:lvl>
    <w:lvl w:ilvl="8" w:tplc="D7D0F0D8">
      <w:start w:val="1"/>
      <w:numFmt w:val="bullet"/>
      <w:lvlText w:val=""/>
      <w:lvlJc w:val="left"/>
      <w:pPr>
        <w:ind w:left="720" w:hanging="360"/>
      </w:pPr>
      <w:rPr>
        <w:rFonts w:ascii="Symbol" w:hAnsi="Symbol"/>
      </w:rPr>
    </w:lvl>
  </w:abstractNum>
  <w:abstractNum w:abstractNumId="15" w15:restartNumberingAfterBreak="0">
    <w:nsid w:val="22A42B0C"/>
    <w:multiLevelType w:val="hybridMultilevel"/>
    <w:tmpl w:val="8AF694F6"/>
    <w:lvl w:ilvl="0" w:tplc="9FCE4A2E">
      <w:start w:val="1"/>
      <w:numFmt w:val="lowerRoman"/>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DE0CCB"/>
    <w:multiLevelType w:val="hybridMultilevel"/>
    <w:tmpl w:val="65583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B95093"/>
    <w:multiLevelType w:val="hybridMultilevel"/>
    <w:tmpl w:val="C9D460B4"/>
    <w:lvl w:ilvl="0" w:tplc="71E25E24">
      <w:start w:val="1"/>
      <w:numFmt w:val="bullet"/>
      <w:lvlText w:val=""/>
      <w:lvlJc w:val="left"/>
      <w:pPr>
        <w:ind w:left="720" w:hanging="360"/>
      </w:pPr>
      <w:rPr>
        <w:rFonts w:ascii="Symbol" w:hAnsi="Symbol"/>
      </w:rPr>
    </w:lvl>
    <w:lvl w:ilvl="1" w:tplc="124422B0">
      <w:start w:val="1"/>
      <w:numFmt w:val="bullet"/>
      <w:lvlText w:val=""/>
      <w:lvlJc w:val="left"/>
      <w:pPr>
        <w:ind w:left="720" w:hanging="360"/>
      </w:pPr>
      <w:rPr>
        <w:rFonts w:ascii="Symbol" w:hAnsi="Symbol"/>
      </w:rPr>
    </w:lvl>
    <w:lvl w:ilvl="2" w:tplc="47224388">
      <w:start w:val="1"/>
      <w:numFmt w:val="bullet"/>
      <w:lvlText w:val=""/>
      <w:lvlJc w:val="left"/>
      <w:pPr>
        <w:ind w:left="720" w:hanging="360"/>
      </w:pPr>
      <w:rPr>
        <w:rFonts w:ascii="Symbol" w:hAnsi="Symbol"/>
      </w:rPr>
    </w:lvl>
    <w:lvl w:ilvl="3" w:tplc="299ED7A2">
      <w:start w:val="1"/>
      <w:numFmt w:val="bullet"/>
      <w:lvlText w:val=""/>
      <w:lvlJc w:val="left"/>
      <w:pPr>
        <w:ind w:left="720" w:hanging="360"/>
      </w:pPr>
      <w:rPr>
        <w:rFonts w:ascii="Symbol" w:hAnsi="Symbol"/>
      </w:rPr>
    </w:lvl>
    <w:lvl w:ilvl="4" w:tplc="15E8BA2E">
      <w:start w:val="1"/>
      <w:numFmt w:val="bullet"/>
      <w:lvlText w:val=""/>
      <w:lvlJc w:val="left"/>
      <w:pPr>
        <w:ind w:left="720" w:hanging="360"/>
      </w:pPr>
      <w:rPr>
        <w:rFonts w:ascii="Symbol" w:hAnsi="Symbol"/>
      </w:rPr>
    </w:lvl>
    <w:lvl w:ilvl="5" w:tplc="1A0A63BC">
      <w:start w:val="1"/>
      <w:numFmt w:val="bullet"/>
      <w:lvlText w:val=""/>
      <w:lvlJc w:val="left"/>
      <w:pPr>
        <w:ind w:left="720" w:hanging="360"/>
      </w:pPr>
      <w:rPr>
        <w:rFonts w:ascii="Symbol" w:hAnsi="Symbol"/>
      </w:rPr>
    </w:lvl>
    <w:lvl w:ilvl="6" w:tplc="B91AA250">
      <w:start w:val="1"/>
      <w:numFmt w:val="bullet"/>
      <w:lvlText w:val=""/>
      <w:lvlJc w:val="left"/>
      <w:pPr>
        <w:ind w:left="720" w:hanging="360"/>
      </w:pPr>
      <w:rPr>
        <w:rFonts w:ascii="Symbol" w:hAnsi="Symbol"/>
      </w:rPr>
    </w:lvl>
    <w:lvl w:ilvl="7" w:tplc="69AA35E8">
      <w:start w:val="1"/>
      <w:numFmt w:val="bullet"/>
      <w:lvlText w:val=""/>
      <w:lvlJc w:val="left"/>
      <w:pPr>
        <w:ind w:left="720" w:hanging="360"/>
      </w:pPr>
      <w:rPr>
        <w:rFonts w:ascii="Symbol" w:hAnsi="Symbol"/>
      </w:rPr>
    </w:lvl>
    <w:lvl w:ilvl="8" w:tplc="501CA4FA">
      <w:start w:val="1"/>
      <w:numFmt w:val="bullet"/>
      <w:lvlText w:val=""/>
      <w:lvlJc w:val="left"/>
      <w:pPr>
        <w:ind w:left="720" w:hanging="360"/>
      </w:pPr>
      <w:rPr>
        <w:rFonts w:ascii="Symbol" w:hAnsi="Symbol"/>
      </w:rPr>
    </w:lvl>
  </w:abstractNum>
  <w:abstractNum w:abstractNumId="18" w15:restartNumberingAfterBreak="0">
    <w:nsid w:val="26960228"/>
    <w:multiLevelType w:val="hybridMultilevel"/>
    <w:tmpl w:val="A9E40CFC"/>
    <w:lvl w:ilvl="0" w:tplc="6A22221E">
      <w:start w:val="1"/>
      <w:numFmt w:val="bullet"/>
      <w:lvlText w:val=""/>
      <w:lvlJc w:val="left"/>
      <w:pPr>
        <w:ind w:left="720" w:hanging="360"/>
      </w:pPr>
      <w:rPr>
        <w:rFonts w:ascii="Symbol" w:hAnsi="Symbol"/>
      </w:rPr>
    </w:lvl>
    <w:lvl w:ilvl="1" w:tplc="1F92A99E">
      <w:start w:val="1"/>
      <w:numFmt w:val="bullet"/>
      <w:lvlText w:val=""/>
      <w:lvlJc w:val="left"/>
      <w:pPr>
        <w:ind w:left="720" w:hanging="360"/>
      </w:pPr>
      <w:rPr>
        <w:rFonts w:ascii="Symbol" w:hAnsi="Symbol"/>
      </w:rPr>
    </w:lvl>
    <w:lvl w:ilvl="2" w:tplc="812E50FC">
      <w:start w:val="1"/>
      <w:numFmt w:val="bullet"/>
      <w:lvlText w:val=""/>
      <w:lvlJc w:val="left"/>
      <w:pPr>
        <w:ind w:left="720" w:hanging="360"/>
      </w:pPr>
      <w:rPr>
        <w:rFonts w:ascii="Symbol" w:hAnsi="Symbol"/>
      </w:rPr>
    </w:lvl>
    <w:lvl w:ilvl="3" w:tplc="5732744E">
      <w:start w:val="1"/>
      <w:numFmt w:val="bullet"/>
      <w:lvlText w:val=""/>
      <w:lvlJc w:val="left"/>
      <w:pPr>
        <w:ind w:left="720" w:hanging="360"/>
      </w:pPr>
      <w:rPr>
        <w:rFonts w:ascii="Symbol" w:hAnsi="Symbol"/>
      </w:rPr>
    </w:lvl>
    <w:lvl w:ilvl="4" w:tplc="47D085E8">
      <w:start w:val="1"/>
      <w:numFmt w:val="bullet"/>
      <w:lvlText w:val=""/>
      <w:lvlJc w:val="left"/>
      <w:pPr>
        <w:ind w:left="720" w:hanging="360"/>
      </w:pPr>
      <w:rPr>
        <w:rFonts w:ascii="Symbol" w:hAnsi="Symbol"/>
      </w:rPr>
    </w:lvl>
    <w:lvl w:ilvl="5" w:tplc="A65EF234">
      <w:start w:val="1"/>
      <w:numFmt w:val="bullet"/>
      <w:lvlText w:val=""/>
      <w:lvlJc w:val="left"/>
      <w:pPr>
        <w:ind w:left="720" w:hanging="360"/>
      </w:pPr>
      <w:rPr>
        <w:rFonts w:ascii="Symbol" w:hAnsi="Symbol"/>
      </w:rPr>
    </w:lvl>
    <w:lvl w:ilvl="6" w:tplc="59ACB0EC">
      <w:start w:val="1"/>
      <w:numFmt w:val="bullet"/>
      <w:lvlText w:val=""/>
      <w:lvlJc w:val="left"/>
      <w:pPr>
        <w:ind w:left="720" w:hanging="360"/>
      </w:pPr>
      <w:rPr>
        <w:rFonts w:ascii="Symbol" w:hAnsi="Symbol"/>
      </w:rPr>
    </w:lvl>
    <w:lvl w:ilvl="7" w:tplc="C0A86A00">
      <w:start w:val="1"/>
      <w:numFmt w:val="bullet"/>
      <w:lvlText w:val=""/>
      <w:lvlJc w:val="left"/>
      <w:pPr>
        <w:ind w:left="720" w:hanging="360"/>
      </w:pPr>
      <w:rPr>
        <w:rFonts w:ascii="Symbol" w:hAnsi="Symbol"/>
      </w:rPr>
    </w:lvl>
    <w:lvl w:ilvl="8" w:tplc="F32C8A7E">
      <w:start w:val="1"/>
      <w:numFmt w:val="bullet"/>
      <w:lvlText w:val=""/>
      <w:lvlJc w:val="left"/>
      <w:pPr>
        <w:ind w:left="720" w:hanging="360"/>
      </w:pPr>
      <w:rPr>
        <w:rFonts w:ascii="Symbol" w:hAnsi="Symbol"/>
      </w:rPr>
    </w:lvl>
  </w:abstractNum>
  <w:abstractNum w:abstractNumId="19"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0940BB"/>
    <w:multiLevelType w:val="hybridMultilevel"/>
    <w:tmpl w:val="1CAE94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27649B"/>
    <w:multiLevelType w:val="hybridMultilevel"/>
    <w:tmpl w:val="D1207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5C57F8"/>
    <w:multiLevelType w:val="hybridMultilevel"/>
    <w:tmpl w:val="C0E6B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4C22FD"/>
    <w:multiLevelType w:val="hybridMultilevel"/>
    <w:tmpl w:val="1F0C8A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486BBA"/>
    <w:multiLevelType w:val="hybridMultilevel"/>
    <w:tmpl w:val="1A128E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C5967E0"/>
    <w:multiLevelType w:val="hybridMultilevel"/>
    <w:tmpl w:val="A490C5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01403B"/>
    <w:multiLevelType w:val="hybridMultilevel"/>
    <w:tmpl w:val="CD26D0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3023C3"/>
    <w:multiLevelType w:val="hybridMultilevel"/>
    <w:tmpl w:val="3774E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F43CCA"/>
    <w:multiLevelType w:val="hybridMultilevel"/>
    <w:tmpl w:val="BFAA5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FC2670"/>
    <w:multiLevelType w:val="hybridMultilevel"/>
    <w:tmpl w:val="BD6A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71A0031"/>
    <w:multiLevelType w:val="multilevel"/>
    <w:tmpl w:val="FBA21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4A1391"/>
    <w:multiLevelType w:val="hybridMultilevel"/>
    <w:tmpl w:val="BECC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2276B7"/>
    <w:multiLevelType w:val="hybridMultilevel"/>
    <w:tmpl w:val="429E21B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7" w15:restartNumberingAfterBreak="0">
    <w:nsid w:val="48DB41DF"/>
    <w:multiLevelType w:val="hybridMultilevel"/>
    <w:tmpl w:val="A7C0D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12B26AB"/>
    <w:multiLevelType w:val="hybridMultilevel"/>
    <w:tmpl w:val="3F76F698"/>
    <w:lvl w:ilvl="0" w:tplc="0C090001">
      <w:start w:val="1"/>
      <w:numFmt w:val="bulle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9"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53B46092"/>
    <w:multiLevelType w:val="hybridMultilevel"/>
    <w:tmpl w:val="1CFE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531743A"/>
    <w:multiLevelType w:val="hybridMultilevel"/>
    <w:tmpl w:val="76CE1FC2"/>
    <w:lvl w:ilvl="0" w:tplc="875661E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C64511"/>
    <w:multiLevelType w:val="hybridMultilevel"/>
    <w:tmpl w:val="E3EC8E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573C69C0"/>
    <w:multiLevelType w:val="hybridMultilevel"/>
    <w:tmpl w:val="66D433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CB00C51"/>
    <w:multiLevelType w:val="hybridMultilevel"/>
    <w:tmpl w:val="420E83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8A34EE"/>
    <w:multiLevelType w:val="hybridMultilevel"/>
    <w:tmpl w:val="08924000"/>
    <w:lvl w:ilvl="0" w:tplc="2B9C4F34">
      <w:numFmt w:val="bullet"/>
      <w:lvlText w:val="-"/>
      <w:lvlJc w:val="left"/>
      <w:pPr>
        <w:ind w:left="720" w:hanging="360"/>
      </w:pPr>
      <w:rPr>
        <w:rFonts w:ascii="Cambria" w:eastAsia="MS Mincho"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F341884"/>
    <w:multiLevelType w:val="hybridMultilevel"/>
    <w:tmpl w:val="53EAB48A"/>
    <w:lvl w:ilvl="0" w:tplc="8EB069CE">
      <w:start w:val="1"/>
      <w:numFmt w:val="bullet"/>
      <w:lvlText w:val=""/>
      <w:lvlJc w:val="left"/>
      <w:pPr>
        <w:ind w:left="2140" w:hanging="360"/>
      </w:pPr>
      <w:rPr>
        <w:rFonts w:ascii="Symbol" w:hAnsi="Symbol"/>
      </w:rPr>
    </w:lvl>
    <w:lvl w:ilvl="1" w:tplc="82A2E78C">
      <w:start w:val="1"/>
      <w:numFmt w:val="bullet"/>
      <w:lvlText w:val=""/>
      <w:lvlJc w:val="left"/>
      <w:pPr>
        <w:ind w:left="2140" w:hanging="360"/>
      </w:pPr>
      <w:rPr>
        <w:rFonts w:ascii="Symbol" w:hAnsi="Symbol"/>
      </w:rPr>
    </w:lvl>
    <w:lvl w:ilvl="2" w:tplc="9940C098">
      <w:start w:val="1"/>
      <w:numFmt w:val="bullet"/>
      <w:lvlText w:val=""/>
      <w:lvlJc w:val="left"/>
      <w:pPr>
        <w:ind w:left="2140" w:hanging="360"/>
      </w:pPr>
      <w:rPr>
        <w:rFonts w:ascii="Symbol" w:hAnsi="Symbol"/>
      </w:rPr>
    </w:lvl>
    <w:lvl w:ilvl="3" w:tplc="06AE79B2">
      <w:start w:val="1"/>
      <w:numFmt w:val="bullet"/>
      <w:lvlText w:val=""/>
      <w:lvlJc w:val="left"/>
      <w:pPr>
        <w:ind w:left="2140" w:hanging="360"/>
      </w:pPr>
      <w:rPr>
        <w:rFonts w:ascii="Symbol" w:hAnsi="Symbol"/>
      </w:rPr>
    </w:lvl>
    <w:lvl w:ilvl="4" w:tplc="1812B2DE">
      <w:start w:val="1"/>
      <w:numFmt w:val="bullet"/>
      <w:lvlText w:val=""/>
      <w:lvlJc w:val="left"/>
      <w:pPr>
        <w:ind w:left="2140" w:hanging="360"/>
      </w:pPr>
      <w:rPr>
        <w:rFonts w:ascii="Symbol" w:hAnsi="Symbol"/>
      </w:rPr>
    </w:lvl>
    <w:lvl w:ilvl="5" w:tplc="A41EA8EE">
      <w:start w:val="1"/>
      <w:numFmt w:val="bullet"/>
      <w:lvlText w:val=""/>
      <w:lvlJc w:val="left"/>
      <w:pPr>
        <w:ind w:left="2140" w:hanging="360"/>
      </w:pPr>
      <w:rPr>
        <w:rFonts w:ascii="Symbol" w:hAnsi="Symbol"/>
      </w:rPr>
    </w:lvl>
    <w:lvl w:ilvl="6" w:tplc="562071B8">
      <w:start w:val="1"/>
      <w:numFmt w:val="bullet"/>
      <w:lvlText w:val=""/>
      <w:lvlJc w:val="left"/>
      <w:pPr>
        <w:ind w:left="2140" w:hanging="360"/>
      </w:pPr>
      <w:rPr>
        <w:rFonts w:ascii="Symbol" w:hAnsi="Symbol"/>
      </w:rPr>
    </w:lvl>
    <w:lvl w:ilvl="7" w:tplc="0FDCC0EE">
      <w:start w:val="1"/>
      <w:numFmt w:val="bullet"/>
      <w:lvlText w:val=""/>
      <w:lvlJc w:val="left"/>
      <w:pPr>
        <w:ind w:left="2140" w:hanging="360"/>
      </w:pPr>
      <w:rPr>
        <w:rFonts w:ascii="Symbol" w:hAnsi="Symbol"/>
      </w:rPr>
    </w:lvl>
    <w:lvl w:ilvl="8" w:tplc="1116DE66">
      <w:start w:val="1"/>
      <w:numFmt w:val="bullet"/>
      <w:lvlText w:val=""/>
      <w:lvlJc w:val="left"/>
      <w:pPr>
        <w:ind w:left="2140" w:hanging="360"/>
      </w:pPr>
      <w:rPr>
        <w:rFonts w:ascii="Symbol" w:hAnsi="Symbol"/>
      </w:rPr>
    </w:lvl>
  </w:abstractNum>
  <w:abstractNum w:abstractNumId="49" w15:restartNumberingAfterBreak="0">
    <w:nsid w:val="63492C74"/>
    <w:multiLevelType w:val="hybridMultilevel"/>
    <w:tmpl w:val="56989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4887143"/>
    <w:multiLevelType w:val="multilevel"/>
    <w:tmpl w:val="DCD80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6231DB"/>
    <w:multiLevelType w:val="hybridMultilevel"/>
    <w:tmpl w:val="AB22C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6947FEA"/>
    <w:multiLevelType w:val="hybridMultilevel"/>
    <w:tmpl w:val="156AD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75B64DB"/>
    <w:multiLevelType w:val="hybridMultilevel"/>
    <w:tmpl w:val="004469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7B96A9A"/>
    <w:multiLevelType w:val="hybridMultilevel"/>
    <w:tmpl w:val="B262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16208A2"/>
    <w:multiLevelType w:val="hybridMultilevel"/>
    <w:tmpl w:val="916455EE"/>
    <w:lvl w:ilvl="0" w:tplc="DC7646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74483CA4"/>
    <w:multiLevelType w:val="hybridMultilevel"/>
    <w:tmpl w:val="587C15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1101445">
    <w:abstractNumId w:val="19"/>
  </w:num>
  <w:num w:numId="2" w16cid:durableId="1150908175">
    <w:abstractNumId w:val="47"/>
  </w:num>
  <w:num w:numId="3" w16cid:durableId="1051806786">
    <w:abstractNumId w:val="57"/>
  </w:num>
  <w:num w:numId="4" w16cid:durableId="1774590136">
    <w:abstractNumId w:val="2"/>
  </w:num>
  <w:num w:numId="5" w16cid:durableId="457728255">
    <w:abstractNumId w:val="6"/>
  </w:num>
  <w:num w:numId="6" w16cid:durableId="994141099">
    <w:abstractNumId w:val="21"/>
  </w:num>
  <w:num w:numId="7" w16cid:durableId="86847277">
    <w:abstractNumId w:val="46"/>
  </w:num>
  <w:num w:numId="8" w16cid:durableId="1987319080">
    <w:abstractNumId w:val="39"/>
  </w:num>
  <w:num w:numId="9" w16cid:durableId="882442732">
    <w:abstractNumId w:val="8"/>
  </w:num>
  <w:num w:numId="10" w16cid:durableId="1071927972">
    <w:abstractNumId w:val="25"/>
  </w:num>
  <w:num w:numId="11" w16cid:durableId="1482456645">
    <w:abstractNumId w:val="29"/>
  </w:num>
  <w:num w:numId="12" w16cid:durableId="750736926">
    <w:abstractNumId w:val="58"/>
  </w:num>
  <w:num w:numId="13" w16cid:durableId="1343584397">
    <w:abstractNumId w:val="5"/>
  </w:num>
  <w:num w:numId="14" w16cid:durableId="1123159202">
    <w:abstractNumId w:val="4"/>
  </w:num>
  <w:num w:numId="15" w16cid:durableId="791555995">
    <w:abstractNumId w:val="30"/>
  </w:num>
  <w:num w:numId="16" w16cid:durableId="1115558900">
    <w:abstractNumId w:val="11"/>
  </w:num>
  <w:num w:numId="17" w16cid:durableId="1267302343">
    <w:abstractNumId w:val="40"/>
  </w:num>
  <w:num w:numId="18" w16cid:durableId="2088187498">
    <w:abstractNumId w:val="55"/>
  </w:num>
  <w:num w:numId="19" w16cid:durableId="1111628694">
    <w:abstractNumId w:val="41"/>
  </w:num>
  <w:num w:numId="20" w16cid:durableId="318197082">
    <w:abstractNumId w:val="26"/>
  </w:num>
  <w:num w:numId="21" w16cid:durableId="1767455945">
    <w:abstractNumId w:val="29"/>
  </w:num>
  <w:num w:numId="22" w16cid:durableId="1860846971">
    <w:abstractNumId w:val="13"/>
  </w:num>
  <w:num w:numId="23" w16cid:durableId="1326936365">
    <w:abstractNumId w:val="37"/>
  </w:num>
  <w:num w:numId="24" w16cid:durableId="2079592770">
    <w:abstractNumId w:val="9"/>
  </w:num>
  <w:num w:numId="25" w16cid:durableId="1055396369">
    <w:abstractNumId w:val="22"/>
  </w:num>
  <w:num w:numId="26" w16cid:durableId="1836803385">
    <w:abstractNumId w:val="20"/>
  </w:num>
  <w:num w:numId="27" w16cid:durableId="174654235">
    <w:abstractNumId w:val="53"/>
  </w:num>
  <w:num w:numId="28" w16cid:durableId="685059476">
    <w:abstractNumId w:val="51"/>
  </w:num>
  <w:num w:numId="29" w16cid:durableId="1485195962">
    <w:abstractNumId w:val="24"/>
  </w:num>
  <w:num w:numId="30" w16cid:durableId="387723763">
    <w:abstractNumId w:val="52"/>
  </w:num>
  <w:num w:numId="31" w16cid:durableId="85663244">
    <w:abstractNumId w:val="33"/>
  </w:num>
  <w:num w:numId="32" w16cid:durableId="1683622484">
    <w:abstractNumId w:val="1"/>
  </w:num>
  <w:num w:numId="33" w16cid:durableId="263389980">
    <w:abstractNumId w:val="54"/>
  </w:num>
  <w:num w:numId="34" w16cid:durableId="1326593875">
    <w:abstractNumId w:val="10"/>
  </w:num>
  <w:num w:numId="35" w16cid:durableId="1286161928">
    <w:abstractNumId w:val="31"/>
  </w:num>
  <w:num w:numId="36" w16cid:durableId="1816330875">
    <w:abstractNumId w:val="35"/>
  </w:num>
  <w:num w:numId="37" w16cid:durableId="1736705233">
    <w:abstractNumId w:val="23"/>
  </w:num>
  <w:num w:numId="38" w16cid:durableId="1503471484">
    <w:abstractNumId w:val="45"/>
  </w:num>
  <w:num w:numId="39" w16cid:durableId="582182338">
    <w:abstractNumId w:val="56"/>
  </w:num>
  <w:num w:numId="40" w16cid:durableId="1894388460">
    <w:abstractNumId w:val="42"/>
  </w:num>
  <w:num w:numId="41" w16cid:durableId="2073192329">
    <w:abstractNumId w:val="7"/>
  </w:num>
  <w:num w:numId="42" w16cid:durableId="1825200473">
    <w:abstractNumId w:val="36"/>
  </w:num>
  <w:num w:numId="43" w16cid:durableId="165756659">
    <w:abstractNumId w:val="0"/>
  </w:num>
  <w:num w:numId="44" w16cid:durableId="1997108421">
    <w:abstractNumId w:val="27"/>
  </w:num>
  <w:num w:numId="45" w16cid:durableId="1553929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076890">
    <w:abstractNumId w:val="12"/>
  </w:num>
  <w:num w:numId="47" w16cid:durableId="1232347914">
    <w:abstractNumId w:val="44"/>
  </w:num>
  <w:num w:numId="48" w16cid:durableId="1060207217">
    <w:abstractNumId w:val="48"/>
  </w:num>
  <w:num w:numId="49" w16cid:durableId="545289365">
    <w:abstractNumId w:val="14"/>
  </w:num>
  <w:num w:numId="50" w16cid:durableId="1190873909">
    <w:abstractNumId w:val="18"/>
  </w:num>
  <w:num w:numId="51" w16cid:durableId="1134449819">
    <w:abstractNumId w:val="17"/>
  </w:num>
  <w:num w:numId="52" w16cid:durableId="1571043751">
    <w:abstractNumId w:val="38"/>
  </w:num>
  <w:num w:numId="53" w16cid:durableId="116606345">
    <w:abstractNumId w:val="43"/>
  </w:num>
  <w:num w:numId="54" w16cid:durableId="152796820">
    <w:abstractNumId w:val="28"/>
  </w:num>
  <w:num w:numId="55" w16cid:durableId="697698931">
    <w:abstractNumId w:val="16"/>
  </w:num>
  <w:num w:numId="56" w16cid:durableId="79448238">
    <w:abstractNumId w:val="3"/>
  </w:num>
  <w:num w:numId="57" w16cid:durableId="132601696">
    <w:abstractNumId w:val="32"/>
  </w:num>
  <w:num w:numId="58" w16cid:durableId="1513950662">
    <w:abstractNumId w:val="15"/>
  </w:num>
  <w:num w:numId="59" w16cid:durableId="1288198956">
    <w:abstractNumId w:val="49"/>
  </w:num>
  <w:num w:numId="60" w16cid:durableId="1803185454">
    <w:abstractNumId w:val="34"/>
  </w:num>
  <w:num w:numId="61" w16cid:durableId="1527476714">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45"/>
    <w:rsid w:val="00000508"/>
    <w:rsid w:val="000011FE"/>
    <w:rsid w:val="00004E93"/>
    <w:rsid w:val="00005653"/>
    <w:rsid w:val="00007539"/>
    <w:rsid w:val="000109AB"/>
    <w:rsid w:val="00012FF5"/>
    <w:rsid w:val="00014A86"/>
    <w:rsid w:val="000152DF"/>
    <w:rsid w:val="00016B75"/>
    <w:rsid w:val="000170FC"/>
    <w:rsid w:val="000178FF"/>
    <w:rsid w:val="000179F1"/>
    <w:rsid w:val="00020744"/>
    <w:rsid w:val="000216E9"/>
    <w:rsid w:val="000253EC"/>
    <w:rsid w:val="00027571"/>
    <w:rsid w:val="0003219B"/>
    <w:rsid w:val="00032F92"/>
    <w:rsid w:val="00032FAE"/>
    <w:rsid w:val="000332C9"/>
    <w:rsid w:val="0003396A"/>
    <w:rsid w:val="000374FB"/>
    <w:rsid w:val="00040C02"/>
    <w:rsid w:val="0004212E"/>
    <w:rsid w:val="00042274"/>
    <w:rsid w:val="000434F4"/>
    <w:rsid w:val="00043858"/>
    <w:rsid w:val="00045778"/>
    <w:rsid w:val="00045C71"/>
    <w:rsid w:val="000503F1"/>
    <w:rsid w:val="00050B0F"/>
    <w:rsid w:val="00052A03"/>
    <w:rsid w:val="00055505"/>
    <w:rsid w:val="00055DF5"/>
    <w:rsid w:val="0006051F"/>
    <w:rsid w:val="0006121E"/>
    <w:rsid w:val="000624B9"/>
    <w:rsid w:val="00062590"/>
    <w:rsid w:val="000637B0"/>
    <w:rsid w:val="00063951"/>
    <w:rsid w:val="00064FDE"/>
    <w:rsid w:val="00065523"/>
    <w:rsid w:val="00066B2F"/>
    <w:rsid w:val="00066CCA"/>
    <w:rsid w:val="000727D2"/>
    <w:rsid w:val="000728F5"/>
    <w:rsid w:val="00072A36"/>
    <w:rsid w:val="00073166"/>
    <w:rsid w:val="00073AFE"/>
    <w:rsid w:val="000743AA"/>
    <w:rsid w:val="000774E4"/>
    <w:rsid w:val="00077B19"/>
    <w:rsid w:val="000805C8"/>
    <w:rsid w:val="000815E8"/>
    <w:rsid w:val="00082CAB"/>
    <w:rsid w:val="00083EC1"/>
    <w:rsid w:val="000846A4"/>
    <w:rsid w:val="00084F9E"/>
    <w:rsid w:val="000862C6"/>
    <w:rsid w:val="00087FA2"/>
    <w:rsid w:val="00090C3D"/>
    <w:rsid w:val="0009107A"/>
    <w:rsid w:val="0009202D"/>
    <w:rsid w:val="00092EDD"/>
    <w:rsid w:val="0009412D"/>
    <w:rsid w:val="000942F7"/>
    <w:rsid w:val="00096077"/>
    <w:rsid w:val="0009649B"/>
    <w:rsid w:val="0009675B"/>
    <w:rsid w:val="00097828"/>
    <w:rsid w:val="000A4820"/>
    <w:rsid w:val="000A562F"/>
    <w:rsid w:val="000A6215"/>
    <w:rsid w:val="000A66C8"/>
    <w:rsid w:val="000A6948"/>
    <w:rsid w:val="000A6A62"/>
    <w:rsid w:val="000A7327"/>
    <w:rsid w:val="000A78F8"/>
    <w:rsid w:val="000B0556"/>
    <w:rsid w:val="000B2796"/>
    <w:rsid w:val="000B37EF"/>
    <w:rsid w:val="000B46D5"/>
    <w:rsid w:val="000B55C8"/>
    <w:rsid w:val="000B58FB"/>
    <w:rsid w:val="000C363D"/>
    <w:rsid w:val="000C6813"/>
    <w:rsid w:val="000D25BE"/>
    <w:rsid w:val="000D2D2E"/>
    <w:rsid w:val="000D307E"/>
    <w:rsid w:val="000D3185"/>
    <w:rsid w:val="000D3F52"/>
    <w:rsid w:val="000D444D"/>
    <w:rsid w:val="000D45A0"/>
    <w:rsid w:val="000D4C94"/>
    <w:rsid w:val="000D56EB"/>
    <w:rsid w:val="000D5DD3"/>
    <w:rsid w:val="000E1C1C"/>
    <w:rsid w:val="000E3020"/>
    <w:rsid w:val="000E3F02"/>
    <w:rsid w:val="000E4EC2"/>
    <w:rsid w:val="000E5192"/>
    <w:rsid w:val="000F4D51"/>
    <w:rsid w:val="000F7DDF"/>
    <w:rsid w:val="00102F88"/>
    <w:rsid w:val="00102FF5"/>
    <w:rsid w:val="00104AFE"/>
    <w:rsid w:val="00104D9E"/>
    <w:rsid w:val="00105D48"/>
    <w:rsid w:val="00105D61"/>
    <w:rsid w:val="00110CB9"/>
    <w:rsid w:val="00113AE2"/>
    <w:rsid w:val="0011431C"/>
    <w:rsid w:val="00114578"/>
    <w:rsid w:val="00115F69"/>
    <w:rsid w:val="001160DE"/>
    <w:rsid w:val="00123510"/>
    <w:rsid w:val="0012601D"/>
    <w:rsid w:val="001260D9"/>
    <w:rsid w:val="00126D3F"/>
    <w:rsid w:val="0013113E"/>
    <w:rsid w:val="001312D6"/>
    <w:rsid w:val="001323EA"/>
    <w:rsid w:val="0013266B"/>
    <w:rsid w:val="00133949"/>
    <w:rsid w:val="00134CE1"/>
    <w:rsid w:val="001354CA"/>
    <w:rsid w:val="0013620C"/>
    <w:rsid w:val="00141384"/>
    <w:rsid w:val="00142FE8"/>
    <w:rsid w:val="00143BEC"/>
    <w:rsid w:val="00145ED6"/>
    <w:rsid w:val="001474B9"/>
    <w:rsid w:val="001503DB"/>
    <w:rsid w:val="0015083D"/>
    <w:rsid w:val="00151A1A"/>
    <w:rsid w:val="00151AE3"/>
    <w:rsid w:val="00151C11"/>
    <w:rsid w:val="0015421F"/>
    <w:rsid w:val="001566B5"/>
    <w:rsid w:val="00156CDC"/>
    <w:rsid w:val="001632C0"/>
    <w:rsid w:val="00166D53"/>
    <w:rsid w:val="001710C0"/>
    <w:rsid w:val="001714A1"/>
    <w:rsid w:val="00171AC2"/>
    <w:rsid w:val="00176A8B"/>
    <w:rsid w:val="00177681"/>
    <w:rsid w:val="00180117"/>
    <w:rsid w:val="00183AB1"/>
    <w:rsid w:val="00183CE3"/>
    <w:rsid w:val="00184132"/>
    <w:rsid w:val="00184383"/>
    <w:rsid w:val="00187288"/>
    <w:rsid w:val="001874DF"/>
    <w:rsid w:val="001879AC"/>
    <w:rsid w:val="00187B3D"/>
    <w:rsid w:val="0019081E"/>
    <w:rsid w:val="001908DB"/>
    <w:rsid w:val="00190C02"/>
    <w:rsid w:val="001919FF"/>
    <w:rsid w:val="00192658"/>
    <w:rsid w:val="0019281D"/>
    <w:rsid w:val="00197C3F"/>
    <w:rsid w:val="00197FE9"/>
    <w:rsid w:val="001A0572"/>
    <w:rsid w:val="001A15E2"/>
    <w:rsid w:val="001A1891"/>
    <w:rsid w:val="001A1ABF"/>
    <w:rsid w:val="001A1D04"/>
    <w:rsid w:val="001A3695"/>
    <w:rsid w:val="001A4346"/>
    <w:rsid w:val="001A4696"/>
    <w:rsid w:val="001A567C"/>
    <w:rsid w:val="001A70B2"/>
    <w:rsid w:val="001A727D"/>
    <w:rsid w:val="001A786B"/>
    <w:rsid w:val="001A7C14"/>
    <w:rsid w:val="001B0FC8"/>
    <w:rsid w:val="001B101E"/>
    <w:rsid w:val="001B2279"/>
    <w:rsid w:val="001B3E3C"/>
    <w:rsid w:val="001B4017"/>
    <w:rsid w:val="001B623E"/>
    <w:rsid w:val="001B6A8A"/>
    <w:rsid w:val="001B6EBC"/>
    <w:rsid w:val="001B7598"/>
    <w:rsid w:val="001B7ED3"/>
    <w:rsid w:val="001C0577"/>
    <w:rsid w:val="001C173F"/>
    <w:rsid w:val="001C1EC4"/>
    <w:rsid w:val="001C26BE"/>
    <w:rsid w:val="001C3292"/>
    <w:rsid w:val="001C38AF"/>
    <w:rsid w:val="001C3ADA"/>
    <w:rsid w:val="001C5A13"/>
    <w:rsid w:val="001C5E65"/>
    <w:rsid w:val="001D0151"/>
    <w:rsid w:val="001D15A8"/>
    <w:rsid w:val="001D1CB3"/>
    <w:rsid w:val="001D3782"/>
    <w:rsid w:val="001D5FD1"/>
    <w:rsid w:val="001D6B26"/>
    <w:rsid w:val="001D7316"/>
    <w:rsid w:val="001D75F6"/>
    <w:rsid w:val="001D7A4F"/>
    <w:rsid w:val="001D7B40"/>
    <w:rsid w:val="001D7F8A"/>
    <w:rsid w:val="001E00EE"/>
    <w:rsid w:val="001E0B7A"/>
    <w:rsid w:val="001F063F"/>
    <w:rsid w:val="001F1830"/>
    <w:rsid w:val="001F48A0"/>
    <w:rsid w:val="001F626E"/>
    <w:rsid w:val="002000F0"/>
    <w:rsid w:val="0020180F"/>
    <w:rsid w:val="00201DC1"/>
    <w:rsid w:val="00202641"/>
    <w:rsid w:val="00202980"/>
    <w:rsid w:val="00203CAB"/>
    <w:rsid w:val="00203D4D"/>
    <w:rsid w:val="0020404A"/>
    <w:rsid w:val="00207B8A"/>
    <w:rsid w:val="00210B67"/>
    <w:rsid w:val="00210E3C"/>
    <w:rsid w:val="00211A36"/>
    <w:rsid w:val="00211A66"/>
    <w:rsid w:val="00212EB6"/>
    <w:rsid w:val="0021326F"/>
    <w:rsid w:val="002156A0"/>
    <w:rsid w:val="00216B37"/>
    <w:rsid w:val="00220828"/>
    <w:rsid w:val="00221182"/>
    <w:rsid w:val="002230E7"/>
    <w:rsid w:val="00224AF3"/>
    <w:rsid w:val="002260BD"/>
    <w:rsid w:val="00226F3C"/>
    <w:rsid w:val="00227559"/>
    <w:rsid w:val="002323CF"/>
    <w:rsid w:val="00232972"/>
    <w:rsid w:val="00233242"/>
    <w:rsid w:val="002339A6"/>
    <w:rsid w:val="00236ECD"/>
    <w:rsid w:val="0023720D"/>
    <w:rsid w:val="002374AC"/>
    <w:rsid w:val="002409CB"/>
    <w:rsid w:val="00240AAA"/>
    <w:rsid w:val="002424C2"/>
    <w:rsid w:val="002429EA"/>
    <w:rsid w:val="00244791"/>
    <w:rsid w:val="00244DF3"/>
    <w:rsid w:val="00246273"/>
    <w:rsid w:val="002476F4"/>
    <w:rsid w:val="00247744"/>
    <w:rsid w:val="00247B5E"/>
    <w:rsid w:val="00252CA4"/>
    <w:rsid w:val="0025481F"/>
    <w:rsid w:val="00254970"/>
    <w:rsid w:val="00254F3C"/>
    <w:rsid w:val="00255E6C"/>
    <w:rsid w:val="0025627C"/>
    <w:rsid w:val="0025799D"/>
    <w:rsid w:val="002602EA"/>
    <w:rsid w:val="002608F5"/>
    <w:rsid w:val="00260B5E"/>
    <w:rsid w:val="0026142F"/>
    <w:rsid w:val="0026500F"/>
    <w:rsid w:val="00265FB2"/>
    <w:rsid w:val="0026650C"/>
    <w:rsid w:val="002667CB"/>
    <w:rsid w:val="00266E11"/>
    <w:rsid w:val="00271B51"/>
    <w:rsid w:val="00272777"/>
    <w:rsid w:val="00272FA2"/>
    <w:rsid w:val="002751D3"/>
    <w:rsid w:val="00275D92"/>
    <w:rsid w:val="00280501"/>
    <w:rsid w:val="002810C4"/>
    <w:rsid w:val="002817CD"/>
    <w:rsid w:val="00282A01"/>
    <w:rsid w:val="00283CC9"/>
    <w:rsid w:val="00284FF6"/>
    <w:rsid w:val="002855E1"/>
    <w:rsid w:val="0028568A"/>
    <w:rsid w:val="00285CFE"/>
    <w:rsid w:val="0028793B"/>
    <w:rsid w:val="00287D9F"/>
    <w:rsid w:val="002903C8"/>
    <w:rsid w:val="00290630"/>
    <w:rsid w:val="0029115B"/>
    <w:rsid w:val="00293C0C"/>
    <w:rsid w:val="002968E0"/>
    <w:rsid w:val="002973C5"/>
    <w:rsid w:val="0029743B"/>
    <w:rsid w:val="00297C07"/>
    <w:rsid w:val="00297F2F"/>
    <w:rsid w:val="002A015F"/>
    <w:rsid w:val="002A3F30"/>
    <w:rsid w:val="002A729E"/>
    <w:rsid w:val="002B0439"/>
    <w:rsid w:val="002B28EB"/>
    <w:rsid w:val="002B2F43"/>
    <w:rsid w:val="002B4F6A"/>
    <w:rsid w:val="002B741E"/>
    <w:rsid w:val="002B7A34"/>
    <w:rsid w:val="002B7C68"/>
    <w:rsid w:val="002C03EB"/>
    <w:rsid w:val="002C0561"/>
    <w:rsid w:val="002C1322"/>
    <w:rsid w:val="002C4652"/>
    <w:rsid w:val="002C5391"/>
    <w:rsid w:val="002C5563"/>
    <w:rsid w:val="002C6C50"/>
    <w:rsid w:val="002C76F7"/>
    <w:rsid w:val="002D1160"/>
    <w:rsid w:val="002D2381"/>
    <w:rsid w:val="002D3968"/>
    <w:rsid w:val="002D3CD4"/>
    <w:rsid w:val="002D3CE9"/>
    <w:rsid w:val="002D67DA"/>
    <w:rsid w:val="002D6999"/>
    <w:rsid w:val="002E252C"/>
    <w:rsid w:val="002E35CB"/>
    <w:rsid w:val="002E6160"/>
    <w:rsid w:val="002E6257"/>
    <w:rsid w:val="002E67F6"/>
    <w:rsid w:val="002E7329"/>
    <w:rsid w:val="002F0427"/>
    <w:rsid w:val="002F132E"/>
    <w:rsid w:val="002F4835"/>
    <w:rsid w:val="002F4EFE"/>
    <w:rsid w:val="002F5583"/>
    <w:rsid w:val="002F62FB"/>
    <w:rsid w:val="002F6548"/>
    <w:rsid w:val="002F7139"/>
    <w:rsid w:val="00301DC3"/>
    <w:rsid w:val="003034B3"/>
    <w:rsid w:val="003105BC"/>
    <w:rsid w:val="003111CC"/>
    <w:rsid w:val="00311A86"/>
    <w:rsid w:val="003123D8"/>
    <w:rsid w:val="00312C88"/>
    <w:rsid w:val="0031493B"/>
    <w:rsid w:val="00316A9D"/>
    <w:rsid w:val="00316B98"/>
    <w:rsid w:val="00317CAA"/>
    <w:rsid w:val="00320624"/>
    <w:rsid w:val="00322008"/>
    <w:rsid w:val="00322EC3"/>
    <w:rsid w:val="0032369E"/>
    <w:rsid w:val="0032439E"/>
    <w:rsid w:val="00324BC0"/>
    <w:rsid w:val="003260F5"/>
    <w:rsid w:val="003261AA"/>
    <w:rsid w:val="00327A61"/>
    <w:rsid w:val="0033063C"/>
    <w:rsid w:val="003307B8"/>
    <w:rsid w:val="003327D3"/>
    <w:rsid w:val="003338B4"/>
    <w:rsid w:val="0033487C"/>
    <w:rsid w:val="003364B2"/>
    <w:rsid w:val="00337FDB"/>
    <w:rsid w:val="0034013D"/>
    <w:rsid w:val="00340F3C"/>
    <w:rsid w:val="003417EB"/>
    <w:rsid w:val="00342A24"/>
    <w:rsid w:val="00343829"/>
    <w:rsid w:val="00345822"/>
    <w:rsid w:val="00345827"/>
    <w:rsid w:val="00345BD9"/>
    <w:rsid w:val="0034672A"/>
    <w:rsid w:val="003503E7"/>
    <w:rsid w:val="0035308E"/>
    <w:rsid w:val="00357DFD"/>
    <w:rsid w:val="00360394"/>
    <w:rsid w:val="00360AAE"/>
    <w:rsid w:val="00360AEC"/>
    <w:rsid w:val="003611B1"/>
    <w:rsid w:val="00361819"/>
    <w:rsid w:val="00361A1D"/>
    <w:rsid w:val="003650CC"/>
    <w:rsid w:val="0036611B"/>
    <w:rsid w:val="003661A6"/>
    <w:rsid w:val="00366DE9"/>
    <w:rsid w:val="00371FA0"/>
    <w:rsid w:val="003733DD"/>
    <w:rsid w:val="003767C6"/>
    <w:rsid w:val="003811C0"/>
    <w:rsid w:val="00381A1B"/>
    <w:rsid w:val="0038203D"/>
    <w:rsid w:val="00383396"/>
    <w:rsid w:val="003846D3"/>
    <w:rsid w:val="00384E0A"/>
    <w:rsid w:val="00386059"/>
    <w:rsid w:val="00386656"/>
    <w:rsid w:val="00386781"/>
    <w:rsid w:val="00390CE4"/>
    <w:rsid w:val="00391769"/>
    <w:rsid w:val="003919A2"/>
    <w:rsid w:val="00392993"/>
    <w:rsid w:val="00392D21"/>
    <w:rsid w:val="003A0BFB"/>
    <w:rsid w:val="003A20C5"/>
    <w:rsid w:val="003A2811"/>
    <w:rsid w:val="003A31A5"/>
    <w:rsid w:val="003A3B5E"/>
    <w:rsid w:val="003A3E75"/>
    <w:rsid w:val="003A4D8C"/>
    <w:rsid w:val="003A533A"/>
    <w:rsid w:val="003A59EA"/>
    <w:rsid w:val="003A6126"/>
    <w:rsid w:val="003A624E"/>
    <w:rsid w:val="003A7110"/>
    <w:rsid w:val="003A73A0"/>
    <w:rsid w:val="003B332D"/>
    <w:rsid w:val="003B4176"/>
    <w:rsid w:val="003B4A38"/>
    <w:rsid w:val="003B4F23"/>
    <w:rsid w:val="003B5693"/>
    <w:rsid w:val="003B5837"/>
    <w:rsid w:val="003B6684"/>
    <w:rsid w:val="003B6B32"/>
    <w:rsid w:val="003B71A4"/>
    <w:rsid w:val="003B7DAB"/>
    <w:rsid w:val="003C0D62"/>
    <w:rsid w:val="003C1CDB"/>
    <w:rsid w:val="003C37F8"/>
    <w:rsid w:val="003C4015"/>
    <w:rsid w:val="003C6188"/>
    <w:rsid w:val="003C657E"/>
    <w:rsid w:val="003C6D6E"/>
    <w:rsid w:val="003C7446"/>
    <w:rsid w:val="003C76CD"/>
    <w:rsid w:val="003D0612"/>
    <w:rsid w:val="003D1740"/>
    <w:rsid w:val="003D2B19"/>
    <w:rsid w:val="003D610C"/>
    <w:rsid w:val="003D752A"/>
    <w:rsid w:val="003D7A9C"/>
    <w:rsid w:val="003E0EA1"/>
    <w:rsid w:val="003E1A83"/>
    <w:rsid w:val="003E40D2"/>
    <w:rsid w:val="003E4B2A"/>
    <w:rsid w:val="003E5AEA"/>
    <w:rsid w:val="003E607F"/>
    <w:rsid w:val="003E61CF"/>
    <w:rsid w:val="003F01C5"/>
    <w:rsid w:val="003F38C8"/>
    <w:rsid w:val="003F7DA4"/>
    <w:rsid w:val="004028BD"/>
    <w:rsid w:val="00402AD7"/>
    <w:rsid w:val="00402C94"/>
    <w:rsid w:val="0040312B"/>
    <w:rsid w:val="004031E5"/>
    <w:rsid w:val="00403263"/>
    <w:rsid w:val="00403C15"/>
    <w:rsid w:val="00403E39"/>
    <w:rsid w:val="00403F5E"/>
    <w:rsid w:val="004041EC"/>
    <w:rsid w:val="0040435E"/>
    <w:rsid w:val="00404652"/>
    <w:rsid w:val="0040482D"/>
    <w:rsid w:val="004055D2"/>
    <w:rsid w:val="00405991"/>
    <w:rsid w:val="00406536"/>
    <w:rsid w:val="0040655E"/>
    <w:rsid w:val="00406749"/>
    <w:rsid w:val="00410762"/>
    <w:rsid w:val="00410B09"/>
    <w:rsid w:val="00410B8A"/>
    <w:rsid w:val="00410EC3"/>
    <w:rsid w:val="004116D3"/>
    <w:rsid w:val="0041360E"/>
    <w:rsid w:val="004140E5"/>
    <w:rsid w:val="00414CD9"/>
    <w:rsid w:val="00416CAC"/>
    <w:rsid w:val="00420231"/>
    <w:rsid w:val="00422C56"/>
    <w:rsid w:val="00424669"/>
    <w:rsid w:val="00424E87"/>
    <w:rsid w:val="0042665D"/>
    <w:rsid w:val="00427FD5"/>
    <w:rsid w:val="00431D98"/>
    <w:rsid w:val="004325B5"/>
    <w:rsid w:val="00432CF7"/>
    <w:rsid w:val="004341E5"/>
    <w:rsid w:val="004343F8"/>
    <w:rsid w:val="004359B2"/>
    <w:rsid w:val="004369BE"/>
    <w:rsid w:val="00437393"/>
    <w:rsid w:val="0043750C"/>
    <w:rsid w:val="0043784D"/>
    <w:rsid w:val="00437C00"/>
    <w:rsid w:val="00437C42"/>
    <w:rsid w:val="00437EFE"/>
    <w:rsid w:val="004416EA"/>
    <w:rsid w:val="00443793"/>
    <w:rsid w:val="00443A7D"/>
    <w:rsid w:val="00444741"/>
    <w:rsid w:val="00444DEC"/>
    <w:rsid w:val="0044599A"/>
    <w:rsid w:val="00446A54"/>
    <w:rsid w:val="00446EA8"/>
    <w:rsid w:val="004506B2"/>
    <w:rsid w:val="00452A7A"/>
    <w:rsid w:val="00456FF8"/>
    <w:rsid w:val="00460444"/>
    <w:rsid w:val="00461082"/>
    <w:rsid w:val="0046157C"/>
    <w:rsid w:val="0046185B"/>
    <w:rsid w:val="00461CD2"/>
    <w:rsid w:val="00461ED8"/>
    <w:rsid w:val="004633D3"/>
    <w:rsid w:val="00465227"/>
    <w:rsid w:val="0046549C"/>
    <w:rsid w:val="004678A3"/>
    <w:rsid w:val="004710F8"/>
    <w:rsid w:val="00472F24"/>
    <w:rsid w:val="00472FEB"/>
    <w:rsid w:val="00473C48"/>
    <w:rsid w:val="004761AE"/>
    <w:rsid w:val="00477283"/>
    <w:rsid w:val="0047765D"/>
    <w:rsid w:val="00477FBB"/>
    <w:rsid w:val="00481601"/>
    <w:rsid w:val="00482136"/>
    <w:rsid w:val="00483134"/>
    <w:rsid w:val="00490585"/>
    <w:rsid w:val="00491609"/>
    <w:rsid w:val="00492CA8"/>
    <w:rsid w:val="004937A4"/>
    <w:rsid w:val="00494955"/>
    <w:rsid w:val="00495C5F"/>
    <w:rsid w:val="0049672B"/>
    <w:rsid w:val="004A092E"/>
    <w:rsid w:val="004A314D"/>
    <w:rsid w:val="004A3FCC"/>
    <w:rsid w:val="004A4AB5"/>
    <w:rsid w:val="004A517C"/>
    <w:rsid w:val="004A544A"/>
    <w:rsid w:val="004A570D"/>
    <w:rsid w:val="004A62C1"/>
    <w:rsid w:val="004A68BB"/>
    <w:rsid w:val="004A6F1E"/>
    <w:rsid w:val="004A79B9"/>
    <w:rsid w:val="004A7F16"/>
    <w:rsid w:val="004B4DF3"/>
    <w:rsid w:val="004B789E"/>
    <w:rsid w:val="004B798D"/>
    <w:rsid w:val="004C0321"/>
    <w:rsid w:val="004C0638"/>
    <w:rsid w:val="004C1151"/>
    <w:rsid w:val="004C1D7B"/>
    <w:rsid w:val="004C25DC"/>
    <w:rsid w:val="004C311D"/>
    <w:rsid w:val="004C38DA"/>
    <w:rsid w:val="004C4CE0"/>
    <w:rsid w:val="004C67B9"/>
    <w:rsid w:val="004C6EFE"/>
    <w:rsid w:val="004C7E7C"/>
    <w:rsid w:val="004D069F"/>
    <w:rsid w:val="004D145C"/>
    <w:rsid w:val="004D4BA4"/>
    <w:rsid w:val="004D7D5D"/>
    <w:rsid w:val="004E03D6"/>
    <w:rsid w:val="004E05C9"/>
    <w:rsid w:val="004E2CE6"/>
    <w:rsid w:val="004E744E"/>
    <w:rsid w:val="004F00E5"/>
    <w:rsid w:val="004F11F8"/>
    <w:rsid w:val="004F2200"/>
    <w:rsid w:val="004F2366"/>
    <w:rsid w:val="004F3C94"/>
    <w:rsid w:val="004F4ED8"/>
    <w:rsid w:val="004F4FFE"/>
    <w:rsid w:val="004F52D9"/>
    <w:rsid w:val="004F5517"/>
    <w:rsid w:val="004F5754"/>
    <w:rsid w:val="004F5E22"/>
    <w:rsid w:val="004F601B"/>
    <w:rsid w:val="0050197A"/>
    <w:rsid w:val="0050390C"/>
    <w:rsid w:val="0050391D"/>
    <w:rsid w:val="00503A36"/>
    <w:rsid w:val="00504F4D"/>
    <w:rsid w:val="005058A2"/>
    <w:rsid w:val="00507255"/>
    <w:rsid w:val="005107B9"/>
    <w:rsid w:val="00510CD8"/>
    <w:rsid w:val="00510E79"/>
    <w:rsid w:val="00510EB5"/>
    <w:rsid w:val="005110EF"/>
    <w:rsid w:val="005115F2"/>
    <w:rsid w:val="005119A8"/>
    <w:rsid w:val="00511E85"/>
    <w:rsid w:val="0051265C"/>
    <w:rsid w:val="0051582F"/>
    <w:rsid w:val="00516446"/>
    <w:rsid w:val="005208F2"/>
    <w:rsid w:val="00522A66"/>
    <w:rsid w:val="00522DE7"/>
    <w:rsid w:val="005243C9"/>
    <w:rsid w:val="00526197"/>
    <w:rsid w:val="00527073"/>
    <w:rsid w:val="0052737C"/>
    <w:rsid w:val="005278A0"/>
    <w:rsid w:val="005300AF"/>
    <w:rsid w:val="005304AA"/>
    <w:rsid w:val="00530B7D"/>
    <w:rsid w:val="00530C81"/>
    <w:rsid w:val="0053757F"/>
    <w:rsid w:val="00537597"/>
    <w:rsid w:val="00540CD5"/>
    <w:rsid w:val="00540F49"/>
    <w:rsid w:val="00543F77"/>
    <w:rsid w:val="00544D64"/>
    <w:rsid w:val="00545F2C"/>
    <w:rsid w:val="00546044"/>
    <w:rsid w:val="00546C0E"/>
    <w:rsid w:val="00546F70"/>
    <w:rsid w:val="0055006E"/>
    <w:rsid w:val="0055266C"/>
    <w:rsid w:val="00553D8E"/>
    <w:rsid w:val="00554CD2"/>
    <w:rsid w:val="00555F5F"/>
    <w:rsid w:val="0055672F"/>
    <w:rsid w:val="00556925"/>
    <w:rsid w:val="00557523"/>
    <w:rsid w:val="00562910"/>
    <w:rsid w:val="00562CC5"/>
    <w:rsid w:val="005647D9"/>
    <w:rsid w:val="00567254"/>
    <w:rsid w:val="00567C3B"/>
    <w:rsid w:val="00567F6F"/>
    <w:rsid w:val="005703D9"/>
    <w:rsid w:val="00571AF3"/>
    <w:rsid w:val="00572C4E"/>
    <w:rsid w:val="00573A80"/>
    <w:rsid w:val="00574882"/>
    <w:rsid w:val="00574BB4"/>
    <w:rsid w:val="005764DE"/>
    <w:rsid w:val="0057657A"/>
    <w:rsid w:val="00576EB4"/>
    <w:rsid w:val="005800FD"/>
    <w:rsid w:val="0058050E"/>
    <w:rsid w:val="00581F03"/>
    <w:rsid w:val="00582168"/>
    <w:rsid w:val="00586109"/>
    <w:rsid w:val="00586A79"/>
    <w:rsid w:val="00586D07"/>
    <w:rsid w:val="005870F1"/>
    <w:rsid w:val="005873CF"/>
    <w:rsid w:val="00587C76"/>
    <w:rsid w:val="005901AA"/>
    <w:rsid w:val="0059147A"/>
    <w:rsid w:val="005950FC"/>
    <w:rsid w:val="00596BFF"/>
    <w:rsid w:val="005975B8"/>
    <w:rsid w:val="00597E21"/>
    <w:rsid w:val="00597F8F"/>
    <w:rsid w:val="005A10DF"/>
    <w:rsid w:val="005A27F1"/>
    <w:rsid w:val="005A33B7"/>
    <w:rsid w:val="005A38AB"/>
    <w:rsid w:val="005A5867"/>
    <w:rsid w:val="005A5B1A"/>
    <w:rsid w:val="005B58AB"/>
    <w:rsid w:val="005B70D2"/>
    <w:rsid w:val="005C1073"/>
    <w:rsid w:val="005C1E01"/>
    <w:rsid w:val="005C2205"/>
    <w:rsid w:val="005C30DC"/>
    <w:rsid w:val="005C3726"/>
    <w:rsid w:val="005C3927"/>
    <w:rsid w:val="005C475C"/>
    <w:rsid w:val="005C6546"/>
    <w:rsid w:val="005D11C9"/>
    <w:rsid w:val="005D1B1C"/>
    <w:rsid w:val="005D2839"/>
    <w:rsid w:val="005D68FD"/>
    <w:rsid w:val="005D7A92"/>
    <w:rsid w:val="005E0079"/>
    <w:rsid w:val="005E0BD7"/>
    <w:rsid w:val="005E1A47"/>
    <w:rsid w:val="005E4354"/>
    <w:rsid w:val="005E4E3D"/>
    <w:rsid w:val="005E7F80"/>
    <w:rsid w:val="005F1175"/>
    <w:rsid w:val="005F192D"/>
    <w:rsid w:val="005F2423"/>
    <w:rsid w:val="005F3B1B"/>
    <w:rsid w:val="005F516E"/>
    <w:rsid w:val="005F524B"/>
    <w:rsid w:val="006003F5"/>
    <w:rsid w:val="0060048F"/>
    <w:rsid w:val="0060127F"/>
    <w:rsid w:val="00601754"/>
    <w:rsid w:val="00603428"/>
    <w:rsid w:val="006064B2"/>
    <w:rsid w:val="006068A0"/>
    <w:rsid w:val="00606992"/>
    <w:rsid w:val="00607014"/>
    <w:rsid w:val="00607B58"/>
    <w:rsid w:val="00607DF5"/>
    <w:rsid w:val="00611A30"/>
    <w:rsid w:val="00612887"/>
    <w:rsid w:val="00614793"/>
    <w:rsid w:val="00615336"/>
    <w:rsid w:val="006161DC"/>
    <w:rsid w:val="006164C3"/>
    <w:rsid w:val="0062124D"/>
    <w:rsid w:val="0062190F"/>
    <w:rsid w:val="006219CA"/>
    <w:rsid w:val="00622033"/>
    <w:rsid w:val="006252CE"/>
    <w:rsid w:val="00626315"/>
    <w:rsid w:val="006263A5"/>
    <w:rsid w:val="006320B2"/>
    <w:rsid w:val="00632471"/>
    <w:rsid w:val="00632A23"/>
    <w:rsid w:val="00633529"/>
    <w:rsid w:val="0063414F"/>
    <w:rsid w:val="00634921"/>
    <w:rsid w:val="00634A15"/>
    <w:rsid w:val="006351DC"/>
    <w:rsid w:val="00635670"/>
    <w:rsid w:val="0063635F"/>
    <w:rsid w:val="0063789C"/>
    <w:rsid w:val="0064157B"/>
    <w:rsid w:val="00642EE2"/>
    <w:rsid w:val="00644F7C"/>
    <w:rsid w:val="00644F8E"/>
    <w:rsid w:val="006469D8"/>
    <w:rsid w:val="00646D68"/>
    <w:rsid w:val="0064745C"/>
    <w:rsid w:val="00647F5C"/>
    <w:rsid w:val="006514AF"/>
    <w:rsid w:val="00652960"/>
    <w:rsid w:val="00652BA7"/>
    <w:rsid w:val="0065389A"/>
    <w:rsid w:val="00653B08"/>
    <w:rsid w:val="00656284"/>
    <w:rsid w:val="00661FD0"/>
    <w:rsid w:val="00662750"/>
    <w:rsid w:val="00663231"/>
    <w:rsid w:val="00664338"/>
    <w:rsid w:val="00664CE0"/>
    <w:rsid w:val="00665196"/>
    <w:rsid w:val="006657E3"/>
    <w:rsid w:val="00665E71"/>
    <w:rsid w:val="00667CD4"/>
    <w:rsid w:val="00670213"/>
    <w:rsid w:val="00673C21"/>
    <w:rsid w:val="00673DE0"/>
    <w:rsid w:val="00674988"/>
    <w:rsid w:val="00674D24"/>
    <w:rsid w:val="00676394"/>
    <w:rsid w:val="006771E8"/>
    <w:rsid w:val="006804EB"/>
    <w:rsid w:val="00680B29"/>
    <w:rsid w:val="006831BA"/>
    <w:rsid w:val="0068442D"/>
    <w:rsid w:val="006850DB"/>
    <w:rsid w:val="00685980"/>
    <w:rsid w:val="006862F5"/>
    <w:rsid w:val="00686884"/>
    <w:rsid w:val="00690156"/>
    <w:rsid w:val="006906CC"/>
    <w:rsid w:val="00690886"/>
    <w:rsid w:val="0069146E"/>
    <w:rsid w:val="00696177"/>
    <w:rsid w:val="00696602"/>
    <w:rsid w:val="00696C07"/>
    <w:rsid w:val="006A0DBE"/>
    <w:rsid w:val="006A3A8C"/>
    <w:rsid w:val="006A3B2B"/>
    <w:rsid w:val="006A4004"/>
    <w:rsid w:val="006A58F6"/>
    <w:rsid w:val="006A6288"/>
    <w:rsid w:val="006A63BE"/>
    <w:rsid w:val="006A7EE6"/>
    <w:rsid w:val="006B0085"/>
    <w:rsid w:val="006B3910"/>
    <w:rsid w:val="006B6785"/>
    <w:rsid w:val="006B6D92"/>
    <w:rsid w:val="006B6E14"/>
    <w:rsid w:val="006C08CC"/>
    <w:rsid w:val="006C0F12"/>
    <w:rsid w:val="006C1D61"/>
    <w:rsid w:val="006C587C"/>
    <w:rsid w:val="006C6177"/>
    <w:rsid w:val="006C6536"/>
    <w:rsid w:val="006C6D6B"/>
    <w:rsid w:val="006C6DF0"/>
    <w:rsid w:val="006C702E"/>
    <w:rsid w:val="006C704D"/>
    <w:rsid w:val="006C7E7B"/>
    <w:rsid w:val="006D03F1"/>
    <w:rsid w:val="006D048E"/>
    <w:rsid w:val="006D2050"/>
    <w:rsid w:val="006D28D4"/>
    <w:rsid w:val="006D48D4"/>
    <w:rsid w:val="006D4AB8"/>
    <w:rsid w:val="006D5E19"/>
    <w:rsid w:val="006D694B"/>
    <w:rsid w:val="006D73AA"/>
    <w:rsid w:val="006D768D"/>
    <w:rsid w:val="006E0828"/>
    <w:rsid w:val="006E21B0"/>
    <w:rsid w:val="006E29EE"/>
    <w:rsid w:val="006E2E95"/>
    <w:rsid w:val="006E3745"/>
    <w:rsid w:val="006E3E7B"/>
    <w:rsid w:val="006E5126"/>
    <w:rsid w:val="006E59E5"/>
    <w:rsid w:val="006E6BF8"/>
    <w:rsid w:val="006E787D"/>
    <w:rsid w:val="006F0BA2"/>
    <w:rsid w:val="006F49F6"/>
    <w:rsid w:val="006F4A40"/>
    <w:rsid w:val="006F6F98"/>
    <w:rsid w:val="006F7142"/>
    <w:rsid w:val="007011A9"/>
    <w:rsid w:val="00701B03"/>
    <w:rsid w:val="0070201A"/>
    <w:rsid w:val="0070233A"/>
    <w:rsid w:val="00702823"/>
    <w:rsid w:val="0070320C"/>
    <w:rsid w:val="007040CD"/>
    <w:rsid w:val="0070414B"/>
    <w:rsid w:val="007046BC"/>
    <w:rsid w:val="0070680E"/>
    <w:rsid w:val="00706B8A"/>
    <w:rsid w:val="00706B96"/>
    <w:rsid w:val="007075E6"/>
    <w:rsid w:val="00712626"/>
    <w:rsid w:val="00712EA4"/>
    <w:rsid w:val="00712EBC"/>
    <w:rsid w:val="00713B0B"/>
    <w:rsid w:val="00716193"/>
    <w:rsid w:val="0071658E"/>
    <w:rsid w:val="00716D98"/>
    <w:rsid w:val="00720518"/>
    <w:rsid w:val="00720AC3"/>
    <w:rsid w:val="0072120A"/>
    <w:rsid w:val="0072185A"/>
    <w:rsid w:val="007228A6"/>
    <w:rsid w:val="0072673C"/>
    <w:rsid w:val="00726DAE"/>
    <w:rsid w:val="00727228"/>
    <w:rsid w:val="00727500"/>
    <w:rsid w:val="00730B3D"/>
    <w:rsid w:val="007310BB"/>
    <w:rsid w:val="007313BA"/>
    <w:rsid w:val="007323F5"/>
    <w:rsid w:val="0073245E"/>
    <w:rsid w:val="0073331F"/>
    <w:rsid w:val="00737736"/>
    <w:rsid w:val="00737E1D"/>
    <w:rsid w:val="00740250"/>
    <w:rsid w:val="00740B2A"/>
    <w:rsid w:val="0074268C"/>
    <w:rsid w:val="00744572"/>
    <w:rsid w:val="007445FE"/>
    <w:rsid w:val="0074493B"/>
    <w:rsid w:val="00744B23"/>
    <w:rsid w:val="007457D2"/>
    <w:rsid w:val="00746444"/>
    <w:rsid w:val="00751232"/>
    <w:rsid w:val="0075281F"/>
    <w:rsid w:val="00752A11"/>
    <w:rsid w:val="007537FC"/>
    <w:rsid w:val="00753C5B"/>
    <w:rsid w:val="007541DC"/>
    <w:rsid w:val="00761A63"/>
    <w:rsid w:val="00762A45"/>
    <w:rsid w:val="00763767"/>
    <w:rsid w:val="00764B50"/>
    <w:rsid w:val="00766F34"/>
    <w:rsid w:val="007679CB"/>
    <w:rsid w:val="0077437F"/>
    <w:rsid w:val="0077454E"/>
    <w:rsid w:val="00774A49"/>
    <w:rsid w:val="00774E0F"/>
    <w:rsid w:val="007758C7"/>
    <w:rsid w:val="00776305"/>
    <w:rsid w:val="00776782"/>
    <w:rsid w:val="007804CF"/>
    <w:rsid w:val="0078147B"/>
    <w:rsid w:val="00781FEC"/>
    <w:rsid w:val="00783390"/>
    <w:rsid w:val="00784A51"/>
    <w:rsid w:val="00786056"/>
    <w:rsid w:val="007925F3"/>
    <w:rsid w:val="00792F28"/>
    <w:rsid w:val="007937ED"/>
    <w:rsid w:val="00793C76"/>
    <w:rsid w:val="00793EFA"/>
    <w:rsid w:val="00794D3C"/>
    <w:rsid w:val="0079657C"/>
    <w:rsid w:val="00796F23"/>
    <w:rsid w:val="007970E7"/>
    <w:rsid w:val="007A06F8"/>
    <w:rsid w:val="007A0C05"/>
    <w:rsid w:val="007A1B4D"/>
    <w:rsid w:val="007A251F"/>
    <w:rsid w:val="007A3753"/>
    <w:rsid w:val="007A3CC7"/>
    <w:rsid w:val="007A52D3"/>
    <w:rsid w:val="007A6B81"/>
    <w:rsid w:val="007B019E"/>
    <w:rsid w:val="007B1478"/>
    <w:rsid w:val="007B25D2"/>
    <w:rsid w:val="007B2709"/>
    <w:rsid w:val="007B2C50"/>
    <w:rsid w:val="007B447E"/>
    <w:rsid w:val="007B76BB"/>
    <w:rsid w:val="007B7CE7"/>
    <w:rsid w:val="007C0D4B"/>
    <w:rsid w:val="007C3540"/>
    <w:rsid w:val="007C503B"/>
    <w:rsid w:val="007C5ACA"/>
    <w:rsid w:val="007C6781"/>
    <w:rsid w:val="007C6937"/>
    <w:rsid w:val="007C7B0A"/>
    <w:rsid w:val="007D0041"/>
    <w:rsid w:val="007D161A"/>
    <w:rsid w:val="007D7076"/>
    <w:rsid w:val="007E1071"/>
    <w:rsid w:val="007E15A8"/>
    <w:rsid w:val="007E3FD4"/>
    <w:rsid w:val="007E541A"/>
    <w:rsid w:val="007E5871"/>
    <w:rsid w:val="007E62AA"/>
    <w:rsid w:val="007E7331"/>
    <w:rsid w:val="007F272E"/>
    <w:rsid w:val="007F2ED8"/>
    <w:rsid w:val="007F3304"/>
    <w:rsid w:val="007F4A9F"/>
    <w:rsid w:val="007F6345"/>
    <w:rsid w:val="007F7154"/>
    <w:rsid w:val="007F7AAB"/>
    <w:rsid w:val="007F7F28"/>
    <w:rsid w:val="00803701"/>
    <w:rsid w:val="0080497F"/>
    <w:rsid w:val="00804BAA"/>
    <w:rsid w:val="00807896"/>
    <w:rsid w:val="00810644"/>
    <w:rsid w:val="00810BFB"/>
    <w:rsid w:val="008111D1"/>
    <w:rsid w:val="00811601"/>
    <w:rsid w:val="00811AE4"/>
    <w:rsid w:val="00814F7B"/>
    <w:rsid w:val="00815399"/>
    <w:rsid w:val="008167D4"/>
    <w:rsid w:val="008168C0"/>
    <w:rsid w:val="00817B79"/>
    <w:rsid w:val="0082133F"/>
    <w:rsid w:val="00821C51"/>
    <w:rsid w:val="00822016"/>
    <w:rsid w:val="00822DF8"/>
    <w:rsid w:val="00823727"/>
    <w:rsid w:val="008238B7"/>
    <w:rsid w:val="0082534D"/>
    <w:rsid w:val="00825B50"/>
    <w:rsid w:val="00826307"/>
    <w:rsid w:val="00826DE8"/>
    <w:rsid w:val="0082786A"/>
    <w:rsid w:val="0083072A"/>
    <w:rsid w:val="00831B38"/>
    <w:rsid w:val="00835700"/>
    <w:rsid w:val="008403C0"/>
    <w:rsid w:val="00841194"/>
    <w:rsid w:val="0084141F"/>
    <w:rsid w:val="008416DD"/>
    <w:rsid w:val="008450A6"/>
    <w:rsid w:val="008452B5"/>
    <w:rsid w:val="00845A4E"/>
    <w:rsid w:val="00845A80"/>
    <w:rsid w:val="00850146"/>
    <w:rsid w:val="008501F3"/>
    <w:rsid w:val="008515B1"/>
    <w:rsid w:val="00851813"/>
    <w:rsid w:val="00851840"/>
    <w:rsid w:val="00852814"/>
    <w:rsid w:val="00852DAA"/>
    <w:rsid w:val="008555B9"/>
    <w:rsid w:val="00855C81"/>
    <w:rsid w:val="00856471"/>
    <w:rsid w:val="008610A0"/>
    <w:rsid w:val="00862A17"/>
    <w:rsid w:val="008666FC"/>
    <w:rsid w:val="008671C5"/>
    <w:rsid w:val="0086736B"/>
    <w:rsid w:val="008710D8"/>
    <w:rsid w:val="00871271"/>
    <w:rsid w:val="00871A1F"/>
    <w:rsid w:val="00871BD1"/>
    <w:rsid w:val="008727AB"/>
    <w:rsid w:val="00873010"/>
    <w:rsid w:val="00873780"/>
    <w:rsid w:val="00873CEF"/>
    <w:rsid w:val="0087413C"/>
    <w:rsid w:val="008765D3"/>
    <w:rsid w:val="008771C7"/>
    <w:rsid w:val="008773A0"/>
    <w:rsid w:val="00877FA7"/>
    <w:rsid w:val="008821D8"/>
    <w:rsid w:val="008833F0"/>
    <w:rsid w:val="00884766"/>
    <w:rsid w:val="00885394"/>
    <w:rsid w:val="0088566B"/>
    <w:rsid w:val="00887720"/>
    <w:rsid w:val="008908E0"/>
    <w:rsid w:val="00890B01"/>
    <w:rsid w:val="00892A19"/>
    <w:rsid w:val="008930BD"/>
    <w:rsid w:val="008939B1"/>
    <w:rsid w:val="008939FE"/>
    <w:rsid w:val="00893D80"/>
    <w:rsid w:val="00894393"/>
    <w:rsid w:val="0089530E"/>
    <w:rsid w:val="00895420"/>
    <w:rsid w:val="008957CE"/>
    <w:rsid w:val="008A0CD7"/>
    <w:rsid w:val="008A1DBE"/>
    <w:rsid w:val="008A3BF9"/>
    <w:rsid w:val="008A533B"/>
    <w:rsid w:val="008A5EAC"/>
    <w:rsid w:val="008A60BE"/>
    <w:rsid w:val="008A7F19"/>
    <w:rsid w:val="008B20FC"/>
    <w:rsid w:val="008B341F"/>
    <w:rsid w:val="008B47AF"/>
    <w:rsid w:val="008B59B3"/>
    <w:rsid w:val="008C0845"/>
    <w:rsid w:val="008C1510"/>
    <w:rsid w:val="008C1892"/>
    <w:rsid w:val="008C2503"/>
    <w:rsid w:val="008C3409"/>
    <w:rsid w:val="008C64E0"/>
    <w:rsid w:val="008C7CA5"/>
    <w:rsid w:val="008D089E"/>
    <w:rsid w:val="008D09AA"/>
    <w:rsid w:val="008D19CC"/>
    <w:rsid w:val="008D2791"/>
    <w:rsid w:val="008D2A3F"/>
    <w:rsid w:val="008D2E76"/>
    <w:rsid w:val="008D3A14"/>
    <w:rsid w:val="008D4189"/>
    <w:rsid w:val="008D47F3"/>
    <w:rsid w:val="008D49FA"/>
    <w:rsid w:val="008D51B6"/>
    <w:rsid w:val="008D7FF5"/>
    <w:rsid w:val="008E066C"/>
    <w:rsid w:val="008E082F"/>
    <w:rsid w:val="008E298E"/>
    <w:rsid w:val="008E326F"/>
    <w:rsid w:val="008E5682"/>
    <w:rsid w:val="008E6A84"/>
    <w:rsid w:val="008E75B9"/>
    <w:rsid w:val="008F25EE"/>
    <w:rsid w:val="008F4502"/>
    <w:rsid w:val="008F596A"/>
    <w:rsid w:val="008F5C4E"/>
    <w:rsid w:val="008F68DE"/>
    <w:rsid w:val="0090115C"/>
    <w:rsid w:val="00902D1A"/>
    <w:rsid w:val="00903A99"/>
    <w:rsid w:val="0090458F"/>
    <w:rsid w:val="00905BC7"/>
    <w:rsid w:val="00907672"/>
    <w:rsid w:val="009078F6"/>
    <w:rsid w:val="00907B73"/>
    <w:rsid w:val="00910190"/>
    <w:rsid w:val="0091110C"/>
    <w:rsid w:val="0091180B"/>
    <w:rsid w:val="009127C8"/>
    <w:rsid w:val="00912C13"/>
    <w:rsid w:val="009139B4"/>
    <w:rsid w:val="00913CF7"/>
    <w:rsid w:val="0091505A"/>
    <w:rsid w:val="00915F5D"/>
    <w:rsid w:val="00916D96"/>
    <w:rsid w:val="00917AD5"/>
    <w:rsid w:val="0092135A"/>
    <w:rsid w:val="0092199C"/>
    <w:rsid w:val="00922A18"/>
    <w:rsid w:val="00927853"/>
    <w:rsid w:val="0093176E"/>
    <w:rsid w:val="009331E5"/>
    <w:rsid w:val="00934D7F"/>
    <w:rsid w:val="00934DD2"/>
    <w:rsid w:val="009357A3"/>
    <w:rsid w:val="00937906"/>
    <w:rsid w:val="00940C8C"/>
    <w:rsid w:val="0094113C"/>
    <w:rsid w:val="0094479A"/>
    <w:rsid w:val="00945858"/>
    <w:rsid w:val="009469AC"/>
    <w:rsid w:val="00947EDC"/>
    <w:rsid w:val="00950992"/>
    <w:rsid w:val="009543F0"/>
    <w:rsid w:val="00954F22"/>
    <w:rsid w:val="00955863"/>
    <w:rsid w:val="00955B2F"/>
    <w:rsid w:val="00955E93"/>
    <w:rsid w:val="0095646F"/>
    <w:rsid w:val="00956B2C"/>
    <w:rsid w:val="00957BB5"/>
    <w:rsid w:val="00960091"/>
    <w:rsid w:val="00960206"/>
    <w:rsid w:val="00960E9A"/>
    <w:rsid w:val="009623F8"/>
    <w:rsid w:val="009629C3"/>
    <w:rsid w:val="00962BDC"/>
    <w:rsid w:val="00963DE6"/>
    <w:rsid w:val="00966D0B"/>
    <w:rsid w:val="00967425"/>
    <w:rsid w:val="0097174B"/>
    <w:rsid w:val="00972DC7"/>
    <w:rsid w:val="00972F19"/>
    <w:rsid w:val="009735AB"/>
    <w:rsid w:val="009766DD"/>
    <w:rsid w:val="00977431"/>
    <w:rsid w:val="009776F2"/>
    <w:rsid w:val="00977EF7"/>
    <w:rsid w:val="00981E1D"/>
    <w:rsid w:val="00983898"/>
    <w:rsid w:val="00984017"/>
    <w:rsid w:val="00985AE3"/>
    <w:rsid w:val="0098684A"/>
    <w:rsid w:val="00987467"/>
    <w:rsid w:val="00987533"/>
    <w:rsid w:val="00990D02"/>
    <w:rsid w:val="00993019"/>
    <w:rsid w:val="009936BB"/>
    <w:rsid w:val="00993802"/>
    <w:rsid w:val="00994FE1"/>
    <w:rsid w:val="009959B1"/>
    <w:rsid w:val="00996D14"/>
    <w:rsid w:val="00996DEB"/>
    <w:rsid w:val="009A1966"/>
    <w:rsid w:val="009A1C10"/>
    <w:rsid w:val="009A2DA9"/>
    <w:rsid w:val="009A32B6"/>
    <w:rsid w:val="009A530B"/>
    <w:rsid w:val="009A537D"/>
    <w:rsid w:val="009A7678"/>
    <w:rsid w:val="009B0688"/>
    <w:rsid w:val="009B1DA1"/>
    <w:rsid w:val="009B21C1"/>
    <w:rsid w:val="009B31D6"/>
    <w:rsid w:val="009B36E4"/>
    <w:rsid w:val="009B387A"/>
    <w:rsid w:val="009B48A1"/>
    <w:rsid w:val="009B62E6"/>
    <w:rsid w:val="009B76DD"/>
    <w:rsid w:val="009C086A"/>
    <w:rsid w:val="009C255B"/>
    <w:rsid w:val="009C5D69"/>
    <w:rsid w:val="009C75A0"/>
    <w:rsid w:val="009D0FBE"/>
    <w:rsid w:val="009D11A4"/>
    <w:rsid w:val="009D2FD9"/>
    <w:rsid w:val="009D3627"/>
    <w:rsid w:val="009D51D2"/>
    <w:rsid w:val="009D5CAB"/>
    <w:rsid w:val="009D62C9"/>
    <w:rsid w:val="009D746B"/>
    <w:rsid w:val="009E555D"/>
    <w:rsid w:val="009E5894"/>
    <w:rsid w:val="009E5A87"/>
    <w:rsid w:val="009F17D8"/>
    <w:rsid w:val="009F1E49"/>
    <w:rsid w:val="009F2BD2"/>
    <w:rsid w:val="009F3149"/>
    <w:rsid w:val="009F3777"/>
    <w:rsid w:val="009F3E05"/>
    <w:rsid w:val="009F6F84"/>
    <w:rsid w:val="009F78E6"/>
    <w:rsid w:val="00A00D5D"/>
    <w:rsid w:val="00A01E31"/>
    <w:rsid w:val="00A0232B"/>
    <w:rsid w:val="00A03B13"/>
    <w:rsid w:val="00A03D70"/>
    <w:rsid w:val="00A04B43"/>
    <w:rsid w:val="00A04B65"/>
    <w:rsid w:val="00A0586C"/>
    <w:rsid w:val="00A06715"/>
    <w:rsid w:val="00A06E5A"/>
    <w:rsid w:val="00A076B9"/>
    <w:rsid w:val="00A0787D"/>
    <w:rsid w:val="00A10B2D"/>
    <w:rsid w:val="00A10F78"/>
    <w:rsid w:val="00A11A09"/>
    <w:rsid w:val="00A13960"/>
    <w:rsid w:val="00A13EF7"/>
    <w:rsid w:val="00A14C5D"/>
    <w:rsid w:val="00A14E6A"/>
    <w:rsid w:val="00A177A5"/>
    <w:rsid w:val="00A208B4"/>
    <w:rsid w:val="00A20D15"/>
    <w:rsid w:val="00A2289C"/>
    <w:rsid w:val="00A22EF9"/>
    <w:rsid w:val="00A23B8A"/>
    <w:rsid w:val="00A25403"/>
    <w:rsid w:val="00A26639"/>
    <w:rsid w:val="00A268EA"/>
    <w:rsid w:val="00A2798B"/>
    <w:rsid w:val="00A31625"/>
    <w:rsid w:val="00A318F3"/>
    <w:rsid w:val="00A3412B"/>
    <w:rsid w:val="00A34A44"/>
    <w:rsid w:val="00A353F9"/>
    <w:rsid w:val="00A35BE0"/>
    <w:rsid w:val="00A366AA"/>
    <w:rsid w:val="00A37E90"/>
    <w:rsid w:val="00A409E1"/>
    <w:rsid w:val="00A419EA"/>
    <w:rsid w:val="00A41D36"/>
    <w:rsid w:val="00A42294"/>
    <w:rsid w:val="00A441FF"/>
    <w:rsid w:val="00A44858"/>
    <w:rsid w:val="00A4560C"/>
    <w:rsid w:val="00A45E41"/>
    <w:rsid w:val="00A46E76"/>
    <w:rsid w:val="00A47639"/>
    <w:rsid w:val="00A47C69"/>
    <w:rsid w:val="00A50320"/>
    <w:rsid w:val="00A50B17"/>
    <w:rsid w:val="00A521FE"/>
    <w:rsid w:val="00A55498"/>
    <w:rsid w:val="00A6186E"/>
    <w:rsid w:val="00A62B26"/>
    <w:rsid w:val="00A63D97"/>
    <w:rsid w:val="00A63F95"/>
    <w:rsid w:val="00A641CC"/>
    <w:rsid w:val="00A64D74"/>
    <w:rsid w:val="00A652CA"/>
    <w:rsid w:val="00A6572D"/>
    <w:rsid w:val="00A65E7A"/>
    <w:rsid w:val="00A65FD1"/>
    <w:rsid w:val="00A66FB8"/>
    <w:rsid w:val="00A679F3"/>
    <w:rsid w:val="00A70EDF"/>
    <w:rsid w:val="00A723F8"/>
    <w:rsid w:val="00A727BC"/>
    <w:rsid w:val="00A72D63"/>
    <w:rsid w:val="00A73FA2"/>
    <w:rsid w:val="00A77228"/>
    <w:rsid w:val="00A83ABF"/>
    <w:rsid w:val="00A83AE9"/>
    <w:rsid w:val="00A84DEA"/>
    <w:rsid w:val="00A8608C"/>
    <w:rsid w:val="00A860B9"/>
    <w:rsid w:val="00A87465"/>
    <w:rsid w:val="00A92408"/>
    <w:rsid w:val="00A944C3"/>
    <w:rsid w:val="00A94F6E"/>
    <w:rsid w:val="00A95F68"/>
    <w:rsid w:val="00AA06AE"/>
    <w:rsid w:val="00AA0ED7"/>
    <w:rsid w:val="00AA36EC"/>
    <w:rsid w:val="00AA5628"/>
    <w:rsid w:val="00AA7063"/>
    <w:rsid w:val="00AA7D23"/>
    <w:rsid w:val="00AB0696"/>
    <w:rsid w:val="00AB4873"/>
    <w:rsid w:val="00AB4C8D"/>
    <w:rsid w:val="00AB4D85"/>
    <w:rsid w:val="00AB76CE"/>
    <w:rsid w:val="00AB7E03"/>
    <w:rsid w:val="00AC0E83"/>
    <w:rsid w:val="00AC3DBC"/>
    <w:rsid w:val="00AC4023"/>
    <w:rsid w:val="00AC41A5"/>
    <w:rsid w:val="00AC4380"/>
    <w:rsid w:val="00AC4CF8"/>
    <w:rsid w:val="00AC5813"/>
    <w:rsid w:val="00AC7BC0"/>
    <w:rsid w:val="00AD01A3"/>
    <w:rsid w:val="00AD0D76"/>
    <w:rsid w:val="00AD13D6"/>
    <w:rsid w:val="00AD31CF"/>
    <w:rsid w:val="00AD562B"/>
    <w:rsid w:val="00AD59A2"/>
    <w:rsid w:val="00AE0094"/>
    <w:rsid w:val="00AE2955"/>
    <w:rsid w:val="00AE2E87"/>
    <w:rsid w:val="00AE3ABC"/>
    <w:rsid w:val="00AE50D9"/>
    <w:rsid w:val="00AE6E8A"/>
    <w:rsid w:val="00AE6F15"/>
    <w:rsid w:val="00AF11E9"/>
    <w:rsid w:val="00AF143A"/>
    <w:rsid w:val="00AF2374"/>
    <w:rsid w:val="00AF3859"/>
    <w:rsid w:val="00AF44AF"/>
    <w:rsid w:val="00AF4882"/>
    <w:rsid w:val="00AF6578"/>
    <w:rsid w:val="00AF6ECC"/>
    <w:rsid w:val="00AF70C1"/>
    <w:rsid w:val="00B01795"/>
    <w:rsid w:val="00B028DC"/>
    <w:rsid w:val="00B03322"/>
    <w:rsid w:val="00B0343E"/>
    <w:rsid w:val="00B03D1D"/>
    <w:rsid w:val="00B043F6"/>
    <w:rsid w:val="00B0467C"/>
    <w:rsid w:val="00B06A14"/>
    <w:rsid w:val="00B0728F"/>
    <w:rsid w:val="00B10F91"/>
    <w:rsid w:val="00B11468"/>
    <w:rsid w:val="00B121AB"/>
    <w:rsid w:val="00B1354C"/>
    <w:rsid w:val="00B136FA"/>
    <w:rsid w:val="00B141F3"/>
    <w:rsid w:val="00B156C6"/>
    <w:rsid w:val="00B16543"/>
    <w:rsid w:val="00B16682"/>
    <w:rsid w:val="00B17AB3"/>
    <w:rsid w:val="00B21977"/>
    <w:rsid w:val="00B229D8"/>
    <w:rsid w:val="00B22FA5"/>
    <w:rsid w:val="00B245F6"/>
    <w:rsid w:val="00B24B66"/>
    <w:rsid w:val="00B2506B"/>
    <w:rsid w:val="00B273DC"/>
    <w:rsid w:val="00B2752E"/>
    <w:rsid w:val="00B27B26"/>
    <w:rsid w:val="00B32448"/>
    <w:rsid w:val="00B32633"/>
    <w:rsid w:val="00B36006"/>
    <w:rsid w:val="00B37440"/>
    <w:rsid w:val="00B37615"/>
    <w:rsid w:val="00B377CD"/>
    <w:rsid w:val="00B37EDC"/>
    <w:rsid w:val="00B4014F"/>
    <w:rsid w:val="00B41138"/>
    <w:rsid w:val="00B4147B"/>
    <w:rsid w:val="00B4341E"/>
    <w:rsid w:val="00B43CEF"/>
    <w:rsid w:val="00B44CD7"/>
    <w:rsid w:val="00B4506D"/>
    <w:rsid w:val="00B46639"/>
    <w:rsid w:val="00B47405"/>
    <w:rsid w:val="00B47560"/>
    <w:rsid w:val="00B51696"/>
    <w:rsid w:val="00B51CD1"/>
    <w:rsid w:val="00B55542"/>
    <w:rsid w:val="00B55669"/>
    <w:rsid w:val="00B55911"/>
    <w:rsid w:val="00B55A67"/>
    <w:rsid w:val="00B55F8B"/>
    <w:rsid w:val="00B5769D"/>
    <w:rsid w:val="00B6078F"/>
    <w:rsid w:val="00B60F0C"/>
    <w:rsid w:val="00B61C45"/>
    <w:rsid w:val="00B61F41"/>
    <w:rsid w:val="00B62EEF"/>
    <w:rsid w:val="00B63C60"/>
    <w:rsid w:val="00B6562E"/>
    <w:rsid w:val="00B669CD"/>
    <w:rsid w:val="00B66E04"/>
    <w:rsid w:val="00B67840"/>
    <w:rsid w:val="00B7018A"/>
    <w:rsid w:val="00B70F82"/>
    <w:rsid w:val="00B72803"/>
    <w:rsid w:val="00B74B1A"/>
    <w:rsid w:val="00B74C77"/>
    <w:rsid w:val="00B760E1"/>
    <w:rsid w:val="00B7641E"/>
    <w:rsid w:val="00B766E6"/>
    <w:rsid w:val="00B76796"/>
    <w:rsid w:val="00B80545"/>
    <w:rsid w:val="00B82A8D"/>
    <w:rsid w:val="00B830CE"/>
    <w:rsid w:val="00B8592C"/>
    <w:rsid w:val="00B85B71"/>
    <w:rsid w:val="00B877B0"/>
    <w:rsid w:val="00B8782A"/>
    <w:rsid w:val="00B913B5"/>
    <w:rsid w:val="00B91C4D"/>
    <w:rsid w:val="00B923F2"/>
    <w:rsid w:val="00B944DB"/>
    <w:rsid w:val="00B95A3B"/>
    <w:rsid w:val="00B95EA8"/>
    <w:rsid w:val="00B9746E"/>
    <w:rsid w:val="00BA016B"/>
    <w:rsid w:val="00BA150B"/>
    <w:rsid w:val="00BA30CF"/>
    <w:rsid w:val="00BA3FDB"/>
    <w:rsid w:val="00BA7121"/>
    <w:rsid w:val="00BA7D51"/>
    <w:rsid w:val="00BB0A6C"/>
    <w:rsid w:val="00BB0C79"/>
    <w:rsid w:val="00BB1FCB"/>
    <w:rsid w:val="00BB2ED1"/>
    <w:rsid w:val="00BB3518"/>
    <w:rsid w:val="00BB4A8F"/>
    <w:rsid w:val="00BB5791"/>
    <w:rsid w:val="00BB668F"/>
    <w:rsid w:val="00BB68A6"/>
    <w:rsid w:val="00BC0611"/>
    <w:rsid w:val="00BC12F3"/>
    <w:rsid w:val="00BC1EFA"/>
    <w:rsid w:val="00BC2A8B"/>
    <w:rsid w:val="00BC31F9"/>
    <w:rsid w:val="00BC40E4"/>
    <w:rsid w:val="00BC6118"/>
    <w:rsid w:val="00BD02A2"/>
    <w:rsid w:val="00BD2902"/>
    <w:rsid w:val="00BD2F63"/>
    <w:rsid w:val="00BD52F5"/>
    <w:rsid w:val="00BD5A0C"/>
    <w:rsid w:val="00BD6768"/>
    <w:rsid w:val="00BD6D19"/>
    <w:rsid w:val="00BD6E24"/>
    <w:rsid w:val="00BE184C"/>
    <w:rsid w:val="00BE2D1C"/>
    <w:rsid w:val="00BE58EA"/>
    <w:rsid w:val="00BE7DE2"/>
    <w:rsid w:val="00BE7EA1"/>
    <w:rsid w:val="00BF027D"/>
    <w:rsid w:val="00BF0D66"/>
    <w:rsid w:val="00BF0F92"/>
    <w:rsid w:val="00BF7D1F"/>
    <w:rsid w:val="00BF7DD9"/>
    <w:rsid w:val="00C018B9"/>
    <w:rsid w:val="00C0327A"/>
    <w:rsid w:val="00C03BD0"/>
    <w:rsid w:val="00C05FEB"/>
    <w:rsid w:val="00C1038C"/>
    <w:rsid w:val="00C108AF"/>
    <w:rsid w:val="00C10BAC"/>
    <w:rsid w:val="00C1184F"/>
    <w:rsid w:val="00C147E4"/>
    <w:rsid w:val="00C15104"/>
    <w:rsid w:val="00C15913"/>
    <w:rsid w:val="00C15D1A"/>
    <w:rsid w:val="00C1647F"/>
    <w:rsid w:val="00C21D6C"/>
    <w:rsid w:val="00C30116"/>
    <w:rsid w:val="00C3046F"/>
    <w:rsid w:val="00C3255A"/>
    <w:rsid w:val="00C34D58"/>
    <w:rsid w:val="00C363D1"/>
    <w:rsid w:val="00C37C77"/>
    <w:rsid w:val="00C37F4E"/>
    <w:rsid w:val="00C402E8"/>
    <w:rsid w:val="00C41257"/>
    <w:rsid w:val="00C41DD4"/>
    <w:rsid w:val="00C46030"/>
    <w:rsid w:val="00C500A1"/>
    <w:rsid w:val="00C521E4"/>
    <w:rsid w:val="00C531BD"/>
    <w:rsid w:val="00C53A04"/>
    <w:rsid w:val="00C5440D"/>
    <w:rsid w:val="00C54C5F"/>
    <w:rsid w:val="00C54CD2"/>
    <w:rsid w:val="00C55EE9"/>
    <w:rsid w:val="00C56A85"/>
    <w:rsid w:val="00C56E2C"/>
    <w:rsid w:val="00C61010"/>
    <w:rsid w:val="00C61057"/>
    <w:rsid w:val="00C6132E"/>
    <w:rsid w:val="00C6352B"/>
    <w:rsid w:val="00C64DB3"/>
    <w:rsid w:val="00C650AF"/>
    <w:rsid w:val="00C666E3"/>
    <w:rsid w:val="00C6707B"/>
    <w:rsid w:val="00C712EC"/>
    <w:rsid w:val="00C72397"/>
    <w:rsid w:val="00C72689"/>
    <w:rsid w:val="00C72817"/>
    <w:rsid w:val="00C73115"/>
    <w:rsid w:val="00C73E7A"/>
    <w:rsid w:val="00C74075"/>
    <w:rsid w:val="00C748F3"/>
    <w:rsid w:val="00C74D38"/>
    <w:rsid w:val="00C75B7D"/>
    <w:rsid w:val="00C76FE0"/>
    <w:rsid w:val="00C77F38"/>
    <w:rsid w:val="00C80850"/>
    <w:rsid w:val="00C85FBC"/>
    <w:rsid w:val="00C86005"/>
    <w:rsid w:val="00C87B1C"/>
    <w:rsid w:val="00C87CCD"/>
    <w:rsid w:val="00C92827"/>
    <w:rsid w:val="00C93868"/>
    <w:rsid w:val="00C93C1A"/>
    <w:rsid w:val="00C93D58"/>
    <w:rsid w:val="00C978DE"/>
    <w:rsid w:val="00CA0DA2"/>
    <w:rsid w:val="00CA2F70"/>
    <w:rsid w:val="00CA566F"/>
    <w:rsid w:val="00CA595C"/>
    <w:rsid w:val="00CA6D4A"/>
    <w:rsid w:val="00CA768A"/>
    <w:rsid w:val="00CB0E7A"/>
    <w:rsid w:val="00CB13DF"/>
    <w:rsid w:val="00CB5567"/>
    <w:rsid w:val="00CB566B"/>
    <w:rsid w:val="00CB5F57"/>
    <w:rsid w:val="00CB73FB"/>
    <w:rsid w:val="00CC09B3"/>
    <w:rsid w:val="00CC13E3"/>
    <w:rsid w:val="00CC4F4A"/>
    <w:rsid w:val="00CC61DF"/>
    <w:rsid w:val="00CC6EC4"/>
    <w:rsid w:val="00CC7140"/>
    <w:rsid w:val="00CC7946"/>
    <w:rsid w:val="00CC7A0F"/>
    <w:rsid w:val="00CC7D63"/>
    <w:rsid w:val="00CD2579"/>
    <w:rsid w:val="00CD268A"/>
    <w:rsid w:val="00CD3676"/>
    <w:rsid w:val="00CD6D87"/>
    <w:rsid w:val="00CD70E5"/>
    <w:rsid w:val="00CE0030"/>
    <w:rsid w:val="00CE08DD"/>
    <w:rsid w:val="00CE0B2D"/>
    <w:rsid w:val="00CE1E8C"/>
    <w:rsid w:val="00CE49AE"/>
    <w:rsid w:val="00CE5103"/>
    <w:rsid w:val="00CE6A8A"/>
    <w:rsid w:val="00CF1620"/>
    <w:rsid w:val="00CF2437"/>
    <w:rsid w:val="00CF4EB0"/>
    <w:rsid w:val="00CF5D5B"/>
    <w:rsid w:val="00CF6B60"/>
    <w:rsid w:val="00D0076F"/>
    <w:rsid w:val="00D00D43"/>
    <w:rsid w:val="00D019D9"/>
    <w:rsid w:val="00D03A0D"/>
    <w:rsid w:val="00D054A9"/>
    <w:rsid w:val="00D06166"/>
    <w:rsid w:val="00D06278"/>
    <w:rsid w:val="00D064A3"/>
    <w:rsid w:val="00D06C24"/>
    <w:rsid w:val="00D07546"/>
    <w:rsid w:val="00D104BF"/>
    <w:rsid w:val="00D1216F"/>
    <w:rsid w:val="00D128FA"/>
    <w:rsid w:val="00D132B4"/>
    <w:rsid w:val="00D16B3C"/>
    <w:rsid w:val="00D17065"/>
    <w:rsid w:val="00D202AD"/>
    <w:rsid w:val="00D2096A"/>
    <w:rsid w:val="00D231C8"/>
    <w:rsid w:val="00D23244"/>
    <w:rsid w:val="00D25169"/>
    <w:rsid w:val="00D25D18"/>
    <w:rsid w:val="00D2675E"/>
    <w:rsid w:val="00D26C00"/>
    <w:rsid w:val="00D30349"/>
    <w:rsid w:val="00D31199"/>
    <w:rsid w:val="00D3180C"/>
    <w:rsid w:val="00D346C5"/>
    <w:rsid w:val="00D36B25"/>
    <w:rsid w:val="00D40842"/>
    <w:rsid w:val="00D41BAB"/>
    <w:rsid w:val="00D434D2"/>
    <w:rsid w:val="00D43F14"/>
    <w:rsid w:val="00D450ED"/>
    <w:rsid w:val="00D45F42"/>
    <w:rsid w:val="00D460EB"/>
    <w:rsid w:val="00D4773E"/>
    <w:rsid w:val="00D506AB"/>
    <w:rsid w:val="00D518C9"/>
    <w:rsid w:val="00D5212F"/>
    <w:rsid w:val="00D5636D"/>
    <w:rsid w:val="00D566B6"/>
    <w:rsid w:val="00D57DB9"/>
    <w:rsid w:val="00D61505"/>
    <w:rsid w:val="00D6656D"/>
    <w:rsid w:val="00D675CE"/>
    <w:rsid w:val="00D7100E"/>
    <w:rsid w:val="00D71B7F"/>
    <w:rsid w:val="00D71DFE"/>
    <w:rsid w:val="00D721AD"/>
    <w:rsid w:val="00D72626"/>
    <w:rsid w:val="00D731D4"/>
    <w:rsid w:val="00D732D5"/>
    <w:rsid w:val="00D73363"/>
    <w:rsid w:val="00D73E6B"/>
    <w:rsid w:val="00D765B1"/>
    <w:rsid w:val="00D77899"/>
    <w:rsid w:val="00D82A47"/>
    <w:rsid w:val="00D84DF2"/>
    <w:rsid w:val="00D8538B"/>
    <w:rsid w:val="00D86E21"/>
    <w:rsid w:val="00D90302"/>
    <w:rsid w:val="00D91242"/>
    <w:rsid w:val="00D91B5D"/>
    <w:rsid w:val="00D92BE7"/>
    <w:rsid w:val="00D9380B"/>
    <w:rsid w:val="00D9710A"/>
    <w:rsid w:val="00D97BDF"/>
    <w:rsid w:val="00DA0372"/>
    <w:rsid w:val="00DA03E5"/>
    <w:rsid w:val="00DA21CD"/>
    <w:rsid w:val="00DA2CCD"/>
    <w:rsid w:val="00DA2DCB"/>
    <w:rsid w:val="00DA332F"/>
    <w:rsid w:val="00DA43EE"/>
    <w:rsid w:val="00DA4B10"/>
    <w:rsid w:val="00DA58FC"/>
    <w:rsid w:val="00DA5DA3"/>
    <w:rsid w:val="00DB09C5"/>
    <w:rsid w:val="00DB0BC2"/>
    <w:rsid w:val="00DB1E17"/>
    <w:rsid w:val="00DB2D8A"/>
    <w:rsid w:val="00DB2F9A"/>
    <w:rsid w:val="00DB33F1"/>
    <w:rsid w:val="00DB3697"/>
    <w:rsid w:val="00DB3889"/>
    <w:rsid w:val="00DB642F"/>
    <w:rsid w:val="00DB67DF"/>
    <w:rsid w:val="00DB6BBA"/>
    <w:rsid w:val="00DB706A"/>
    <w:rsid w:val="00DB7DFC"/>
    <w:rsid w:val="00DB7FF6"/>
    <w:rsid w:val="00DC0563"/>
    <w:rsid w:val="00DC143B"/>
    <w:rsid w:val="00DC1C4C"/>
    <w:rsid w:val="00DC20E6"/>
    <w:rsid w:val="00DC3B46"/>
    <w:rsid w:val="00DC4241"/>
    <w:rsid w:val="00DC45D3"/>
    <w:rsid w:val="00DC4741"/>
    <w:rsid w:val="00DC4C8C"/>
    <w:rsid w:val="00DC56A0"/>
    <w:rsid w:val="00DD12DA"/>
    <w:rsid w:val="00DD327C"/>
    <w:rsid w:val="00DD48B8"/>
    <w:rsid w:val="00DD5989"/>
    <w:rsid w:val="00DD5F7F"/>
    <w:rsid w:val="00DD7962"/>
    <w:rsid w:val="00DE0E9F"/>
    <w:rsid w:val="00DE1DDB"/>
    <w:rsid w:val="00DE1E4F"/>
    <w:rsid w:val="00DE4154"/>
    <w:rsid w:val="00DE4641"/>
    <w:rsid w:val="00DE6363"/>
    <w:rsid w:val="00DE75E4"/>
    <w:rsid w:val="00DE79DF"/>
    <w:rsid w:val="00DF0880"/>
    <w:rsid w:val="00DF112F"/>
    <w:rsid w:val="00DF2308"/>
    <w:rsid w:val="00DF25C4"/>
    <w:rsid w:val="00DF5293"/>
    <w:rsid w:val="00DF54BB"/>
    <w:rsid w:val="00DF6C2A"/>
    <w:rsid w:val="00E00458"/>
    <w:rsid w:val="00E011DB"/>
    <w:rsid w:val="00E016C3"/>
    <w:rsid w:val="00E01934"/>
    <w:rsid w:val="00E03A2F"/>
    <w:rsid w:val="00E03AB3"/>
    <w:rsid w:val="00E0403C"/>
    <w:rsid w:val="00E040B3"/>
    <w:rsid w:val="00E0554F"/>
    <w:rsid w:val="00E05ACE"/>
    <w:rsid w:val="00E06731"/>
    <w:rsid w:val="00E074C5"/>
    <w:rsid w:val="00E07FB2"/>
    <w:rsid w:val="00E108E3"/>
    <w:rsid w:val="00E1152E"/>
    <w:rsid w:val="00E11CB0"/>
    <w:rsid w:val="00E11FD7"/>
    <w:rsid w:val="00E12B9B"/>
    <w:rsid w:val="00E1463E"/>
    <w:rsid w:val="00E16E69"/>
    <w:rsid w:val="00E2024D"/>
    <w:rsid w:val="00E20723"/>
    <w:rsid w:val="00E20AC6"/>
    <w:rsid w:val="00E21E29"/>
    <w:rsid w:val="00E22FEC"/>
    <w:rsid w:val="00E26DF3"/>
    <w:rsid w:val="00E30819"/>
    <w:rsid w:val="00E32955"/>
    <w:rsid w:val="00E32ED1"/>
    <w:rsid w:val="00E33DD5"/>
    <w:rsid w:val="00E35A16"/>
    <w:rsid w:val="00E36564"/>
    <w:rsid w:val="00E368A6"/>
    <w:rsid w:val="00E3727D"/>
    <w:rsid w:val="00E403CA"/>
    <w:rsid w:val="00E41C3E"/>
    <w:rsid w:val="00E436CF"/>
    <w:rsid w:val="00E44D98"/>
    <w:rsid w:val="00E46FD1"/>
    <w:rsid w:val="00E501C6"/>
    <w:rsid w:val="00E502C4"/>
    <w:rsid w:val="00E50E9C"/>
    <w:rsid w:val="00E516A3"/>
    <w:rsid w:val="00E53558"/>
    <w:rsid w:val="00E5765F"/>
    <w:rsid w:val="00E6002F"/>
    <w:rsid w:val="00E60C26"/>
    <w:rsid w:val="00E610B6"/>
    <w:rsid w:val="00E61D81"/>
    <w:rsid w:val="00E62F61"/>
    <w:rsid w:val="00E63308"/>
    <w:rsid w:val="00E6542C"/>
    <w:rsid w:val="00E6549D"/>
    <w:rsid w:val="00E663A0"/>
    <w:rsid w:val="00E67371"/>
    <w:rsid w:val="00E678FB"/>
    <w:rsid w:val="00E702D7"/>
    <w:rsid w:val="00E706A5"/>
    <w:rsid w:val="00E715AB"/>
    <w:rsid w:val="00E73DAE"/>
    <w:rsid w:val="00E757B0"/>
    <w:rsid w:val="00E75A1E"/>
    <w:rsid w:val="00E75DD2"/>
    <w:rsid w:val="00E77437"/>
    <w:rsid w:val="00E77655"/>
    <w:rsid w:val="00E82B82"/>
    <w:rsid w:val="00E83143"/>
    <w:rsid w:val="00E83F4E"/>
    <w:rsid w:val="00E842F0"/>
    <w:rsid w:val="00E85F25"/>
    <w:rsid w:val="00E860DC"/>
    <w:rsid w:val="00E86C51"/>
    <w:rsid w:val="00E8743E"/>
    <w:rsid w:val="00E87D5E"/>
    <w:rsid w:val="00E918A8"/>
    <w:rsid w:val="00E9229B"/>
    <w:rsid w:val="00E93B09"/>
    <w:rsid w:val="00E94368"/>
    <w:rsid w:val="00E947B7"/>
    <w:rsid w:val="00E9519B"/>
    <w:rsid w:val="00E96741"/>
    <w:rsid w:val="00E97E68"/>
    <w:rsid w:val="00EA0A09"/>
    <w:rsid w:val="00EA2363"/>
    <w:rsid w:val="00EA27BF"/>
    <w:rsid w:val="00EA4EC4"/>
    <w:rsid w:val="00EA64EE"/>
    <w:rsid w:val="00EA670C"/>
    <w:rsid w:val="00EA7207"/>
    <w:rsid w:val="00EB0CA1"/>
    <w:rsid w:val="00EB182A"/>
    <w:rsid w:val="00EB197B"/>
    <w:rsid w:val="00EB1BE3"/>
    <w:rsid w:val="00EB25AF"/>
    <w:rsid w:val="00EB2B31"/>
    <w:rsid w:val="00EB2B99"/>
    <w:rsid w:val="00EB32C8"/>
    <w:rsid w:val="00EB4211"/>
    <w:rsid w:val="00EB67BE"/>
    <w:rsid w:val="00EB698D"/>
    <w:rsid w:val="00EB7328"/>
    <w:rsid w:val="00EC19DA"/>
    <w:rsid w:val="00EC33CC"/>
    <w:rsid w:val="00EC37BF"/>
    <w:rsid w:val="00EC4EBE"/>
    <w:rsid w:val="00EC4FAB"/>
    <w:rsid w:val="00EC55C2"/>
    <w:rsid w:val="00EC717F"/>
    <w:rsid w:val="00EC7788"/>
    <w:rsid w:val="00EC7D76"/>
    <w:rsid w:val="00EC7FEA"/>
    <w:rsid w:val="00ED02ED"/>
    <w:rsid w:val="00ED081D"/>
    <w:rsid w:val="00ED0A40"/>
    <w:rsid w:val="00ED0E94"/>
    <w:rsid w:val="00ED137F"/>
    <w:rsid w:val="00ED1DD3"/>
    <w:rsid w:val="00ED21D1"/>
    <w:rsid w:val="00ED2878"/>
    <w:rsid w:val="00ED3578"/>
    <w:rsid w:val="00ED5DAF"/>
    <w:rsid w:val="00ED6846"/>
    <w:rsid w:val="00ED6FC9"/>
    <w:rsid w:val="00ED7851"/>
    <w:rsid w:val="00EE0C1A"/>
    <w:rsid w:val="00EE2782"/>
    <w:rsid w:val="00EE317C"/>
    <w:rsid w:val="00EE3330"/>
    <w:rsid w:val="00EE3C91"/>
    <w:rsid w:val="00EE4214"/>
    <w:rsid w:val="00EE544B"/>
    <w:rsid w:val="00EE5F22"/>
    <w:rsid w:val="00EE71BE"/>
    <w:rsid w:val="00EF01F6"/>
    <w:rsid w:val="00EF1AE8"/>
    <w:rsid w:val="00EF1F18"/>
    <w:rsid w:val="00EF2A8C"/>
    <w:rsid w:val="00EF2F86"/>
    <w:rsid w:val="00EF4059"/>
    <w:rsid w:val="00EF5F76"/>
    <w:rsid w:val="00EF617F"/>
    <w:rsid w:val="00EF6C67"/>
    <w:rsid w:val="00EF6D39"/>
    <w:rsid w:val="00EF6E19"/>
    <w:rsid w:val="00EF6E66"/>
    <w:rsid w:val="00F026FD"/>
    <w:rsid w:val="00F032CB"/>
    <w:rsid w:val="00F0557E"/>
    <w:rsid w:val="00F07674"/>
    <w:rsid w:val="00F111D7"/>
    <w:rsid w:val="00F11245"/>
    <w:rsid w:val="00F125E1"/>
    <w:rsid w:val="00F12793"/>
    <w:rsid w:val="00F211CC"/>
    <w:rsid w:val="00F22EDC"/>
    <w:rsid w:val="00F2418E"/>
    <w:rsid w:val="00F340FC"/>
    <w:rsid w:val="00F35080"/>
    <w:rsid w:val="00F3590F"/>
    <w:rsid w:val="00F3676C"/>
    <w:rsid w:val="00F37123"/>
    <w:rsid w:val="00F37799"/>
    <w:rsid w:val="00F37B64"/>
    <w:rsid w:val="00F37E5F"/>
    <w:rsid w:val="00F40C0D"/>
    <w:rsid w:val="00F42491"/>
    <w:rsid w:val="00F43925"/>
    <w:rsid w:val="00F4490C"/>
    <w:rsid w:val="00F454BE"/>
    <w:rsid w:val="00F464DC"/>
    <w:rsid w:val="00F46908"/>
    <w:rsid w:val="00F473B4"/>
    <w:rsid w:val="00F51746"/>
    <w:rsid w:val="00F51A7B"/>
    <w:rsid w:val="00F51E52"/>
    <w:rsid w:val="00F52A03"/>
    <w:rsid w:val="00F56EA0"/>
    <w:rsid w:val="00F610A7"/>
    <w:rsid w:val="00F6166F"/>
    <w:rsid w:val="00F6512E"/>
    <w:rsid w:val="00F6741C"/>
    <w:rsid w:val="00F67EF7"/>
    <w:rsid w:val="00F70C6F"/>
    <w:rsid w:val="00F70FB1"/>
    <w:rsid w:val="00F74283"/>
    <w:rsid w:val="00F74C9C"/>
    <w:rsid w:val="00F80329"/>
    <w:rsid w:val="00F80F12"/>
    <w:rsid w:val="00F84B7B"/>
    <w:rsid w:val="00F856F9"/>
    <w:rsid w:val="00F86CAF"/>
    <w:rsid w:val="00F86FEE"/>
    <w:rsid w:val="00F91F67"/>
    <w:rsid w:val="00F92E3C"/>
    <w:rsid w:val="00F94A9F"/>
    <w:rsid w:val="00F94E0F"/>
    <w:rsid w:val="00F951C9"/>
    <w:rsid w:val="00F954D2"/>
    <w:rsid w:val="00F961BF"/>
    <w:rsid w:val="00F96347"/>
    <w:rsid w:val="00F96537"/>
    <w:rsid w:val="00F96614"/>
    <w:rsid w:val="00F977F5"/>
    <w:rsid w:val="00FA0453"/>
    <w:rsid w:val="00FA1620"/>
    <w:rsid w:val="00FA19D6"/>
    <w:rsid w:val="00FA3AC0"/>
    <w:rsid w:val="00FA4402"/>
    <w:rsid w:val="00FA555C"/>
    <w:rsid w:val="00FA7084"/>
    <w:rsid w:val="00FB1FD6"/>
    <w:rsid w:val="00FB27F5"/>
    <w:rsid w:val="00FB3B9B"/>
    <w:rsid w:val="00FB4355"/>
    <w:rsid w:val="00FB538B"/>
    <w:rsid w:val="00FB59B2"/>
    <w:rsid w:val="00FB74AF"/>
    <w:rsid w:val="00FB74D1"/>
    <w:rsid w:val="00FC0F15"/>
    <w:rsid w:val="00FC13B0"/>
    <w:rsid w:val="00FC1764"/>
    <w:rsid w:val="00FC26CD"/>
    <w:rsid w:val="00FC38CE"/>
    <w:rsid w:val="00FC394E"/>
    <w:rsid w:val="00FC54A7"/>
    <w:rsid w:val="00FD27FE"/>
    <w:rsid w:val="00FD2EDD"/>
    <w:rsid w:val="00FD4785"/>
    <w:rsid w:val="00FD4F48"/>
    <w:rsid w:val="00FD59BC"/>
    <w:rsid w:val="00FD612D"/>
    <w:rsid w:val="00FD62DF"/>
    <w:rsid w:val="00FD7BDC"/>
    <w:rsid w:val="00FE52D9"/>
    <w:rsid w:val="00FE5514"/>
    <w:rsid w:val="00FE687B"/>
    <w:rsid w:val="00FE7242"/>
    <w:rsid w:val="00FF0D2C"/>
    <w:rsid w:val="00FF2086"/>
    <w:rsid w:val="00FF6CFD"/>
    <w:rsid w:val="00FF6ED6"/>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6D3F3"/>
  <w15:docId w15:val="{782704DC-CAEC-4F0D-BE5C-75028727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8A"/>
  </w:style>
  <w:style w:type="paragraph" w:styleId="Heading1">
    <w:name w:val="heading 1"/>
    <w:basedOn w:val="Heading2"/>
    <w:next w:val="Normal"/>
    <w:link w:val="Heading1Char"/>
    <w:qFormat/>
    <w:rsid w:val="007B2C50"/>
    <w:pPr>
      <w:adjustRightInd w:val="0"/>
      <w:snapToGrid w:val="0"/>
      <w:spacing w:before="0" w:after="120" w:line="240" w:lineRule="atLeast"/>
      <w:jc w:val="center"/>
      <w:outlineLvl w:val="0"/>
    </w:pPr>
    <w:rPr>
      <w:rFonts w:asciiTheme="minorHAnsi" w:eastAsia="Times New Roman" w:hAnsiTheme="minorHAnsi" w:cs="Times New Roman"/>
      <w:b/>
      <w:bCs/>
      <w:color w:val="auto"/>
      <w:sz w:val="32"/>
      <w:szCs w:val="32"/>
      <w:lang w:eastAsia="ja-JP"/>
    </w:rPr>
  </w:style>
  <w:style w:type="paragraph" w:styleId="Heading2">
    <w:name w:val="heading 2"/>
    <w:basedOn w:val="Normal"/>
    <w:next w:val="Normal"/>
    <w:link w:val="Heading2Char"/>
    <w:uiPriority w:val="9"/>
    <w:semiHidden/>
    <w:unhideWhenUsed/>
    <w:qFormat/>
    <w:rsid w:val="007B2C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B19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 w:type="character" w:styleId="UnresolvedMention">
    <w:name w:val="Unresolved Mention"/>
    <w:basedOn w:val="DefaultParagraphFont"/>
    <w:uiPriority w:val="99"/>
    <w:semiHidden/>
    <w:unhideWhenUsed/>
    <w:rsid w:val="00A177A5"/>
    <w:rPr>
      <w:color w:val="605E5C"/>
      <w:shd w:val="clear" w:color="auto" w:fill="E1DFDD"/>
    </w:rPr>
  </w:style>
  <w:style w:type="character" w:customStyle="1" w:styleId="ListParagraphChar">
    <w:name w:val="List Paragraph Char"/>
    <w:basedOn w:val="DefaultParagraphFont"/>
    <w:link w:val="ListParagraph"/>
    <w:uiPriority w:val="34"/>
    <w:rsid w:val="00FD7BDC"/>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7B2C50"/>
    <w:rPr>
      <w:rFonts w:eastAsia="Times New Roman" w:cs="Times New Roman"/>
      <w:b/>
      <w:bCs/>
      <w:sz w:val="32"/>
      <w:szCs w:val="32"/>
      <w:lang w:eastAsia="ja-JP"/>
    </w:rPr>
  </w:style>
  <w:style w:type="character" w:customStyle="1" w:styleId="Heading2Char">
    <w:name w:val="Heading 2 Char"/>
    <w:basedOn w:val="DefaultParagraphFont"/>
    <w:link w:val="Heading2"/>
    <w:uiPriority w:val="9"/>
    <w:semiHidden/>
    <w:rsid w:val="007B2C5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B197B"/>
    <w:rPr>
      <w:rFonts w:asciiTheme="majorHAnsi" w:eastAsiaTheme="majorEastAsia" w:hAnsiTheme="majorHAnsi" w:cstheme="majorBidi"/>
      <w:color w:val="243F60" w:themeColor="accent1" w:themeShade="7F"/>
      <w:sz w:val="24"/>
      <w:szCs w:val="24"/>
    </w:rPr>
  </w:style>
  <w:style w:type="paragraph" w:customStyle="1" w:styleId="listparagraph0">
    <w:name w:val="listparagraph"/>
    <w:basedOn w:val="Normal"/>
    <w:rsid w:val="00A50B1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8010">
      <w:bodyDiv w:val="1"/>
      <w:marLeft w:val="0"/>
      <w:marRight w:val="0"/>
      <w:marTop w:val="0"/>
      <w:marBottom w:val="0"/>
      <w:divBdr>
        <w:top w:val="none" w:sz="0" w:space="0" w:color="auto"/>
        <w:left w:val="none" w:sz="0" w:space="0" w:color="auto"/>
        <w:bottom w:val="none" w:sz="0" w:space="0" w:color="auto"/>
        <w:right w:val="none" w:sz="0" w:space="0" w:color="auto"/>
      </w:divBdr>
    </w:div>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885066">
      <w:bodyDiv w:val="1"/>
      <w:marLeft w:val="0"/>
      <w:marRight w:val="0"/>
      <w:marTop w:val="0"/>
      <w:marBottom w:val="0"/>
      <w:divBdr>
        <w:top w:val="none" w:sz="0" w:space="0" w:color="auto"/>
        <w:left w:val="none" w:sz="0" w:space="0" w:color="auto"/>
        <w:bottom w:val="none" w:sz="0" w:space="0" w:color="auto"/>
        <w:right w:val="none" w:sz="0" w:space="0" w:color="auto"/>
      </w:divBdr>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3387278">
      <w:bodyDiv w:val="1"/>
      <w:marLeft w:val="0"/>
      <w:marRight w:val="0"/>
      <w:marTop w:val="0"/>
      <w:marBottom w:val="0"/>
      <w:divBdr>
        <w:top w:val="none" w:sz="0" w:space="0" w:color="auto"/>
        <w:left w:val="none" w:sz="0" w:space="0" w:color="auto"/>
        <w:bottom w:val="none" w:sz="0" w:space="0" w:color="auto"/>
        <w:right w:val="none" w:sz="0" w:space="0" w:color="auto"/>
      </w:divBdr>
    </w:div>
    <w:div w:id="857430549">
      <w:bodyDiv w:val="1"/>
      <w:marLeft w:val="0"/>
      <w:marRight w:val="0"/>
      <w:marTop w:val="0"/>
      <w:marBottom w:val="0"/>
      <w:divBdr>
        <w:top w:val="none" w:sz="0" w:space="0" w:color="auto"/>
        <w:left w:val="none" w:sz="0" w:space="0" w:color="auto"/>
        <w:bottom w:val="none" w:sz="0" w:space="0" w:color="auto"/>
        <w:right w:val="none" w:sz="0" w:space="0" w:color="auto"/>
      </w:divBdr>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799338">
      <w:bodyDiv w:val="1"/>
      <w:marLeft w:val="0"/>
      <w:marRight w:val="0"/>
      <w:marTop w:val="0"/>
      <w:marBottom w:val="0"/>
      <w:divBdr>
        <w:top w:val="none" w:sz="0" w:space="0" w:color="auto"/>
        <w:left w:val="none" w:sz="0" w:space="0" w:color="auto"/>
        <w:bottom w:val="none" w:sz="0" w:space="0" w:color="auto"/>
        <w:right w:val="none" w:sz="0" w:space="0" w:color="auto"/>
      </w:divBdr>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029898">
      <w:bodyDiv w:val="1"/>
      <w:marLeft w:val="0"/>
      <w:marRight w:val="0"/>
      <w:marTop w:val="0"/>
      <w:marBottom w:val="0"/>
      <w:divBdr>
        <w:top w:val="none" w:sz="0" w:space="0" w:color="auto"/>
        <w:left w:val="none" w:sz="0" w:space="0" w:color="auto"/>
        <w:bottom w:val="none" w:sz="0" w:space="0" w:color="auto"/>
        <w:right w:val="none" w:sz="0" w:space="0" w:color="auto"/>
      </w:divBdr>
    </w:div>
    <w:div w:id="1233394754">
      <w:bodyDiv w:val="1"/>
      <w:marLeft w:val="0"/>
      <w:marRight w:val="0"/>
      <w:marTop w:val="0"/>
      <w:marBottom w:val="0"/>
      <w:divBdr>
        <w:top w:val="none" w:sz="0" w:space="0" w:color="auto"/>
        <w:left w:val="none" w:sz="0" w:space="0" w:color="auto"/>
        <w:bottom w:val="none" w:sz="0" w:space="0" w:color="auto"/>
        <w:right w:val="none" w:sz="0" w:space="0" w:color="auto"/>
      </w:divBdr>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305348669">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62191732">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062904">
      <w:bodyDiv w:val="1"/>
      <w:marLeft w:val="0"/>
      <w:marRight w:val="0"/>
      <w:marTop w:val="0"/>
      <w:marBottom w:val="0"/>
      <w:divBdr>
        <w:top w:val="none" w:sz="0" w:space="0" w:color="auto"/>
        <w:left w:val="none" w:sz="0" w:space="0" w:color="auto"/>
        <w:bottom w:val="none" w:sz="0" w:space="0" w:color="auto"/>
        <w:right w:val="none" w:sz="0" w:space="0" w:color="auto"/>
      </w:divBdr>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8784">
      <w:bodyDiv w:val="1"/>
      <w:marLeft w:val="0"/>
      <w:marRight w:val="0"/>
      <w:marTop w:val="0"/>
      <w:marBottom w:val="0"/>
      <w:divBdr>
        <w:top w:val="none" w:sz="0" w:space="0" w:color="auto"/>
        <w:left w:val="none" w:sz="0" w:space="0" w:color="auto"/>
        <w:bottom w:val="none" w:sz="0" w:space="0" w:color="auto"/>
        <w:right w:val="none" w:sz="0" w:space="0" w:color="auto"/>
      </w:divBdr>
    </w:div>
    <w:div w:id="1921865487">
      <w:bodyDiv w:val="1"/>
      <w:marLeft w:val="0"/>
      <w:marRight w:val="0"/>
      <w:marTop w:val="0"/>
      <w:marBottom w:val="0"/>
      <w:divBdr>
        <w:top w:val="none" w:sz="0" w:space="0" w:color="auto"/>
        <w:left w:val="none" w:sz="0" w:space="0" w:color="auto"/>
        <w:bottom w:val="none" w:sz="0" w:space="0" w:color="auto"/>
        <w:right w:val="none" w:sz="0" w:space="0" w:color="auto"/>
      </w:divBdr>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3A3B-FAFB-4980-A65B-B4ED773A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5570</Words>
  <Characters>31754</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DEEBLE, Susan</dc:creator>
  <cp:lastModifiedBy>MCDONALD, Jess</cp:lastModifiedBy>
  <cp:revision>2</cp:revision>
  <dcterms:created xsi:type="dcterms:W3CDTF">2025-02-25T03:17:00Z</dcterms:created>
  <dcterms:modified xsi:type="dcterms:W3CDTF">2025-02-25T03:17:00Z</dcterms:modified>
</cp:coreProperties>
</file>