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77777777" w:rsidR="00703828" w:rsidRPr="00602650" w:rsidRDefault="00703828" w:rsidP="00081716">
      <w:pPr>
        <w:rPr>
          <w:rFonts w:ascii="Times New Roman" w:hAnsi="Times New Roman" w:cs="Times New Roman"/>
          <w:sz w:val="28"/>
        </w:rPr>
      </w:pPr>
      <w:r w:rsidRPr="00602650">
        <w:rPr>
          <w:rFonts w:ascii="Times New Roman" w:hAnsi="Times New Roman" w:cs="Times New Roman"/>
          <w:noProof/>
          <w:lang w:eastAsia="en-AU"/>
        </w:rPr>
        <w:drawing>
          <wp:inline distT="0" distB="0" distL="0" distR="0" wp14:anchorId="3728AABA" wp14:editId="76AE0829">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602650" w:rsidRDefault="00703828" w:rsidP="00081716">
      <w:pPr>
        <w:rPr>
          <w:rFonts w:ascii="Times New Roman" w:hAnsi="Times New Roman" w:cs="Times New Roman"/>
          <w:sz w:val="19"/>
        </w:rPr>
      </w:pPr>
    </w:p>
    <w:p w14:paraId="6018A529" w14:textId="539226BB" w:rsidR="00296265" w:rsidRPr="00602650" w:rsidRDefault="00296265" w:rsidP="00081716">
      <w:pPr>
        <w:pStyle w:val="Title"/>
        <w:rPr>
          <w:rFonts w:ascii="Times New Roman" w:hAnsi="Times New Roman" w:cs="Times New Roman"/>
        </w:rPr>
      </w:pPr>
      <w:bookmarkStart w:id="0" w:name="Citation"/>
      <w:bookmarkStart w:id="1" w:name="_Hlk156288611"/>
      <w:r w:rsidRPr="00602650">
        <w:rPr>
          <w:rFonts w:ascii="Times New Roman" w:hAnsi="Times New Roman" w:cs="Times New Roman"/>
        </w:rPr>
        <w:t>Radiocommunications (Communication with Space Object) Class Licence 20</w:t>
      </w:r>
      <w:r w:rsidR="00410967">
        <w:rPr>
          <w:rFonts w:ascii="Times New Roman" w:hAnsi="Times New Roman" w:cs="Times New Roman"/>
        </w:rPr>
        <w:t>2</w:t>
      </w:r>
      <w:r w:rsidRPr="00602650">
        <w:rPr>
          <w:rFonts w:ascii="Times New Roman" w:hAnsi="Times New Roman" w:cs="Times New Roman"/>
        </w:rPr>
        <w:t>5</w:t>
      </w:r>
      <w:bookmarkEnd w:id="0"/>
    </w:p>
    <w:bookmarkEnd w:id="1"/>
    <w:p w14:paraId="65784851" w14:textId="77777777" w:rsidR="00703828" w:rsidRPr="00602650" w:rsidRDefault="00703828" w:rsidP="00081716">
      <w:pPr>
        <w:pStyle w:val="SignCoverPageStart"/>
        <w:spacing w:before="0" w:line="240" w:lineRule="auto"/>
        <w:jc w:val="left"/>
        <w:rPr>
          <w:szCs w:val="22"/>
        </w:rPr>
      </w:pPr>
    </w:p>
    <w:p w14:paraId="0E406C17" w14:textId="3BD290CE" w:rsidR="0017734A" w:rsidRPr="00434D18" w:rsidRDefault="006D0641" w:rsidP="00474837">
      <w:pPr>
        <w:pStyle w:val="SignCoverPageStart"/>
        <w:spacing w:before="0" w:line="240" w:lineRule="auto"/>
        <w:rPr>
          <w:szCs w:val="22"/>
        </w:rPr>
      </w:pPr>
      <w:r w:rsidRPr="00434D18">
        <w:rPr>
          <w:szCs w:val="22"/>
        </w:rPr>
        <w:t xml:space="preserve">The Australian Communications and Media Authority </w:t>
      </w:r>
      <w:r w:rsidR="009A302E" w:rsidRPr="00434D18">
        <w:rPr>
          <w:szCs w:val="22"/>
        </w:rPr>
        <w:t>issues</w:t>
      </w:r>
      <w:r w:rsidRPr="00434D18">
        <w:rPr>
          <w:szCs w:val="22"/>
        </w:rPr>
        <w:t xml:space="preserve"> the following</w:t>
      </w:r>
      <w:r w:rsidR="00B10B96" w:rsidRPr="00434D18">
        <w:rPr>
          <w:szCs w:val="22"/>
        </w:rPr>
        <w:t xml:space="preserve"> </w:t>
      </w:r>
      <w:r w:rsidR="00EA0DC9" w:rsidRPr="00434D18">
        <w:rPr>
          <w:szCs w:val="22"/>
        </w:rPr>
        <w:t>class licence</w:t>
      </w:r>
      <w:r w:rsidR="00B10B96" w:rsidRPr="00434D18">
        <w:rPr>
          <w:szCs w:val="22"/>
        </w:rPr>
        <w:t xml:space="preserve"> under </w:t>
      </w:r>
      <w:r w:rsidR="004F6299" w:rsidRPr="00434D18">
        <w:rPr>
          <w:szCs w:val="22"/>
        </w:rPr>
        <w:t xml:space="preserve">section 132 </w:t>
      </w:r>
      <w:r w:rsidR="00EF3D21" w:rsidRPr="00434D18">
        <w:rPr>
          <w:szCs w:val="22"/>
        </w:rPr>
        <w:t>of</w:t>
      </w:r>
      <w:r w:rsidR="001C18B9" w:rsidRPr="00434D18">
        <w:rPr>
          <w:szCs w:val="22"/>
        </w:rPr>
        <w:t xml:space="preserve"> the</w:t>
      </w:r>
      <w:r w:rsidR="00410967" w:rsidRPr="00434D18">
        <w:rPr>
          <w:szCs w:val="22"/>
        </w:rPr>
        <w:t xml:space="preserve"> </w:t>
      </w:r>
      <w:r w:rsidR="004F6299" w:rsidRPr="00434D18">
        <w:rPr>
          <w:i/>
          <w:iCs/>
          <w:szCs w:val="22"/>
        </w:rPr>
        <w:t>Radiocommunications Act 1992</w:t>
      </w:r>
      <w:r w:rsidR="00B10B96" w:rsidRPr="00434D18">
        <w:rPr>
          <w:szCs w:val="22"/>
        </w:rPr>
        <w:t>.</w:t>
      </w:r>
    </w:p>
    <w:p w14:paraId="606DA9DB" w14:textId="4F32D93C" w:rsidR="00434D18" w:rsidRDefault="00434D18" w:rsidP="000D1AFF">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2" w:name="BKCheck15B_1"/>
      <w:bookmarkEnd w:id="2"/>
      <w:r>
        <w:rPr>
          <w:rFonts w:ascii="Times New Roman" w:hAnsi="Times New Roman" w:cs="Times New Roman"/>
        </w:rPr>
        <w:t xml:space="preserve">: </w:t>
      </w:r>
      <w:r w:rsidR="00CE7F11">
        <w:rPr>
          <w:rFonts w:ascii="Times New Roman" w:hAnsi="Times New Roman" w:cs="Times New Roman"/>
        </w:rPr>
        <w:t>27 February 2025</w:t>
      </w:r>
    </w:p>
    <w:p w14:paraId="02A889D3" w14:textId="77777777" w:rsidR="00CE7F11" w:rsidRDefault="00CE7F11" w:rsidP="00CE7F11">
      <w:pPr>
        <w:tabs>
          <w:tab w:val="left" w:pos="3119"/>
        </w:tabs>
        <w:spacing w:after="0" w:line="300" w:lineRule="atLeast"/>
        <w:ind w:right="375"/>
        <w:jc w:val="right"/>
        <w:rPr>
          <w:rFonts w:ascii="Times New Roman" w:hAnsi="Times New Roman" w:cs="Times New Roman"/>
        </w:rPr>
      </w:pPr>
    </w:p>
    <w:p w14:paraId="48EFBD3D" w14:textId="5BA0DBF6" w:rsidR="00CE7F11" w:rsidRDefault="00CE7F11" w:rsidP="00CE7F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Adam Suckling</w:t>
      </w:r>
    </w:p>
    <w:p w14:paraId="7DD861C5" w14:textId="4C7CA656" w:rsidR="00CE7F11" w:rsidRDefault="00CE7F11" w:rsidP="00CE7F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A1A1604" w14:textId="303BB696" w:rsidR="00434D18" w:rsidRDefault="00434D18" w:rsidP="00CE7F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3" w:name="Minister"/>
    </w:p>
    <w:p w14:paraId="3AEFC289" w14:textId="77777777" w:rsidR="00CE7F11" w:rsidRDefault="00CE7F11" w:rsidP="00CE7F11">
      <w:pPr>
        <w:tabs>
          <w:tab w:val="left" w:pos="3119"/>
        </w:tabs>
        <w:spacing w:after="0" w:line="300" w:lineRule="atLeast"/>
        <w:ind w:right="375"/>
        <w:jc w:val="right"/>
        <w:rPr>
          <w:rFonts w:ascii="Times New Roman" w:hAnsi="Times New Roman" w:cs="Times New Roman"/>
        </w:rPr>
      </w:pPr>
    </w:p>
    <w:p w14:paraId="6F0A3986" w14:textId="167AE3CF" w:rsidR="00CE7F11" w:rsidRDefault="00CE7F11" w:rsidP="00CE7F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56AFE80B" w14:textId="75952C70" w:rsidR="00CE7F11" w:rsidRDefault="00CE7F11" w:rsidP="00CE7F11">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7D13D4B8" w14:textId="1E5F3EEC" w:rsidR="00434D18" w:rsidRDefault="00434D18" w:rsidP="00CE7F11">
      <w:pPr>
        <w:tabs>
          <w:tab w:val="left" w:pos="3119"/>
        </w:tabs>
        <w:spacing w:after="480" w:line="300" w:lineRule="atLeast"/>
        <w:ind w:right="375"/>
        <w:jc w:val="right"/>
        <w:rPr>
          <w:rFonts w:ascii="Times New Roman" w:hAnsi="Times New Roman" w:cs="Times New Roman"/>
        </w:rPr>
      </w:pPr>
      <w:r w:rsidRPr="00A7183A">
        <w:rPr>
          <w:rFonts w:ascii="Times New Roman" w:hAnsi="Times New Roman" w:cs="Times New Roman"/>
        </w:rPr>
        <w:t>General Manager</w:t>
      </w:r>
      <w:bookmarkEnd w:id="3"/>
    </w:p>
    <w:p w14:paraId="7CD48549" w14:textId="77777777" w:rsidR="00434D18" w:rsidRDefault="00434D18" w:rsidP="00081716">
      <w:pPr>
        <w:pStyle w:val="SignCoverPageEnd"/>
        <w:ind w:right="794"/>
        <w:rPr>
          <w:szCs w:val="22"/>
        </w:rPr>
      </w:pPr>
    </w:p>
    <w:p w14:paraId="000A37D6" w14:textId="77777777" w:rsidR="00434D18" w:rsidRDefault="00434D18" w:rsidP="00081716">
      <w:pPr>
        <w:pStyle w:val="SignCoverPageEnd"/>
        <w:ind w:right="794"/>
        <w:rPr>
          <w:szCs w:val="22"/>
        </w:rPr>
      </w:pPr>
      <w:r>
        <w:rPr>
          <w:szCs w:val="22"/>
        </w:rPr>
        <w:t>Australian Communications and Media Authority</w:t>
      </w:r>
    </w:p>
    <w:p w14:paraId="230CB907" w14:textId="77777777" w:rsidR="00434D18" w:rsidRPr="00366807" w:rsidRDefault="00434D18" w:rsidP="00366807"/>
    <w:p w14:paraId="2CCAF103" w14:textId="5F68DCE0" w:rsidR="00434D18" w:rsidRPr="00366807" w:rsidRDefault="00434D18" w:rsidP="00366807">
      <w:pPr>
        <w:sectPr w:rsidR="00434D18" w:rsidRPr="00366807" w:rsidSect="0051789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2"/>
          <w:cols w:space="708"/>
          <w:titlePg/>
          <w:docGrid w:linePitch="360"/>
        </w:sectPr>
      </w:pPr>
    </w:p>
    <w:p w14:paraId="660C9A98" w14:textId="2C9BD93A" w:rsidR="004F6299" w:rsidRPr="0041561C" w:rsidRDefault="004F6299" w:rsidP="00081716">
      <w:pPr>
        <w:pStyle w:val="ActHead5"/>
        <w:rPr>
          <w:rStyle w:val="CharSectno"/>
        </w:rPr>
      </w:pPr>
      <w:r w:rsidRPr="00602650">
        <w:rPr>
          <w:rStyle w:val="CharSectno"/>
        </w:rPr>
        <w:lastRenderedPageBreak/>
        <w:t>1</w:t>
      </w:r>
      <w:r w:rsidR="00D17BEC">
        <w:rPr>
          <w:rStyle w:val="CharSectno"/>
        </w:rPr>
        <w:t xml:space="preserve">  </w:t>
      </w:r>
      <w:r w:rsidRPr="00946C97">
        <w:t xml:space="preserve">Name </w:t>
      </w:r>
    </w:p>
    <w:p w14:paraId="0C93AD49" w14:textId="5262049B" w:rsidR="004F6299" w:rsidRDefault="004F6299" w:rsidP="00081716">
      <w:pPr>
        <w:pStyle w:val="subsection"/>
      </w:pPr>
      <w:r w:rsidRPr="00602650">
        <w:tab/>
      </w:r>
      <w:r w:rsidRPr="00602650">
        <w:tab/>
        <w:t xml:space="preserve">This </w:t>
      </w:r>
      <w:r w:rsidR="00117CBA">
        <w:t>i</w:t>
      </w:r>
      <w:r w:rsidRPr="00602650">
        <w:t xml:space="preserve">s the </w:t>
      </w:r>
      <w:r w:rsidRPr="006D7B18">
        <w:rPr>
          <w:i/>
          <w:iCs/>
        </w:rPr>
        <w:fldChar w:fldCharType="begin"/>
      </w:r>
      <w:r w:rsidRPr="006D7B18">
        <w:rPr>
          <w:i/>
          <w:iCs/>
        </w:rPr>
        <w:instrText xml:space="preserve"> REF Citation \*charformat  \* MERGEFORMAT </w:instrText>
      </w:r>
      <w:r w:rsidRPr="006D7B18">
        <w:rPr>
          <w:i/>
          <w:iCs/>
        </w:rPr>
        <w:fldChar w:fldCharType="separate"/>
      </w:r>
      <w:r w:rsidR="00366807" w:rsidRPr="00366807">
        <w:rPr>
          <w:i/>
          <w:iCs/>
        </w:rPr>
        <w:t>Radiocommunications (Communication with Space Object) Class Licence 2025</w:t>
      </w:r>
      <w:r w:rsidRPr="006D7B18">
        <w:rPr>
          <w:i/>
          <w:iCs/>
        </w:rPr>
        <w:fldChar w:fldCharType="end"/>
      </w:r>
      <w:r w:rsidRPr="00602650">
        <w:t>.</w:t>
      </w:r>
    </w:p>
    <w:p w14:paraId="5F27ADF4" w14:textId="77777777" w:rsidR="00D6556E" w:rsidRDefault="00D6556E" w:rsidP="00081716">
      <w:pPr>
        <w:pStyle w:val="ActHead5"/>
      </w:pPr>
      <w:bookmarkStart w:id="4" w:name="_Toc444596032"/>
      <w:bookmarkStart w:id="5" w:name="_Toc63237272"/>
      <w:bookmarkStart w:id="6" w:name="_Toc79144749"/>
      <w:r>
        <w:rPr>
          <w:rStyle w:val="CharSectno"/>
        </w:rPr>
        <w:t>2</w:t>
      </w:r>
      <w:r>
        <w:t xml:space="preserve">  Commencement</w:t>
      </w:r>
      <w:bookmarkEnd w:id="4"/>
      <w:bookmarkEnd w:id="5"/>
      <w:bookmarkEnd w:id="6"/>
    </w:p>
    <w:p w14:paraId="104958FD" w14:textId="77777777" w:rsidR="00D6556E" w:rsidRPr="0086190C" w:rsidRDefault="00D6556E" w:rsidP="00081716">
      <w:pPr>
        <w:pStyle w:val="subsection"/>
      </w:pPr>
      <w:bookmarkStart w:id="7" w:name="_Toc444596033"/>
      <w:bookmarkStart w:id="8" w:name="_Toc63237273"/>
      <w:bookmarkStart w:id="9" w:name="_Toc79144750"/>
      <w:r w:rsidRPr="0086190C">
        <w:tab/>
      </w:r>
      <w:r w:rsidRPr="0086190C">
        <w:tab/>
        <w:t xml:space="preserve">This instrument commences at the start of </w:t>
      </w:r>
      <w:r>
        <w:t>the day after the day it is registered</w:t>
      </w:r>
      <w:r w:rsidRPr="0086190C">
        <w:t>.</w:t>
      </w:r>
    </w:p>
    <w:p w14:paraId="68E7923D" w14:textId="4C874970" w:rsidR="00D6556E" w:rsidRPr="0086190C" w:rsidRDefault="00D6556E" w:rsidP="00081716">
      <w:pPr>
        <w:pStyle w:val="LI-BodyTextNote"/>
        <w:spacing w:before="122"/>
      </w:pPr>
      <w:r w:rsidRPr="0086190C">
        <w:t>Note:</w:t>
      </w:r>
      <w:r w:rsidRPr="0086190C">
        <w:tab/>
        <w:t xml:space="preserve">The Federal Register of Legislation </w:t>
      </w:r>
      <w:r>
        <w:t>is available,</w:t>
      </w:r>
      <w:r w:rsidRPr="0086190C">
        <w:t xml:space="preserve"> free of charge</w:t>
      </w:r>
      <w:r>
        <w:t>,</w:t>
      </w:r>
      <w:r w:rsidRPr="0086190C">
        <w:t xml:space="preserve"> at </w:t>
      </w:r>
      <w:r w:rsidRPr="003964EE">
        <w:rPr>
          <w:rFonts w:eastAsiaTheme="majorEastAsia"/>
        </w:rPr>
        <w:t>www.legislation.gov.au</w:t>
      </w:r>
      <w:r w:rsidRPr="0086190C">
        <w:t>.</w:t>
      </w:r>
    </w:p>
    <w:p w14:paraId="16E20E12" w14:textId="77777777" w:rsidR="00D6556E" w:rsidRDefault="00D6556E" w:rsidP="00081716">
      <w:pPr>
        <w:pStyle w:val="ActHead5"/>
      </w:pPr>
      <w:r>
        <w:rPr>
          <w:rStyle w:val="CharSectno"/>
        </w:rPr>
        <w:t>3</w:t>
      </w:r>
      <w:r>
        <w:t xml:space="preserve">  Authority</w:t>
      </w:r>
      <w:bookmarkEnd w:id="7"/>
      <w:bookmarkEnd w:id="8"/>
      <w:bookmarkEnd w:id="9"/>
    </w:p>
    <w:p w14:paraId="79428F31" w14:textId="77777777" w:rsidR="00D6556E" w:rsidRDefault="00D6556E" w:rsidP="00081716">
      <w:pPr>
        <w:pStyle w:val="subsection"/>
      </w:pPr>
      <w:r>
        <w:tab/>
      </w:r>
      <w:r>
        <w:tab/>
        <w:t xml:space="preserve">This instrument is made under section 132 of the </w:t>
      </w:r>
      <w:r>
        <w:rPr>
          <w:i/>
          <w:iCs/>
        </w:rPr>
        <w:t>Radiocommunications Act 1992</w:t>
      </w:r>
      <w:r>
        <w:t>.</w:t>
      </w:r>
    </w:p>
    <w:p w14:paraId="097C5605" w14:textId="77777777" w:rsidR="00D6556E" w:rsidRDefault="00D6556E" w:rsidP="00081716">
      <w:pPr>
        <w:pStyle w:val="ActHead5"/>
        <w:rPr>
          <w:rStyle w:val="CharSectno"/>
        </w:rPr>
      </w:pPr>
      <w:r>
        <w:rPr>
          <w:rStyle w:val="CharSectno"/>
        </w:rPr>
        <w:t>4  Repeal</w:t>
      </w:r>
    </w:p>
    <w:p w14:paraId="437E4428" w14:textId="51140C56" w:rsidR="00117CBA" w:rsidRPr="00117CBA" w:rsidRDefault="00D6556E" w:rsidP="00081716">
      <w:pPr>
        <w:pStyle w:val="subsection"/>
      </w:pPr>
      <w:r>
        <w:tab/>
      </w:r>
      <w:r>
        <w:tab/>
        <w:t xml:space="preserve">The </w:t>
      </w:r>
      <w:r>
        <w:rPr>
          <w:i/>
          <w:iCs/>
        </w:rPr>
        <w:t xml:space="preserve">Radiocommunications </w:t>
      </w:r>
      <w:r w:rsidR="006D7B18" w:rsidRPr="006D7B18">
        <w:rPr>
          <w:i/>
          <w:iCs/>
        </w:rPr>
        <w:t>(Communication with Space Object) Class Licence 20</w:t>
      </w:r>
      <w:r w:rsidR="00484AA4">
        <w:rPr>
          <w:i/>
          <w:iCs/>
        </w:rPr>
        <w:t>1</w:t>
      </w:r>
      <w:r w:rsidR="00027B3B">
        <w:rPr>
          <w:i/>
          <w:iCs/>
        </w:rPr>
        <w:t>5</w:t>
      </w:r>
      <w:r w:rsidR="006D7B18">
        <w:t xml:space="preserve"> </w:t>
      </w:r>
      <w:r>
        <w:t>[</w:t>
      </w:r>
      <w:r w:rsidR="00647503" w:rsidRPr="00647503">
        <w:t>F2015L01486</w:t>
      </w:r>
      <w:r>
        <w:t>] is repealed.</w:t>
      </w:r>
    </w:p>
    <w:p w14:paraId="320714F3" w14:textId="178A8877" w:rsidR="004F6299" w:rsidRPr="00CB46E2" w:rsidRDefault="00424443" w:rsidP="00081716">
      <w:pPr>
        <w:pStyle w:val="ActHead5"/>
      </w:pPr>
      <w:r>
        <w:rPr>
          <w:rStyle w:val="CharSectno"/>
        </w:rPr>
        <w:t xml:space="preserve">5  </w:t>
      </w:r>
      <w:r w:rsidR="004F6299" w:rsidRPr="00CB46E2">
        <w:t>Interpretation</w:t>
      </w:r>
    </w:p>
    <w:p w14:paraId="54BB84AB" w14:textId="230FFB80" w:rsidR="004F6299" w:rsidRPr="00602650" w:rsidRDefault="004F6299" w:rsidP="00C2013C">
      <w:pPr>
        <w:pStyle w:val="subsection"/>
      </w:pPr>
      <w:r w:rsidRPr="00602650">
        <w:tab/>
        <w:t>(1)</w:t>
      </w:r>
      <w:r w:rsidRPr="00602650">
        <w:tab/>
        <w:t xml:space="preserve">In this </w:t>
      </w:r>
      <w:r w:rsidR="00153606">
        <w:t>instrument, unless the contrary intenti</w:t>
      </w:r>
      <w:r w:rsidR="00CE0BBB">
        <w:t>o</w:t>
      </w:r>
      <w:r w:rsidR="00153606">
        <w:t>n appea</w:t>
      </w:r>
      <w:r w:rsidR="00170F8C">
        <w:t>r</w:t>
      </w:r>
      <w:r w:rsidR="00153606">
        <w:t>s</w:t>
      </w:r>
      <w:r w:rsidRPr="00602650">
        <w:t>:</w:t>
      </w:r>
    </w:p>
    <w:p w14:paraId="59A41CDC" w14:textId="32AA8838" w:rsidR="00AC5C15" w:rsidRPr="00367243" w:rsidRDefault="00AC5C15" w:rsidP="00081716">
      <w:pPr>
        <w:pStyle w:val="Definition"/>
        <w:rPr>
          <w:szCs w:val="22"/>
        </w:rPr>
      </w:pPr>
      <w:r w:rsidRPr="00367243">
        <w:rPr>
          <w:b/>
          <w:bCs/>
          <w:i/>
          <w:iCs/>
          <w:szCs w:val="22"/>
        </w:rPr>
        <w:t xml:space="preserve">26 GHz band spectrum licence area </w:t>
      </w:r>
      <w:r w:rsidRPr="00367243">
        <w:rPr>
          <w:szCs w:val="22"/>
        </w:rPr>
        <w:t>means an area specified in the relevant tables for HCIS area descriptions set out in RALI SM 26 that apply to the</w:t>
      </w:r>
      <w:r w:rsidR="009D7222">
        <w:rPr>
          <w:szCs w:val="22"/>
        </w:rPr>
        <w:t xml:space="preserve"> frequency band of</w:t>
      </w:r>
      <w:r w:rsidRPr="00367243">
        <w:rPr>
          <w:szCs w:val="22"/>
        </w:rPr>
        <w:t xml:space="preserve"> 25.1</w:t>
      </w:r>
      <w:r w:rsidR="009D7222">
        <w:rPr>
          <w:szCs w:val="22"/>
        </w:rPr>
        <w:t> </w:t>
      </w:r>
      <w:r w:rsidR="00BD7598">
        <w:rPr>
          <w:szCs w:val="22"/>
        </w:rPr>
        <w:t xml:space="preserve">GHz </w:t>
      </w:r>
      <w:r w:rsidRPr="00367243">
        <w:rPr>
          <w:szCs w:val="22"/>
        </w:rPr>
        <w:t>to 27.5</w:t>
      </w:r>
      <w:r w:rsidR="00A8258D" w:rsidRPr="00367243">
        <w:rPr>
          <w:szCs w:val="22"/>
        </w:rPr>
        <w:t> </w:t>
      </w:r>
      <w:r w:rsidRPr="00367243">
        <w:rPr>
          <w:szCs w:val="22"/>
        </w:rPr>
        <w:t>GHz.</w:t>
      </w:r>
    </w:p>
    <w:p w14:paraId="1386CE25" w14:textId="77777777" w:rsidR="00555895" w:rsidRPr="004F4F5C" w:rsidRDefault="00555895" w:rsidP="00081716">
      <w:pPr>
        <w:pStyle w:val="Definition"/>
        <w:rPr>
          <w:szCs w:val="22"/>
        </w:rPr>
      </w:pPr>
      <w:r w:rsidRPr="00367243">
        <w:rPr>
          <w:b/>
          <w:bCs/>
          <w:i/>
          <w:iCs/>
          <w:szCs w:val="22"/>
        </w:rPr>
        <w:t>aircraft</w:t>
      </w:r>
      <w:r w:rsidRPr="008C4267">
        <w:rPr>
          <w:b/>
          <w:bCs/>
          <w:i/>
          <w:iCs/>
          <w:szCs w:val="22"/>
        </w:rPr>
        <w:t xml:space="preserve"> </w:t>
      </w:r>
      <w:r w:rsidRPr="004F4F5C">
        <w:rPr>
          <w:szCs w:val="22"/>
        </w:rPr>
        <w:t xml:space="preserve">has the </w:t>
      </w:r>
      <w:r w:rsidRPr="006F4FF0">
        <w:rPr>
          <w:bCs/>
          <w:iCs/>
        </w:rPr>
        <w:t>meaning</w:t>
      </w:r>
      <w:r w:rsidRPr="004F4F5C">
        <w:rPr>
          <w:szCs w:val="22"/>
        </w:rPr>
        <w:t xml:space="preserve"> given by section 3 of the </w:t>
      </w:r>
      <w:r w:rsidRPr="008E4432">
        <w:rPr>
          <w:i/>
          <w:iCs/>
          <w:szCs w:val="22"/>
        </w:rPr>
        <w:t>Civil Aviation Act 1988</w:t>
      </w:r>
      <w:r w:rsidRPr="004F4F5C">
        <w:rPr>
          <w:szCs w:val="22"/>
        </w:rPr>
        <w:t>.</w:t>
      </w:r>
    </w:p>
    <w:p w14:paraId="6353B97D" w14:textId="0E739EA6" w:rsidR="00C302EC" w:rsidRPr="00367243" w:rsidRDefault="00C302EC" w:rsidP="00081716">
      <w:pPr>
        <w:pStyle w:val="Definition"/>
        <w:rPr>
          <w:b/>
          <w:bCs/>
          <w:i/>
          <w:iCs/>
          <w:szCs w:val="22"/>
        </w:rPr>
      </w:pPr>
      <w:r w:rsidRPr="00367243">
        <w:rPr>
          <w:b/>
          <w:bCs/>
          <w:i/>
          <w:iCs/>
          <w:szCs w:val="22"/>
        </w:rPr>
        <w:t xml:space="preserve">ARPANSA </w:t>
      </w:r>
      <w:r w:rsidR="00BE240E">
        <w:rPr>
          <w:b/>
          <w:bCs/>
          <w:i/>
          <w:iCs/>
          <w:szCs w:val="22"/>
        </w:rPr>
        <w:t>S</w:t>
      </w:r>
      <w:r w:rsidRPr="00367243">
        <w:rPr>
          <w:b/>
          <w:bCs/>
          <w:i/>
          <w:iCs/>
          <w:szCs w:val="22"/>
        </w:rPr>
        <w:t xml:space="preserve">tandard </w:t>
      </w:r>
      <w:r w:rsidRPr="004F4F5C">
        <w:rPr>
          <w:szCs w:val="22"/>
        </w:rPr>
        <w:t>means:</w:t>
      </w:r>
    </w:p>
    <w:p w14:paraId="1DFFE839" w14:textId="1D798EE2" w:rsidR="00C302EC" w:rsidRPr="00367243" w:rsidRDefault="00161457" w:rsidP="00161457">
      <w:pPr>
        <w:pStyle w:val="paragraph"/>
        <w:rPr>
          <w:bCs/>
          <w:iCs/>
          <w:szCs w:val="22"/>
        </w:rPr>
      </w:pPr>
      <w:r>
        <w:rPr>
          <w:bCs/>
          <w:iCs/>
          <w:szCs w:val="22"/>
        </w:rPr>
        <w:tab/>
      </w:r>
      <w:r w:rsidR="00C302EC" w:rsidRPr="00367243">
        <w:rPr>
          <w:bCs/>
          <w:iCs/>
          <w:szCs w:val="22"/>
        </w:rPr>
        <w:t>(a)</w:t>
      </w:r>
      <w:r w:rsidR="00C302EC" w:rsidRPr="00367243">
        <w:rPr>
          <w:bCs/>
          <w:iCs/>
          <w:szCs w:val="22"/>
        </w:rPr>
        <w:tab/>
        <w:t xml:space="preserve">the </w:t>
      </w:r>
      <w:r w:rsidR="00C302EC" w:rsidRPr="00367243">
        <w:rPr>
          <w:bCs/>
          <w:i/>
          <w:szCs w:val="22"/>
        </w:rPr>
        <w:t>Radiation Protection Standard for Limiting Exposure to Radiofrequency Fields – 100 kHz to 300 GHz</w:t>
      </w:r>
      <w:r w:rsidR="00C302EC" w:rsidRPr="00367243">
        <w:rPr>
          <w:bCs/>
          <w:iCs/>
          <w:szCs w:val="22"/>
        </w:rPr>
        <w:t xml:space="preserve"> (2021), published by the Australian Radiation Protection and Nuclear Safety Agency; or</w:t>
      </w:r>
    </w:p>
    <w:p w14:paraId="7D7C9730" w14:textId="601B2A72" w:rsidR="00C302EC" w:rsidRPr="00367243" w:rsidRDefault="00161457" w:rsidP="00161457">
      <w:pPr>
        <w:pStyle w:val="paragraph"/>
        <w:rPr>
          <w:bCs/>
          <w:iCs/>
          <w:szCs w:val="22"/>
        </w:rPr>
      </w:pPr>
      <w:r>
        <w:rPr>
          <w:bCs/>
          <w:iCs/>
          <w:szCs w:val="22"/>
        </w:rPr>
        <w:tab/>
      </w:r>
      <w:r w:rsidR="00C302EC" w:rsidRPr="00367243">
        <w:rPr>
          <w:bCs/>
          <w:iCs/>
          <w:szCs w:val="22"/>
        </w:rPr>
        <w:t>(b)</w:t>
      </w:r>
      <w:r w:rsidR="00C302EC" w:rsidRPr="00367243">
        <w:rPr>
          <w:bCs/>
          <w:iCs/>
          <w:szCs w:val="22"/>
        </w:rPr>
        <w:tab/>
        <w:t>if a later standard is published by the Australian Radiation Protection and Nuclear Safety Agency as a replacement of that standard – the later standard.</w:t>
      </w:r>
    </w:p>
    <w:p w14:paraId="4D3BB893" w14:textId="049A05A0" w:rsidR="006346E6" w:rsidRPr="00602650" w:rsidRDefault="00C302EC" w:rsidP="00CB46E2">
      <w:pPr>
        <w:pStyle w:val="notetext"/>
        <w:rPr>
          <w:bCs/>
          <w:iCs/>
        </w:rPr>
      </w:pPr>
      <w:r w:rsidRPr="009229F9">
        <w:rPr>
          <w:bCs/>
          <w:iCs/>
          <w:szCs w:val="18"/>
        </w:rPr>
        <w:t>Note:</w:t>
      </w:r>
      <w:r w:rsidRPr="009229F9">
        <w:rPr>
          <w:bCs/>
          <w:iCs/>
          <w:szCs w:val="18"/>
        </w:rPr>
        <w:tab/>
        <w:t xml:space="preserve">The ARPANSA </w:t>
      </w:r>
      <w:r w:rsidR="00F02FA9">
        <w:rPr>
          <w:bCs/>
          <w:iCs/>
          <w:szCs w:val="18"/>
        </w:rPr>
        <w:t>S</w:t>
      </w:r>
      <w:r w:rsidRPr="009229F9">
        <w:rPr>
          <w:bCs/>
          <w:iCs/>
          <w:szCs w:val="18"/>
        </w:rPr>
        <w:t xml:space="preserve">tandard is available, free of charge, from the website of the Australian Radiation Protection and Nuclear Safety Agency at </w:t>
      </w:r>
      <w:r w:rsidR="00467D4A" w:rsidRPr="00C30A56">
        <w:rPr>
          <w:bCs/>
          <w:iCs/>
          <w:szCs w:val="18"/>
        </w:rPr>
        <w:t>www.arpansa.gov.au</w:t>
      </w:r>
      <w:r w:rsidR="00467D4A" w:rsidRPr="00602650">
        <w:rPr>
          <w:bCs/>
          <w:iCs/>
          <w:szCs w:val="18"/>
        </w:rPr>
        <w:t>.</w:t>
      </w:r>
    </w:p>
    <w:p w14:paraId="41CE781A" w14:textId="77777777" w:rsidR="00F60F5C" w:rsidRPr="004F4F5C" w:rsidRDefault="00F60F5C" w:rsidP="00081716">
      <w:pPr>
        <w:pStyle w:val="Definition"/>
        <w:rPr>
          <w:szCs w:val="22"/>
        </w:rPr>
      </w:pPr>
      <w:r w:rsidRPr="008C4267">
        <w:rPr>
          <w:b/>
          <w:bCs/>
          <w:i/>
          <w:iCs/>
          <w:szCs w:val="22"/>
        </w:rPr>
        <w:t>Australian Spectrum Map</w:t>
      </w:r>
      <w:r w:rsidRPr="00B5591B">
        <w:rPr>
          <w:b/>
          <w:bCs/>
          <w:i/>
          <w:iCs/>
          <w:szCs w:val="22"/>
        </w:rPr>
        <w:t xml:space="preserve"> Grid</w:t>
      </w:r>
      <w:r w:rsidRPr="004F4F5C">
        <w:rPr>
          <w:szCs w:val="22"/>
        </w:rPr>
        <w:t xml:space="preserve"> means the Australian Spectrum Map Grid 2012, published by the ACMA.</w:t>
      </w:r>
    </w:p>
    <w:p w14:paraId="28E25C88" w14:textId="2DA3F666" w:rsidR="00F60F5C" w:rsidRPr="00843482" w:rsidRDefault="00F60F5C" w:rsidP="00CB46E2">
      <w:pPr>
        <w:pStyle w:val="notetext"/>
        <w:rPr>
          <w:bCs/>
          <w:iCs/>
          <w:szCs w:val="18"/>
        </w:rPr>
      </w:pPr>
      <w:r w:rsidRPr="00843482">
        <w:rPr>
          <w:bCs/>
          <w:iCs/>
          <w:szCs w:val="18"/>
        </w:rPr>
        <w:t>Note:</w:t>
      </w:r>
      <w:r w:rsidRPr="00843482">
        <w:rPr>
          <w:bCs/>
          <w:iCs/>
          <w:szCs w:val="18"/>
        </w:rPr>
        <w:tab/>
        <w:t>The Australian Spectrum Map Grid is available, free of charge, from the ACMA’s website at www.acma.gov.au.</w:t>
      </w:r>
    </w:p>
    <w:p w14:paraId="7A995847" w14:textId="0A93FD73" w:rsidR="006A66F0" w:rsidRPr="008C4267" w:rsidRDefault="006A66F0" w:rsidP="00081716">
      <w:pPr>
        <w:pStyle w:val="Definition"/>
        <w:rPr>
          <w:b/>
          <w:bCs/>
          <w:i/>
          <w:iCs/>
          <w:szCs w:val="22"/>
        </w:rPr>
      </w:pPr>
      <w:r w:rsidRPr="00367243">
        <w:rPr>
          <w:b/>
          <w:bCs/>
          <w:i/>
          <w:iCs/>
          <w:szCs w:val="22"/>
        </w:rPr>
        <w:t>device compliance day</w:t>
      </w:r>
      <w:r w:rsidRPr="008C4267">
        <w:rPr>
          <w:b/>
          <w:bCs/>
          <w:i/>
          <w:iCs/>
          <w:szCs w:val="22"/>
        </w:rPr>
        <w:t xml:space="preserve"> </w:t>
      </w:r>
      <w:r w:rsidRPr="004F4F5C">
        <w:rPr>
          <w:szCs w:val="22"/>
        </w:rPr>
        <w:t xml:space="preserve">for a station means the </w:t>
      </w:r>
      <w:r w:rsidR="00082E7D" w:rsidRPr="004F4F5C">
        <w:rPr>
          <w:szCs w:val="22"/>
        </w:rPr>
        <w:t>later</w:t>
      </w:r>
      <w:r w:rsidR="005B2075" w:rsidRPr="004F4F5C">
        <w:rPr>
          <w:szCs w:val="22"/>
        </w:rPr>
        <w:t xml:space="preserve"> of:</w:t>
      </w:r>
    </w:p>
    <w:p w14:paraId="67DC8F41" w14:textId="3A46A19C" w:rsidR="006A66F0" w:rsidRPr="00367243" w:rsidRDefault="00CB46E2" w:rsidP="00CB46E2">
      <w:pPr>
        <w:pStyle w:val="paragraph"/>
        <w:rPr>
          <w:bCs/>
          <w:iCs/>
          <w:szCs w:val="22"/>
        </w:rPr>
      </w:pPr>
      <w:r>
        <w:rPr>
          <w:bCs/>
          <w:iCs/>
          <w:szCs w:val="22"/>
        </w:rPr>
        <w:tab/>
      </w:r>
      <w:r w:rsidR="006A66F0" w:rsidRPr="00367243">
        <w:rPr>
          <w:bCs/>
          <w:iCs/>
          <w:szCs w:val="22"/>
        </w:rPr>
        <w:t>(a)</w:t>
      </w:r>
      <w:r w:rsidR="006A66F0" w:rsidRPr="00367243">
        <w:rPr>
          <w:bCs/>
          <w:iCs/>
          <w:szCs w:val="22"/>
        </w:rPr>
        <w:tab/>
        <w:t xml:space="preserve">if the station was manufactured in Australia – the day </w:t>
      </w:r>
      <w:r w:rsidR="004F2F08" w:rsidRPr="00367243">
        <w:rPr>
          <w:bCs/>
          <w:iCs/>
          <w:szCs w:val="22"/>
        </w:rPr>
        <w:t>it</w:t>
      </w:r>
      <w:r w:rsidR="006A66F0" w:rsidRPr="00367243">
        <w:rPr>
          <w:bCs/>
          <w:iCs/>
          <w:szCs w:val="22"/>
        </w:rPr>
        <w:t xml:space="preserve"> was manufactured;</w:t>
      </w:r>
      <w:r w:rsidR="00892A5D">
        <w:rPr>
          <w:bCs/>
          <w:iCs/>
          <w:szCs w:val="22"/>
        </w:rPr>
        <w:t xml:space="preserve"> or</w:t>
      </w:r>
    </w:p>
    <w:p w14:paraId="1370AD5F" w14:textId="5057E694" w:rsidR="006A66F0" w:rsidRPr="00367243" w:rsidRDefault="00CB46E2" w:rsidP="00CB46E2">
      <w:pPr>
        <w:pStyle w:val="paragraph"/>
        <w:rPr>
          <w:bCs/>
          <w:iCs/>
          <w:szCs w:val="22"/>
        </w:rPr>
      </w:pPr>
      <w:r>
        <w:rPr>
          <w:bCs/>
          <w:iCs/>
          <w:szCs w:val="22"/>
        </w:rPr>
        <w:tab/>
      </w:r>
      <w:r w:rsidR="006A66F0" w:rsidRPr="00367243">
        <w:rPr>
          <w:bCs/>
          <w:iCs/>
          <w:szCs w:val="22"/>
        </w:rPr>
        <w:t>(b)</w:t>
      </w:r>
      <w:r w:rsidR="006A66F0" w:rsidRPr="00367243">
        <w:rPr>
          <w:bCs/>
          <w:iCs/>
          <w:szCs w:val="22"/>
        </w:rPr>
        <w:tab/>
        <w:t>if the station was imported – the day it was imported;</w:t>
      </w:r>
      <w:r w:rsidR="00892A5D">
        <w:rPr>
          <w:bCs/>
          <w:iCs/>
          <w:szCs w:val="22"/>
        </w:rPr>
        <w:t xml:space="preserve"> or</w:t>
      </w:r>
    </w:p>
    <w:p w14:paraId="64B7D98B" w14:textId="4D7203EF" w:rsidR="006A66F0" w:rsidRPr="00367243" w:rsidRDefault="00CB46E2" w:rsidP="00CB46E2">
      <w:pPr>
        <w:pStyle w:val="paragraph"/>
        <w:rPr>
          <w:bCs/>
          <w:iCs/>
          <w:szCs w:val="22"/>
        </w:rPr>
      </w:pPr>
      <w:r>
        <w:rPr>
          <w:bCs/>
          <w:iCs/>
          <w:szCs w:val="22"/>
        </w:rPr>
        <w:tab/>
      </w:r>
      <w:r w:rsidR="006A66F0" w:rsidRPr="00367243">
        <w:rPr>
          <w:bCs/>
          <w:iCs/>
          <w:szCs w:val="22"/>
        </w:rPr>
        <w:t>(c)</w:t>
      </w:r>
      <w:r w:rsidR="006A66F0" w:rsidRPr="00367243">
        <w:rPr>
          <w:bCs/>
          <w:iCs/>
          <w:szCs w:val="22"/>
        </w:rPr>
        <w:tab/>
        <w:t>if the station was altered or modified in a material respect</w:t>
      </w:r>
      <w:r w:rsidR="001E5E20" w:rsidRPr="00367243">
        <w:rPr>
          <w:bCs/>
          <w:iCs/>
          <w:szCs w:val="22"/>
        </w:rPr>
        <w:t xml:space="preserve"> in Australia</w:t>
      </w:r>
      <w:r w:rsidR="006A66F0" w:rsidRPr="00367243">
        <w:rPr>
          <w:bCs/>
          <w:iCs/>
          <w:szCs w:val="22"/>
        </w:rPr>
        <w:t xml:space="preserve"> – the day it was altered or modified.</w:t>
      </w:r>
    </w:p>
    <w:p w14:paraId="73D75329" w14:textId="4A457BD4" w:rsidR="00F60F5C" w:rsidRPr="007C68AB" w:rsidRDefault="00113FCE" w:rsidP="00081716">
      <w:pPr>
        <w:pStyle w:val="Definition"/>
        <w:rPr>
          <w:b/>
          <w:bCs/>
          <w:i/>
          <w:iCs/>
          <w:szCs w:val="22"/>
        </w:rPr>
      </w:pPr>
      <w:r w:rsidRPr="00043474">
        <w:rPr>
          <w:b/>
          <w:bCs/>
          <w:i/>
          <w:iCs/>
          <w:szCs w:val="22"/>
        </w:rPr>
        <w:t xml:space="preserve">HCIS </w:t>
      </w:r>
      <w:r w:rsidRPr="007C68AB">
        <w:rPr>
          <w:szCs w:val="22"/>
        </w:rPr>
        <w:t>(short for Hierarchical Cell Identification Scheme) means the cell grouping hierarchy scheme used to describe areas in the Australian Spectrum Map Grid.</w:t>
      </w:r>
    </w:p>
    <w:p w14:paraId="5FBCF204" w14:textId="12CDBD4F" w:rsidR="00716BA3" w:rsidRPr="00043474" w:rsidRDefault="00716BA3" w:rsidP="006F4FF0">
      <w:pPr>
        <w:pStyle w:val="Definition"/>
        <w:rPr>
          <w:bCs/>
          <w:iCs/>
          <w:szCs w:val="22"/>
        </w:rPr>
      </w:pPr>
      <w:r w:rsidRPr="00043474">
        <w:rPr>
          <w:b/>
          <w:bCs/>
          <w:i/>
          <w:iCs/>
          <w:szCs w:val="22"/>
        </w:rPr>
        <w:t>ITU</w:t>
      </w:r>
      <w:r w:rsidRPr="00043474">
        <w:rPr>
          <w:bCs/>
          <w:iCs/>
          <w:szCs w:val="22"/>
        </w:rPr>
        <w:t xml:space="preserve"> means the </w:t>
      </w:r>
      <w:r w:rsidRPr="006F4FF0">
        <w:rPr>
          <w:szCs w:val="22"/>
        </w:rPr>
        <w:t>International</w:t>
      </w:r>
      <w:r w:rsidRPr="00043474">
        <w:rPr>
          <w:bCs/>
          <w:iCs/>
          <w:szCs w:val="22"/>
        </w:rPr>
        <w:t xml:space="preserve"> Telecommunication Union.</w:t>
      </w:r>
    </w:p>
    <w:p w14:paraId="6E9D6A07" w14:textId="75A09980" w:rsidR="00716BA3" w:rsidRPr="00043474" w:rsidRDefault="00716BA3" w:rsidP="006F4FF0">
      <w:pPr>
        <w:pStyle w:val="Definition"/>
        <w:rPr>
          <w:bCs/>
          <w:iCs/>
          <w:szCs w:val="22"/>
        </w:rPr>
      </w:pPr>
      <w:r w:rsidRPr="00043474">
        <w:rPr>
          <w:b/>
          <w:bCs/>
          <w:i/>
          <w:iCs/>
          <w:szCs w:val="22"/>
        </w:rPr>
        <w:lastRenderedPageBreak/>
        <w:t xml:space="preserve">ITU-R Resolution 169 (WRC-19) </w:t>
      </w:r>
      <w:r w:rsidRPr="00043474">
        <w:rPr>
          <w:bCs/>
          <w:iCs/>
          <w:szCs w:val="22"/>
        </w:rPr>
        <w:t>means “ITU-R Resolution 169 Use of the frequency bands 17.7-19.7 GHz and 27.5-29.5 GHz by earth stations in motion communicating with geostationary space stations in the fixed-satellite service”, published by the ITU.</w:t>
      </w:r>
    </w:p>
    <w:p w14:paraId="27F981EF" w14:textId="3CCA2B41" w:rsidR="00716BA3" w:rsidRPr="00A11BE8" w:rsidRDefault="00716BA3" w:rsidP="009A29D3">
      <w:pPr>
        <w:pStyle w:val="notetext"/>
        <w:rPr>
          <w:bCs/>
          <w:iCs/>
          <w:szCs w:val="18"/>
        </w:rPr>
      </w:pPr>
      <w:r w:rsidRPr="00A11BE8">
        <w:rPr>
          <w:bCs/>
          <w:iCs/>
          <w:szCs w:val="18"/>
        </w:rPr>
        <w:t>Note:</w:t>
      </w:r>
      <w:r w:rsidRPr="00A11BE8">
        <w:rPr>
          <w:bCs/>
          <w:iCs/>
          <w:szCs w:val="18"/>
        </w:rPr>
        <w:tab/>
        <w:t>ITU-R Resolution 169 (WRC</w:t>
      </w:r>
      <w:r w:rsidR="001B289D">
        <w:rPr>
          <w:bCs/>
          <w:iCs/>
          <w:szCs w:val="18"/>
        </w:rPr>
        <w:t>-</w:t>
      </w:r>
      <w:r w:rsidRPr="00A11BE8">
        <w:rPr>
          <w:bCs/>
          <w:iCs/>
          <w:szCs w:val="18"/>
        </w:rPr>
        <w:t xml:space="preserve">19) is available, free of charge, </w:t>
      </w:r>
      <w:r w:rsidR="00BA1E21">
        <w:rPr>
          <w:bCs/>
          <w:iCs/>
          <w:szCs w:val="18"/>
        </w:rPr>
        <w:t>from</w:t>
      </w:r>
      <w:r w:rsidRPr="00A11BE8">
        <w:rPr>
          <w:bCs/>
          <w:iCs/>
          <w:szCs w:val="18"/>
        </w:rPr>
        <w:t xml:space="preserve"> the ITU</w:t>
      </w:r>
      <w:r w:rsidR="00BA1E21">
        <w:rPr>
          <w:bCs/>
          <w:iCs/>
          <w:szCs w:val="18"/>
        </w:rPr>
        <w:t>’s</w:t>
      </w:r>
      <w:r w:rsidRPr="00A11BE8">
        <w:rPr>
          <w:bCs/>
          <w:iCs/>
          <w:szCs w:val="18"/>
        </w:rPr>
        <w:t xml:space="preserve"> website at </w:t>
      </w:r>
      <w:hyperlink r:id="rId18" w:history="1">
        <w:r w:rsidR="0055696E" w:rsidRPr="00A11BE8">
          <w:rPr>
            <w:szCs w:val="18"/>
          </w:rPr>
          <w:t>www.itu.int</w:t>
        </w:r>
      </w:hyperlink>
      <w:r w:rsidRPr="00A11BE8">
        <w:rPr>
          <w:bCs/>
          <w:iCs/>
          <w:szCs w:val="18"/>
        </w:rPr>
        <w:t>.</w:t>
      </w:r>
    </w:p>
    <w:p w14:paraId="29FA7D2D" w14:textId="77777777" w:rsidR="00716BA3" w:rsidRPr="00043474" w:rsidRDefault="00716BA3" w:rsidP="006F4FF0">
      <w:pPr>
        <w:pStyle w:val="Definition"/>
        <w:rPr>
          <w:bCs/>
          <w:iCs/>
          <w:szCs w:val="22"/>
        </w:rPr>
      </w:pPr>
      <w:r w:rsidRPr="00043474">
        <w:rPr>
          <w:b/>
          <w:bCs/>
          <w:i/>
          <w:iCs/>
          <w:szCs w:val="22"/>
        </w:rPr>
        <w:t xml:space="preserve">metropolitan area </w:t>
      </w:r>
      <w:r w:rsidRPr="00043474">
        <w:rPr>
          <w:bCs/>
          <w:iCs/>
          <w:szCs w:val="22"/>
        </w:rPr>
        <w:t xml:space="preserve">has the same meaning as in the </w:t>
      </w:r>
      <w:r w:rsidRPr="00043474">
        <w:rPr>
          <w:bCs/>
          <w:i/>
          <w:iCs/>
          <w:szCs w:val="22"/>
        </w:rPr>
        <w:t>Radiocommunications (Mobile-Satellite Service) (1980–2010 MHz and 2170–2200 MHz) Frequency Band Plan 2022</w:t>
      </w:r>
      <w:r w:rsidRPr="00043474">
        <w:rPr>
          <w:bCs/>
          <w:iCs/>
          <w:szCs w:val="22"/>
        </w:rPr>
        <w:t>.</w:t>
      </w:r>
    </w:p>
    <w:p w14:paraId="09A0E88A" w14:textId="3079419E" w:rsidR="00716BA3" w:rsidRPr="004F63F7" w:rsidRDefault="00716BA3" w:rsidP="009A29D3">
      <w:pPr>
        <w:pStyle w:val="notetext"/>
        <w:rPr>
          <w:bCs/>
          <w:iCs/>
          <w:szCs w:val="18"/>
        </w:rPr>
      </w:pPr>
      <w:r w:rsidRPr="009A29D3">
        <w:rPr>
          <w:bCs/>
          <w:iCs/>
          <w:szCs w:val="18"/>
        </w:rPr>
        <w:t>Note</w:t>
      </w:r>
      <w:r w:rsidRPr="004F63F7">
        <w:rPr>
          <w:bCs/>
          <w:iCs/>
          <w:szCs w:val="18"/>
        </w:rPr>
        <w:t>:</w:t>
      </w:r>
      <w:r w:rsidRPr="004F63F7">
        <w:rPr>
          <w:bCs/>
          <w:iCs/>
          <w:szCs w:val="18"/>
        </w:rPr>
        <w:tab/>
        <w:t xml:space="preserve">The </w:t>
      </w:r>
      <w:r w:rsidRPr="004F63F7">
        <w:rPr>
          <w:bCs/>
          <w:i/>
          <w:iCs/>
          <w:szCs w:val="18"/>
        </w:rPr>
        <w:t>Radiocommunications (Mobile-Satellite-Service) (1980–2010 MHz and 2170–2200 MHz) Frequency Band Plan 2022</w:t>
      </w:r>
      <w:r w:rsidRPr="004F63F7">
        <w:rPr>
          <w:bCs/>
          <w:iCs/>
          <w:szCs w:val="18"/>
        </w:rPr>
        <w:t xml:space="preserve"> is available, free of charge, </w:t>
      </w:r>
      <w:r w:rsidR="00D673EF">
        <w:rPr>
          <w:bCs/>
          <w:iCs/>
          <w:szCs w:val="18"/>
        </w:rPr>
        <w:t>from</w:t>
      </w:r>
      <w:r w:rsidRPr="004F63F7">
        <w:rPr>
          <w:bCs/>
          <w:iCs/>
          <w:szCs w:val="18"/>
        </w:rPr>
        <w:t xml:space="preserve"> the Federal Register of Legislation at </w:t>
      </w:r>
      <w:r w:rsidRPr="00656210">
        <w:rPr>
          <w:bCs/>
          <w:iCs/>
          <w:szCs w:val="18"/>
        </w:rPr>
        <w:t>www.legislation.gov.au</w:t>
      </w:r>
      <w:r w:rsidRPr="004F63F7">
        <w:rPr>
          <w:bCs/>
          <w:iCs/>
          <w:szCs w:val="18"/>
        </w:rPr>
        <w:t>.</w:t>
      </w:r>
    </w:p>
    <w:p w14:paraId="7D05AAA7" w14:textId="44C75D74" w:rsidR="00716BA3" w:rsidRPr="0020151A" w:rsidRDefault="00716BA3" w:rsidP="006F4FF0">
      <w:pPr>
        <w:pStyle w:val="Definition"/>
        <w:rPr>
          <w:bCs/>
          <w:iCs/>
          <w:szCs w:val="22"/>
        </w:rPr>
      </w:pPr>
      <w:r w:rsidRPr="0020151A">
        <w:rPr>
          <w:b/>
          <w:bCs/>
          <w:i/>
          <w:iCs/>
          <w:szCs w:val="22"/>
        </w:rPr>
        <w:t>occupied bandwidth</w:t>
      </w:r>
      <w:r w:rsidRPr="0020151A">
        <w:rPr>
          <w:bCs/>
          <w:iCs/>
          <w:szCs w:val="22"/>
        </w:rPr>
        <w:t>, in relation to a radiocommunications transmitter, means the width of a frequency band having upper and lower limits that are necessary to contain 99% of the true mean power of the transmitter’s emission at any time.</w:t>
      </w:r>
    </w:p>
    <w:p w14:paraId="0FD242E2" w14:textId="44980D28" w:rsidR="00DF164D" w:rsidRPr="00043474" w:rsidRDefault="00DF164D" w:rsidP="009A29D3">
      <w:pPr>
        <w:pStyle w:val="Definition"/>
        <w:rPr>
          <w:color w:val="000000"/>
        </w:rPr>
      </w:pPr>
      <w:r w:rsidRPr="00043474">
        <w:rPr>
          <w:b/>
          <w:bCs/>
          <w:i/>
          <w:iCs/>
          <w:color w:val="000000"/>
        </w:rPr>
        <w:t>RALI SM 26</w:t>
      </w:r>
      <w:r w:rsidRPr="00043474">
        <w:rPr>
          <w:color w:val="000000"/>
        </w:rPr>
        <w:t xml:space="preserve"> </w:t>
      </w:r>
      <w:r w:rsidRPr="009A29D3">
        <w:rPr>
          <w:bCs/>
          <w:iCs/>
          <w:szCs w:val="22"/>
        </w:rPr>
        <w:t>means</w:t>
      </w:r>
      <w:r w:rsidRPr="00043474">
        <w:rPr>
          <w:color w:val="000000"/>
        </w:rPr>
        <w:t xml:space="preserve"> the Radiocommunications Assignment and Licensing Instruction No. SM 26, </w:t>
      </w:r>
      <w:r w:rsidRPr="00043474">
        <w:rPr>
          <w:i/>
          <w:iCs/>
          <w:color w:val="000000"/>
        </w:rPr>
        <w:t>Restrictions on Apparatus Licensing in Spectrum Licensed Spaces</w:t>
      </w:r>
      <w:r w:rsidRPr="00043474">
        <w:rPr>
          <w:color w:val="000000"/>
        </w:rPr>
        <w:t>, published by the ACMA</w:t>
      </w:r>
      <w:r w:rsidR="00E625D9">
        <w:rPr>
          <w:color w:val="000000"/>
        </w:rPr>
        <w:t>, as existing from time to time</w:t>
      </w:r>
      <w:r w:rsidRPr="00043474">
        <w:rPr>
          <w:color w:val="000000"/>
        </w:rPr>
        <w:t>.</w:t>
      </w:r>
    </w:p>
    <w:p w14:paraId="105C9087" w14:textId="37467D88" w:rsidR="00DF164D" w:rsidRPr="00602650" w:rsidRDefault="00DF164D" w:rsidP="00081716">
      <w:pPr>
        <w:pStyle w:val="notetext"/>
      </w:pPr>
      <w:r w:rsidRPr="009A29D3">
        <w:rPr>
          <w:bCs/>
          <w:iCs/>
          <w:szCs w:val="18"/>
        </w:rPr>
        <w:t>Note</w:t>
      </w:r>
      <w:r w:rsidRPr="00602650">
        <w:t xml:space="preserve"> 1:</w:t>
      </w:r>
      <w:r w:rsidRPr="00602650">
        <w:tab/>
        <w:t xml:space="preserve">RALI SM 26 is available, free of charge, </w:t>
      </w:r>
      <w:r w:rsidR="00F72C18">
        <w:t>from</w:t>
      </w:r>
      <w:r w:rsidRPr="00602650">
        <w:t xml:space="preserve"> the ACMA’s website at </w:t>
      </w:r>
      <w:hyperlink r:id="rId19" w:history="1">
        <w:r w:rsidRPr="005B2154">
          <w:t>www.acma.gov.au</w:t>
        </w:r>
      </w:hyperlink>
      <w:r w:rsidRPr="00602650">
        <w:t>.</w:t>
      </w:r>
    </w:p>
    <w:p w14:paraId="563BBBF9" w14:textId="0283AA4E" w:rsidR="00C810B1" w:rsidRDefault="00C810B1" w:rsidP="00081716">
      <w:pPr>
        <w:pStyle w:val="notetext"/>
      </w:pPr>
      <w:r w:rsidRPr="009A29D3">
        <w:rPr>
          <w:bCs/>
          <w:iCs/>
          <w:szCs w:val="18"/>
        </w:rPr>
        <w:t>Note</w:t>
      </w:r>
      <w:r w:rsidRPr="00C74992">
        <w:t xml:space="preserve"> </w:t>
      </w:r>
      <w:r>
        <w:t>2</w:t>
      </w:r>
      <w:r w:rsidRPr="00C74992">
        <w:t>:</w:t>
      </w:r>
      <w:r w:rsidRPr="00C74992">
        <w:tab/>
        <w:t>A number of other expressions used in this instrument are defined in the Act, including the following:</w:t>
      </w:r>
    </w:p>
    <w:p w14:paraId="4CA71BEB" w14:textId="77777777" w:rsidR="00C810B1" w:rsidRDefault="00C810B1" w:rsidP="00081716">
      <w:pPr>
        <w:pStyle w:val="notepara"/>
      </w:pPr>
      <w:r w:rsidRPr="002D0F78">
        <w:t>(a)</w:t>
      </w:r>
      <w:r w:rsidRPr="002D0F78">
        <w:tab/>
        <w:t>ACMA;</w:t>
      </w:r>
    </w:p>
    <w:p w14:paraId="41E6E5C1" w14:textId="77777777" w:rsidR="00C810B1" w:rsidRDefault="00C810B1" w:rsidP="00081716">
      <w:pPr>
        <w:pStyle w:val="notepara"/>
      </w:pPr>
      <w:r>
        <w:t>(b)</w:t>
      </w:r>
      <w:r>
        <w:tab/>
        <w:t>apparatus licence;</w:t>
      </w:r>
    </w:p>
    <w:p w14:paraId="7D9E43AB" w14:textId="1E7208CB" w:rsidR="00652AAF" w:rsidRDefault="00652AAF" w:rsidP="00081716">
      <w:pPr>
        <w:pStyle w:val="notepara"/>
      </w:pPr>
      <w:r>
        <w:t>(</w:t>
      </w:r>
      <w:r w:rsidR="00BC1344">
        <w:t>c</w:t>
      </w:r>
      <w:r>
        <w:t>)</w:t>
      </w:r>
      <w:r>
        <w:tab/>
        <w:t>equipment rules;</w:t>
      </w:r>
    </w:p>
    <w:p w14:paraId="7FD3DDA8" w14:textId="7E7C93AC" w:rsidR="004A6259" w:rsidRDefault="004A6259" w:rsidP="00081716">
      <w:pPr>
        <w:pStyle w:val="notepara"/>
      </w:pPr>
      <w:r>
        <w:t>(</w:t>
      </w:r>
      <w:r w:rsidR="00BC1344">
        <w:t>d</w:t>
      </w:r>
      <w:r>
        <w:t>)</w:t>
      </w:r>
      <w:r>
        <w:tab/>
        <w:t>frequency band</w:t>
      </w:r>
      <w:r w:rsidR="00471A47">
        <w:t>;</w:t>
      </w:r>
    </w:p>
    <w:p w14:paraId="2456A81E" w14:textId="76018512" w:rsidR="003E624B" w:rsidRDefault="003E624B" w:rsidP="00081716">
      <w:pPr>
        <w:pStyle w:val="notepara"/>
      </w:pPr>
      <w:r>
        <w:t>(</w:t>
      </w:r>
      <w:r w:rsidR="00BC1344">
        <w:t>e</w:t>
      </w:r>
      <w:r>
        <w:t>)</w:t>
      </w:r>
      <w:r>
        <w:tab/>
        <w:t>import;</w:t>
      </w:r>
    </w:p>
    <w:p w14:paraId="4F7A8F20" w14:textId="5CEAB184" w:rsidR="00D55032" w:rsidRDefault="00D55032" w:rsidP="00081716">
      <w:pPr>
        <w:pStyle w:val="notepara"/>
      </w:pPr>
      <w:r>
        <w:t>(</w:t>
      </w:r>
      <w:r w:rsidR="00BC1344">
        <w:t>f</w:t>
      </w:r>
      <w:r>
        <w:t>)</w:t>
      </w:r>
      <w:r>
        <w:tab/>
        <w:t>radio emissi</w:t>
      </w:r>
      <w:r w:rsidR="009C12BC">
        <w:t>o</w:t>
      </w:r>
      <w:r>
        <w:t>n;</w:t>
      </w:r>
    </w:p>
    <w:p w14:paraId="3E47112F" w14:textId="7140E151" w:rsidR="00C810B1" w:rsidRPr="002D0F78" w:rsidRDefault="00C810B1" w:rsidP="00081716">
      <w:pPr>
        <w:pStyle w:val="notepara"/>
      </w:pPr>
      <w:r>
        <w:t>(</w:t>
      </w:r>
      <w:r w:rsidR="00BC1344">
        <w:t>g</w:t>
      </w:r>
      <w:r>
        <w:t>)</w:t>
      </w:r>
      <w:r>
        <w:tab/>
        <w:t>radiocommunication;</w:t>
      </w:r>
    </w:p>
    <w:p w14:paraId="6E455616" w14:textId="3262636E" w:rsidR="00C810B1" w:rsidRDefault="00C810B1" w:rsidP="00081716">
      <w:pPr>
        <w:pStyle w:val="notepara"/>
      </w:pPr>
      <w:r>
        <w:t>(</w:t>
      </w:r>
      <w:r w:rsidR="00BC1344">
        <w:t>h</w:t>
      </w:r>
      <w:r>
        <w:t>)</w:t>
      </w:r>
      <w:r>
        <w:tab/>
        <w:t>radiocommunications receiver;</w:t>
      </w:r>
    </w:p>
    <w:p w14:paraId="59328BD4" w14:textId="76878168" w:rsidR="004A6259" w:rsidRDefault="00C810B1" w:rsidP="00081716">
      <w:pPr>
        <w:pStyle w:val="notepara"/>
      </w:pPr>
      <w:r>
        <w:t>(</w:t>
      </w:r>
      <w:r w:rsidR="00BC1344">
        <w:t>i</w:t>
      </w:r>
      <w:r>
        <w:t>)</w:t>
      </w:r>
      <w:r>
        <w:tab/>
        <w:t>radiocommunications transmitter</w:t>
      </w:r>
      <w:r w:rsidR="004A6259">
        <w:t>;</w:t>
      </w:r>
    </w:p>
    <w:p w14:paraId="0BC22DAE" w14:textId="4054F54B" w:rsidR="00FD556D" w:rsidRDefault="00FD556D" w:rsidP="00081716">
      <w:pPr>
        <w:pStyle w:val="notepara"/>
      </w:pPr>
      <w:r>
        <w:t>(</w:t>
      </w:r>
      <w:r w:rsidR="00BC1344">
        <w:t>j</w:t>
      </w:r>
      <w:r>
        <w:t>)</w:t>
      </w:r>
      <w:r>
        <w:tab/>
        <w:t>reception;</w:t>
      </w:r>
    </w:p>
    <w:p w14:paraId="7574B22C" w14:textId="641DEB3F" w:rsidR="0042462D" w:rsidRDefault="004A6259" w:rsidP="00081716">
      <w:pPr>
        <w:pStyle w:val="notepara"/>
      </w:pPr>
      <w:r>
        <w:t>(</w:t>
      </w:r>
      <w:r w:rsidR="00BC1344">
        <w:t>k</w:t>
      </w:r>
      <w:r>
        <w:t>)</w:t>
      </w:r>
      <w:r>
        <w:tab/>
        <w:t>spectrum</w:t>
      </w:r>
      <w:r w:rsidR="00E52E28">
        <w:t>;</w:t>
      </w:r>
    </w:p>
    <w:p w14:paraId="75048612" w14:textId="364FC53A" w:rsidR="00C810B1" w:rsidRPr="002D0F78" w:rsidRDefault="0042462D" w:rsidP="00081716">
      <w:pPr>
        <w:pStyle w:val="notepara"/>
      </w:pPr>
      <w:r>
        <w:t>(</w:t>
      </w:r>
      <w:r w:rsidR="00BC1344">
        <w:t>l</w:t>
      </w:r>
      <w:r>
        <w:t>)</w:t>
      </w:r>
      <w:r>
        <w:tab/>
        <w:t>spectrum plan</w:t>
      </w:r>
      <w:r w:rsidR="00C810B1">
        <w:t>.</w:t>
      </w:r>
    </w:p>
    <w:p w14:paraId="219249BB" w14:textId="34A66813" w:rsidR="00962A7A" w:rsidRPr="00962A7A" w:rsidRDefault="00962A7A" w:rsidP="00081716">
      <w:pPr>
        <w:pStyle w:val="notetext"/>
      </w:pPr>
      <w:r>
        <w:t>Note 3:</w:t>
      </w:r>
      <w:r>
        <w:tab/>
        <w:t xml:space="preserve">In this instrument, </w:t>
      </w:r>
      <w:r>
        <w:rPr>
          <w:b/>
          <w:bCs/>
          <w:i/>
          <w:iCs/>
        </w:rPr>
        <w:t xml:space="preserve">aircraft </w:t>
      </w:r>
      <w:r>
        <w:t>has a different meaning to that given by the Act.</w:t>
      </w:r>
    </w:p>
    <w:p w14:paraId="499858F3" w14:textId="0AB3AFB6" w:rsidR="00C810B1" w:rsidRPr="002D0F78" w:rsidRDefault="00C810B1" w:rsidP="00081716">
      <w:pPr>
        <w:pStyle w:val="notetext"/>
      </w:pPr>
      <w:r w:rsidRPr="002D0F78">
        <w:t xml:space="preserve">Note </w:t>
      </w:r>
      <w:r w:rsidR="00962A7A">
        <w:t>4</w:t>
      </w:r>
      <w:r w:rsidRPr="002D0F78">
        <w:t>:</w:t>
      </w:r>
      <w:r w:rsidRPr="002D0F78">
        <w:tab/>
        <w:t xml:space="preserve">Other expressions used in this instrument may be defined in a determination made under subsection 64(1) of the </w:t>
      </w:r>
      <w:r w:rsidRPr="002D0F78">
        <w:rPr>
          <w:i/>
          <w:iCs/>
        </w:rPr>
        <w:t>Australian Communications and Media Authority Act 2005</w:t>
      </w:r>
      <w:r w:rsidRPr="002D0F78">
        <w:t>,</w:t>
      </w:r>
      <w:r>
        <w:t xml:space="preserve"> that applies to this instrument,</w:t>
      </w:r>
      <w:r w:rsidRPr="002D0F78">
        <w:t xml:space="preserve"> including</w:t>
      </w:r>
      <w:r w:rsidR="0025296A">
        <w:t xml:space="preserve"> the following</w:t>
      </w:r>
      <w:r w:rsidRPr="002D0F78">
        <w:t>:</w:t>
      </w:r>
    </w:p>
    <w:p w14:paraId="74993838" w14:textId="77777777" w:rsidR="00C810B1" w:rsidRDefault="00C810B1" w:rsidP="00081716">
      <w:pPr>
        <w:pStyle w:val="notepara"/>
      </w:pPr>
      <w:r w:rsidRPr="002D0F78">
        <w:t>(a)</w:t>
      </w:r>
      <w:r w:rsidRPr="002D0F78">
        <w:tab/>
        <w:t>Act;</w:t>
      </w:r>
    </w:p>
    <w:p w14:paraId="13D66CEE" w14:textId="49C11C7F" w:rsidR="00E20FDD" w:rsidRDefault="00E20FDD" w:rsidP="00081716">
      <w:pPr>
        <w:pStyle w:val="notepara"/>
      </w:pPr>
      <w:r>
        <w:t>(b)</w:t>
      </w:r>
      <w:r>
        <w:tab/>
        <w:t>area-wide receive licence</w:t>
      </w:r>
      <w:r w:rsidR="005B2154">
        <w:t>;</w:t>
      </w:r>
    </w:p>
    <w:p w14:paraId="241DA5B4" w14:textId="106EFE52" w:rsidR="00E20FDD" w:rsidRDefault="00E20FDD" w:rsidP="00081716">
      <w:pPr>
        <w:pStyle w:val="notepara"/>
      </w:pPr>
      <w:r>
        <w:t>(c)</w:t>
      </w:r>
      <w:r>
        <w:tab/>
        <w:t>area-wide receive station</w:t>
      </w:r>
      <w:r w:rsidR="005B2154">
        <w:t>;</w:t>
      </w:r>
    </w:p>
    <w:p w14:paraId="206AA98F" w14:textId="0D1F3C86" w:rsidR="00E20FDD" w:rsidRDefault="00E20FDD" w:rsidP="00081716">
      <w:pPr>
        <w:pStyle w:val="notepara"/>
      </w:pPr>
      <w:r>
        <w:t>(d)</w:t>
      </w:r>
      <w:r>
        <w:tab/>
        <w:t>earth receive licence</w:t>
      </w:r>
      <w:r w:rsidR="005B2154">
        <w:t>;</w:t>
      </w:r>
    </w:p>
    <w:p w14:paraId="36F78B25" w14:textId="0261A505" w:rsidR="00E20FDD" w:rsidRDefault="00E20FDD" w:rsidP="00081716">
      <w:pPr>
        <w:pStyle w:val="notepara"/>
      </w:pPr>
      <w:r>
        <w:t>(e)</w:t>
      </w:r>
      <w:r>
        <w:tab/>
        <w:t>EIRP</w:t>
      </w:r>
      <w:r w:rsidR="005B2154">
        <w:t>;</w:t>
      </w:r>
    </w:p>
    <w:p w14:paraId="290BEEF5" w14:textId="225DCCE7" w:rsidR="00DA1381" w:rsidRDefault="00DA1381" w:rsidP="00081716">
      <w:pPr>
        <w:pStyle w:val="notepara"/>
      </w:pPr>
      <w:r>
        <w:t>(</w:t>
      </w:r>
      <w:r w:rsidR="00BC1344">
        <w:t>f</w:t>
      </w:r>
      <w:r>
        <w:t>)</w:t>
      </w:r>
      <w:r>
        <w:tab/>
        <w:t>point to point station;</w:t>
      </w:r>
    </w:p>
    <w:p w14:paraId="4C12A091" w14:textId="525ADF8F" w:rsidR="00E20FDD" w:rsidRDefault="00E20FDD" w:rsidP="00081716">
      <w:pPr>
        <w:pStyle w:val="notepara"/>
      </w:pPr>
      <w:r>
        <w:t>(</w:t>
      </w:r>
      <w:r w:rsidR="00BC1344">
        <w:t>g</w:t>
      </w:r>
      <w:r>
        <w:t>)</w:t>
      </w:r>
      <w:r>
        <w:tab/>
        <w:t>ship</w:t>
      </w:r>
      <w:r w:rsidR="005B2154">
        <w:t>;</w:t>
      </w:r>
    </w:p>
    <w:p w14:paraId="01A6C082" w14:textId="07404586" w:rsidR="00E20FDD" w:rsidRDefault="00E20FDD" w:rsidP="00081716">
      <w:pPr>
        <w:pStyle w:val="notepara"/>
      </w:pPr>
      <w:r>
        <w:t>(</w:t>
      </w:r>
      <w:r w:rsidR="00BC1344">
        <w:t>h</w:t>
      </w:r>
      <w:r>
        <w:t>)</w:t>
      </w:r>
      <w:r>
        <w:tab/>
        <w:t>space licence</w:t>
      </w:r>
      <w:r w:rsidR="005B2154">
        <w:t>;</w:t>
      </w:r>
    </w:p>
    <w:p w14:paraId="6D0B4988" w14:textId="1723FB17" w:rsidR="00794A66" w:rsidRDefault="00794A66" w:rsidP="00081716">
      <w:pPr>
        <w:pStyle w:val="notepara"/>
      </w:pPr>
      <w:r>
        <w:t>(</w:t>
      </w:r>
      <w:r w:rsidR="00BC1344">
        <w:t>i</w:t>
      </w:r>
      <w:r>
        <w:t>)</w:t>
      </w:r>
      <w:r>
        <w:tab/>
        <w:t>space object;</w:t>
      </w:r>
    </w:p>
    <w:p w14:paraId="7533E8EE" w14:textId="66A807F0" w:rsidR="00E20FDD" w:rsidRDefault="00E20FDD" w:rsidP="00081716">
      <w:pPr>
        <w:pStyle w:val="notepara"/>
      </w:pPr>
      <w:r>
        <w:t>(</w:t>
      </w:r>
      <w:r w:rsidR="00BC1344">
        <w:t>j</w:t>
      </w:r>
      <w:r>
        <w:t>)</w:t>
      </w:r>
      <w:r>
        <w:tab/>
        <w:t>space receive licence</w:t>
      </w:r>
      <w:r w:rsidR="005B2154">
        <w:t>;</w:t>
      </w:r>
    </w:p>
    <w:p w14:paraId="0A1ADF27" w14:textId="13BCB57B" w:rsidR="000164C8" w:rsidRDefault="00E20FDD" w:rsidP="00081716">
      <w:pPr>
        <w:pStyle w:val="notepara"/>
      </w:pPr>
      <w:r>
        <w:t>(</w:t>
      </w:r>
      <w:r w:rsidR="00BC1344">
        <w:t>k</w:t>
      </w:r>
      <w:r>
        <w:t>)</w:t>
      </w:r>
      <w:r>
        <w:tab/>
        <w:t>station</w:t>
      </w:r>
      <w:r w:rsidR="005B2154">
        <w:t>.</w:t>
      </w:r>
    </w:p>
    <w:p w14:paraId="206CBA64" w14:textId="418995DE" w:rsidR="00E02860" w:rsidRPr="00602650" w:rsidRDefault="00353F85" w:rsidP="00081716">
      <w:pPr>
        <w:pStyle w:val="subsection"/>
      </w:pPr>
      <w:r>
        <w:tab/>
      </w:r>
      <w:r w:rsidR="00E02860">
        <w:t>(</w:t>
      </w:r>
      <w:r w:rsidR="00BE7F71">
        <w:t>2</w:t>
      </w:r>
      <w:r w:rsidR="00E02860">
        <w:t>)</w:t>
      </w:r>
      <w:r w:rsidR="00E02860">
        <w:tab/>
        <w:t xml:space="preserve">In this instrument, unless the contrary </w:t>
      </w:r>
      <w:r w:rsidR="00E02860" w:rsidRPr="00C74992">
        <w:t xml:space="preserve">intention appears, a reference to a part of the spectrum or </w:t>
      </w:r>
      <w:r w:rsidR="0030124E">
        <w:t xml:space="preserve">a </w:t>
      </w:r>
      <w:r w:rsidR="00E02860" w:rsidRPr="00C74992">
        <w:t xml:space="preserve">frequency </w:t>
      </w:r>
      <w:r w:rsidR="00856255">
        <w:t>band</w:t>
      </w:r>
      <w:r w:rsidR="00856255" w:rsidRPr="00C74992">
        <w:t xml:space="preserve"> </w:t>
      </w:r>
      <w:r w:rsidR="00E02860" w:rsidRPr="00C74992">
        <w:t>includes all frequencies that are greater than but not including the lower frequency, up to and including the higher frequency.</w:t>
      </w:r>
    </w:p>
    <w:p w14:paraId="07111752" w14:textId="05923924" w:rsidR="00EB1744" w:rsidRDefault="00834BA4" w:rsidP="009A29D3">
      <w:pPr>
        <w:pStyle w:val="notetext"/>
        <w:rPr>
          <w:szCs w:val="18"/>
        </w:rPr>
      </w:pPr>
      <w:r w:rsidRPr="00834BA4">
        <w:rPr>
          <w:szCs w:val="18"/>
        </w:rPr>
        <w:t>Note:</w:t>
      </w:r>
      <w:r>
        <w:rPr>
          <w:szCs w:val="18"/>
        </w:rPr>
        <w:tab/>
      </w:r>
      <w:r w:rsidRPr="00834BA4">
        <w:rPr>
          <w:szCs w:val="18"/>
        </w:rPr>
        <w:t>This means the lower number in the reference to a part of the spectrum</w:t>
      </w:r>
      <w:r>
        <w:rPr>
          <w:szCs w:val="18"/>
        </w:rPr>
        <w:t xml:space="preserve"> </w:t>
      </w:r>
      <w:r w:rsidR="00B12953">
        <w:rPr>
          <w:szCs w:val="18"/>
        </w:rPr>
        <w:t xml:space="preserve">or </w:t>
      </w:r>
      <w:r w:rsidRPr="00834BA4">
        <w:rPr>
          <w:szCs w:val="18"/>
        </w:rPr>
        <w:t xml:space="preserve">a frequency </w:t>
      </w:r>
      <w:r w:rsidR="00856255">
        <w:rPr>
          <w:szCs w:val="18"/>
        </w:rPr>
        <w:t>band</w:t>
      </w:r>
      <w:r w:rsidR="00856255" w:rsidRPr="00834BA4">
        <w:rPr>
          <w:szCs w:val="18"/>
        </w:rPr>
        <w:t xml:space="preserve"> </w:t>
      </w:r>
      <w:r w:rsidRPr="00834BA4">
        <w:rPr>
          <w:szCs w:val="18"/>
        </w:rPr>
        <w:t xml:space="preserve">is not </w:t>
      </w:r>
      <w:r w:rsidRPr="009A29D3">
        <w:t>included</w:t>
      </w:r>
      <w:r w:rsidRPr="00834BA4">
        <w:rPr>
          <w:szCs w:val="18"/>
        </w:rPr>
        <w:t xml:space="preserve"> in the part of the spectrum</w:t>
      </w:r>
      <w:r w:rsidR="00B12953">
        <w:rPr>
          <w:szCs w:val="18"/>
        </w:rPr>
        <w:t xml:space="preserve"> </w:t>
      </w:r>
      <w:r w:rsidRPr="00834BA4">
        <w:rPr>
          <w:szCs w:val="18"/>
        </w:rPr>
        <w:t xml:space="preserve">or the frequency </w:t>
      </w:r>
      <w:r w:rsidR="00856255">
        <w:rPr>
          <w:szCs w:val="18"/>
        </w:rPr>
        <w:t>band</w:t>
      </w:r>
      <w:r w:rsidRPr="00834BA4">
        <w:rPr>
          <w:szCs w:val="18"/>
        </w:rPr>
        <w:t>.</w:t>
      </w:r>
    </w:p>
    <w:p w14:paraId="49679886" w14:textId="77777777" w:rsidR="00322A2F" w:rsidRPr="008C35A4" w:rsidRDefault="00322A2F" w:rsidP="00081716">
      <w:pPr>
        <w:pStyle w:val="ActHead5"/>
      </w:pPr>
      <w:r w:rsidRPr="00C74992">
        <w:rPr>
          <w:rStyle w:val="CharSectno"/>
        </w:rPr>
        <w:lastRenderedPageBreak/>
        <w:t>6</w:t>
      </w:r>
      <w:r w:rsidRPr="00C74992">
        <w:t xml:space="preserve">  References to other instruments</w:t>
      </w:r>
    </w:p>
    <w:p w14:paraId="26531A9B" w14:textId="77777777" w:rsidR="00322A2F" w:rsidRPr="008C35A4" w:rsidRDefault="00322A2F" w:rsidP="00081716">
      <w:pPr>
        <w:pStyle w:val="subsection"/>
      </w:pPr>
      <w:r w:rsidRPr="008C35A4">
        <w:tab/>
      </w:r>
      <w:r w:rsidRPr="008C35A4">
        <w:tab/>
        <w:t>In this instrument, unless the contrary intention appears:</w:t>
      </w:r>
    </w:p>
    <w:p w14:paraId="5D30828D" w14:textId="77777777" w:rsidR="00322A2F" w:rsidRPr="009A29D3" w:rsidRDefault="00322A2F" w:rsidP="00081716">
      <w:pPr>
        <w:pStyle w:val="paragraph"/>
        <w:rPr>
          <w:bCs/>
          <w:iCs/>
          <w:szCs w:val="22"/>
        </w:rPr>
      </w:pPr>
      <w:r w:rsidRPr="009A29D3">
        <w:rPr>
          <w:bCs/>
          <w:iCs/>
          <w:szCs w:val="22"/>
        </w:rPr>
        <w:tab/>
        <w:t>(a)</w:t>
      </w:r>
      <w:r w:rsidRPr="009A29D3">
        <w:rPr>
          <w:bCs/>
          <w:iCs/>
          <w:szCs w:val="22"/>
        </w:rPr>
        <w:tab/>
        <w:t>a reference to any other legislative instrument is a reference to that other legislative instrument as in force from time to time; and</w:t>
      </w:r>
    </w:p>
    <w:p w14:paraId="290D37B0" w14:textId="77777777" w:rsidR="00322A2F" w:rsidRPr="009A29D3" w:rsidRDefault="00322A2F" w:rsidP="009A29D3">
      <w:pPr>
        <w:pStyle w:val="paragraph"/>
        <w:rPr>
          <w:bCs/>
          <w:iCs/>
          <w:szCs w:val="22"/>
        </w:rPr>
      </w:pPr>
      <w:r w:rsidRPr="009A29D3">
        <w:rPr>
          <w:bCs/>
          <w:iCs/>
          <w:szCs w:val="22"/>
        </w:rPr>
        <w:tab/>
        <w:t>(b)</w:t>
      </w:r>
      <w:r w:rsidRPr="009A29D3">
        <w:rPr>
          <w:bCs/>
          <w:iCs/>
          <w:szCs w:val="22"/>
        </w:rPr>
        <w:tab/>
        <w:t>a reference to any other kind of instrument or writing is a reference to that other instrument or writing as in force, or existing, from time to time.</w:t>
      </w:r>
    </w:p>
    <w:p w14:paraId="7B1E13F4" w14:textId="77777777" w:rsidR="00322A2F" w:rsidRPr="008C35A4" w:rsidRDefault="00322A2F" w:rsidP="00081716">
      <w:pPr>
        <w:pStyle w:val="notetext"/>
      </w:pPr>
      <w:r w:rsidRPr="008C35A4">
        <w:t>Note 1:</w:t>
      </w:r>
      <w:r w:rsidRPr="008C35A4">
        <w:tab/>
        <w:t xml:space="preserve">For references to Commonwealth Acts, see section 10 of the </w:t>
      </w:r>
      <w:r w:rsidRPr="008C35A4">
        <w:rPr>
          <w:i/>
        </w:rPr>
        <w:t>Acts Interpretation Act 1901</w:t>
      </w:r>
      <w:r w:rsidRPr="008C35A4">
        <w:t xml:space="preserve">; and see also subsection 13(1) of the </w:t>
      </w:r>
      <w:r w:rsidRPr="008C35A4">
        <w:rPr>
          <w:i/>
        </w:rPr>
        <w:t>Legislation Act 2003</w:t>
      </w:r>
      <w:r w:rsidRPr="008C35A4">
        <w:t xml:space="preserve"> for the application of the </w:t>
      </w:r>
      <w:r w:rsidRPr="008C35A4">
        <w:rPr>
          <w:i/>
        </w:rPr>
        <w:t>Acts Interpretation Act 1901</w:t>
      </w:r>
      <w:r w:rsidRPr="008C35A4">
        <w:t xml:space="preserve"> to legislative instruments.</w:t>
      </w:r>
    </w:p>
    <w:p w14:paraId="4BF0809C" w14:textId="77777777" w:rsidR="00322A2F" w:rsidRDefault="00322A2F" w:rsidP="00081716">
      <w:pPr>
        <w:pStyle w:val="notetext"/>
      </w:pPr>
      <w:r w:rsidRPr="008C35A4">
        <w:t>Note 2:</w:t>
      </w:r>
      <w:r w:rsidRPr="008C35A4">
        <w:tab/>
        <w:t>All Commonwealth Acts and legislative instruments are registered on the Federal Register of Legislation.</w:t>
      </w:r>
      <w:r>
        <w:t xml:space="preserve"> </w:t>
      </w:r>
    </w:p>
    <w:p w14:paraId="6482BC02" w14:textId="77777777" w:rsidR="00322A2F" w:rsidRDefault="00322A2F" w:rsidP="00081716">
      <w:pPr>
        <w:pStyle w:val="notetext"/>
      </w:pPr>
      <w:r>
        <w:t>Note 3:</w:t>
      </w:r>
      <w:r>
        <w:tab/>
        <w:t>See section 314A of the Act.</w:t>
      </w:r>
    </w:p>
    <w:p w14:paraId="02A9C9D6" w14:textId="0416ADA1" w:rsidR="004F6299" w:rsidRPr="007C6982" w:rsidRDefault="002A367F" w:rsidP="00081716">
      <w:pPr>
        <w:pStyle w:val="ActHead5"/>
      </w:pPr>
      <w:r w:rsidRPr="00564D1C">
        <w:rPr>
          <w:rStyle w:val="CharSectno"/>
        </w:rPr>
        <w:t>7</w:t>
      </w:r>
      <w:r w:rsidR="00564D1C">
        <w:rPr>
          <w:rStyle w:val="CharSectno"/>
        </w:rPr>
        <w:t xml:space="preserve">  </w:t>
      </w:r>
      <w:r w:rsidR="004F6299" w:rsidRPr="007C6982">
        <w:t xml:space="preserve">Class licence </w:t>
      </w:r>
    </w:p>
    <w:p w14:paraId="46B0BDA1" w14:textId="48E6BD9E" w:rsidR="004F6299" w:rsidRPr="00602650" w:rsidRDefault="004F6299" w:rsidP="00E5180F">
      <w:pPr>
        <w:pStyle w:val="subsection"/>
      </w:pPr>
      <w:r w:rsidRPr="00602650">
        <w:tab/>
        <w:t>(1)</w:t>
      </w:r>
      <w:r w:rsidRPr="00602650">
        <w:tab/>
        <w:t xml:space="preserve">This </w:t>
      </w:r>
      <w:r w:rsidR="002A367F">
        <w:t>instrument</w:t>
      </w:r>
      <w:r w:rsidRPr="00602650">
        <w:t xml:space="preserve"> authorises a person to operate a station </w:t>
      </w:r>
      <w:r w:rsidR="00A921AF">
        <w:t>for</w:t>
      </w:r>
      <w:r w:rsidRPr="00602650">
        <w:t xml:space="preserve"> </w:t>
      </w:r>
      <w:r w:rsidR="00C33F68">
        <w:t xml:space="preserve">the purpose of </w:t>
      </w:r>
      <w:r w:rsidR="00E17F59">
        <w:t>c</w:t>
      </w:r>
      <w:r w:rsidRPr="00602650">
        <w:t>ommunicatin</w:t>
      </w:r>
      <w:r w:rsidR="007758A3">
        <w:t>g</w:t>
      </w:r>
      <w:r w:rsidRPr="00602650">
        <w:t xml:space="preserve"> with: </w:t>
      </w:r>
    </w:p>
    <w:p w14:paraId="0567ADC0" w14:textId="678B4CF1" w:rsidR="004F6299" w:rsidRPr="009A29D3" w:rsidRDefault="004F6299" w:rsidP="00E5180F">
      <w:pPr>
        <w:pStyle w:val="paragraph"/>
        <w:rPr>
          <w:bCs/>
          <w:iCs/>
          <w:szCs w:val="22"/>
        </w:rPr>
      </w:pPr>
      <w:r w:rsidRPr="00602650">
        <w:tab/>
        <w:t>(a)</w:t>
      </w:r>
      <w:r w:rsidRPr="00602650">
        <w:tab/>
      </w:r>
      <w:r w:rsidRPr="009A29D3">
        <w:rPr>
          <w:bCs/>
          <w:iCs/>
          <w:szCs w:val="22"/>
        </w:rPr>
        <w:t xml:space="preserve">a station on a space object which is authorised by a space </w:t>
      </w:r>
      <w:r w:rsidR="00A01679" w:rsidRPr="009A29D3">
        <w:rPr>
          <w:bCs/>
          <w:iCs/>
          <w:szCs w:val="22"/>
        </w:rPr>
        <w:t xml:space="preserve">licence </w:t>
      </w:r>
      <w:r w:rsidRPr="009A29D3">
        <w:rPr>
          <w:bCs/>
          <w:iCs/>
          <w:szCs w:val="22"/>
        </w:rPr>
        <w:t>or space receive licence; or</w:t>
      </w:r>
    </w:p>
    <w:p w14:paraId="75814436" w14:textId="5F8235B7" w:rsidR="004F6299" w:rsidRPr="009A29D3" w:rsidRDefault="004F6299" w:rsidP="00E5180F">
      <w:pPr>
        <w:pStyle w:val="paragraph"/>
        <w:rPr>
          <w:bCs/>
          <w:iCs/>
          <w:szCs w:val="22"/>
        </w:rPr>
      </w:pPr>
      <w:r w:rsidRPr="009A29D3">
        <w:rPr>
          <w:bCs/>
          <w:iCs/>
          <w:szCs w:val="22"/>
        </w:rPr>
        <w:tab/>
        <w:t>(b)</w:t>
      </w:r>
      <w:r w:rsidRPr="009A29D3">
        <w:rPr>
          <w:bCs/>
          <w:iCs/>
          <w:szCs w:val="22"/>
        </w:rPr>
        <w:tab/>
        <w:t>another station</w:t>
      </w:r>
      <w:r w:rsidR="0053053B">
        <w:rPr>
          <w:bCs/>
          <w:iCs/>
          <w:szCs w:val="22"/>
        </w:rPr>
        <w:t>,</w:t>
      </w:r>
      <w:r w:rsidRPr="009A29D3">
        <w:rPr>
          <w:bCs/>
          <w:iCs/>
          <w:szCs w:val="22"/>
        </w:rPr>
        <w:t xml:space="preserve"> through a station on a space object which is authorised by a space </w:t>
      </w:r>
      <w:r w:rsidR="00A01679" w:rsidRPr="009A29D3">
        <w:rPr>
          <w:bCs/>
          <w:iCs/>
          <w:szCs w:val="22"/>
        </w:rPr>
        <w:t xml:space="preserve">licence </w:t>
      </w:r>
      <w:r w:rsidRPr="009A29D3">
        <w:rPr>
          <w:bCs/>
          <w:iCs/>
          <w:szCs w:val="22"/>
        </w:rPr>
        <w:t>or space receive licence;</w:t>
      </w:r>
    </w:p>
    <w:p w14:paraId="7B22C4EC" w14:textId="5F83E365" w:rsidR="004F6299" w:rsidRPr="00602650" w:rsidRDefault="009A29D3" w:rsidP="009A29D3">
      <w:pPr>
        <w:pStyle w:val="subsection"/>
        <w:spacing w:before="60"/>
      </w:pPr>
      <w:r>
        <w:tab/>
      </w:r>
      <w:r>
        <w:tab/>
      </w:r>
      <w:r w:rsidR="004F6299" w:rsidRPr="00602650">
        <w:t xml:space="preserve">subject to </w:t>
      </w:r>
      <w:r w:rsidR="0053053B">
        <w:t xml:space="preserve">subsection (2) and to </w:t>
      </w:r>
      <w:r w:rsidR="004F6299" w:rsidRPr="00602650">
        <w:t xml:space="preserve">the conditions set out in sections </w:t>
      </w:r>
      <w:r w:rsidR="0094514B">
        <w:t>8</w:t>
      </w:r>
      <w:r w:rsidR="004F6299" w:rsidRPr="00602650">
        <w:t xml:space="preserve">, </w:t>
      </w:r>
      <w:r w:rsidR="0094514B">
        <w:t>9</w:t>
      </w:r>
      <w:r w:rsidR="00321ABD">
        <w:t xml:space="preserve">, </w:t>
      </w:r>
      <w:r w:rsidR="0094514B">
        <w:t>10</w:t>
      </w:r>
      <w:r w:rsidR="00321ABD">
        <w:t xml:space="preserve"> and 11</w:t>
      </w:r>
      <w:r w:rsidR="004F6299" w:rsidRPr="00602650">
        <w:t>.</w:t>
      </w:r>
    </w:p>
    <w:p w14:paraId="7FE994EE" w14:textId="78BA2CFD" w:rsidR="004F6299" w:rsidRPr="00602650" w:rsidRDefault="004F6299" w:rsidP="00275ACF">
      <w:pPr>
        <w:pStyle w:val="subsection"/>
      </w:pPr>
      <w:r w:rsidRPr="00602650">
        <w:tab/>
        <w:t>(2)</w:t>
      </w:r>
      <w:r w:rsidRPr="00602650">
        <w:tab/>
        <w:t xml:space="preserve">This </w:t>
      </w:r>
      <w:r w:rsidR="00AE6584">
        <w:t>instrument</w:t>
      </w:r>
      <w:r w:rsidRPr="00602650">
        <w:t xml:space="preserve"> applies to all stations except:</w:t>
      </w:r>
    </w:p>
    <w:p w14:paraId="3F0370C3" w14:textId="1611F107" w:rsidR="004F6299" w:rsidRPr="009A29D3" w:rsidRDefault="004F6299" w:rsidP="00275ACF">
      <w:pPr>
        <w:pStyle w:val="paragraph"/>
        <w:rPr>
          <w:bCs/>
          <w:iCs/>
          <w:szCs w:val="22"/>
        </w:rPr>
      </w:pPr>
      <w:r w:rsidRPr="009A29D3">
        <w:rPr>
          <w:bCs/>
          <w:iCs/>
          <w:szCs w:val="22"/>
        </w:rPr>
        <w:tab/>
        <w:t>(a)</w:t>
      </w:r>
      <w:r w:rsidRPr="009A29D3">
        <w:rPr>
          <w:bCs/>
          <w:iCs/>
          <w:szCs w:val="22"/>
        </w:rPr>
        <w:tab/>
        <w:t>stations located on a space object; and</w:t>
      </w:r>
    </w:p>
    <w:p w14:paraId="0209BDE3" w14:textId="10D93FB1" w:rsidR="004F6299" w:rsidRPr="009A29D3" w:rsidRDefault="004F6299" w:rsidP="00275ACF">
      <w:pPr>
        <w:pStyle w:val="paragraph"/>
        <w:rPr>
          <w:bCs/>
          <w:iCs/>
          <w:szCs w:val="22"/>
        </w:rPr>
      </w:pPr>
      <w:r w:rsidRPr="009A29D3">
        <w:rPr>
          <w:bCs/>
          <w:iCs/>
          <w:szCs w:val="22"/>
        </w:rPr>
        <w:tab/>
        <w:t>(b)</w:t>
      </w:r>
      <w:r w:rsidRPr="009A29D3">
        <w:rPr>
          <w:bCs/>
          <w:iCs/>
          <w:szCs w:val="22"/>
        </w:rPr>
        <w:tab/>
        <w:t xml:space="preserve">stations authorised by an apparatus licence to operate for a purpose that is substantially the same as the purpose </w:t>
      </w:r>
      <w:r w:rsidR="00A93578">
        <w:rPr>
          <w:bCs/>
          <w:iCs/>
          <w:szCs w:val="22"/>
        </w:rPr>
        <w:t>set out in paragraphs (1)(a)</w:t>
      </w:r>
      <w:r w:rsidR="002B583D">
        <w:rPr>
          <w:bCs/>
          <w:iCs/>
          <w:szCs w:val="22"/>
        </w:rPr>
        <w:t xml:space="preserve"> or (b)</w:t>
      </w:r>
      <w:r w:rsidRPr="009A29D3">
        <w:rPr>
          <w:bCs/>
          <w:iCs/>
          <w:szCs w:val="22"/>
        </w:rPr>
        <w:t>.</w:t>
      </w:r>
    </w:p>
    <w:p w14:paraId="4AC66729" w14:textId="30B47C27" w:rsidR="004F6299" w:rsidRPr="002F688C" w:rsidRDefault="00817CBD" w:rsidP="00081716">
      <w:pPr>
        <w:pStyle w:val="ActHead5"/>
      </w:pPr>
      <w:r w:rsidRPr="00564D1C">
        <w:rPr>
          <w:rStyle w:val="CharSectno"/>
        </w:rPr>
        <w:t>8</w:t>
      </w:r>
      <w:r w:rsidR="0040785C">
        <w:rPr>
          <w:rStyle w:val="CharSectno"/>
        </w:rPr>
        <w:t xml:space="preserve">  </w:t>
      </w:r>
      <w:r w:rsidR="004F6299" w:rsidRPr="002F688C">
        <w:t>Authorised frequencies</w:t>
      </w:r>
    </w:p>
    <w:p w14:paraId="3870647E" w14:textId="55A6BAAC" w:rsidR="004F6299" w:rsidRPr="00602650" w:rsidRDefault="004F6299" w:rsidP="00F103F6">
      <w:pPr>
        <w:pStyle w:val="subsection"/>
      </w:pPr>
      <w:r w:rsidRPr="00602650">
        <w:tab/>
      </w:r>
      <w:r w:rsidRPr="00602650">
        <w:tab/>
        <w:t xml:space="preserve">This </w:t>
      </w:r>
      <w:r w:rsidR="00817CBD">
        <w:t>instrument</w:t>
      </w:r>
      <w:r w:rsidRPr="00602650">
        <w:t xml:space="preserve"> authorises transmission or reception of radio emissions by a station</w:t>
      </w:r>
      <w:r w:rsidR="00270BDA">
        <w:t xml:space="preserve"> </w:t>
      </w:r>
      <w:r w:rsidRPr="00602650">
        <w:t xml:space="preserve">in the following frequency </w:t>
      </w:r>
      <w:r w:rsidR="00B744AE">
        <w:t>bands</w:t>
      </w:r>
      <w:r w:rsidR="00B744AE" w:rsidRPr="00602650">
        <w:t xml:space="preserve"> </w:t>
      </w:r>
      <w:r w:rsidRPr="00602650">
        <w:t>only:</w:t>
      </w:r>
    </w:p>
    <w:p w14:paraId="4ACC0306" w14:textId="77777777" w:rsidR="004F6299" w:rsidRPr="00602650" w:rsidRDefault="004F6299" w:rsidP="00F103F6">
      <w:pPr>
        <w:pStyle w:val="paragraph"/>
      </w:pPr>
      <w:r w:rsidRPr="00602650">
        <w:tab/>
        <w:t>(a)</w:t>
      </w:r>
      <w:r w:rsidRPr="00602650">
        <w:tab/>
        <w:t>for transmission:</w:t>
      </w:r>
    </w:p>
    <w:p w14:paraId="0F9CE170" w14:textId="7E7CE804" w:rsidR="004F6299" w:rsidRPr="007D71D3" w:rsidRDefault="00B92F09" w:rsidP="00843517">
      <w:pPr>
        <w:pStyle w:val="P1"/>
        <w:tabs>
          <w:tab w:val="clear" w:pos="1191"/>
          <w:tab w:val="left" w:pos="2268"/>
        </w:tabs>
        <w:spacing w:before="40" w:line="240" w:lineRule="auto"/>
        <w:ind w:left="1701" w:firstLine="0"/>
        <w:jc w:val="left"/>
        <w:rPr>
          <w:sz w:val="22"/>
          <w:szCs w:val="22"/>
        </w:rPr>
      </w:pPr>
      <w:r w:rsidRPr="007D71D3">
        <w:rPr>
          <w:sz w:val="22"/>
          <w:szCs w:val="22"/>
        </w:rPr>
        <w:t>(i)</w:t>
      </w:r>
      <w:r w:rsidR="00AE6DED" w:rsidRPr="007D71D3">
        <w:rPr>
          <w:sz w:val="22"/>
          <w:szCs w:val="22"/>
        </w:rPr>
        <w:tab/>
      </w:r>
      <w:r w:rsidR="004F6299" w:rsidRPr="007D71D3">
        <w:rPr>
          <w:sz w:val="22"/>
          <w:szCs w:val="22"/>
        </w:rPr>
        <w:t>148</w:t>
      </w:r>
      <w:r w:rsidR="00B744AE">
        <w:rPr>
          <w:sz w:val="22"/>
          <w:szCs w:val="22"/>
        </w:rPr>
        <w:t xml:space="preserve"> MHz</w:t>
      </w:r>
      <w:r w:rsidR="004F6299" w:rsidRPr="007D71D3">
        <w:rPr>
          <w:sz w:val="22"/>
          <w:szCs w:val="22"/>
        </w:rPr>
        <w:t xml:space="preserve"> to 150.05 MHz; </w:t>
      </w:r>
    </w:p>
    <w:p w14:paraId="64775B83" w14:textId="37341C02" w:rsidR="00A52ADD" w:rsidRPr="007D71D3" w:rsidRDefault="00A52ADD" w:rsidP="00843517">
      <w:pPr>
        <w:pStyle w:val="P1"/>
        <w:tabs>
          <w:tab w:val="clear" w:pos="1191"/>
          <w:tab w:val="left" w:pos="2268"/>
        </w:tabs>
        <w:spacing w:before="40" w:line="240" w:lineRule="auto"/>
        <w:ind w:left="1701" w:firstLine="0"/>
        <w:jc w:val="left"/>
        <w:rPr>
          <w:sz w:val="22"/>
          <w:szCs w:val="22"/>
        </w:rPr>
      </w:pPr>
      <w:r w:rsidRPr="007D71D3">
        <w:rPr>
          <w:sz w:val="22"/>
          <w:szCs w:val="22"/>
        </w:rPr>
        <w:t>(i</w:t>
      </w:r>
      <w:r w:rsidR="00B92F09" w:rsidRPr="007D71D3">
        <w:rPr>
          <w:sz w:val="22"/>
          <w:szCs w:val="22"/>
        </w:rPr>
        <w:t>i</w:t>
      </w:r>
      <w:r w:rsidRPr="007D71D3">
        <w:rPr>
          <w:sz w:val="22"/>
          <w:szCs w:val="22"/>
        </w:rPr>
        <w:t>)</w:t>
      </w:r>
      <w:r w:rsidRPr="007D71D3">
        <w:rPr>
          <w:sz w:val="22"/>
          <w:szCs w:val="22"/>
        </w:rPr>
        <w:tab/>
        <w:t xml:space="preserve">399.9 </w:t>
      </w:r>
      <w:r w:rsidR="00B744AE">
        <w:rPr>
          <w:sz w:val="22"/>
          <w:szCs w:val="22"/>
        </w:rPr>
        <w:t xml:space="preserve">MHz </w:t>
      </w:r>
      <w:r w:rsidRPr="007D71D3">
        <w:rPr>
          <w:sz w:val="22"/>
          <w:szCs w:val="22"/>
        </w:rPr>
        <w:t xml:space="preserve">to 400.05 MHz; </w:t>
      </w:r>
    </w:p>
    <w:p w14:paraId="1420AF5B" w14:textId="058973A1" w:rsidR="004F6299" w:rsidRPr="007D71D3" w:rsidRDefault="00B92F09" w:rsidP="00843517">
      <w:pPr>
        <w:pStyle w:val="P1"/>
        <w:tabs>
          <w:tab w:val="clear" w:pos="1191"/>
          <w:tab w:val="left" w:pos="2268"/>
        </w:tabs>
        <w:spacing w:before="40" w:line="240" w:lineRule="auto"/>
        <w:ind w:left="1701" w:firstLine="0"/>
        <w:jc w:val="left"/>
        <w:rPr>
          <w:sz w:val="22"/>
          <w:szCs w:val="22"/>
        </w:rPr>
      </w:pPr>
      <w:r w:rsidRPr="007D71D3">
        <w:rPr>
          <w:sz w:val="22"/>
          <w:szCs w:val="22"/>
        </w:rPr>
        <w:t>(iii)</w:t>
      </w:r>
      <w:r w:rsidR="00AE6DED" w:rsidRPr="007D71D3">
        <w:rPr>
          <w:sz w:val="22"/>
          <w:szCs w:val="22"/>
        </w:rPr>
        <w:tab/>
      </w:r>
      <w:r w:rsidR="004F6299" w:rsidRPr="007D71D3">
        <w:rPr>
          <w:sz w:val="22"/>
          <w:szCs w:val="22"/>
        </w:rPr>
        <w:t xml:space="preserve">1610 </w:t>
      </w:r>
      <w:r w:rsidR="00B744AE">
        <w:rPr>
          <w:sz w:val="22"/>
          <w:szCs w:val="22"/>
        </w:rPr>
        <w:t xml:space="preserve">MHz </w:t>
      </w:r>
      <w:r w:rsidR="004F6299" w:rsidRPr="007D71D3">
        <w:rPr>
          <w:sz w:val="22"/>
          <w:szCs w:val="22"/>
        </w:rPr>
        <w:t xml:space="preserve">to 1660.5 MHz; </w:t>
      </w:r>
    </w:p>
    <w:p w14:paraId="1FDCCA74" w14:textId="3C77E883" w:rsidR="0078785F" w:rsidRPr="007D71D3" w:rsidRDefault="0078785F" w:rsidP="00843517">
      <w:pPr>
        <w:pStyle w:val="P1"/>
        <w:tabs>
          <w:tab w:val="clear" w:pos="1191"/>
          <w:tab w:val="left" w:pos="2268"/>
        </w:tabs>
        <w:spacing w:before="40" w:line="240" w:lineRule="auto"/>
        <w:ind w:left="1701" w:firstLine="0"/>
        <w:jc w:val="left"/>
        <w:rPr>
          <w:sz w:val="22"/>
          <w:szCs w:val="22"/>
        </w:rPr>
      </w:pPr>
      <w:r w:rsidRPr="007D71D3">
        <w:rPr>
          <w:sz w:val="22"/>
          <w:szCs w:val="22"/>
        </w:rPr>
        <w:t>(i</w:t>
      </w:r>
      <w:r w:rsidR="00BA1CBB" w:rsidRPr="007D71D3">
        <w:rPr>
          <w:sz w:val="22"/>
          <w:szCs w:val="22"/>
        </w:rPr>
        <w:t>v</w:t>
      </w:r>
      <w:r w:rsidRPr="007D71D3">
        <w:rPr>
          <w:sz w:val="22"/>
          <w:szCs w:val="22"/>
        </w:rPr>
        <w:t>)</w:t>
      </w:r>
      <w:r w:rsidRPr="007D71D3">
        <w:rPr>
          <w:sz w:val="22"/>
          <w:szCs w:val="22"/>
        </w:rPr>
        <w:tab/>
        <w:t xml:space="preserve">1668 </w:t>
      </w:r>
      <w:r w:rsidR="00B744AE">
        <w:rPr>
          <w:sz w:val="22"/>
          <w:szCs w:val="22"/>
        </w:rPr>
        <w:t xml:space="preserve">MHz </w:t>
      </w:r>
      <w:r w:rsidRPr="007D71D3">
        <w:rPr>
          <w:sz w:val="22"/>
          <w:szCs w:val="22"/>
        </w:rPr>
        <w:t xml:space="preserve">to 1675 MHz; </w:t>
      </w:r>
    </w:p>
    <w:p w14:paraId="086060A6" w14:textId="33DB750F" w:rsidR="00F734D5" w:rsidRPr="007D71D3" w:rsidRDefault="0078785F" w:rsidP="00843517">
      <w:pPr>
        <w:pStyle w:val="P1"/>
        <w:tabs>
          <w:tab w:val="clear" w:pos="1191"/>
          <w:tab w:val="left" w:pos="2268"/>
        </w:tabs>
        <w:spacing w:before="40" w:line="240" w:lineRule="auto"/>
        <w:ind w:left="1701" w:firstLine="0"/>
        <w:jc w:val="left"/>
        <w:rPr>
          <w:sz w:val="22"/>
          <w:szCs w:val="22"/>
        </w:rPr>
      </w:pPr>
      <w:r w:rsidRPr="007D71D3">
        <w:rPr>
          <w:sz w:val="22"/>
          <w:szCs w:val="22"/>
        </w:rPr>
        <w:t>(</w:t>
      </w:r>
      <w:r w:rsidR="00BA1CBB" w:rsidRPr="007D71D3">
        <w:rPr>
          <w:sz w:val="22"/>
          <w:szCs w:val="22"/>
        </w:rPr>
        <w:t>v</w:t>
      </w:r>
      <w:r w:rsidRPr="007D71D3">
        <w:rPr>
          <w:sz w:val="22"/>
          <w:szCs w:val="22"/>
        </w:rPr>
        <w:t>)</w:t>
      </w:r>
      <w:r w:rsidRPr="007D71D3">
        <w:rPr>
          <w:sz w:val="22"/>
          <w:szCs w:val="22"/>
        </w:rPr>
        <w:tab/>
        <w:t xml:space="preserve">2005 </w:t>
      </w:r>
      <w:r w:rsidR="00B744AE">
        <w:rPr>
          <w:sz w:val="22"/>
          <w:szCs w:val="22"/>
        </w:rPr>
        <w:t xml:space="preserve">MHz </w:t>
      </w:r>
      <w:r w:rsidRPr="007D71D3">
        <w:rPr>
          <w:sz w:val="22"/>
          <w:szCs w:val="22"/>
        </w:rPr>
        <w:t xml:space="preserve">to 2010 MHz; </w:t>
      </w:r>
    </w:p>
    <w:p w14:paraId="48AE8F9A" w14:textId="1FDC470B" w:rsidR="004F6299" w:rsidRPr="007D71D3" w:rsidRDefault="00BA1CBB" w:rsidP="00843517">
      <w:pPr>
        <w:pStyle w:val="P1"/>
        <w:tabs>
          <w:tab w:val="clear" w:pos="1191"/>
          <w:tab w:val="left" w:pos="2268"/>
        </w:tabs>
        <w:spacing w:before="40" w:line="240" w:lineRule="auto"/>
        <w:ind w:left="1701" w:firstLine="0"/>
        <w:jc w:val="left"/>
        <w:rPr>
          <w:sz w:val="22"/>
          <w:szCs w:val="22"/>
        </w:rPr>
      </w:pPr>
      <w:r w:rsidRPr="007D71D3">
        <w:rPr>
          <w:sz w:val="22"/>
          <w:szCs w:val="22"/>
        </w:rPr>
        <w:t>(vi)</w:t>
      </w:r>
      <w:r w:rsidRPr="007D71D3">
        <w:rPr>
          <w:sz w:val="22"/>
          <w:szCs w:val="22"/>
        </w:rPr>
        <w:tab/>
      </w:r>
      <w:r w:rsidR="004F6299" w:rsidRPr="007D71D3">
        <w:rPr>
          <w:sz w:val="22"/>
          <w:szCs w:val="22"/>
        </w:rPr>
        <w:t xml:space="preserve">14 </w:t>
      </w:r>
      <w:r w:rsidR="0082499B">
        <w:rPr>
          <w:sz w:val="22"/>
          <w:szCs w:val="22"/>
        </w:rPr>
        <w:t>G</w:t>
      </w:r>
      <w:r w:rsidR="00B744AE">
        <w:rPr>
          <w:sz w:val="22"/>
          <w:szCs w:val="22"/>
        </w:rPr>
        <w:t xml:space="preserve">Hz </w:t>
      </w:r>
      <w:r w:rsidR="004F6299" w:rsidRPr="007D71D3">
        <w:rPr>
          <w:sz w:val="22"/>
          <w:szCs w:val="22"/>
        </w:rPr>
        <w:t xml:space="preserve">to 14.5 GHz; </w:t>
      </w:r>
    </w:p>
    <w:p w14:paraId="40E4272E" w14:textId="40DC5BE0" w:rsidR="00373672" w:rsidRPr="007D71D3" w:rsidRDefault="00BA1CBB" w:rsidP="00843517">
      <w:pPr>
        <w:pStyle w:val="P1"/>
        <w:tabs>
          <w:tab w:val="clear" w:pos="1191"/>
          <w:tab w:val="left" w:pos="2268"/>
        </w:tabs>
        <w:spacing w:before="40" w:line="240" w:lineRule="auto"/>
        <w:ind w:left="1701" w:firstLine="0"/>
        <w:jc w:val="left"/>
        <w:rPr>
          <w:sz w:val="22"/>
          <w:szCs w:val="22"/>
        </w:rPr>
      </w:pPr>
      <w:r w:rsidRPr="007D71D3">
        <w:rPr>
          <w:sz w:val="22"/>
          <w:szCs w:val="22"/>
        </w:rPr>
        <w:t>(vii)</w:t>
      </w:r>
      <w:r w:rsidRPr="007D71D3">
        <w:rPr>
          <w:sz w:val="22"/>
          <w:szCs w:val="22"/>
        </w:rPr>
        <w:tab/>
      </w:r>
      <w:r w:rsidR="006D0331" w:rsidRPr="007D71D3">
        <w:rPr>
          <w:sz w:val="22"/>
          <w:szCs w:val="22"/>
        </w:rPr>
        <w:t>2</w:t>
      </w:r>
      <w:r w:rsidR="00AF082D" w:rsidRPr="007D71D3">
        <w:rPr>
          <w:sz w:val="22"/>
          <w:szCs w:val="22"/>
        </w:rPr>
        <w:t>7.5</w:t>
      </w:r>
      <w:r w:rsidR="006D0331" w:rsidRPr="007D71D3">
        <w:rPr>
          <w:sz w:val="22"/>
          <w:szCs w:val="22"/>
        </w:rPr>
        <w:t xml:space="preserve"> </w:t>
      </w:r>
      <w:r w:rsidR="005854FA">
        <w:rPr>
          <w:sz w:val="22"/>
          <w:szCs w:val="22"/>
        </w:rPr>
        <w:t xml:space="preserve">GHz </w:t>
      </w:r>
      <w:r w:rsidR="006D0331" w:rsidRPr="007D71D3">
        <w:rPr>
          <w:sz w:val="22"/>
          <w:szCs w:val="22"/>
        </w:rPr>
        <w:t>to 30 GHz</w:t>
      </w:r>
      <w:r w:rsidR="00B744AE">
        <w:rPr>
          <w:sz w:val="22"/>
          <w:szCs w:val="22"/>
        </w:rPr>
        <w:t>;</w:t>
      </w:r>
    </w:p>
    <w:p w14:paraId="396304C8" w14:textId="77777777" w:rsidR="004F6299" w:rsidRPr="00602650" w:rsidRDefault="004F6299" w:rsidP="00F103F6">
      <w:pPr>
        <w:pStyle w:val="paragraph"/>
      </w:pPr>
      <w:r w:rsidRPr="00602650">
        <w:tab/>
        <w:t>(b)</w:t>
      </w:r>
      <w:r w:rsidRPr="00602650">
        <w:tab/>
        <w:t>for reception:</w:t>
      </w:r>
    </w:p>
    <w:p w14:paraId="26BB2D06" w14:textId="2C021E69" w:rsidR="004F6299" w:rsidRPr="007D71D3" w:rsidRDefault="006A2615" w:rsidP="00DB4A47">
      <w:pPr>
        <w:pStyle w:val="P1"/>
        <w:tabs>
          <w:tab w:val="clear" w:pos="1191"/>
          <w:tab w:val="left" w:pos="2268"/>
        </w:tabs>
        <w:spacing w:before="40" w:line="240" w:lineRule="auto"/>
        <w:ind w:left="1701" w:firstLine="0"/>
        <w:jc w:val="left"/>
        <w:rPr>
          <w:sz w:val="22"/>
          <w:szCs w:val="22"/>
        </w:rPr>
      </w:pPr>
      <w:r w:rsidRPr="007D71D3">
        <w:rPr>
          <w:sz w:val="22"/>
          <w:szCs w:val="22"/>
        </w:rPr>
        <w:t>(i)</w:t>
      </w:r>
      <w:r w:rsidRPr="007D71D3">
        <w:rPr>
          <w:sz w:val="22"/>
          <w:szCs w:val="22"/>
        </w:rPr>
        <w:tab/>
      </w:r>
      <w:r w:rsidR="004F6299" w:rsidRPr="007D71D3">
        <w:rPr>
          <w:sz w:val="22"/>
          <w:szCs w:val="22"/>
        </w:rPr>
        <w:t>137</w:t>
      </w:r>
      <w:r w:rsidR="00B744AE">
        <w:rPr>
          <w:sz w:val="22"/>
          <w:szCs w:val="22"/>
        </w:rPr>
        <w:t xml:space="preserve"> MHz</w:t>
      </w:r>
      <w:r w:rsidR="004F6299" w:rsidRPr="007D71D3">
        <w:rPr>
          <w:sz w:val="22"/>
          <w:szCs w:val="22"/>
        </w:rPr>
        <w:t xml:space="preserve"> to 138 MHz; </w:t>
      </w:r>
    </w:p>
    <w:p w14:paraId="75BAF3C7" w14:textId="51465082"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(ii)</w:t>
      </w:r>
      <w:r w:rsidRPr="007D71D3">
        <w:rPr>
          <w:sz w:val="22"/>
          <w:szCs w:val="22"/>
        </w:rPr>
        <w:tab/>
      </w:r>
      <w:r w:rsidR="004F6299" w:rsidRPr="007D71D3">
        <w:rPr>
          <w:sz w:val="22"/>
          <w:szCs w:val="22"/>
        </w:rPr>
        <w:t>400.05</w:t>
      </w:r>
      <w:r w:rsidR="00B744AE">
        <w:rPr>
          <w:sz w:val="22"/>
          <w:szCs w:val="22"/>
        </w:rPr>
        <w:t xml:space="preserve"> MHz</w:t>
      </w:r>
      <w:r w:rsidR="004F6299" w:rsidRPr="007D71D3">
        <w:rPr>
          <w:sz w:val="22"/>
          <w:szCs w:val="22"/>
        </w:rPr>
        <w:t xml:space="preserve"> to 400.15 MHz; </w:t>
      </w:r>
    </w:p>
    <w:p w14:paraId="202706C4" w14:textId="0CACE4C0"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(iii)</w:t>
      </w:r>
      <w:r w:rsidRPr="007D71D3">
        <w:rPr>
          <w:sz w:val="22"/>
          <w:szCs w:val="22"/>
        </w:rPr>
        <w:tab/>
      </w:r>
      <w:r w:rsidR="004F6299" w:rsidRPr="007D71D3">
        <w:rPr>
          <w:sz w:val="22"/>
          <w:szCs w:val="22"/>
        </w:rPr>
        <w:t xml:space="preserve">400.15 </w:t>
      </w:r>
      <w:r w:rsidR="00B744AE">
        <w:rPr>
          <w:sz w:val="22"/>
          <w:szCs w:val="22"/>
        </w:rPr>
        <w:t xml:space="preserve">MHz </w:t>
      </w:r>
      <w:r w:rsidR="004F6299" w:rsidRPr="007D71D3">
        <w:rPr>
          <w:sz w:val="22"/>
          <w:szCs w:val="22"/>
        </w:rPr>
        <w:t xml:space="preserve">to 401 MHz;  </w:t>
      </w:r>
    </w:p>
    <w:p w14:paraId="143B4F38" w14:textId="14007AC2"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(iv)</w:t>
      </w:r>
      <w:r w:rsidRPr="007D71D3">
        <w:rPr>
          <w:sz w:val="22"/>
          <w:szCs w:val="22"/>
        </w:rPr>
        <w:tab/>
      </w:r>
      <w:r w:rsidR="004F6299" w:rsidRPr="007D71D3">
        <w:rPr>
          <w:sz w:val="22"/>
          <w:szCs w:val="22"/>
        </w:rPr>
        <w:t>15</w:t>
      </w:r>
      <w:r w:rsidR="00974960" w:rsidRPr="007D71D3">
        <w:rPr>
          <w:sz w:val="22"/>
          <w:szCs w:val="22"/>
        </w:rPr>
        <w:t>18</w:t>
      </w:r>
      <w:r w:rsidR="004F6299" w:rsidRPr="007D71D3">
        <w:rPr>
          <w:sz w:val="22"/>
          <w:szCs w:val="22"/>
        </w:rPr>
        <w:t xml:space="preserve"> </w:t>
      </w:r>
      <w:r w:rsidR="00B744AE">
        <w:rPr>
          <w:sz w:val="22"/>
          <w:szCs w:val="22"/>
        </w:rPr>
        <w:t xml:space="preserve">MHz </w:t>
      </w:r>
      <w:r w:rsidR="004F6299" w:rsidRPr="007D71D3">
        <w:rPr>
          <w:sz w:val="22"/>
          <w:szCs w:val="22"/>
        </w:rPr>
        <w:t xml:space="preserve">to 1559 MHz; </w:t>
      </w:r>
    </w:p>
    <w:p w14:paraId="425ACBCB" w14:textId="781E5C9D"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(v)</w:t>
      </w:r>
      <w:r w:rsidRPr="007D71D3">
        <w:rPr>
          <w:sz w:val="22"/>
          <w:szCs w:val="22"/>
        </w:rPr>
        <w:tab/>
      </w:r>
      <w:r w:rsidR="004F6299" w:rsidRPr="007D71D3">
        <w:rPr>
          <w:sz w:val="22"/>
          <w:szCs w:val="22"/>
        </w:rPr>
        <w:t xml:space="preserve">1613.8 </w:t>
      </w:r>
      <w:r w:rsidR="00B744AE">
        <w:rPr>
          <w:sz w:val="22"/>
          <w:szCs w:val="22"/>
        </w:rPr>
        <w:t xml:space="preserve">MHz </w:t>
      </w:r>
      <w:r w:rsidR="004F6299" w:rsidRPr="007D71D3">
        <w:rPr>
          <w:sz w:val="22"/>
          <w:szCs w:val="22"/>
        </w:rPr>
        <w:t xml:space="preserve">to 1626.5 MHz; </w:t>
      </w:r>
    </w:p>
    <w:p w14:paraId="37543CC5" w14:textId="6D25E3DD" w:rsidR="00AF082D" w:rsidRPr="007D71D3" w:rsidRDefault="00AF082D" w:rsidP="00DB4A47">
      <w:pPr>
        <w:pStyle w:val="P1"/>
        <w:tabs>
          <w:tab w:val="clear" w:pos="1191"/>
          <w:tab w:val="left" w:pos="2268"/>
        </w:tabs>
        <w:spacing w:before="40" w:line="240" w:lineRule="auto"/>
        <w:ind w:left="1701" w:firstLine="0"/>
        <w:jc w:val="left"/>
        <w:rPr>
          <w:sz w:val="22"/>
          <w:szCs w:val="22"/>
        </w:rPr>
      </w:pPr>
      <w:r w:rsidRPr="007D71D3">
        <w:rPr>
          <w:sz w:val="22"/>
          <w:szCs w:val="22"/>
        </w:rPr>
        <w:t>(v</w:t>
      </w:r>
      <w:r w:rsidR="00282D72" w:rsidRPr="007D71D3">
        <w:rPr>
          <w:sz w:val="22"/>
          <w:szCs w:val="22"/>
        </w:rPr>
        <w:t>i</w:t>
      </w:r>
      <w:r w:rsidRPr="007D71D3">
        <w:rPr>
          <w:sz w:val="22"/>
          <w:szCs w:val="22"/>
        </w:rPr>
        <w:t>)</w:t>
      </w:r>
      <w:r w:rsidRPr="007D71D3">
        <w:rPr>
          <w:sz w:val="22"/>
          <w:szCs w:val="22"/>
        </w:rPr>
        <w:tab/>
        <w:t xml:space="preserve">2195 </w:t>
      </w:r>
      <w:r w:rsidR="00B744AE">
        <w:rPr>
          <w:sz w:val="22"/>
          <w:szCs w:val="22"/>
        </w:rPr>
        <w:t xml:space="preserve">MHz </w:t>
      </w:r>
      <w:r w:rsidRPr="007D71D3">
        <w:rPr>
          <w:sz w:val="22"/>
          <w:szCs w:val="22"/>
        </w:rPr>
        <w:t xml:space="preserve">to 2200 MHz; </w:t>
      </w:r>
    </w:p>
    <w:p w14:paraId="30490A48" w14:textId="06904923"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(vii)</w:t>
      </w:r>
      <w:r w:rsidRPr="007D71D3">
        <w:rPr>
          <w:sz w:val="22"/>
          <w:szCs w:val="22"/>
        </w:rPr>
        <w:tab/>
      </w:r>
      <w:r w:rsidR="004F6299" w:rsidRPr="007D71D3">
        <w:rPr>
          <w:sz w:val="22"/>
          <w:szCs w:val="22"/>
        </w:rPr>
        <w:t xml:space="preserve">2483.5 </w:t>
      </w:r>
      <w:r w:rsidR="00B744AE">
        <w:rPr>
          <w:sz w:val="22"/>
          <w:szCs w:val="22"/>
        </w:rPr>
        <w:t xml:space="preserve">MHz </w:t>
      </w:r>
      <w:r w:rsidR="004F6299" w:rsidRPr="007D71D3">
        <w:rPr>
          <w:sz w:val="22"/>
          <w:szCs w:val="22"/>
        </w:rPr>
        <w:t xml:space="preserve">to 2500 MHz; </w:t>
      </w:r>
    </w:p>
    <w:p w14:paraId="7D1C3655" w14:textId="3BDC7D69" w:rsidR="004F6299"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(viii)</w:t>
      </w:r>
      <w:r w:rsidRPr="007D71D3">
        <w:rPr>
          <w:sz w:val="22"/>
          <w:szCs w:val="22"/>
        </w:rPr>
        <w:tab/>
      </w:r>
      <w:r w:rsidR="008F3755" w:rsidRPr="007D71D3">
        <w:rPr>
          <w:sz w:val="22"/>
          <w:szCs w:val="22"/>
        </w:rPr>
        <w:t xml:space="preserve">10.7 </w:t>
      </w:r>
      <w:r w:rsidR="005854FA">
        <w:rPr>
          <w:sz w:val="22"/>
          <w:szCs w:val="22"/>
        </w:rPr>
        <w:t>G</w:t>
      </w:r>
      <w:r w:rsidR="0091575E">
        <w:rPr>
          <w:sz w:val="22"/>
          <w:szCs w:val="22"/>
        </w:rPr>
        <w:t xml:space="preserve">Hz </w:t>
      </w:r>
      <w:r w:rsidR="008F3755" w:rsidRPr="007D71D3">
        <w:rPr>
          <w:sz w:val="22"/>
          <w:szCs w:val="22"/>
        </w:rPr>
        <w:t>to 12.75 GHz</w:t>
      </w:r>
      <w:r w:rsidR="004F6299" w:rsidRPr="007D71D3">
        <w:rPr>
          <w:sz w:val="22"/>
          <w:szCs w:val="22"/>
        </w:rPr>
        <w:t xml:space="preserve">; </w:t>
      </w:r>
    </w:p>
    <w:p w14:paraId="530EE411" w14:textId="5113D5B7" w:rsidR="008F3755" w:rsidRPr="007D71D3" w:rsidRDefault="00282D72" w:rsidP="00DB4A47">
      <w:pPr>
        <w:pStyle w:val="P1"/>
        <w:tabs>
          <w:tab w:val="clear" w:pos="1191"/>
          <w:tab w:val="left" w:pos="2268"/>
        </w:tabs>
        <w:spacing w:before="40" w:line="240" w:lineRule="auto"/>
        <w:ind w:left="1701" w:firstLine="0"/>
        <w:jc w:val="left"/>
        <w:rPr>
          <w:sz w:val="22"/>
          <w:szCs w:val="22"/>
        </w:rPr>
      </w:pPr>
      <w:r w:rsidRPr="007D71D3">
        <w:rPr>
          <w:sz w:val="22"/>
          <w:szCs w:val="22"/>
        </w:rPr>
        <w:t>(ix)</w:t>
      </w:r>
      <w:r w:rsidRPr="007D71D3">
        <w:rPr>
          <w:sz w:val="22"/>
          <w:szCs w:val="22"/>
        </w:rPr>
        <w:tab/>
      </w:r>
      <w:r w:rsidR="001911F3" w:rsidRPr="007D71D3">
        <w:rPr>
          <w:sz w:val="22"/>
          <w:szCs w:val="22"/>
        </w:rPr>
        <w:t xml:space="preserve">17.7 </w:t>
      </w:r>
      <w:r w:rsidR="005854FA">
        <w:rPr>
          <w:sz w:val="22"/>
          <w:szCs w:val="22"/>
        </w:rPr>
        <w:t>G</w:t>
      </w:r>
      <w:r w:rsidR="0091575E">
        <w:rPr>
          <w:sz w:val="22"/>
          <w:szCs w:val="22"/>
        </w:rPr>
        <w:t xml:space="preserve">Hz </w:t>
      </w:r>
      <w:r w:rsidR="001911F3" w:rsidRPr="007D71D3">
        <w:rPr>
          <w:sz w:val="22"/>
          <w:szCs w:val="22"/>
        </w:rPr>
        <w:t>to 20.2 GHz.</w:t>
      </w:r>
    </w:p>
    <w:p w14:paraId="50E9A2A7" w14:textId="617C3C1A" w:rsidR="004F6299" w:rsidRPr="002F688C" w:rsidRDefault="00472601" w:rsidP="00081716">
      <w:pPr>
        <w:pStyle w:val="ActHead5"/>
      </w:pPr>
      <w:r>
        <w:rPr>
          <w:rStyle w:val="CharSectno"/>
        </w:rPr>
        <w:lastRenderedPageBreak/>
        <w:t>9</w:t>
      </w:r>
      <w:r w:rsidR="0040785C">
        <w:rPr>
          <w:rStyle w:val="CharSectno"/>
        </w:rPr>
        <w:t xml:space="preserve">  </w:t>
      </w:r>
      <w:r w:rsidR="00DA0313" w:rsidRPr="002F688C">
        <w:t>Equipment rules</w:t>
      </w:r>
      <w:r w:rsidR="00E52E28">
        <w:t xml:space="preserve"> and standards</w:t>
      </w:r>
    </w:p>
    <w:p w14:paraId="1790D7A1" w14:textId="36A551DE" w:rsidR="00FA5290" w:rsidRPr="002F688C" w:rsidRDefault="00C2013C" w:rsidP="00C2013C">
      <w:pPr>
        <w:pStyle w:val="subsection"/>
      </w:pPr>
      <w:r>
        <w:tab/>
      </w:r>
      <w:r w:rsidR="00FA5290" w:rsidRPr="00330C34">
        <w:t>(1)</w:t>
      </w:r>
      <w:r w:rsidR="00FA5290" w:rsidRPr="00330C34">
        <w:tab/>
        <w:t xml:space="preserve">A person must not operate a station under this </w:t>
      </w:r>
      <w:r w:rsidR="00EE01A2" w:rsidRPr="00330C34">
        <w:t>instrument</w:t>
      </w:r>
      <w:r w:rsidR="00FA5290" w:rsidRPr="00330C34">
        <w:t xml:space="preserve"> unless the station complies with:</w:t>
      </w:r>
    </w:p>
    <w:p w14:paraId="2AACF017" w14:textId="5894724A" w:rsidR="00FA5290" w:rsidRPr="005B315F" w:rsidRDefault="005B315F" w:rsidP="005B315F">
      <w:pPr>
        <w:pStyle w:val="paragraph"/>
      </w:pPr>
      <w:r>
        <w:tab/>
      </w:r>
      <w:r w:rsidR="00FA5290" w:rsidRPr="005B315F">
        <w:t>(a)</w:t>
      </w:r>
      <w:r w:rsidR="001A2E15" w:rsidRPr="005B315F">
        <w:tab/>
      </w:r>
      <w:r w:rsidR="00FA5290" w:rsidRPr="005B315F">
        <w:t xml:space="preserve">if the device compliance day for the station occurs before </w:t>
      </w:r>
      <w:r w:rsidR="00C474D8">
        <w:t>17 June 2021</w:t>
      </w:r>
      <w:r w:rsidR="00FA5290" w:rsidRPr="005B315F">
        <w:t xml:space="preserve"> – any standard applicable to it, as in force on the device compliance day;</w:t>
      </w:r>
      <w:r w:rsidR="00FD4E88" w:rsidRPr="005B315F">
        <w:t xml:space="preserve"> or</w:t>
      </w:r>
    </w:p>
    <w:p w14:paraId="47836976" w14:textId="61833C66" w:rsidR="00FA5290" w:rsidRPr="005B315F" w:rsidRDefault="005B315F" w:rsidP="005B315F">
      <w:pPr>
        <w:pStyle w:val="paragraph"/>
      </w:pPr>
      <w:r>
        <w:tab/>
      </w:r>
      <w:r w:rsidR="00FA5290" w:rsidRPr="005B315F">
        <w:t>(b)</w:t>
      </w:r>
      <w:r w:rsidR="00FA5290" w:rsidRPr="005B315F">
        <w:tab/>
        <w:t xml:space="preserve">if the device compliance day for the station occurs on or after </w:t>
      </w:r>
      <w:r w:rsidR="00C474D8">
        <w:t>17 June 2021</w:t>
      </w:r>
      <w:r w:rsidR="00FA5290" w:rsidRPr="005B315F">
        <w:t xml:space="preserve"> – any equipment rules applicable to it, as in force on the device compliance day.</w:t>
      </w:r>
    </w:p>
    <w:p w14:paraId="4EF27ED6" w14:textId="0D5F50B9" w:rsidR="004F6299" w:rsidRPr="00ED0787" w:rsidRDefault="00C474D8" w:rsidP="00CE4803">
      <w:pPr>
        <w:pStyle w:val="notetext"/>
      </w:pPr>
      <w:r>
        <w:t>Note:</w:t>
      </w:r>
      <w:r>
        <w:tab/>
        <w:t xml:space="preserve">Part 1 of Schedule 4 to the </w:t>
      </w:r>
      <w:r>
        <w:rPr>
          <w:i/>
          <w:iCs/>
        </w:rPr>
        <w:t>Radiocommunications Legislation Amendment (Reform and Modernisation) Act 2020</w:t>
      </w:r>
      <w:r>
        <w:t xml:space="preserve"> commenced on 17 June 2021.</w:t>
      </w:r>
      <w:r w:rsidR="00BC426C" w:rsidRPr="00BC426C">
        <w:t xml:space="preserve"> </w:t>
      </w:r>
      <w:r w:rsidR="00BC426C">
        <w:t>That Part</w:t>
      </w:r>
      <w:r w:rsidR="00BC426C" w:rsidRPr="008B1542">
        <w:t xml:space="preserve"> replaces standards with equipment rules. See also item 42 of that Schedule.</w:t>
      </w:r>
      <w:r w:rsidR="004F6299" w:rsidRPr="002F688C">
        <w:tab/>
      </w:r>
    </w:p>
    <w:p w14:paraId="6A34EBD4" w14:textId="73CFADA1" w:rsidR="00DB7479" w:rsidRPr="00C2013C" w:rsidRDefault="00C2013C" w:rsidP="00C2013C">
      <w:pPr>
        <w:pStyle w:val="subsection"/>
      </w:pPr>
      <w:r>
        <w:tab/>
      </w:r>
      <w:r w:rsidR="00DB7479" w:rsidRPr="00C2013C">
        <w:t>(</w:t>
      </w:r>
      <w:r w:rsidR="00CE4803">
        <w:t>2</w:t>
      </w:r>
      <w:r w:rsidR="00DB7479" w:rsidRPr="00C2013C">
        <w:t>)</w:t>
      </w:r>
      <w:r w:rsidR="00DB7479" w:rsidRPr="00C2013C">
        <w:tab/>
        <w:t xml:space="preserve">A person must not operate a station, or a group of stations, to which this </w:t>
      </w:r>
      <w:r w:rsidR="00321B5B" w:rsidRPr="00C2013C">
        <w:t>instrument</w:t>
      </w:r>
      <w:r w:rsidR="00DB7479" w:rsidRPr="00C2013C">
        <w:t xml:space="preserve"> applies if the electromagnetic energy emitted by the station, or group of stations, exceeds the general public exposure limits specified in the ARPANSA </w:t>
      </w:r>
      <w:r w:rsidR="005D7276">
        <w:t>S</w:t>
      </w:r>
      <w:r w:rsidR="00DB7479" w:rsidRPr="00C2013C">
        <w:t>tandard in a place accessible by the public.</w:t>
      </w:r>
    </w:p>
    <w:p w14:paraId="0B48177C" w14:textId="12482894" w:rsidR="00DB7479" w:rsidRPr="00C2013C" w:rsidRDefault="002F688C" w:rsidP="002F688C">
      <w:pPr>
        <w:pStyle w:val="subsection"/>
        <w:rPr>
          <w:szCs w:val="22"/>
        </w:rPr>
      </w:pPr>
      <w:r>
        <w:rPr>
          <w:szCs w:val="22"/>
        </w:rPr>
        <w:tab/>
      </w:r>
      <w:r w:rsidR="00DB7479" w:rsidRPr="00C2013C">
        <w:rPr>
          <w:szCs w:val="22"/>
        </w:rPr>
        <w:t>(</w:t>
      </w:r>
      <w:r w:rsidR="00CE4803">
        <w:rPr>
          <w:szCs w:val="22"/>
        </w:rPr>
        <w:t>3</w:t>
      </w:r>
      <w:r w:rsidR="00DB7479" w:rsidRPr="00C2013C">
        <w:rPr>
          <w:szCs w:val="22"/>
        </w:rPr>
        <w:t>)</w:t>
      </w:r>
      <w:r w:rsidR="00DB7479" w:rsidRPr="00C2013C">
        <w:rPr>
          <w:szCs w:val="22"/>
        </w:rPr>
        <w:tab/>
        <w:t xml:space="preserve">In </w:t>
      </w:r>
      <w:r w:rsidR="00DB7479" w:rsidRPr="002F688C">
        <w:t>paragraph</w:t>
      </w:r>
      <w:r w:rsidR="00DB7479" w:rsidRPr="00C2013C">
        <w:rPr>
          <w:szCs w:val="22"/>
        </w:rPr>
        <w:t xml:space="preserve"> (1)(a), </w:t>
      </w:r>
      <w:r w:rsidR="00DB7479" w:rsidRPr="00C2013C">
        <w:rPr>
          <w:b/>
          <w:bCs/>
          <w:i/>
          <w:iCs/>
          <w:szCs w:val="22"/>
        </w:rPr>
        <w:t xml:space="preserve">standard </w:t>
      </w:r>
      <w:r w:rsidR="00DB7479" w:rsidRPr="00C2013C">
        <w:rPr>
          <w:szCs w:val="22"/>
        </w:rPr>
        <w:t xml:space="preserve">has the meaning given by section 5 of the Act, as in force immediately before </w:t>
      </w:r>
      <w:r w:rsidR="00BC426C">
        <w:rPr>
          <w:szCs w:val="22"/>
        </w:rPr>
        <w:t>17 June 2021</w:t>
      </w:r>
      <w:r w:rsidR="00DB7479" w:rsidRPr="00C2013C">
        <w:rPr>
          <w:szCs w:val="22"/>
        </w:rPr>
        <w:t>.</w:t>
      </w:r>
    </w:p>
    <w:p w14:paraId="67B9A000" w14:textId="22D6940E" w:rsidR="00DB7479" w:rsidRPr="008B1542" w:rsidRDefault="00DB7479" w:rsidP="008B1542">
      <w:pPr>
        <w:pStyle w:val="notetext"/>
      </w:pPr>
      <w:r w:rsidRPr="008B1542">
        <w:t>Note:</w:t>
      </w:r>
      <w:r w:rsidRPr="008B1542">
        <w:tab/>
        <w:t xml:space="preserve">Part 1 of Schedule 4 to the </w:t>
      </w:r>
      <w:r w:rsidRPr="008B1542">
        <w:rPr>
          <w:i/>
          <w:iCs/>
        </w:rPr>
        <w:t>Radiocommunications Legislation Amendment (Reform and Modernisation) Act 2020</w:t>
      </w:r>
      <w:r w:rsidRPr="008B1542">
        <w:t xml:space="preserve"> </w:t>
      </w:r>
      <w:r w:rsidR="00BC426C">
        <w:t>commenced on 17 June 2021. That Part</w:t>
      </w:r>
      <w:r w:rsidR="00BC426C" w:rsidRPr="00BC426C">
        <w:t xml:space="preserve"> </w:t>
      </w:r>
      <w:r w:rsidRPr="008B1542">
        <w:t>replaces standards with equipment rules. See also item 42 of that Schedule.</w:t>
      </w:r>
    </w:p>
    <w:p w14:paraId="47F8C417" w14:textId="4F073272" w:rsidR="004F6299" w:rsidRPr="002F688C" w:rsidRDefault="00472601" w:rsidP="00081716">
      <w:pPr>
        <w:pStyle w:val="ActHead5"/>
      </w:pPr>
      <w:r w:rsidRPr="00564D1C">
        <w:rPr>
          <w:rStyle w:val="CharSectno"/>
        </w:rPr>
        <w:t>10</w:t>
      </w:r>
      <w:r w:rsidR="0040785C">
        <w:rPr>
          <w:rStyle w:val="CharSectno"/>
        </w:rPr>
        <w:t xml:space="preserve">  </w:t>
      </w:r>
      <w:r w:rsidR="004F6299" w:rsidRPr="002F688C">
        <w:t>Interference with other stations</w:t>
      </w:r>
    </w:p>
    <w:p w14:paraId="2D877E53" w14:textId="213FFD29" w:rsidR="004F6299" w:rsidRPr="0020151A" w:rsidRDefault="00851A07" w:rsidP="00851A07">
      <w:pPr>
        <w:pStyle w:val="subsection"/>
        <w:rPr>
          <w:szCs w:val="22"/>
        </w:rPr>
      </w:pPr>
      <w:r>
        <w:rPr>
          <w:szCs w:val="22"/>
        </w:rPr>
        <w:tab/>
      </w:r>
      <w:r w:rsidR="004F6299" w:rsidRPr="0020151A">
        <w:rPr>
          <w:szCs w:val="22"/>
        </w:rPr>
        <w:t>(1)</w:t>
      </w:r>
      <w:r w:rsidR="004F6299" w:rsidRPr="0020151A">
        <w:rPr>
          <w:szCs w:val="22"/>
        </w:rPr>
        <w:tab/>
        <w:t xml:space="preserve">This </w:t>
      </w:r>
      <w:r w:rsidR="005D4E65" w:rsidRPr="0020151A">
        <w:rPr>
          <w:szCs w:val="22"/>
        </w:rPr>
        <w:t>instrument</w:t>
      </w:r>
      <w:r w:rsidR="004F6299" w:rsidRPr="0020151A">
        <w:rPr>
          <w:szCs w:val="22"/>
        </w:rPr>
        <w:t xml:space="preserve"> authorises operation of a station only when its operation does not interfere with the operation of a radiocommunications receiver. </w:t>
      </w:r>
    </w:p>
    <w:p w14:paraId="358EADB7" w14:textId="66B312BD" w:rsidR="00194CF0" w:rsidRPr="0020151A" w:rsidRDefault="00851A07" w:rsidP="00851A07">
      <w:pPr>
        <w:pStyle w:val="subsection"/>
        <w:rPr>
          <w:szCs w:val="22"/>
        </w:rPr>
      </w:pPr>
      <w:r>
        <w:rPr>
          <w:szCs w:val="22"/>
        </w:rPr>
        <w:tab/>
      </w:r>
      <w:r w:rsidR="00194CF0" w:rsidRPr="0020151A">
        <w:rPr>
          <w:szCs w:val="22"/>
        </w:rPr>
        <w:t>(</w:t>
      </w:r>
      <w:r w:rsidR="005D4E65" w:rsidRPr="0020151A">
        <w:rPr>
          <w:szCs w:val="22"/>
        </w:rPr>
        <w:t>2</w:t>
      </w:r>
      <w:r w:rsidR="00194CF0" w:rsidRPr="0020151A">
        <w:rPr>
          <w:szCs w:val="22"/>
        </w:rPr>
        <w:t>)</w:t>
      </w:r>
      <w:r w:rsidR="00194CF0" w:rsidRPr="0020151A">
        <w:rPr>
          <w:szCs w:val="22"/>
        </w:rPr>
        <w:tab/>
        <w:t>For the purposes of subsection (1), the operation of a station authorised by this</w:t>
      </w:r>
      <w:r w:rsidR="005D4E65" w:rsidRPr="0020151A">
        <w:rPr>
          <w:szCs w:val="22"/>
        </w:rPr>
        <w:t xml:space="preserve"> instrument</w:t>
      </w:r>
      <w:r w:rsidR="00194CF0" w:rsidRPr="0020151A">
        <w:rPr>
          <w:szCs w:val="22"/>
        </w:rPr>
        <w:t xml:space="preserve"> is taken to not interfere with the operation of an area-wide receive station that is:</w:t>
      </w:r>
    </w:p>
    <w:p w14:paraId="3DAB2863" w14:textId="785432D8" w:rsidR="00194CF0" w:rsidRPr="0020151A" w:rsidRDefault="004C0EF9" w:rsidP="004C0EF9">
      <w:pPr>
        <w:pStyle w:val="paragraph"/>
        <w:rPr>
          <w:szCs w:val="22"/>
        </w:rPr>
      </w:pPr>
      <w:r w:rsidRPr="0020151A">
        <w:rPr>
          <w:szCs w:val="22"/>
        </w:rPr>
        <w:tab/>
      </w:r>
      <w:r w:rsidR="00194CF0" w:rsidRPr="0020151A">
        <w:rPr>
          <w:szCs w:val="22"/>
        </w:rPr>
        <w:t>(a)</w:t>
      </w:r>
      <w:r w:rsidR="00194CF0" w:rsidRPr="0020151A">
        <w:rPr>
          <w:szCs w:val="22"/>
        </w:rPr>
        <w:tab/>
        <w:t xml:space="preserve">operating under an area-wide receive licence in the frequency </w:t>
      </w:r>
      <w:r w:rsidR="004A3F26">
        <w:rPr>
          <w:szCs w:val="22"/>
        </w:rPr>
        <w:t>band</w:t>
      </w:r>
      <w:r w:rsidR="004A3F26" w:rsidRPr="0020151A">
        <w:rPr>
          <w:szCs w:val="22"/>
        </w:rPr>
        <w:t xml:space="preserve"> </w:t>
      </w:r>
      <w:r w:rsidR="00194CF0" w:rsidRPr="0020151A">
        <w:rPr>
          <w:szCs w:val="22"/>
        </w:rPr>
        <w:t>of 27.5</w:t>
      </w:r>
      <w:r w:rsidR="004A3F26">
        <w:rPr>
          <w:szCs w:val="22"/>
        </w:rPr>
        <w:t xml:space="preserve"> GHz</w:t>
      </w:r>
      <w:r w:rsidR="00194CF0" w:rsidRPr="0020151A">
        <w:rPr>
          <w:szCs w:val="22"/>
        </w:rPr>
        <w:t xml:space="preserve"> to 28.1 GHz that is located outside a 26 GHz band spectrum licence area; or</w:t>
      </w:r>
    </w:p>
    <w:p w14:paraId="6A392ECF" w14:textId="512F8AEB" w:rsidR="00194CF0" w:rsidRPr="0020151A" w:rsidRDefault="004C0EF9" w:rsidP="004C0EF9">
      <w:pPr>
        <w:pStyle w:val="paragraph"/>
        <w:rPr>
          <w:szCs w:val="22"/>
        </w:rPr>
      </w:pPr>
      <w:r w:rsidRPr="0020151A">
        <w:rPr>
          <w:szCs w:val="22"/>
        </w:rPr>
        <w:tab/>
      </w:r>
      <w:r w:rsidR="00194CF0" w:rsidRPr="0020151A">
        <w:rPr>
          <w:szCs w:val="22"/>
        </w:rPr>
        <w:t>(b)</w:t>
      </w:r>
      <w:r w:rsidR="00194CF0" w:rsidRPr="0020151A">
        <w:rPr>
          <w:szCs w:val="22"/>
        </w:rPr>
        <w:tab/>
        <w:t xml:space="preserve">operating under an area-wide receive licence in the frequency </w:t>
      </w:r>
      <w:r w:rsidR="004A3F26">
        <w:rPr>
          <w:szCs w:val="22"/>
        </w:rPr>
        <w:t>band</w:t>
      </w:r>
      <w:r w:rsidR="004A3F26" w:rsidRPr="0020151A">
        <w:rPr>
          <w:szCs w:val="22"/>
        </w:rPr>
        <w:t xml:space="preserve"> </w:t>
      </w:r>
      <w:r w:rsidR="00194CF0" w:rsidRPr="0020151A">
        <w:rPr>
          <w:szCs w:val="22"/>
        </w:rPr>
        <w:t>of 28.1</w:t>
      </w:r>
      <w:r w:rsidR="004A3F26">
        <w:rPr>
          <w:szCs w:val="22"/>
        </w:rPr>
        <w:t> GHz</w:t>
      </w:r>
      <w:r w:rsidR="00194CF0" w:rsidRPr="0020151A">
        <w:rPr>
          <w:szCs w:val="22"/>
        </w:rPr>
        <w:t xml:space="preserve"> to 29.5 GHz.</w:t>
      </w:r>
    </w:p>
    <w:p w14:paraId="4205F312" w14:textId="27F13C5A" w:rsidR="004F6299" w:rsidRPr="0020151A" w:rsidRDefault="00851A07" w:rsidP="00851A07">
      <w:pPr>
        <w:pStyle w:val="subsection"/>
        <w:rPr>
          <w:szCs w:val="22"/>
        </w:rPr>
      </w:pPr>
      <w:r>
        <w:rPr>
          <w:szCs w:val="22"/>
        </w:rPr>
        <w:tab/>
      </w:r>
      <w:r w:rsidR="004F6299" w:rsidRPr="0020151A">
        <w:rPr>
          <w:szCs w:val="22"/>
        </w:rPr>
        <w:t>(</w:t>
      </w:r>
      <w:r w:rsidR="00E6225B" w:rsidRPr="0020151A">
        <w:rPr>
          <w:szCs w:val="22"/>
        </w:rPr>
        <w:t>3</w:t>
      </w:r>
      <w:r w:rsidR="004F6299" w:rsidRPr="0020151A">
        <w:rPr>
          <w:szCs w:val="22"/>
        </w:rPr>
        <w:t>)</w:t>
      </w:r>
      <w:r w:rsidR="004F6299" w:rsidRPr="0020151A">
        <w:rPr>
          <w:szCs w:val="22"/>
        </w:rPr>
        <w:tab/>
        <w:t xml:space="preserve">This </w:t>
      </w:r>
      <w:r w:rsidR="005A5402" w:rsidRPr="0020151A">
        <w:rPr>
          <w:szCs w:val="22"/>
        </w:rPr>
        <w:t>instrument</w:t>
      </w:r>
      <w:r w:rsidR="004F6299" w:rsidRPr="0020151A">
        <w:rPr>
          <w:szCs w:val="22"/>
        </w:rPr>
        <w:t xml:space="preserve"> authorises operation of a station in the </w:t>
      </w:r>
      <w:r w:rsidR="00AF0317" w:rsidRPr="0020151A">
        <w:rPr>
          <w:szCs w:val="22"/>
        </w:rPr>
        <w:t xml:space="preserve">frequency </w:t>
      </w:r>
      <w:r w:rsidR="002629AB">
        <w:rPr>
          <w:szCs w:val="22"/>
        </w:rPr>
        <w:t>bands</w:t>
      </w:r>
      <w:r w:rsidR="002629AB" w:rsidRPr="0020151A">
        <w:rPr>
          <w:szCs w:val="22"/>
        </w:rPr>
        <w:t xml:space="preserve"> </w:t>
      </w:r>
      <w:r w:rsidR="00AF0317" w:rsidRPr="0020151A">
        <w:rPr>
          <w:szCs w:val="22"/>
        </w:rPr>
        <w:t>of 1610</w:t>
      </w:r>
      <w:r w:rsidR="004A3F26">
        <w:rPr>
          <w:szCs w:val="22"/>
        </w:rPr>
        <w:t> MHz</w:t>
      </w:r>
      <w:r w:rsidR="00AF0317" w:rsidRPr="0020151A">
        <w:rPr>
          <w:szCs w:val="22"/>
        </w:rPr>
        <w:t xml:space="preserve"> to 1626.5 MHz and 1670 </w:t>
      </w:r>
      <w:r w:rsidR="004A3F26">
        <w:rPr>
          <w:szCs w:val="22"/>
        </w:rPr>
        <w:t xml:space="preserve">MHz </w:t>
      </w:r>
      <w:r w:rsidR="00AF0317" w:rsidRPr="0020151A">
        <w:rPr>
          <w:szCs w:val="22"/>
        </w:rPr>
        <w:t>to 1675 MHz</w:t>
      </w:r>
      <w:r w:rsidR="00AF0317" w:rsidRPr="0020151A" w:rsidDel="00AF0317">
        <w:rPr>
          <w:szCs w:val="22"/>
        </w:rPr>
        <w:t xml:space="preserve"> </w:t>
      </w:r>
      <w:r w:rsidR="004F6299" w:rsidRPr="0020151A">
        <w:rPr>
          <w:szCs w:val="22"/>
        </w:rPr>
        <w:t xml:space="preserve">within 20 kilometres of a radio astronomy observatory mentioned in </w:t>
      </w:r>
      <w:r w:rsidR="000F6268" w:rsidRPr="0020151A">
        <w:rPr>
          <w:szCs w:val="22"/>
        </w:rPr>
        <w:t xml:space="preserve">Australian </w:t>
      </w:r>
      <w:r w:rsidR="004F6299" w:rsidRPr="0020151A">
        <w:rPr>
          <w:szCs w:val="22"/>
        </w:rPr>
        <w:t xml:space="preserve">footnote </w:t>
      </w:r>
      <w:r w:rsidR="006B647C" w:rsidRPr="0020151A">
        <w:rPr>
          <w:szCs w:val="22"/>
        </w:rPr>
        <w:t xml:space="preserve">reference </w:t>
      </w:r>
      <w:r w:rsidR="004F6299" w:rsidRPr="0020151A">
        <w:rPr>
          <w:szCs w:val="22"/>
        </w:rPr>
        <w:t xml:space="preserve">AUS87 of the spectrum plan, only if: </w:t>
      </w:r>
    </w:p>
    <w:p w14:paraId="794AC6DD" w14:textId="5B08176A" w:rsidR="004F6299" w:rsidRPr="0020151A" w:rsidRDefault="00822990" w:rsidP="00822990">
      <w:pPr>
        <w:pStyle w:val="paragraph"/>
        <w:rPr>
          <w:szCs w:val="22"/>
        </w:rPr>
      </w:pPr>
      <w:r w:rsidRPr="0020151A">
        <w:rPr>
          <w:szCs w:val="22"/>
        </w:rPr>
        <w:tab/>
      </w:r>
      <w:r w:rsidR="004F6299" w:rsidRPr="0020151A">
        <w:rPr>
          <w:szCs w:val="22"/>
        </w:rPr>
        <w:t>(a)</w:t>
      </w:r>
      <w:r w:rsidR="004F6299" w:rsidRPr="0020151A">
        <w:rPr>
          <w:szCs w:val="22"/>
        </w:rPr>
        <w:tab/>
        <w:t>the operator of the station has sought advice from the operator of the radio astronomy observatory about when it may operate the station</w:t>
      </w:r>
      <w:r w:rsidR="002D04FD">
        <w:rPr>
          <w:szCs w:val="22"/>
        </w:rPr>
        <w:t xml:space="preserve"> in order to minimise the risk of interference</w:t>
      </w:r>
      <w:r w:rsidR="004F6299" w:rsidRPr="0020151A">
        <w:rPr>
          <w:szCs w:val="22"/>
        </w:rPr>
        <w:t>; and</w:t>
      </w:r>
    </w:p>
    <w:p w14:paraId="44BBF782" w14:textId="3E322AD7" w:rsidR="004F6299" w:rsidRDefault="00822990" w:rsidP="00822990">
      <w:pPr>
        <w:pStyle w:val="paragraph"/>
        <w:rPr>
          <w:szCs w:val="22"/>
        </w:rPr>
      </w:pPr>
      <w:r w:rsidRPr="0020151A">
        <w:rPr>
          <w:szCs w:val="22"/>
        </w:rPr>
        <w:tab/>
      </w:r>
      <w:r w:rsidR="004F6299" w:rsidRPr="0020151A">
        <w:rPr>
          <w:szCs w:val="22"/>
        </w:rPr>
        <w:t>(b)</w:t>
      </w:r>
      <w:r w:rsidR="004F6299" w:rsidRPr="0020151A">
        <w:rPr>
          <w:szCs w:val="22"/>
        </w:rPr>
        <w:tab/>
        <w:t xml:space="preserve">the station is operated during periods consistently with the advice from the </w:t>
      </w:r>
      <w:r w:rsidR="009E65E9">
        <w:rPr>
          <w:szCs w:val="22"/>
        </w:rPr>
        <w:t>operator of</w:t>
      </w:r>
      <w:r w:rsidR="00F64669">
        <w:rPr>
          <w:szCs w:val="22"/>
        </w:rPr>
        <w:t xml:space="preserve"> the</w:t>
      </w:r>
      <w:r w:rsidR="009E65E9">
        <w:rPr>
          <w:szCs w:val="22"/>
        </w:rPr>
        <w:t xml:space="preserve"> </w:t>
      </w:r>
      <w:r w:rsidR="004F6299" w:rsidRPr="0020151A">
        <w:rPr>
          <w:szCs w:val="22"/>
        </w:rPr>
        <w:t xml:space="preserve">radio astronomy observatory. </w:t>
      </w:r>
    </w:p>
    <w:p w14:paraId="17083D1B" w14:textId="28AD5F87" w:rsidR="00E52E28" w:rsidRPr="0020151A" w:rsidRDefault="00E52E28" w:rsidP="00E52E28">
      <w:pPr>
        <w:pStyle w:val="notetext"/>
        <w:spacing w:after="122"/>
        <w:rPr>
          <w:szCs w:val="22"/>
        </w:rPr>
      </w:pPr>
      <w:r>
        <w:t>Note</w:t>
      </w:r>
      <w:r w:rsidRPr="000A4F7F">
        <w:t>:</w:t>
      </w:r>
      <w:r w:rsidRPr="000A4F7F">
        <w:tab/>
      </w:r>
      <w:r>
        <w:t>T</w:t>
      </w:r>
      <w:r w:rsidRPr="006659C2">
        <w:t xml:space="preserve">he </w:t>
      </w:r>
      <w:r>
        <w:t>spectrum plan is</w:t>
      </w:r>
      <w:r w:rsidRPr="00726C9C">
        <w:t xml:space="preserve"> available, free of charge, from the Federal Register of Legislation at </w:t>
      </w:r>
      <w:r w:rsidRPr="00396CB5">
        <w:t>www.legislation.gov.au</w:t>
      </w:r>
      <w:r w:rsidRPr="00726C9C">
        <w:t>.</w:t>
      </w:r>
    </w:p>
    <w:p w14:paraId="4AE503F8" w14:textId="2518EFCE" w:rsidR="009E65E9" w:rsidRDefault="009E65E9" w:rsidP="00851A07">
      <w:pPr>
        <w:pStyle w:val="subsection"/>
        <w:rPr>
          <w:szCs w:val="22"/>
        </w:rPr>
      </w:pPr>
      <w:r>
        <w:rPr>
          <w:szCs w:val="22"/>
        </w:rPr>
        <w:tab/>
        <w:t>(4)</w:t>
      </w:r>
      <w:r>
        <w:rPr>
          <w:szCs w:val="22"/>
        </w:rPr>
        <w:tab/>
        <w:t>The operator of a radio astronomy observatory may give advice to a person for the purposes of subsection (3).</w:t>
      </w:r>
    </w:p>
    <w:p w14:paraId="4BF14E42" w14:textId="77777777" w:rsidR="009E65E9" w:rsidRDefault="009E65E9" w:rsidP="009E65E9">
      <w:pPr>
        <w:pStyle w:val="notetext"/>
      </w:pPr>
      <w:r>
        <w:t>Note:</w:t>
      </w:r>
      <w:r>
        <w:tab/>
        <w:t>See subsection 133(3) of the Act.</w:t>
      </w:r>
    </w:p>
    <w:p w14:paraId="7A130D5D" w14:textId="6CA52082" w:rsidR="004F6299" w:rsidRPr="0020151A" w:rsidRDefault="00851A07" w:rsidP="00851A07">
      <w:pPr>
        <w:pStyle w:val="subsection"/>
        <w:rPr>
          <w:szCs w:val="22"/>
        </w:rPr>
      </w:pPr>
      <w:r>
        <w:rPr>
          <w:szCs w:val="22"/>
        </w:rPr>
        <w:tab/>
      </w:r>
      <w:r w:rsidR="004F6299" w:rsidRPr="0020151A">
        <w:rPr>
          <w:szCs w:val="22"/>
        </w:rPr>
        <w:t>(</w:t>
      </w:r>
      <w:r w:rsidR="002629AB">
        <w:rPr>
          <w:szCs w:val="22"/>
        </w:rPr>
        <w:t>5</w:t>
      </w:r>
      <w:r w:rsidR="004F6299" w:rsidRPr="0020151A">
        <w:rPr>
          <w:szCs w:val="22"/>
        </w:rPr>
        <w:t>)</w:t>
      </w:r>
      <w:r w:rsidR="004F6299" w:rsidRPr="0020151A">
        <w:rPr>
          <w:szCs w:val="22"/>
        </w:rPr>
        <w:tab/>
        <w:t xml:space="preserve">This </w:t>
      </w:r>
      <w:r w:rsidR="003E4C32" w:rsidRPr="0020151A">
        <w:rPr>
          <w:szCs w:val="22"/>
        </w:rPr>
        <w:t>instrument</w:t>
      </w:r>
      <w:r w:rsidR="004F6299" w:rsidRPr="0020151A">
        <w:rPr>
          <w:szCs w:val="22"/>
        </w:rPr>
        <w:t xml:space="preserve"> does not authorise operation of a station in the </w:t>
      </w:r>
      <w:r w:rsidR="004C6415" w:rsidRPr="0020151A">
        <w:rPr>
          <w:szCs w:val="22"/>
        </w:rPr>
        <w:t xml:space="preserve">frequency </w:t>
      </w:r>
      <w:r w:rsidR="002629AB">
        <w:rPr>
          <w:szCs w:val="22"/>
        </w:rPr>
        <w:t>bands</w:t>
      </w:r>
      <w:r w:rsidR="002629AB" w:rsidRPr="0020151A">
        <w:rPr>
          <w:szCs w:val="22"/>
        </w:rPr>
        <w:t xml:space="preserve"> </w:t>
      </w:r>
      <w:r w:rsidR="004C6415" w:rsidRPr="0020151A">
        <w:rPr>
          <w:szCs w:val="22"/>
        </w:rPr>
        <w:t>of 1660</w:t>
      </w:r>
      <w:r w:rsidR="002629AB">
        <w:rPr>
          <w:szCs w:val="22"/>
        </w:rPr>
        <w:t xml:space="preserve"> MHz </w:t>
      </w:r>
      <w:r w:rsidR="004C6415" w:rsidRPr="0020151A">
        <w:rPr>
          <w:szCs w:val="22"/>
        </w:rPr>
        <w:t xml:space="preserve">to 1660.5 MHz and 1668 </w:t>
      </w:r>
      <w:r w:rsidR="002629AB">
        <w:rPr>
          <w:szCs w:val="22"/>
        </w:rPr>
        <w:t xml:space="preserve">MHz </w:t>
      </w:r>
      <w:r w:rsidR="004C6415" w:rsidRPr="0020151A">
        <w:rPr>
          <w:szCs w:val="22"/>
        </w:rPr>
        <w:t>to 1670 MHz</w:t>
      </w:r>
      <w:r w:rsidR="004C6415" w:rsidRPr="0020151A" w:rsidDel="004C6415">
        <w:rPr>
          <w:szCs w:val="22"/>
        </w:rPr>
        <w:t xml:space="preserve"> </w:t>
      </w:r>
      <w:r w:rsidR="004F6299" w:rsidRPr="0020151A">
        <w:rPr>
          <w:szCs w:val="22"/>
        </w:rPr>
        <w:t>when the station:</w:t>
      </w:r>
    </w:p>
    <w:p w14:paraId="47F4B281" w14:textId="473BA1CD" w:rsidR="004F6299" w:rsidRPr="0020151A" w:rsidRDefault="00605805" w:rsidP="00605805">
      <w:pPr>
        <w:pStyle w:val="paragraph"/>
        <w:rPr>
          <w:szCs w:val="22"/>
        </w:rPr>
      </w:pPr>
      <w:r w:rsidRPr="0020151A">
        <w:rPr>
          <w:szCs w:val="22"/>
        </w:rPr>
        <w:tab/>
      </w:r>
      <w:r w:rsidR="004F6299" w:rsidRPr="0020151A">
        <w:rPr>
          <w:szCs w:val="22"/>
        </w:rPr>
        <w:t>(a)</w:t>
      </w:r>
      <w:r w:rsidR="004F6299" w:rsidRPr="0020151A">
        <w:rPr>
          <w:szCs w:val="22"/>
        </w:rPr>
        <w:tab/>
        <w:t>is within 500 kilometres of a radio astronomy observatory mentioned in</w:t>
      </w:r>
      <w:r w:rsidRPr="0020151A">
        <w:rPr>
          <w:szCs w:val="22"/>
        </w:rPr>
        <w:t xml:space="preserve"> A</w:t>
      </w:r>
      <w:r w:rsidR="00AB465A" w:rsidRPr="0020151A">
        <w:rPr>
          <w:szCs w:val="22"/>
        </w:rPr>
        <w:t>ustralian</w:t>
      </w:r>
      <w:r w:rsidR="004F6299" w:rsidRPr="0020151A">
        <w:rPr>
          <w:szCs w:val="22"/>
        </w:rPr>
        <w:t xml:space="preserve"> footnote </w:t>
      </w:r>
      <w:r w:rsidR="00AB465A" w:rsidRPr="0020151A">
        <w:rPr>
          <w:szCs w:val="22"/>
        </w:rPr>
        <w:t xml:space="preserve">reference </w:t>
      </w:r>
      <w:r w:rsidR="004F6299" w:rsidRPr="0020151A">
        <w:rPr>
          <w:szCs w:val="22"/>
        </w:rPr>
        <w:t>AUS87 of the spectrum plan; or</w:t>
      </w:r>
    </w:p>
    <w:p w14:paraId="1170D350" w14:textId="2F004356" w:rsidR="004F6299" w:rsidRDefault="00605805" w:rsidP="00605805">
      <w:pPr>
        <w:pStyle w:val="paragraph"/>
        <w:rPr>
          <w:szCs w:val="22"/>
        </w:rPr>
      </w:pPr>
      <w:r w:rsidRPr="0020151A">
        <w:rPr>
          <w:szCs w:val="22"/>
        </w:rPr>
        <w:lastRenderedPageBreak/>
        <w:tab/>
      </w:r>
      <w:r w:rsidR="004F6299" w:rsidRPr="0020151A">
        <w:rPr>
          <w:szCs w:val="22"/>
        </w:rPr>
        <w:t>(b)</w:t>
      </w:r>
      <w:r w:rsidR="004F6299" w:rsidRPr="0020151A">
        <w:rPr>
          <w:szCs w:val="22"/>
        </w:rPr>
        <w:tab/>
        <w:t xml:space="preserve">is </w:t>
      </w:r>
      <w:r w:rsidR="00FC76D4">
        <w:rPr>
          <w:szCs w:val="22"/>
        </w:rPr>
        <w:t>on boar</w:t>
      </w:r>
      <w:r w:rsidR="00102C93">
        <w:rPr>
          <w:szCs w:val="22"/>
        </w:rPr>
        <w:t>d an aircraft that is in the air.</w:t>
      </w:r>
    </w:p>
    <w:p w14:paraId="53FB3134" w14:textId="3DB1D8CD" w:rsidR="009C23EC" w:rsidRPr="0020151A" w:rsidRDefault="009C23EC" w:rsidP="009C23EC">
      <w:pPr>
        <w:pStyle w:val="notetext"/>
        <w:spacing w:after="122"/>
        <w:rPr>
          <w:szCs w:val="22"/>
        </w:rPr>
      </w:pPr>
      <w:r>
        <w:t>Note</w:t>
      </w:r>
      <w:r w:rsidRPr="000A4F7F">
        <w:t>:</w:t>
      </w:r>
      <w:r w:rsidRPr="000A4F7F">
        <w:tab/>
      </w:r>
      <w:r>
        <w:t>T</w:t>
      </w:r>
      <w:r w:rsidRPr="006659C2">
        <w:t xml:space="preserve">he </w:t>
      </w:r>
      <w:r>
        <w:t>spectrum plan is</w:t>
      </w:r>
      <w:r w:rsidRPr="00726C9C">
        <w:t xml:space="preserve"> available, free of charge, from the Federal Register of Legislation at </w:t>
      </w:r>
      <w:r w:rsidRPr="00396CB5">
        <w:t>www.legislation.gov.au</w:t>
      </w:r>
      <w:r w:rsidRPr="00726C9C">
        <w:t>.</w:t>
      </w:r>
    </w:p>
    <w:p w14:paraId="757BEE08" w14:textId="5DC5A477" w:rsidR="00360832" w:rsidRPr="0020151A" w:rsidRDefault="00851A07" w:rsidP="00851A07">
      <w:pPr>
        <w:pStyle w:val="subsection"/>
        <w:rPr>
          <w:szCs w:val="22"/>
        </w:rPr>
      </w:pPr>
      <w:r>
        <w:rPr>
          <w:szCs w:val="22"/>
        </w:rPr>
        <w:tab/>
      </w:r>
      <w:r w:rsidR="00360832" w:rsidRPr="0020151A">
        <w:rPr>
          <w:szCs w:val="22"/>
        </w:rPr>
        <w:t>(</w:t>
      </w:r>
      <w:r w:rsidR="003C72AF">
        <w:rPr>
          <w:szCs w:val="22"/>
        </w:rPr>
        <w:t>6</w:t>
      </w:r>
      <w:r w:rsidR="00360832" w:rsidRPr="0020151A">
        <w:rPr>
          <w:szCs w:val="22"/>
        </w:rPr>
        <w:t>)</w:t>
      </w:r>
      <w:bookmarkStart w:id="10" w:name="_Hlk138839584"/>
      <w:r w:rsidR="00360832" w:rsidRPr="0020151A">
        <w:rPr>
          <w:szCs w:val="22"/>
        </w:rPr>
        <w:tab/>
        <w:t xml:space="preserve">This </w:t>
      </w:r>
      <w:r w:rsidR="003D78D3" w:rsidRPr="0020151A">
        <w:rPr>
          <w:szCs w:val="22"/>
        </w:rPr>
        <w:t>instrument</w:t>
      </w:r>
      <w:r w:rsidR="00360832" w:rsidRPr="0020151A">
        <w:rPr>
          <w:szCs w:val="22"/>
        </w:rPr>
        <w:t xml:space="preserve"> does not authorise the operation of a station in the frequency </w:t>
      </w:r>
      <w:r w:rsidR="002629AB">
        <w:rPr>
          <w:szCs w:val="22"/>
        </w:rPr>
        <w:t>band</w:t>
      </w:r>
      <w:r w:rsidR="002629AB" w:rsidRPr="0020151A">
        <w:rPr>
          <w:szCs w:val="22"/>
        </w:rPr>
        <w:t xml:space="preserve"> </w:t>
      </w:r>
      <w:r w:rsidR="00360832" w:rsidRPr="0020151A">
        <w:rPr>
          <w:szCs w:val="22"/>
        </w:rPr>
        <w:t xml:space="preserve">of 1673.38 </w:t>
      </w:r>
      <w:r w:rsidR="002629AB">
        <w:rPr>
          <w:szCs w:val="22"/>
        </w:rPr>
        <w:t xml:space="preserve">MHz </w:t>
      </w:r>
      <w:r w:rsidR="00360832" w:rsidRPr="0020151A">
        <w:rPr>
          <w:szCs w:val="22"/>
        </w:rPr>
        <w:t xml:space="preserve">to 1675 MHz </w:t>
      </w:r>
      <w:bookmarkStart w:id="11" w:name="_Hlk151633295"/>
      <w:r w:rsidR="00360832" w:rsidRPr="0020151A">
        <w:rPr>
          <w:szCs w:val="22"/>
        </w:rPr>
        <w:t>if the emissions of the radiocommunications transmitter of the station exceed a level of -128.1 dBm/4</w:t>
      </w:r>
      <w:r w:rsidR="00F37D0E">
        <w:rPr>
          <w:szCs w:val="22"/>
        </w:rPr>
        <w:t xml:space="preserve"> </w:t>
      </w:r>
      <w:r w:rsidR="00360832" w:rsidRPr="0020151A">
        <w:rPr>
          <w:szCs w:val="22"/>
        </w:rPr>
        <w:t xml:space="preserve">MHz for more than 20% of the time at the output of the antenna of any radiocommunications receiver authorised to operate in all or part of that frequency </w:t>
      </w:r>
      <w:r w:rsidR="003C72AF">
        <w:rPr>
          <w:szCs w:val="22"/>
        </w:rPr>
        <w:t>band</w:t>
      </w:r>
      <w:r w:rsidR="003C72AF" w:rsidRPr="0020151A">
        <w:rPr>
          <w:szCs w:val="22"/>
        </w:rPr>
        <w:t xml:space="preserve"> </w:t>
      </w:r>
      <w:r w:rsidR="00360832" w:rsidRPr="0020151A">
        <w:rPr>
          <w:szCs w:val="22"/>
        </w:rPr>
        <w:t>under an earth receive licence</w:t>
      </w:r>
      <w:bookmarkEnd w:id="11"/>
      <w:r w:rsidR="00360832" w:rsidRPr="0020151A">
        <w:rPr>
          <w:szCs w:val="22"/>
        </w:rPr>
        <w:t xml:space="preserve">. </w:t>
      </w:r>
      <w:bookmarkEnd w:id="10"/>
    </w:p>
    <w:p w14:paraId="0F6926A8" w14:textId="5A3ACB91" w:rsidR="00D65CAC" w:rsidRPr="0020151A" w:rsidRDefault="00851A07" w:rsidP="00851A07">
      <w:pPr>
        <w:pStyle w:val="subsection"/>
        <w:rPr>
          <w:szCs w:val="22"/>
        </w:rPr>
      </w:pPr>
      <w:r>
        <w:rPr>
          <w:szCs w:val="22"/>
        </w:rPr>
        <w:tab/>
      </w:r>
      <w:r w:rsidR="00D65CAC" w:rsidRPr="0020151A">
        <w:rPr>
          <w:szCs w:val="22"/>
        </w:rPr>
        <w:t>(</w:t>
      </w:r>
      <w:r w:rsidR="003C72AF">
        <w:rPr>
          <w:szCs w:val="22"/>
        </w:rPr>
        <w:t>7</w:t>
      </w:r>
      <w:r w:rsidR="00D65CAC" w:rsidRPr="0020151A">
        <w:rPr>
          <w:szCs w:val="22"/>
        </w:rPr>
        <w:t>)</w:t>
      </w:r>
      <w:r w:rsidR="00D65CAC" w:rsidRPr="0020151A">
        <w:rPr>
          <w:szCs w:val="22"/>
        </w:rPr>
        <w:tab/>
        <w:t>Subject to subsection (</w:t>
      </w:r>
      <w:r w:rsidR="003C72AF">
        <w:rPr>
          <w:szCs w:val="22"/>
        </w:rPr>
        <w:t>8</w:t>
      </w:r>
      <w:r w:rsidR="00D65CAC" w:rsidRPr="0020151A">
        <w:rPr>
          <w:szCs w:val="22"/>
        </w:rPr>
        <w:t xml:space="preserve">), this </w:t>
      </w:r>
      <w:r w:rsidR="00FA3FE8" w:rsidRPr="0020151A">
        <w:rPr>
          <w:szCs w:val="22"/>
        </w:rPr>
        <w:t>instrument</w:t>
      </w:r>
      <w:r w:rsidR="00D65CAC" w:rsidRPr="0020151A">
        <w:rPr>
          <w:szCs w:val="22"/>
        </w:rPr>
        <w:t xml:space="preserve"> authorises the operation of a station in the frequency </w:t>
      </w:r>
      <w:r w:rsidR="003C72AF">
        <w:rPr>
          <w:szCs w:val="22"/>
        </w:rPr>
        <w:t>band</w:t>
      </w:r>
      <w:r w:rsidR="003C72AF" w:rsidRPr="0020151A">
        <w:rPr>
          <w:szCs w:val="22"/>
        </w:rPr>
        <w:t xml:space="preserve"> </w:t>
      </w:r>
      <w:r w:rsidR="00D65CAC" w:rsidRPr="0020151A">
        <w:rPr>
          <w:szCs w:val="22"/>
        </w:rPr>
        <w:t>of 2005</w:t>
      </w:r>
      <w:r w:rsidR="003C72AF">
        <w:rPr>
          <w:szCs w:val="22"/>
        </w:rPr>
        <w:t xml:space="preserve"> MHz</w:t>
      </w:r>
      <w:r w:rsidR="00D65CAC" w:rsidRPr="0020151A">
        <w:rPr>
          <w:szCs w:val="22"/>
        </w:rPr>
        <w:t xml:space="preserve"> to 2010 MHz only if:</w:t>
      </w:r>
    </w:p>
    <w:p w14:paraId="4FFCC06A" w14:textId="5840888A" w:rsidR="00D65CAC" w:rsidRPr="0020151A" w:rsidRDefault="007C384E" w:rsidP="007C384E">
      <w:pPr>
        <w:pStyle w:val="paragraph"/>
        <w:rPr>
          <w:szCs w:val="22"/>
        </w:rPr>
      </w:pPr>
      <w:r w:rsidRPr="0020151A">
        <w:rPr>
          <w:szCs w:val="22"/>
        </w:rPr>
        <w:tab/>
      </w:r>
      <w:r w:rsidR="00D65CAC" w:rsidRPr="0020151A">
        <w:rPr>
          <w:szCs w:val="22"/>
        </w:rPr>
        <w:t>(a)</w:t>
      </w:r>
      <w:r w:rsidR="00D65CAC" w:rsidRPr="0020151A">
        <w:rPr>
          <w:szCs w:val="22"/>
        </w:rPr>
        <w:tab/>
        <w:t>the radiocommunications transmitter of the station is not on board an aircraft that is in the air; and</w:t>
      </w:r>
    </w:p>
    <w:p w14:paraId="2E6E83FE" w14:textId="3EC2F4B1" w:rsidR="00D65CAC" w:rsidRPr="0020151A" w:rsidRDefault="007C384E" w:rsidP="007C384E">
      <w:pPr>
        <w:pStyle w:val="paragraph"/>
        <w:rPr>
          <w:szCs w:val="22"/>
        </w:rPr>
      </w:pPr>
      <w:r w:rsidRPr="0020151A">
        <w:rPr>
          <w:szCs w:val="22"/>
        </w:rPr>
        <w:tab/>
      </w:r>
      <w:r w:rsidR="00D65CAC" w:rsidRPr="0020151A">
        <w:rPr>
          <w:szCs w:val="22"/>
        </w:rPr>
        <w:t>(b)</w:t>
      </w:r>
      <w:r w:rsidR="00D65CAC" w:rsidRPr="0020151A">
        <w:rPr>
          <w:szCs w:val="22"/>
        </w:rPr>
        <w:tab/>
        <w:t>the emissions of the radiocommunications transmitter above the frequency 2010 MHz do not exceed an EIRP of -66 dBW for each MHz.</w:t>
      </w:r>
    </w:p>
    <w:p w14:paraId="60CA66D0" w14:textId="1CA061E7" w:rsidR="00D65CAC" w:rsidRPr="0020151A" w:rsidRDefault="00851A07" w:rsidP="00851A07">
      <w:pPr>
        <w:pStyle w:val="subsection"/>
        <w:rPr>
          <w:szCs w:val="22"/>
        </w:rPr>
      </w:pPr>
      <w:r>
        <w:rPr>
          <w:szCs w:val="22"/>
        </w:rPr>
        <w:tab/>
      </w:r>
      <w:r w:rsidR="00D65CAC" w:rsidRPr="0020151A">
        <w:rPr>
          <w:szCs w:val="22"/>
        </w:rPr>
        <w:t>(</w:t>
      </w:r>
      <w:r w:rsidR="003C72AF">
        <w:rPr>
          <w:szCs w:val="22"/>
        </w:rPr>
        <w:t>8</w:t>
      </w:r>
      <w:r w:rsidR="00D65CAC" w:rsidRPr="0020151A">
        <w:rPr>
          <w:szCs w:val="22"/>
        </w:rPr>
        <w:t>)</w:t>
      </w:r>
      <w:r w:rsidR="00D65CAC" w:rsidRPr="0020151A">
        <w:rPr>
          <w:szCs w:val="22"/>
        </w:rPr>
        <w:tab/>
        <w:t xml:space="preserve">This </w:t>
      </w:r>
      <w:r w:rsidR="005A650C" w:rsidRPr="0020151A">
        <w:rPr>
          <w:szCs w:val="22"/>
        </w:rPr>
        <w:t>instrument</w:t>
      </w:r>
      <w:r w:rsidR="00D65CAC" w:rsidRPr="0020151A">
        <w:rPr>
          <w:szCs w:val="22"/>
        </w:rPr>
        <w:t xml:space="preserve"> does not authorise the operation of a station in the frequency </w:t>
      </w:r>
      <w:r w:rsidR="003C72AF">
        <w:rPr>
          <w:szCs w:val="22"/>
        </w:rPr>
        <w:t>band</w:t>
      </w:r>
      <w:r w:rsidR="003C72AF" w:rsidRPr="0020151A">
        <w:rPr>
          <w:szCs w:val="22"/>
        </w:rPr>
        <w:t xml:space="preserve"> </w:t>
      </w:r>
      <w:r w:rsidR="00D65CAC" w:rsidRPr="0020151A">
        <w:rPr>
          <w:szCs w:val="22"/>
        </w:rPr>
        <w:t>of 2005</w:t>
      </w:r>
      <w:r w:rsidR="003C72AF">
        <w:rPr>
          <w:szCs w:val="22"/>
        </w:rPr>
        <w:t xml:space="preserve"> MHz</w:t>
      </w:r>
      <w:r w:rsidR="00D65CAC" w:rsidRPr="0020151A">
        <w:rPr>
          <w:szCs w:val="22"/>
        </w:rPr>
        <w:t xml:space="preserve"> to 2010 MHz in a metropolitan area unless:</w:t>
      </w:r>
    </w:p>
    <w:p w14:paraId="4FD7149A" w14:textId="22B09CAC" w:rsidR="00D65CAC" w:rsidRPr="0020151A" w:rsidRDefault="007C384E" w:rsidP="007C384E">
      <w:pPr>
        <w:pStyle w:val="paragraph"/>
        <w:rPr>
          <w:szCs w:val="22"/>
        </w:rPr>
      </w:pPr>
      <w:r w:rsidRPr="0020151A">
        <w:rPr>
          <w:szCs w:val="22"/>
        </w:rPr>
        <w:tab/>
      </w:r>
      <w:r w:rsidR="00D65CAC" w:rsidRPr="0020151A">
        <w:rPr>
          <w:szCs w:val="22"/>
        </w:rPr>
        <w:t>(a)</w:t>
      </w:r>
      <w:r w:rsidR="00D65CAC" w:rsidRPr="0020151A">
        <w:rPr>
          <w:szCs w:val="22"/>
        </w:rPr>
        <w:tab/>
        <w:t>the emissions of the radiocommunications transmitter of the station do not exceed a maximum EIRP of 0.5 dBW for each MHz; and</w:t>
      </w:r>
    </w:p>
    <w:p w14:paraId="093E2606" w14:textId="6C7736F7" w:rsidR="00D65CAC" w:rsidRPr="0020151A" w:rsidRDefault="007C384E" w:rsidP="007C384E">
      <w:pPr>
        <w:pStyle w:val="paragraph"/>
        <w:rPr>
          <w:szCs w:val="22"/>
        </w:rPr>
      </w:pPr>
      <w:r w:rsidRPr="0020151A">
        <w:rPr>
          <w:szCs w:val="22"/>
        </w:rPr>
        <w:tab/>
      </w:r>
      <w:r w:rsidR="00D65CAC" w:rsidRPr="0020151A">
        <w:rPr>
          <w:szCs w:val="22"/>
        </w:rPr>
        <w:t>(b)</w:t>
      </w:r>
      <w:r w:rsidR="00D65CAC" w:rsidRPr="0020151A">
        <w:rPr>
          <w:szCs w:val="22"/>
        </w:rPr>
        <w:tab/>
        <w:t>the maximum duty cycle of the radiocommunications transmitter does not exceed 1% averaged over a 15-minute period; and</w:t>
      </w:r>
    </w:p>
    <w:p w14:paraId="304571FF" w14:textId="3484A2AF" w:rsidR="00D65CAC" w:rsidRPr="0020151A" w:rsidRDefault="007C384E" w:rsidP="007C384E">
      <w:pPr>
        <w:pStyle w:val="paragraph"/>
        <w:rPr>
          <w:szCs w:val="22"/>
        </w:rPr>
      </w:pPr>
      <w:r w:rsidRPr="0020151A">
        <w:rPr>
          <w:szCs w:val="22"/>
        </w:rPr>
        <w:tab/>
      </w:r>
      <w:r w:rsidR="00D65CAC" w:rsidRPr="0020151A">
        <w:rPr>
          <w:szCs w:val="22"/>
        </w:rPr>
        <w:t>(c)</w:t>
      </w:r>
      <w:r w:rsidR="00D65CAC" w:rsidRPr="0020151A">
        <w:rPr>
          <w:szCs w:val="22"/>
        </w:rPr>
        <w:tab/>
        <w:t>each transmission of the radiocommunications transmitter does not exceed 4 seconds in duration.</w:t>
      </w:r>
    </w:p>
    <w:p w14:paraId="733317DA" w14:textId="4FD8A7CB" w:rsidR="00D65CAC" w:rsidRPr="0020151A" w:rsidRDefault="00851A07" w:rsidP="00851A07">
      <w:pPr>
        <w:pStyle w:val="subsection"/>
        <w:rPr>
          <w:szCs w:val="22"/>
        </w:rPr>
      </w:pPr>
      <w:r>
        <w:rPr>
          <w:szCs w:val="22"/>
        </w:rPr>
        <w:tab/>
      </w:r>
      <w:r w:rsidR="00D65CAC" w:rsidRPr="0020151A">
        <w:rPr>
          <w:szCs w:val="22"/>
        </w:rPr>
        <w:t>(</w:t>
      </w:r>
      <w:r w:rsidR="003A2948">
        <w:rPr>
          <w:szCs w:val="22"/>
        </w:rPr>
        <w:t>9</w:t>
      </w:r>
      <w:r w:rsidR="00D65CAC" w:rsidRPr="0020151A">
        <w:rPr>
          <w:szCs w:val="22"/>
        </w:rPr>
        <w:t>)</w:t>
      </w:r>
      <w:r w:rsidR="00D65CAC" w:rsidRPr="0020151A">
        <w:rPr>
          <w:szCs w:val="22"/>
        </w:rPr>
        <w:tab/>
        <w:t xml:space="preserve">This </w:t>
      </w:r>
      <w:r w:rsidR="00353DF4" w:rsidRPr="0020151A">
        <w:rPr>
          <w:szCs w:val="22"/>
        </w:rPr>
        <w:t>instrument</w:t>
      </w:r>
      <w:r w:rsidR="00D65CAC" w:rsidRPr="0020151A">
        <w:rPr>
          <w:szCs w:val="22"/>
        </w:rPr>
        <w:t xml:space="preserve"> authorises the operation of a station in the frequency </w:t>
      </w:r>
      <w:r w:rsidR="003A2948">
        <w:rPr>
          <w:szCs w:val="22"/>
        </w:rPr>
        <w:t>band</w:t>
      </w:r>
      <w:r w:rsidR="003A2948" w:rsidRPr="0020151A">
        <w:rPr>
          <w:szCs w:val="22"/>
        </w:rPr>
        <w:t xml:space="preserve"> </w:t>
      </w:r>
      <w:r w:rsidR="00D65CAC" w:rsidRPr="0020151A">
        <w:rPr>
          <w:szCs w:val="22"/>
        </w:rPr>
        <w:t>of 27.5 </w:t>
      </w:r>
      <w:r w:rsidR="00CE299C">
        <w:rPr>
          <w:szCs w:val="22"/>
        </w:rPr>
        <w:t xml:space="preserve">GHz </w:t>
      </w:r>
      <w:r w:rsidR="00D65CAC" w:rsidRPr="0020151A">
        <w:rPr>
          <w:szCs w:val="22"/>
        </w:rPr>
        <w:t>to 28.3 GHz on land only if the radiocommunications transmitter of the station:</w:t>
      </w:r>
    </w:p>
    <w:p w14:paraId="0A270CB2" w14:textId="45A9FE86" w:rsidR="00D65CAC" w:rsidRPr="0020151A" w:rsidRDefault="00151B69" w:rsidP="006A2BA8">
      <w:pPr>
        <w:pStyle w:val="paragraph"/>
        <w:rPr>
          <w:szCs w:val="22"/>
        </w:rPr>
      </w:pPr>
      <w:r w:rsidRPr="0020151A">
        <w:rPr>
          <w:szCs w:val="22"/>
        </w:rPr>
        <w:tab/>
      </w:r>
      <w:r w:rsidR="00D65CAC" w:rsidRPr="0020151A">
        <w:rPr>
          <w:szCs w:val="22"/>
        </w:rPr>
        <w:t>(a)</w:t>
      </w:r>
      <w:r w:rsidR="00D65CAC" w:rsidRPr="0020151A">
        <w:rPr>
          <w:szCs w:val="22"/>
        </w:rPr>
        <w:tab/>
        <w:t xml:space="preserve">is not operated in the frequency </w:t>
      </w:r>
      <w:r w:rsidR="00CE299C">
        <w:rPr>
          <w:szCs w:val="22"/>
        </w:rPr>
        <w:t>band</w:t>
      </w:r>
      <w:r w:rsidR="00CE299C" w:rsidRPr="0020151A">
        <w:rPr>
          <w:szCs w:val="22"/>
        </w:rPr>
        <w:t xml:space="preserve"> </w:t>
      </w:r>
      <w:r w:rsidR="00D65CAC" w:rsidRPr="0020151A">
        <w:rPr>
          <w:szCs w:val="22"/>
        </w:rPr>
        <w:t>of 27.5</w:t>
      </w:r>
      <w:r w:rsidR="00CE299C">
        <w:rPr>
          <w:szCs w:val="22"/>
        </w:rPr>
        <w:t xml:space="preserve"> GHz</w:t>
      </w:r>
      <w:r w:rsidR="00D65CAC" w:rsidRPr="0020151A">
        <w:rPr>
          <w:szCs w:val="22"/>
        </w:rPr>
        <w:t xml:space="preserve"> to 28.1 GHz in a 26 GHz band spectrum licence area; and</w:t>
      </w:r>
    </w:p>
    <w:p w14:paraId="171EBDF1" w14:textId="2596241D" w:rsidR="00D65CAC" w:rsidRPr="0020151A" w:rsidRDefault="00151B69" w:rsidP="006A2BA8">
      <w:pPr>
        <w:pStyle w:val="paragraph"/>
        <w:rPr>
          <w:szCs w:val="22"/>
        </w:rPr>
      </w:pPr>
      <w:r w:rsidRPr="0020151A">
        <w:rPr>
          <w:szCs w:val="22"/>
        </w:rPr>
        <w:tab/>
      </w:r>
      <w:r w:rsidR="00D65CAC" w:rsidRPr="0020151A">
        <w:rPr>
          <w:szCs w:val="22"/>
        </w:rPr>
        <w:t>(b)</w:t>
      </w:r>
      <w:r w:rsidR="00D65CAC" w:rsidRPr="0020151A">
        <w:rPr>
          <w:szCs w:val="22"/>
        </w:rPr>
        <w:tab/>
        <w:t xml:space="preserve">when operated in the frequency </w:t>
      </w:r>
      <w:r w:rsidR="00671407">
        <w:rPr>
          <w:szCs w:val="22"/>
        </w:rPr>
        <w:t>band</w:t>
      </w:r>
      <w:r w:rsidR="00D65CAC" w:rsidRPr="0020151A">
        <w:rPr>
          <w:szCs w:val="22"/>
        </w:rPr>
        <w:t xml:space="preserve"> of 28.1 </w:t>
      </w:r>
      <w:r w:rsidR="00CE299C">
        <w:rPr>
          <w:szCs w:val="22"/>
        </w:rPr>
        <w:t xml:space="preserve">GHz </w:t>
      </w:r>
      <w:r w:rsidR="00D65CAC" w:rsidRPr="0020151A">
        <w:rPr>
          <w:szCs w:val="22"/>
        </w:rPr>
        <w:t>to 28.3 GHz in a 26 GHz band spectrum licence</w:t>
      </w:r>
      <w:r w:rsidR="00D65CAC" w:rsidRPr="0020151A" w:rsidDel="00F74166">
        <w:rPr>
          <w:szCs w:val="22"/>
        </w:rPr>
        <w:t xml:space="preserve"> </w:t>
      </w:r>
      <w:r w:rsidR="00D65CAC" w:rsidRPr="0020151A">
        <w:rPr>
          <w:szCs w:val="22"/>
        </w:rPr>
        <w:t>area, is not operated within the greater of:</w:t>
      </w:r>
    </w:p>
    <w:p w14:paraId="11697FA6" w14:textId="3F39D94B" w:rsidR="00D65CAC" w:rsidRPr="0020151A" w:rsidRDefault="002E0B9C" w:rsidP="002E0B9C">
      <w:pPr>
        <w:pStyle w:val="P1"/>
        <w:tabs>
          <w:tab w:val="clear" w:pos="1191"/>
          <w:tab w:val="left" w:pos="2268"/>
        </w:tabs>
        <w:spacing w:before="40" w:line="240" w:lineRule="auto"/>
        <w:ind w:left="1701" w:firstLine="0"/>
        <w:jc w:val="left"/>
        <w:rPr>
          <w:sz w:val="22"/>
          <w:szCs w:val="22"/>
        </w:rPr>
      </w:pPr>
      <w:r w:rsidRPr="0020151A">
        <w:rPr>
          <w:sz w:val="22"/>
          <w:szCs w:val="22"/>
        </w:rPr>
        <w:t>(i)</w:t>
      </w:r>
      <w:r w:rsidRPr="0020151A">
        <w:rPr>
          <w:sz w:val="22"/>
          <w:szCs w:val="22"/>
        </w:rPr>
        <w:tab/>
      </w:r>
      <w:r w:rsidR="00D65CAC" w:rsidRPr="0020151A">
        <w:rPr>
          <w:sz w:val="22"/>
          <w:szCs w:val="22"/>
        </w:rPr>
        <w:t xml:space="preserve">50 MHz above 28.1 GHz; or </w:t>
      </w:r>
    </w:p>
    <w:p w14:paraId="1752C685" w14:textId="69EE6C1B" w:rsidR="00D65CAC" w:rsidRPr="0020151A" w:rsidRDefault="002E0B9C" w:rsidP="00AF646C">
      <w:pPr>
        <w:pStyle w:val="P1"/>
        <w:tabs>
          <w:tab w:val="clear" w:pos="1191"/>
          <w:tab w:val="left" w:pos="2268"/>
        </w:tabs>
        <w:spacing w:before="40" w:line="240" w:lineRule="auto"/>
        <w:ind w:left="2268" w:hanging="567"/>
        <w:jc w:val="left"/>
        <w:rPr>
          <w:sz w:val="22"/>
          <w:szCs w:val="22"/>
        </w:rPr>
      </w:pPr>
      <w:r w:rsidRPr="0020151A">
        <w:rPr>
          <w:sz w:val="22"/>
          <w:szCs w:val="22"/>
        </w:rPr>
        <w:t>(ii)</w:t>
      </w:r>
      <w:r w:rsidRPr="0020151A">
        <w:rPr>
          <w:sz w:val="22"/>
          <w:szCs w:val="22"/>
        </w:rPr>
        <w:tab/>
      </w:r>
      <w:r w:rsidR="00D65CAC" w:rsidRPr="0020151A">
        <w:rPr>
          <w:sz w:val="22"/>
          <w:szCs w:val="22"/>
        </w:rPr>
        <w:t>twice the occupied bandwidth of the radiocommunications transmitter above 28.1 GHz; and</w:t>
      </w:r>
    </w:p>
    <w:p w14:paraId="5D968D2B" w14:textId="0BF42050" w:rsidR="00D65CAC" w:rsidRPr="0020151A" w:rsidRDefault="002E0B9C" w:rsidP="002E0B9C">
      <w:pPr>
        <w:pStyle w:val="paragraph"/>
        <w:rPr>
          <w:szCs w:val="22"/>
        </w:rPr>
      </w:pPr>
      <w:r w:rsidRPr="0020151A">
        <w:rPr>
          <w:szCs w:val="22"/>
        </w:rPr>
        <w:tab/>
      </w:r>
      <w:r w:rsidR="00D65CAC" w:rsidRPr="0020151A">
        <w:rPr>
          <w:szCs w:val="22"/>
        </w:rPr>
        <w:t>(c)</w:t>
      </w:r>
      <w:r w:rsidR="00D65CAC" w:rsidRPr="0020151A">
        <w:rPr>
          <w:szCs w:val="22"/>
        </w:rPr>
        <w:tab/>
        <w:t xml:space="preserve">when operated in the frequency </w:t>
      </w:r>
      <w:r w:rsidR="008817E6">
        <w:rPr>
          <w:szCs w:val="22"/>
        </w:rPr>
        <w:t>band</w:t>
      </w:r>
      <w:r w:rsidR="008817E6" w:rsidRPr="0020151A">
        <w:rPr>
          <w:szCs w:val="22"/>
        </w:rPr>
        <w:t xml:space="preserve"> </w:t>
      </w:r>
      <w:r w:rsidR="00D65CAC" w:rsidRPr="0020151A">
        <w:rPr>
          <w:szCs w:val="22"/>
        </w:rPr>
        <w:t>of 27.5</w:t>
      </w:r>
      <w:r w:rsidR="008817E6">
        <w:rPr>
          <w:szCs w:val="22"/>
        </w:rPr>
        <w:t xml:space="preserve"> GHz</w:t>
      </w:r>
      <w:r w:rsidR="00D65CAC" w:rsidRPr="0020151A">
        <w:rPr>
          <w:szCs w:val="22"/>
        </w:rPr>
        <w:t xml:space="preserve"> to 28.1 GHz outside a 26</w:t>
      </w:r>
      <w:r w:rsidR="008817E6">
        <w:rPr>
          <w:szCs w:val="22"/>
        </w:rPr>
        <w:t> </w:t>
      </w:r>
      <w:r w:rsidR="00D65CAC" w:rsidRPr="0020151A">
        <w:rPr>
          <w:szCs w:val="22"/>
        </w:rPr>
        <w:t>GHz band spectrum licence</w:t>
      </w:r>
      <w:r w:rsidR="00D65CAC" w:rsidRPr="0020151A" w:rsidDel="00904877">
        <w:rPr>
          <w:szCs w:val="22"/>
        </w:rPr>
        <w:t xml:space="preserve"> </w:t>
      </w:r>
      <w:r w:rsidR="00D65CAC" w:rsidRPr="0020151A">
        <w:rPr>
          <w:szCs w:val="22"/>
        </w:rPr>
        <w:t>area, the emissions of the radiocommunications transmitter do not exceed a maximum EIRP to the horizon of -17.8 dBW in a 1 MHz bandwidth within 30 kilometres of a 26 GHz band spectrum licence</w:t>
      </w:r>
      <w:r w:rsidR="00D65CAC" w:rsidRPr="0020151A" w:rsidDel="00307AA3">
        <w:rPr>
          <w:szCs w:val="22"/>
        </w:rPr>
        <w:t xml:space="preserve"> </w:t>
      </w:r>
      <w:r w:rsidR="00D65CAC" w:rsidRPr="0020151A">
        <w:rPr>
          <w:szCs w:val="22"/>
        </w:rPr>
        <w:t>area; and</w:t>
      </w:r>
    </w:p>
    <w:p w14:paraId="73B294F1" w14:textId="2F88643F" w:rsidR="00D65CAC" w:rsidRPr="0020151A" w:rsidRDefault="002E0B9C" w:rsidP="002E0B9C">
      <w:pPr>
        <w:pStyle w:val="paragraph"/>
        <w:rPr>
          <w:szCs w:val="22"/>
        </w:rPr>
      </w:pPr>
      <w:r w:rsidRPr="0020151A">
        <w:rPr>
          <w:szCs w:val="22"/>
        </w:rPr>
        <w:tab/>
      </w:r>
      <w:r w:rsidR="00D65CAC" w:rsidRPr="0020151A">
        <w:rPr>
          <w:szCs w:val="22"/>
        </w:rPr>
        <w:t>(d)</w:t>
      </w:r>
      <w:r w:rsidR="00D65CAC" w:rsidRPr="0020151A">
        <w:rPr>
          <w:szCs w:val="22"/>
        </w:rPr>
        <w:tab/>
        <w:t xml:space="preserve">when operated in the frequency </w:t>
      </w:r>
      <w:r w:rsidR="00785FAC">
        <w:rPr>
          <w:szCs w:val="22"/>
        </w:rPr>
        <w:t>band</w:t>
      </w:r>
      <w:r w:rsidR="00D65CAC" w:rsidRPr="0020151A">
        <w:rPr>
          <w:szCs w:val="22"/>
        </w:rPr>
        <w:t xml:space="preserve"> of 27.5</w:t>
      </w:r>
      <w:r w:rsidR="00785FAC">
        <w:rPr>
          <w:szCs w:val="22"/>
        </w:rPr>
        <w:t xml:space="preserve"> GHz</w:t>
      </w:r>
      <w:r w:rsidR="00D65CAC" w:rsidRPr="0020151A">
        <w:rPr>
          <w:szCs w:val="22"/>
        </w:rPr>
        <w:t xml:space="preserve"> to 27.7 GHz outside a 26</w:t>
      </w:r>
      <w:r w:rsidR="00785FAC">
        <w:rPr>
          <w:szCs w:val="22"/>
        </w:rPr>
        <w:t> </w:t>
      </w:r>
      <w:r w:rsidR="00D65CAC" w:rsidRPr="0020151A">
        <w:rPr>
          <w:szCs w:val="22"/>
        </w:rPr>
        <w:t>GHz band spectrum licence</w:t>
      </w:r>
      <w:r w:rsidR="00D65CAC" w:rsidRPr="0020151A" w:rsidDel="002C6EF2">
        <w:rPr>
          <w:szCs w:val="22"/>
        </w:rPr>
        <w:t xml:space="preserve"> </w:t>
      </w:r>
      <w:r w:rsidR="00D65CAC" w:rsidRPr="0020151A">
        <w:rPr>
          <w:szCs w:val="22"/>
        </w:rPr>
        <w:t>area, is not operated within the greater of:</w:t>
      </w:r>
    </w:p>
    <w:p w14:paraId="2508D817" w14:textId="1114105D" w:rsidR="00D65CAC" w:rsidRPr="0020151A" w:rsidRDefault="004B60B0" w:rsidP="004B60B0">
      <w:pPr>
        <w:pStyle w:val="P1"/>
        <w:tabs>
          <w:tab w:val="clear" w:pos="1191"/>
          <w:tab w:val="left" w:pos="2268"/>
        </w:tabs>
        <w:spacing w:before="40" w:line="240" w:lineRule="auto"/>
        <w:ind w:left="1701" w:firstLine="0"/>
        <w:jc w:val="left"/>
        <w:rPr>
          <w:sz w:val="22"/>
          <w:szCs w:val="22"/>
        </w:rPr>
      </w:pPr>
      <w:r w:rsidRPr="0020151A">
        <w:rPr>
          <w:sz w:val="22"/>
          <w:szCs w:val="22"/>
        </w:rPr>
        <w:t>(i)</w:t>
      </w:r>
      <w:r w:rsidRPr="0020151A">
        <w:rPr>
          <w:sz w:val="22"/>
          <w:szCs w:val="22"/>
        </w:rPr>
        <w:tab/>
      </w:r>
      <w:r w:rsidR="00D65CAC" w:rsidRPr="0020151A">
        <w:rPr>
          <w:sz w:val="22"/>
          <w:szCs w:val="22"/>
        </w:rPr>
        <w:t xml:space="preserve">50 MHz above 27.5 GHz; or </w:t>
      </w:r>
    </w:p>
    <w:p w14:paraId="5F56AB9E" w14:textId="23742867" w:rsidR="00D65CAC" w:rsidRPr="0020151A" w:rsidRDefault="004B60B0" w:rsidP="004B60B0">
      <w:pPr>
        <w:pStyle w:val="P1"/>
        <w:tabs>
          <w:tab w:val="clear" w:pos="1191"/>
          <w:tab w:val="left" w:pos="2268"/>
        </w:tabs>
        <w:spacing w:before="40" w:line="240" w:lineRule="auto"/>
        <w:ind w:left="2268" w:hanging="567"/>
        <w:jc w:val="left"/>
        <w:rPr>
          <w:sz w:val="22"/>
          <w:szCs w:val="22"/>
        </w:rPr>
      </w:pPr>
      <w:r w:rsidRPr="0020151A">
        <w:rPr>
          <w:sz w:val="22"/>
          <w:szCs w:val="22"/>
        </w:rPr>
        <w:t>(ii)</w:t>
      </w:r>
      <w:r w:rsidRPr="0020151A">
        <w:rPr>
          <w:sz w:val="22"/>
          <w:szCs w:val="22"/>
        </w:rPr>
        <w:tab/>
      </w:r>
      <w:r w:rsidR="00D65CAC" w:rsidRPr="0020151A">
        <w:rPr>
          <w:sz w:val="22"/>
          <w:szCs w:val="22"/>
        </w:rPr>
        <w:t>twice the occupied bandwidth of the radiocommunications transmitter above 27.5 GHz.</w:t>
      </w:r>
    </w:p>
    <w:p w14:paraId="1B02AE42" w14:textId="5E9E7478" w:rsidR="00D65CAC" w:rsidRPr="0020151A" w:rsidRDefault="00851A07" w:rsidP="00851A07">
      <w:pPr>
        <w:pStyle w:val="subsection"/>
        <w:rPr>
          <w:szCs w:val="22"/>
        </w:rPr>
      </w:pPr>
      <w:r>
        <w:rPr>
          <w:szCs w:val="22"/>
        </w:rPr>
        <w:tab/>
      </w:r>
      <w:r w:rsidR="00D65CAC" w:rsidRPr="0020151A">
        <w:rPr>
          <w:szCs w:val="22"/>
        </w:rPr>
        <w:t>(</w:t>
      </w:r>
      <w:r w:rsidR="00785FAC">
        <w:rPr>
          <w:szCs w:val="22"/>
        </w:rPr>
        <w:t>10</w:t>
      </w:r>
      <w:r w:rsidR="00D65CAC" w:rsidRPr="0020151A">
        <w:rPr>
          <w:szCs w:val="22"/>
        </w:rPr>
        <w:t>)</w:t>
      </w:r>
      <w:r w:rsidR="00D65CAC" w:rsidRPr="0020151A">
        <w:rPr>
          <w:szCs w:val="22"/>
        </w:rPr>
        <w:tab/>
        <w:t xml:space="preserve">This </w:t>
      </w:r>
      <w:r w:rsidR="00354089" w:rsidRPr="0020151A">
        <w:rPr>
          <w:szCs w:val="22"/>
        </w:rPr>
        <w:t>instrument</w:t>
      </w:r>
      <w:r w:rsidR="00D65CAC" w:rsidRPr="0020151A">
        <w:rPr>
          <w:szCs w:val="22"/>
        </w:rPr>
        <w:t xml:space="preserve"> authorises the operation of a station in the frequency </w:t>
      </w:r>
      <w:r w:rsidR="00E60B06">
        <w:rPr>
          <w:szCs w:val="22"/>
        </w:rPr>
        <w:t>band</w:t>
      </w:r>
      <w:r w:rsidR="00D65CAC" w:rsidRPr="0020151A">
        <w:rPr>
          <w:szCs w:val="22"/>
        </w:rPr>
        <w:t xml:space="preserve"> of 27.5 </w:t>
      </w:r>
      <w:r w:rsidR="00785FAC">
        <w:rPr>
          <w:szCs w:val="22"/>
        </w:rPr>
        <w:t xml:space="preserve">GHz </w:t>
      </w:r>
      <w:r w:rsidR="00D65CAC" w:rsidRPr="0020151A">
        <w:rPr>
          <w:szCs w:val="22"/>
        </w:rPr>
        <w:t xml:space="preserve">to 28.3 GHz on board an aircraft that is in the air only if the radiocommunications transmitter of the station does not exceed the maximum power flux density limits specified in clause 3.1 of Part II: Aeronautical ESIMs of Annex 3 to ITU-R Resolution 169 (WRC-19) for any </w:t>
      </w:r>
      <w:r w:rsidR="00C1614B" w:rsidRPr="0020151A">
        <w:rPr>
          <w:szCs w:val="22"/>
        </w:rPr>
        <w:t xml:space="preserve">radio </w:t>
      </w:r>
      <w:r w:rsidR="00D65CAC" w:rsidRPr="0020151A">
        <w:rPr>
          <w:szCs w:val="22"/>
        </w:rPr>
        <w:t xml:space="preserve">emissions in the frequency </w:t>
      </w:r>
      <w:r w:rsidR="00785FAC">
        <w:rPr>
          <w:szCs w:val="22"/>
        </w:rPr>
        <w:t>band</w:t>
      </w:r>
      <w:r w:rsidR="00785FAC" w:rsidRPr="0020151A">
        <w:rPr>
          <w:szCs w:val="22"/>
        </w:rPr>
        <w:t xml:space="preserve"> </w:t>
      </w:r>
      <w:r w:rsidR="00D65CAC" w:rsidRPr="0020151A">
        <w:rPr>
          <w:szCs w:val="22"/>
        </w:rPr>
        <w:t xml:space="preserve">of 27.5 </w:t>
      </w:r>
      <w:r w:rsidR="00785FAC">
        <w:rPr>
          <w:szCs w:val="22"/>
        </w:rPr>
        <w:t xml:space="preserve">GHz </w:t>
      </w:r>
      <w:r w:rsidR="00D65CAC" w:rsidRPr="0020151A">
        <w:rPr>
          <w:szCs w:val="22"/>
        </w:rPr>
        <w:t>to 28.1</w:t>
      </w:r>
      <w:r w:rsidR="00785FAC">
        <w:rPr>
          <w:szCs w:val="22"/>
        </w:rPr>
        <w:t> </w:t>
      </w:r>
      <w:r w:rsidR="00D65CAC" w:rsidRPr="0020151A">
        <w:rPr>
          <w:szCs w:val="22"/>
        </w:rPr>
        <w:t>GHz in a 26 GHz band spectrum licence</w:t>
      </w:r>
      <w:r w:rsidR="00D65CAC" w:rsidRPr="0020151A" w:rsidDel="00587218">
        <w:rPr>
          <w:szCs w:val="22"/>
        </w:rPr>
        <w:t xml:space="preserve"> </w:t>
      </w:r>
      <w:r w:rsidR="00D65CAC" w:rsidRPr="0020151A">
        <w:rPr>
          <w:szCs w:val="22"/>
        </w:rPr>
        <w:t>area.</w:t>
      </w:r>
    </w:p>
    <w:p w14:paraId="50E3D5FE" w14:textId="5C82D768" w:rsidR="00D65CAC" w:rsidRDefault="00851A07" w:rsidP="00851A07">
      <w:pPr>
        <w:pStyle w:val="subsection"/>
        <w:rPr>
          <w:szCs w:val="22"/>
        </w:rPr>
      </w:pPr>
      <w:r>
        <w:rPr>
          <w:szCs w:val="22"/>
        </w:rPr>
        <w:tab/>
      </w:r>
      <w:r w:rsidR="00D65CAC" w:rsidRPr="0020151A">
        <w:rPr>
          <w:szCs w:val="22"/>
        </w:rPr>
        <w:t>(</w:t>
      </w:r>
      <w:r w:rsidR="00785FAC">
        <w:rPr>
          <w:szCs w:val="22"/>
        </w:rPr>
        <w:t>11</w:t>
      </w:r>
      <w:r w:rsidR="00D65CAC" w:rsidRPr="0020151A">
        <w:rPr>
          <w:szCs w:val="22"/>
        </w:rPr>
        <w:t>)</w:t>
      </w:r>
      <w:r w:rsidR="00D65CAC" w:rsidRPr="0020151A">
        <w:rPr>
          <w:szCs w:val="22"/>
        </w:rPr>
        <w:tab/>
        <w:t xml:space="preserve">This </w:t>
      </w:r>
      <w:r w:rsidR="007C5165" w:rsidRPr="0020151A">
        <w:rPr>
          <w:szCs w:val="22"/>
        </w:rPr>
        <w:t>instrument</w:t>
      </w:r>
      <w:r w:rsidR="00D65CAC" w:rsidRPr="0020151A">
        <w:rPr>
          <w:szCs w:val="22"/>
        </w:rPr>
        <w:t xml:space="preserve"> authorises the operation of a station in the frequency </w:t>
      </w:r>
      <w:r w:rsidR="00785FAC">
        <w:rPr>
          <w:szCs w:val="22"/>
        </w:rPr>
        <w:t>band</w:t>
      </w:r>
      <w:r w:rsidR="00785FAC" w:rsidRPr="0020151A">
        <w:rPr>
          <w:szCs w:val="22"/>
        </w:rPr>
        <w:t xml:space="preserve"> </w:t>
      </w:r>
      <w:r w:rsidR="00D65CAC" w:rsidRPr="0020151A">
        <w:rPr>
          <w:szCs w:val="22"/>
        </w:rPr>
        <w:t>of 27.5 </w:t>
      </w:r>
      <w:r w:rsidR="00785FAC">
        <w:rPr>
          <w:szCs w:val="22"/>
        </w:rPr>
        <w:t xml:space="preserve">GHz </w:t>
      </w:r>
      <w:r w:rsidR="00D65CAC" w:rsidRPr="0020151A">
        <w:rPr>
          <w:szCs w:val="22"/>
        </w:rPr>
        <w:t xml:space="preserve">to 28.3 GHz on board a ship only if the radiocommunications transmitter of the station does not exceed a power flux density on the shore of -112.2 dBW per square metre for </w:t>
      </w:r>
      <w:r w:rsidR="00D65CAC" w:rsidRPr="0020151A">
        <w:rPr>
          <w:szCs w:val="22"/>
        </w:rPr>
        <w:lastRenderedPageBreak/>
        <w:t xml:space="preserve">each MHz at a height of 30 metres above ground level for any </w:t>
      </w:r>
      <w:r w:rsidR="00C1614B" w:rsidRPr="0020151A">
        <w:rPr>
          <w:szCs w:val="22"/>
        </w:rPr>
        <w:t xml:space="preserve">radio </w:t>
      </w:r>
      <w:r w:rsidR="00D65CAC" w:rsidRPr="0020151A">
        <w:rPr>
          <w:szCs w:val="22"/>
        </w:rPr>
        <w:t xml:space="preserve">emissions in the frequency </w:t>
      </w:r>
      <w:r w:rsidR="00903D15">
        <w:rPr>
          <w:szCs w:val="22"/>
        </w:rPr>
        <w:t>band</w:t>
      </w:r>
      <w:r w:rsidR="00D65CAC" w:rsidRPr="0020151A">
        <w:rPr>
          <w:szCs w:val="22"/>
        </w:rPr>
        <w:t xml:space="preserve"> of 27.5 </w:t>
      </w:r>
      <w:r w:rsidR="00CA39AD">
        <w:rPr>
          <w:szCs w:val="22"/>
        </w:rPr>
        <w:t xml:space="preserve">GHz </w:t>
      </w:r>
      <w:r w:rsidR="00D65CAC" w:rsidRPr="0020151A">
        <w:rPr>
          <w:szCs w:val="22"/>
        </w:rPr>
        <w:t>to 28.1 GHz in a 26 GHz band spectrum licence</w:t>
      </w:r>
      <w:r w:rsidR="00D65CAC" w:rsidRPr="0020151A" w:rsidDel="00AD2E9C">
        <w:rPr>
          <w:szCs w:val="22"/>
        </w:rPr>
        <w:t xml:space="preserve"> </w:t>
      </w:r>
      <w:r w:rsidR="00D65CAC" w:rsidRPr="0020151A">
        <w:rPr>
          <w:szCs w:val="22"/>
        </w:rPr>
        <w:t>area.</w:t>
      </w:r>
    </w:p>
    <w:p w14:paraId="50042E7E" w14:textId="7663D54B" w:rsidR="009C23EC" w:rsidRPr="0020151A" w:rsidRDefault="009C23EC" w:rsidP="00A128EC">
      <w:pPr>
        <w:pStyle w:val="subsection"/>
        <w:rPr>
          <w:szCs w:val="22"/>
        </w:rPr>
      </w:pPr>
      <w:r>
        <w:rPr>
          <w:szCs w:val="22"/>
        </w:rPr>
        <w:tab/>
        <w:t>(12)</w:t>
      </w:r>
      <w:r w:rsidR="00617518">
        <w:rPr>
          <w:szCs w:val="22"/>
        </w:rPr>
        <w:tab/>
      </w:r>
      <w:r>
        <w:rPr>
          <w:szCs w:val="22"/>
        </w:rPr>
        <w:t>T</w:t>
      </w:r>
      <w:r w:rsidR="00A128EC">
        <w:rPr>
          <w:szCs w:val="22"/>
        </w:rPr>
        <w:t>h</w:t>
      </w:r>
      <w:r w:rsidR="00E2691B">
        <w:rPr>
          <w:szCs w:val="22"/>
        </w:rPr>
        <w:t>is</w:t>
      </w:r>
      <w:r w:rsidRPr="009C23EC">
        <w:rPr>
          <w:szCs w:val="22"/>
        </w:rPr>
        <w:t xml:space="preserve"> instrument does not authorise the operation of a station in a way that is inconsistent with the </w:t>
      </w:r>
      <w:r w:rsidRPr="00E2691B">
        <w:rPr>
          <w:i/>
          <w:iCs/>
          <w:szCs w:val="22"/>
        </w:rPr>
        <w:t>Radiocommunications (Australian Radio Quiet Zone Western Australia) Frequency Band Plan 2023</w:t>
      </w:r>
      <w:r w:rsidRPr="009C23EC">
        <w:rPr>
          <w:szCs w:val="22"/>
        </w:rPr>
        <w:t>, as in force from time to time.</w:t>
      </w:r>
    </w:p>
    <w:p w14:paraId="0E479F95" w14:textId="2288198E" w:rsidR="00B00BE2" w:rsidRPr="0043322F" w:rsidRDefault="00B00BE2" w:rsidP="0043322F">
      <w:pPr>
        <w:pStyle w:val="notetext"/>
      </w:pPr>
      <w:r w:rsidRPr="0043322F">
        <w:t>Note 1:</w:t>
      </w:r>
      <w:r w:rsidR="0043322F">
        <w:tab/>
      </w:r>
      <w:r w:rsidRPr="0043322F">
        <w:t xml:space="preserve">A station to which this </w:t>
      </w:r>
      <w:r w:rsidR="00321B5B" w:rsidRPr="0043322F">
        <w:t>instrument</w:t>
      </w:r>
      <w:r w:rsidRPr="0043322F">
        <w:t xml:space="preserve"> applies will not be afforded protection from interference caused by a radiocommunications transmitter of other radiocommunications services.</w:t>
      </w:r>
    </w:p>
    <w:p w14:paraId="6CC1D17F" w14:textId="6B6BAB04" w:rsidR="00B00BE2" w:rsidRPr="0043322F" w:rsidRDefault="00B00BE2" w:rsidP="0043322F">
      <w:pPr>
        <w:pStyle w:val="notetext"/>
      </w:pPr>
      <w:r w:rsidRPr="0043322F">
        <w:t>Note 2:</w:t>
      </w:r>
      <w:r w:rsidR="00C45F5F">
        <w:tab/>
      </w:r>
      <w:r w:rsidR="00E2691B">
        <w:t>T</w:t>
      </w:r>
      <w:r w:rsidRPr="0043322F">
        <w:t>he </w:t>
      </w:r>
      <w:r w:rsidR="00966785" w:rsidRPr="005B6C7F">
        <w:rPr>
          <w:i/>
          <w:iCs/>
        </w:rPr>
        <w:t>Radiocommunications (Australian Radio Quiet Zone Western Australia) Frequency Band Plan 2023</w:t>
      </w:r>
      <w:r w:rsidR="003731C8">
        <w:rPr>
          <w:i/>
          <w:iCs/>
        </w:rPr>
        <w:t xml:space="preserve"> </w:t>
      </w:r>
      <w:r w:rsidR="005B6C7F">
        <w:t>is available,</w:t>
      </w:r>
      <w:r w:rsidRPr="0043322F">
        <w:t xml:space="preserve"> free</w:t>
      </w:r>
      <w:r w:rsidR="005B6C7F">
        <w:t xml:space="preserve"> o</w:t>
      </w:r>
      <w:r w:rsidR="00652137">
        <w:t>f</w:t>
      </w:r>
      <w:r w:rsidR="005B6C7F">
        <w:t xml:space="preserve"> charge</w:t>
      </w:r>
      <w:r w:rsidR="00652137">
        <w:t>,</w:t>
      </w:r>
      <w:r w:rsidRPr="0043322F">
        <w:t xml:space="preserve"> </w:t>
      </w:r>
      <w:r w:rsidR="0082661D" w:rsidRPr="00FC509B">
        <w:rPr>
          <w:bCs/>
          <w:iCs/>
          <w:szCs w:val="18"/>
        </w:rPr>
        <w:t xml:space="preserve">from the Federal Register of Legislation at </w:t>
      </w:r>
      <w:r w:rsidRPr="0043322F">
        <w:t>www.legislation.gov.au.</w:t>
      </w:r>
    </w:p>
    <w:p w14:paraId="01D410F3" w14:textId="2275A67F" w:rsidR="00147F2E" w:rsidRPr="0043322F" w:rsidRDefault="00B00BE2" w:rsidP="0043322F">
      <w:pPr>
        <w:pStyle w:val="notetext"/>
      </w:pPr>
      <w:r w:rsidRPr="0043322F">
        <w:t>Note 3:</w:t>
      </w:r>
      <w:r w:rsidR="00133A4F">
        <w:tab/>
      </w:r>
      <w:r w:rsidRPr="0043322F">
        <w:t xml:space="preserve">Section 197 of the Act makes it an offence for a person to engage in conduct where they are reckless as to whether that conduct will result in substantial interference with, or substantial disruption or disturbance of, radiocommunications. In administering that provision with respect to the operation of a station for transmission on land under this </w:t>
      </w:r>
      <w:r w:rsidR="001639BE" w:rsidRPr="0043322F">
        <w:t>instrument</w:t>
      </w:r>
      <w:r w:rsidRPr="0043322F">
        <w:t xml:space="preserve"> within the RQZ (inner) zone described in </w:t>
      </w:r>
      <w:r w:rsidR="0046557C" w:rsidRPr="0043322F">
        <w:t xml:space="preserve">item 1 of Schedule 1 to the </w:t>
      </w:r>
      <w:bookmarkStart w:id="12" w:name="_Hlk151633415"/>
      <w:r w:rsidR="0046557C" w:rsidRPr="00451990">
        <w:rPr>
          <w:i/>
          <w:iCs/>
        </w:rPr>
        <w:t>Radiocommunications (Australian Radio Quiet Zone Western Australia) Frequency Band Plan 2023</w:t>
      </w:r>
      <w:bookmarkEnd w:id="12"/>
      <w:r w:rsidRPr="0043322F">
        <w:t>, as in force from time to time, the ACMA will take into account whether or not the entity responsible for operating the Murchison Radioastronomy Observatory objects to the operation of the station.</w:t>
      </w:r>
    </w:p>
    <w:p w14:paraId="06F0D6CA" w14:textId="7B689918" w:rsidR="00AB74ED" w:rsidRPr="00851A07" w:rsidRDefault="00725F20" w:rsidP="00081716">
      <w:pPr>
        <w:pStyle w:val="ActHead5"/>
      </w:pPr>
      <w:r w:rsidRPr="00564D1C">
        <w:rPr>
          <w:rStyle w:val="CharSectno"/>
        </w:rPr>
        <w:t>11</w:t>
      </w:r>
      <w:r w:rsidR="0040785C">
        <w:rPr>
          <w:rStyle w:val="CharSectno"/>
        </w:rPr>
        <w:t xml:space="preserve">  </w:t>
      </w:r>
      <w:r w:rsidR="006720C6" w:rsidRPr="00851A07">
        <w:t>Interference to certain receiving stations</w:t>
      </w:r>
    </w:p>
    <w:p w14:paraId="43D1B665" w14:textId="43907C4D" w:rsidR="003F7B5A" w:rsidRPr="00A000DD" w:rsidRDefault="004C0EF9" w:rsidP="00851A07">
      <w:pPr>
        <w:pStyle w:val="subsection"/>
        <w:rPr>
          <w:szCs w:val="22"/>
        </w:rPr>
      </w:pPr>
      <w:r w:rsidRPr="00A000DD">
        <w:rPr>
          <w:szCs w:val="22"/>
        </w:rPr>
        <w:tab/>
      </w:r>
      <w:r w:rsidRPr="00A000DD">
        <w:rPr>
          <w:szCs w:val="22"/>
        </w:rPr>
        <w:tab/>
      </w:r>
      <w:r w:rsidR="003F7B5A" w:rsidRPr="00A000DD">
        <w:rPr>
          <w:szCs w:val="22"/>
        </w:rPr>
        <w:t xml:space="preserve">The operation of a station for reception in the following frequency </w:t>
      </w:r>
      <w:r w:rsidR="00122CC7">
        <w:rPr>
          <w:szCs w:val="22"/>
        </w:rPr>
        <w:t>bands</w:t>
      </w:r>
      <w:r w:rsidR="003F7B5A" w:rsidRPr="00A000DD">
        <w:rPr>
          <w:szCs w:val="22"/>
        </w:rPr>
        <w:t xml:space="preserve"> </w:t>
      </w:r>
      <w:r w:rsidR="00375F77">
        <w:rPr>
          <w:szCs w:val="22"/>
        </w:rPr>
        <w:t>is</w:t>
      </w:r>
      <w:r w:rsidR="009D1E02">
        <w:rPr>
          <w:szCs w:val="22"/>
        </w:rPr>
        <w:t xml:space="preserve"> subject to</w:t>
      </w:r>
      <w:r w:rsidR="003F7B5A" w:rsidRPr="00A000DD">
        <w:rPr>
          <w:szCs w:val="22"/>
        </w:rPr>
        <w:t xml:space="preserve"> no</w:t>
      </w:r>
      <w:r w:rsidR="00BD6351">
        <w:rPr>
          <w:szCs w:val="22"/>
        </w:rPr>
        <w:t xml:space="preserve"> </w:t>
      </w:r>
      <w:r w:rsidR="003F7B5A" w:rsidRPr="00A000DD">
        <w:rPr>
          <w:szCs w:val="22"/>
        </w:rPr>
        <w:t>protection from interference caused by a point to point station:</w:t>
      </w:r>
    </w:p>
    <w:p w14:paraId="5F4F1822" w14:textId="32838BE2" w:rsidR="003F7B5A" w:rsidRPr="00A000DD" w:rsidRDefault="005A3116" w:rsidP="00851A07">
      <w:pPr>
        <w:pStyle w:val="paragraph"/>
        <w:rPr>
          <w:szCs w:val="22"/>
        </w:rPr>
      </w:pPr>
      <w:r w:rsidRPr="00A000DD">
        <w:rPr>
          <w:szCs w:val="22"/>
        </w:rPr>
        <w:tab/>
        <w:t>(a)</w:t>
      </w:r>
      <w:r w:rsidR="0048065C" w:rsidRPr="00A000DD">
        <w:rPr>
          <w:szCs w:val="22"/>
        </w:rPr>
        <w:tab/>
      </w:r>
      <w:r w:rsidR="003F7B5A" w:rsidRPr="00A000DD">
        <w:rPr>
          <w:szCs w:val="22"/>
        </w:rPr>
        <w:t xml:space="preserve">10.7 </w:t>
      </w:r>
      <w:r w:rsidR="005D5B51">
        <w:rPr>
          <w:szCs w:val="22"/>
        </w:rPr>
        <w:t xml:space="preserve">GHz </w:t>
      </w:r>
      <w:r w:rsidR="003F7B5A" w:rsidRPr="00A000DD">
        <w:rPr>
          <w:szCs w:val="22"/>
        </w:rPr>
        <w:t>to 11.7 GHz;</w:t>
      </w:r>
    </w:p>
    <w:p w14:paraId="785DA937" w14:textId="7198029E" w:rsidR="003F7B5A" w:rsidRPr="00A000DD" w:rsidRDefault="0048065C" w:rsidP="00851A07">
      <w:pPr>
        <w:pStyle w:val="paragraph"/>
        <w:rPr>
          <w:szCs w:val="22"/>
        </w:rPr>
      </w:pPr>
      <w:r w:rsidRPr="00A000DD">
        <w:rPr>
          <w:szCs w:val="22"/>
        </w:rPr>
        <w:tab/>
      </w:r>
      <w:r w:rsidR="005A3116" w:rsidRPr="00A000DD">
        <w:rPr>
          <w:szCs w:val="22"/>
        </w:rPr>
        <w:t>(b)</w:t>
      </w:r>
      <w:r w:rsidRPr="00A000DD">
        <w:rPr>
          <w:szCs w:val="22"/>
        </w:rPr>
        <w:tab/>
      </w:r>
      <w:r w:rsidR="003F7B5A" w:rsidRPr="00A000DD">
        <w:rPr>
          <w:szCs w:val="22"/>
        </w:rPr>
        <w:t xml:space="preserve">18.2 </w:t>
      </w:r>
      <w:r w:rsidR="005D5B51">
        <w:rPr>
          <w:szCs w:val="22"/>
        </w:rPr>
        <w:t xml:space="preserve">GHz </w:t>
      </w:r>
      <w:r w:rsidR="003F7B5A" w:rsidRPr="00A000DD">
        <w:rPr>
          <w:szCs w:val="22"/>
        </w:rPr>
        <w:t>to 18.8 GHz;</w:t>
      </w:r>
    </w:p>
    <w:p w14:paraId="449ED3E1" w14:textId="790FC4AB" w:rsidR="00AB74ED" w:rsidRPr="00A000DD" w:rsidRDefault="0048065C" w:rsidP="00851A07">
      <w:pPr>
        <w:pStyle w:val="paragraph"/>
        <w:rPr>
          <w:szCs w:val="22"/>
        </w:rPr>
      </w:pPr>
      <w:r w:rsidRPr="00A000DD">
        <w:rPr>
          <w:szCs w:val="22"/>
        </w:rPr>
        <w:tab/>
      </w:r>
      <w:r w:rsidR="005A3116" w:rsidRPr="00A000DD">
        <w:rPr>
          <w:szCs w:val="22"/>
        </w:rPr>
        <w:t>(c)</w:t>
      </w:r>
      <w:r w:rsidRPr="00A000DD">
        <w:rPr>
          <w:szCs w:val="22"/>
        </w:rPr>
        <w:tab/>
      </w:r>
      <w:r w:rsidR="003F7B5A" w:rsidRPr="00A000DD">
        <w:rPr>
          <w:szCs w:val="22"/>
        </w:rPr>
        <w:t xml:space="preserve">19.3 </w:t>
      </w:r>
      <w:r w:rsidR="005D5B51">
        <w:rPr>
          <w:szCs w:val="22"/>
        </w:rPr>
        <w:t xml:space="preserve">GHz </w:t>
      </w:r>
      <w:r w:rsidR="003F7B5A" w:rsidRPr="00A000DD">
        <w:rPr>
          <w:szCs w:val="22"/>
        </w:rPr>
        <w:t>to 19.7 GHz.</w:t>
      </w:r>
    </w:p>
    <w:sectPr w:rsidR="00AB74ED" w:rsidRPr="00A000DD" w:rsidSect="00366807">
      <w:headerReference w:type="default" r:id="rId20"/>
      <w:pgSz w:w="11906" w:h="16838"/>
      <w:pgMar w:top="1276"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780F" w14:textId="77777777" w:rsidR="00EB0A69" w:rsidRDefault="00EB0A69" w:rsidP="0017734A">
      <w:pPr>
        <w:spacing w:after="0" w:line="240" w:lineRule="auto"/>
      </w:pPr>
      <w:r>
        <w:separator/>
      </w:r>
    </w:p>
  </w:endnote>
  <w:endnote w:type="continuationSeparator" w:id="0">
    <w:p w14:paraId="006E431F" w14:textId="77777777" w:rsidR="00EB0A69" w:rsidRDefault="00EB0A69"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50D1" w14:textId="77777777" w:rsidR="00366807" w:rsidRDefault="0036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EA28" w14:textId="36AA0A12" w:rsidR="00C15D65" w:rsidRPr="00897384" w:rsidRDefault="00C15D65" w:rsidP="00C15D65">
    <w:pPr>
      <w:pStyle w:val="Footer"/>
      <w:pBdr>
        <w:top w:val="single" w:sz="4" w:space="1" w:color="auto"/>
      </w:pBdr>
      <w:jc w:val="center"/>
      <w:rPr>
        <w:rFonts w:ascii="Times New Roman" w:hAnsi="Times New Roman" w:cs="Times New Roman"/>
        <w:i/>
        <w:iCs/>
        <w:sz w:val="20"/>
        <w:szCs w:val="20"/>
      </w:rPr>
    </w:pPr>
    <w:r w:rsidRPr="00897384">
      <w:rPr>
        <w:rFonts w:ascii="Times New Roman" w:hAnsi="Times New Roman" w:cs="Times New Roman"/>
        <w:i/>
        <w:iCs/>
        <w:sz w:val="20"/>
        <w:szCs w:val="20"/>
      </w:rPr>
      <w:t>Radiocommunications (Communicati</w:t>
    </w:r>
    <w:r w:rsidR="00517890" w:rsidRPr="00897384">
      <w:rPr>
        <w:rFonts w:ascii="Times New Roman" w:hAnsi="Times New Roman" w:cs="Times New Roman"/>
        <w:i/>
        <w:iCs/>
        <w:sz w:val="20"/>
        <w:szCs w:val="20"/>
      </w:rPr>
      <w:t>on</w:t>
    </w:r>
    <w:r w:rsidRPr="00897384">
      <w:rPr>
        <w:rFonts w:ascii="Times New Roman" w:hAnsi="Times New Roman" w:cs="Times New Roman"/>
        <w:i/>
        <w:iCs/>
        <w:sz w:val="20"/>
        <w:szCs w:val="20"/>
      </w:rPr>
      <w:t xml:space="preserve"> with Space Object) Class Licence 2025</w:t>
    </w:r>
  </w:p>
  <w:p w14:paraId="35D80E83" w14:textId="46009812" w:rsidR="00C15D65" w:rsidRPr="00366807" w:rsidRDefault="00C81720" w:rsidP="00C81720">
    <w:pPr>
      <w:pStyle w:val="Footer"/>
      <w:jc w:val="right"/>
      <w:rPr>
        <w:rFonts w:ascii="Times New Roman" w:hAnsi="Times New Roman" w:cs="Times New Roman"/>
        <w:sz w:val="20"/>
        <w:szCs w:val="20"/>
      </w:rPr>
    </w:pPr>
    <w:r w:rsidRPr="00366807">
      <w:rPr>
        <w:rFonts w:ascii="Times New Roman" w:hAnsi="Times New Roman" w:cs="Times New Roman"/>
        <w:sz w:val="20"/>
        <w:szCs w:val="20"/>
      </w:rPr>
      <w:fldChar w:fldCharType="begin"/>
    </w:r>
    <w:r w:rsidRPr="00366807">
      <w:rPr>
        <w:rFonts w:ascii="Times New Roman" w:hAnsi="Times New Roman" w:cs="Times New Roman"/>
        <w:sz w:val="20"/>
        <w:szCs w:val="20"/>
      </w:rPr>
      <w:instrText xml:space="preserve"> PAGE   \* MERGEFORMAT </w:instrText>
    </w:r>
    <w:r w:rsidRPr="00366807">
      <w:rPr>
        <w:rFonts w:ascii="Times New Roman" w:hAnsi="Times New Roman" w:cs="Times New Roman"/>
        <w:sz w:val="20"/>
        <w:szCs w:val="20"/>
      </w:rPr>
      <w:fldChar w:fldCharType="separate"/>
    </w:r>
    <w:r w:rsidRPr="00366807">
      <w:rPr>
        <w:rFonts w:ascii="Times New Roman" w:hAnsi="Times New Roman" w:cs="Times New Roman"/>
        <w:noProof/>
        <w:sz w:val="20"/>
        <w:szCs w:val="20"/>
      </w:rPr>
      <w:t>1</w:t>
    </w:r>
    <w:r w:rsidRPr="00366807">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FD8F" w14:textId="77777777" w:rsidR="00366807" w:rsidRDefault="0036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404B" w14:textId="77777777" w:rsidR="00EB0A69" w:rsidRDefault="00EB0A69" w:rsidP="0017734A">
      <w:pPr>
        <w:spacing w:after="0" w:line="240" w:lineRule="auto"/>
      </w:pPr>
      <w:r>
        <w:separator/>
      </w:r>
    </w:p>
  </w:footnote>
  <w:footnote w:type="continuationSeparator" w:id="0">
    <w:p w14:paraId="2484A5EE" w14:textId="77777777" w:rsidR="00EB0A69" w:rsidRDefault="00EB0A69"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58AF" w14:textId="77777777" w:rsidR="00366807" w:rsidRDefault="0036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15A3" w14:textId="77777777" w:rsidR="00366807" w:rsidRDefault="00366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66EA" w14:textId="77777777" w:rsidR="00366807" w:rsidRDefault="003668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3DFA" w14:textId="05BE757E" w:rsidR="00B6117D" w:rsidRPr="00897384" w:rsidRDefault="00946C97" w:rsidP="00892659">
    <w:pPr>
      <w:pStyle w:val="Header"/>
      <w:pBdr>
        <w:bottom w:val="single" w:sz="4" w:space="1" w:color="auto"/>
      </w:pBdr>
      <w:rPr>
        <w:rFonts w:ascii="Arial" w:hAnsi="Arial" w:cs="Arial"/>
        <w:sz w:val="18"/>
        <w:szCs w:val="18"/>
      </w:rPr>
    </w:pPr>
    <w:r w:rsidRPr="00897384">
      <w:rPr>
        <w:rFonts w:ascii="Times New Roman" w:hAnsi="Times New Roman" w:cs="Times New Roman"/>
        <w:sz w:val="20"/>
        <w:szCs w:val="20"/>
      </w:rPr>
      <w:t xml:space="preserve">Section </w:t>
    </w:r>
    <w:r w:rsidRPr="00897384">
      <w:rPr>
        <w:rFonts w:ascii="Times New Roman" w:hAnsi="Times New Roman" w:cs="Times New Roman"/>
        <w:sz w:val="20"/>
        <w:szCs w:val="20"/>
      </w:rPr>
      <w:fldChar w:fldCharType="begin"/>
    </w:r>
    <w:r w:rsidRPr="00897384">
      <w:rPr>
        <w:rFonts w:ascii="Times New Roman" w:hAnsi="Times New Roman" w:cs="Times New Roman"/>
        <w:sz w:val="20"/>
        <w:szCs w:val="20"/>
      </w:rPr>
      <w:instrText xml:space="preserve"> STYLEREF  CharSectno  \* MERGEFORMAT </w:instrText>
    </w:r>
    <w:r w:rsidRPr="00897384">
      <w:rPr>
        <w:rFonts w:ascii="Times New Roman" w:hAnsi="Times New Roman" w:cs="Times New Roman"/>
        <w:sz w:val="20"/>
        <w:szCs w:val="20"/>
      </w:rPr>
      <w:fldChar w:fldCharType="separate"/>
    </w:r>
    <w:r w:rsidR="00CE7F11">
      <w:rPr>
        <w:rFonts w:ascii="Times New Roman" w:hAnsi="Times New Roman" w:cs="Times New Roman"/>
        <w:noProof/>
        <w:sz w:val="20"/>
        <w:szCs w:val="20"/>
      </w:rPr>
      <w:t>1</w:t>
    </w:r>
    <w:r w:rsidRPr="00897384">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568B4"/>
    <w:multiLevelType w:val="hybridMultilevel"/>
    <w:tmpl w:val="1DF2357C"/>
    <w:lvl w:ilvl="0" w:tplc="3D4E6A74">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9B6430A"/>
    <w:multiLevelType w:val="hybridMultilevel"/>
    <w:tmpl w:val="2354CD2E"/>
    <w:lvl w:ilvl="0" w:tplc="26AE3C64">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3" w15:restartNumberingAfterBreak="0">
    <w:nsid w:val="15AA4CD2"/>
    <w:multiLevelType w:val="hybridMultilevel"/>
    <w:tmpl w:val="952C5C4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4" w15:restartNumberingAfterBreak="0">
    <w:nsid w:val="16B66731"/>
    <w:multiLevelType w:val="hybridMultilevel"/>
    <w:tmpl w:val="7DDA8430"/>
    <w:lvl w:ilvl="0" w:tplc="0E4860AE">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5" w15:restartNumberingAfterBreak="0">
    <w:nsid w:val="20982E0C"/>
    <w:multiLevelType w:val="hybridMultilevel"/>
    <w:tmpl w:val="5BEE208C"/>
    <w:lvl w:ilvl="0" w:tplc="3D4E6A74">
      <w:start w:val="1"/>
      <w:numFmt w:val="lowerRoman"/>
      <w:lvlText w:val="(%1)"/>
      <w:lvlJc w:val="left"/>
      <w:pPr>
        <w:ind w:left="1637"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6" w15:restartNumberingAfterBreak="0">
    <w:nsid w:val="23B76F71"/>
    <w:multiLevelType w:val="hybridMultilevel"/>
    <w:tmpl w:val="526EDFF4"/>
    <w:lvl w:ilvl="0" w:tplc="5D3658F6">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7"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64E37"/>
    <w:multiLevelType w:val="hybridMultilevel"/>
    <w:tmpl w:val="D376EAE4"/>
    <w:lvl w:ilvl="0" w:tplc="3D4E6A74">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9" w15:restartNumberingAfterBreak="0">
    <w:nsid w:val="3C292EFC"/>
    <w:multiLevelType w:val="hybridMultilevel"/>
    <w:tmpl w:val="A5D8F1E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D51EDC"/>
    <w:multiLevelType w:val="hybridMultilevel"/>
    <w:tmpl w:val="5042864E"/>
    <w:lvl w:ilvl="0" w:tplc="F9E69BEA">
      <w:start w:val="1"/>
      <w:numFmt w:val="lowerLetter"/>
      <w:lvlText w:val="%1)"/>
      <w:lvlJc w:val="left"/>
      <w:pPr>
        <w:ind w:left="1020" w:hanging="360"/>
      </w:pPr>
    </w:lvl>
    <w:lvl w:ilvl="1" w:tplc="ED1629A0">
      <w:start w:val="1"/>
      <w:numFmt w:val="lowerLetter"/>
      <w:lvlText w:val="%2)"/>
      <w:lvlJc w:val="left"/>
      <w:pPr>
        <w:ind w:left="1020" w:hanging="360"/>
      </w:pPr>
    </w:lvl>
    <w:lvl w:ilvl="2" w:tplc="33F6E64A">
      <w:start w:val="1"/>
      <w:numFmt w:val="lowerLetter"/>
      <w:lvlText w:val="%3)"/>
      <w:lvlJc w:val="left"/>
      <w:pPr>
        <w:ind w:left="1020" w:hanging="360"/>
      </w:pPr>
    </w:lvl>
    <w:lvl w:ilvl="3" w:tplc="684243E8">
      <w:start w:val="1"/>
      <w:numFmt w:val="lowerLetter"/>
      <w:lvlText w:val="%4)"/>
      <w:lvlJc w:val="left"/>
      <w:pPr>
        <w:ind w:left="1020" w:hanging="360"/>
      </w:pPr>
    </w:lvl>
    <w:lvl w:ilvl="4" w:tplc="9D428266">
      <w:start w:val="1"/>
      <w:numFmt w:val="lowerLetter"/>
      <w:lvlText w:val="%5)"/>
      <w:lvlJc w:val="left"/>
      <w:pPr>
        <w:ind w:left="1020" w:hanging="360"/>
      </w:pPr>
    </w:lvl>
    <w:lvl w:ilvl="5" w:tplc="2A7882A6">
      <w:start w:val="1"/>
      <w:numFmt w:val="lowerLetter"/>
      <w:lvlText w:val="%6)"/>
      <w:lvlJc w:val="left"/>
      <w:pPr>
        <w:ind w:left="1020" w:hanging="360"/>
      </w:pPr>
    </w:lvl>
    <w:lvl w:ilvl="6" w:tplc="A22272D0">
      <w:start w:val="1"/>
      <w:numFmt w:val="lowerLetter"/>
      <w:lvlText w:val="%7)"/>
      <w:lvlJc w:val="left"/>
      <w:pPr>
        <w:ind w:left="1020" w:hanging="360"/>
      </w:pPr>
    </w:lvl>
    <w:lvl w:ilvl="7" w:tplc="FFAC32D6">
      <w:start w:val="1"/>
      <w:numFmt w:val="lowerLetter"/>
      <w:lvlText w:val="%8)"/>
      <w:lvlJc w:val="left"/>
      <w:pPr>
        <w:ind w:left="1020" w:hanging="360"/>
      </w:pPr>
    </w:lvl>
    <w:lvl w:ilvl="8" w:tplc="963E7082">
      <w:start w:val="1"/>
      <w:numFmt w:val="lowerLetter"/>
      <w:lvlText w:val="%9)"/>
      <w:lvlJc w:val="left"/>
      <w:pPr>
        <w:ind w:left="1020" w:hanging="360"/>
      </w:pPr>
    </w:lvl>
  </w:abstractNum>
  <w:abstractNum w:abstractNumId="1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D71B4A"/>
    <w:multiLevelType w:val="hybridMultilevel"/>
    <w:tmpl w:val="535EABEC"/>
    <w:lvl w:ilvl="0" w:tplc="2506B542">
      <w:start w:val="1"/>
      <w:numFmt w:val="lowerRoman"/>
      <w:lvlText w:val="(%1)"/>
      <w:lvlJc w:val="left"/>
      <w:pPr>
        <w:ind w:left="2153" w:hanging="720"/>
      </w:pPr>
      <w:rPr>
        <w:rFonts w:hint="default"/>
      </w:rPr>
    </w:lvl>
    <w:lvl w:ilvl="1" w:tplc="0C090019" w:tentative="1">
      <w:start w:val="1"/>
      <w:numFmt w:val="lowerLetter"/>
      <w:lvlText w:val="%2."/>
      <w:lvlJc w:val="left"/>
      <w:pPr>
        <w:ind w:left="2513" w:hanging="360"/>
      </w:pPr>
    </w:lvl>
    <w:lvl w:ilvl="2" w:tplc="0C09001B" w:tentative="1">
      <w:start w:val="1"/>
      <w:numFmt w:val="lowerRoman"/>
      <w:lvlText w:val="%3."/>
      <w:lvlJc w:val="right"/>
      <w:pPr>
        <w:ind w:left="3233" w:hanging="180"/>
      </w:pPr>
    </w:lvl>
    <w:lvl w:ilvl="3" w:tplc="0C09000F" w:tentative="1">
      <w:start w:val="1"/>
      <w:numFmt w:val="decimal"/>
      <w:lvlText w:val="%4."/>
      <w:lvlJc w:val="left"/>
      <w:pPr>
        <w:ind w:left="3953" w:hanging="360"/>
      </w:pPr>
    </w:lvl>
    <w:lvl w:ilvl="4" w:tplc="0C090019" w:tentative="1">
      <w:start w:val="1"/>
      <w:numFmt w:val="lowerLetter"/>
      <w:lvlText w:val="%5."/>
      <w:lvlJc w:val="left"/>
      <w:pPr>
        <w:ind w:left="4673" w:hanging="360"/>
      </w:pPr>
    </w:lvl>
    <w:lvl w:ilvl="5" w:tplc="0C09001B" w:tentative="1">
      <w:start w:val="1"/>
      <w:numFmt w:val="lowerRoman"/>
      <w:lvlText w:val="%6."/>
      <w:lvlJc w:val="right"/>
      <w:pPr>
        <w:ind w:left="5393" w:hanging="180"/>
      </w:pPr>
    </w:lvl>
    <w:lvl w:ilvl="6" w:tplc="0C09000F" w:tentative="1">
      <w:start w:val="1"/>
      <w:numFmt w:val="decimal"/>
      <w:lvlText w:val="%7."/>
      <w:lvlJc w:val="left"/>
      <w:pPr>
        <w:ind w:left="6113" w:hanging="360"/>
      </w:pPr>
    </w:lvl>
    <w:lvl w:ilvl="7" w:tplc="0C090019" w:tentative="1">
      <w:start w:val="1"/>
      <w:numFmt w:val="lowerLetter"/>
      <w:lvlText w:val="%8."/>
      <w:lvlJc w:val="left"/>
      <w:pPr>
        <w:ind w:left="6833" w:hanging="360"/>
      </w:pPr>
    </w:lvl>
    <w:lvl w:ilvl="8" w:tplc="0C09001B" w:tentative="1">
      <w:start w:val="1"/>
      <w:numFmt w:val="lowerRoman"/>
      <w:lvlText w:val="%9."/>
      <w:lvlJc w:val="right"/>
      <w:pPr>
        <w:ind w:left="7553" w:hanging="180"/>
      </w:pPr>
    </w:lvl>
  </w:abstractNum>
  <w:abstractNum w:abstractNumId="14" w15:restartNumberingAfterBreak="0">
    <w:nsid w:val="5D054A7A"/>
    <w:multiLevelType w:val="hybridMultilevel"/>
    <w:tmpl w:val="FE9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D7053"/>
    <w:multiLevelType w:val="hybridMultilevel"/>
    <w:tmpl w:val="C8504BEE"/>
    <w:lvl w:ilvl="0" w:tplc="3D4E6A74">
      <w:start w:val="1"/>
      <w:numFmt w:val="lowerRoman"/>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01DB5"/>
    <w:multiLevelType w:val="hybridMultilevel"/>
    <w:tmpl w:val="E06AC8FC"/>
    <w:lvl w:ilvl="0" w:tplc="21400046">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185702">
    <w:abstractNumId w:val="7"/>
  </w:num>
  <w:num w:numId="2" w16cid:durableId="249698447">
    <w:abstractNumId w:val="18"/>
  </w:num>
  <w:num w:numId="3" w16cid:durableId="1057586535">
    <w:abstractNumId w:val="12"/>
  </w:num>
  <w:num w:numId="4" w16cid:durableId="983007136">
    <w:abstractNumId w:val="16"/>
  </w:num>
  <w:num w:numId="5" w16cid:durableId="1527675220">
    <w:abstractNumId w:val="10"/>
  </w:num>
  <w:num w:numId="6" w16cid:durableId="2114545737">
    <w:abstractNumId w:val="0"/>
  </w:num>
  <w:num w:numId="7" w16cid:durableId="738140194">
    <w:abstractNumId w:val="14"/>
  </w:num>
  <w:num w:numId="8" w16cid:durableId="965352376">
    <w:abstractNumId w:val="3"/>
  </w:num>
  <w:num w:numId="9" w16cid:durableId="384304881">
    <w:abstractNumId w:val="6"/>
  </w:num>
  <w:num w:numId="10" w16cid:durableId="245580919">
    <w:abstractNumId w:val="5"/>
  </w:num>
  <w:num w:numId="11" w16cid:durableId="623730139">
    <w:abstractNumId w:val="13"/>
  </w:num>
  <w:num w:numId="12" w16cid:durableId="1254242320">
    <w:abstractNumId w:val="1"/>
  </w:num>
  <w:num w:numId="13" w16cid:durableId="549610054">
    <w:abstractNumId w:val="4"/>
  </w:num>
  <w:num w:numId="14" w16cid:durableId="1949388872">
    <w:abstractNumId w:val="17"/>
  </w:num>
  <w:num w:numId="15" w16cid:durableId="941376995">
    <w:abstractNumId w:val="9"/>
  </w:num>
  <w:num w:numId="16" w16cid:durableId="1733039210">
    <w:abstractNumId w:val="15"/>
  </w:num>
  <w:num w:numId="17" w16cid:durableId="491875314">
    <w:abstractNumId w:val="8"/>
  </w:num>
  <w:num w:numId="18" w16cid:durableId="20396656">
    <w:abstractNumId w:val="2"/>
  </w:num>
  <w:num w:numId="19" w16cid:durableId="1710111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29E"/>
    <w:rsid w:val="000164C8"/>
    <w:rsid w:val="00016DE8"/>
    <w:rsid w:val="00021B70"/>
    <w:rsid w:val="00026138"/>
    <w:rsid w:val="00027B3B"/>
    <w:rsid w:val="0003387F"/>
    <w:rsid w:val="000340E0"/>
    <w:rsid w:val="00036552"/>
    <w:rsid w:val="00041196"/>
    <w:rsid w:val="00042DA8"/>
    <w:rsid w:val="00043474"/>
    <w:rsid w:val="00044178"/>
    <w:rsid w:val="000447C6"/>
    <w:rsid w:val="000465E4"/>
    <w:rsid w:val="00046F76"/>
    <w:rsid w:val="00054BEB"/>
    <w:rsid w:val="00055462"/>
    <w:rsid w:val="0006420D"/>
    <w:rsid w:val="00065640"/>
    <w:rsid w:val="00070184"/>
    <w:rsid w:val="00073761"/>
    <w:rsid w:val="00081716"/>
    <w:rsid w:val="00082E7D"/>
    <w:rsid w:val="00084457"/>
    <w:rsid w:val="00086D59"/>
    <w:rsid w:val="00097890"/>
    <w:rsid w:val="000A10BC"/>
    <w:rsid w:val="000A1917"/>
    <w:rsid w:val="000A3F81"/>
    <w:rsid w:val="000A6642"/>
    <w:rsid w:val="000C5FF8"/>
    <w:rsid w:val="000D1998"/>
    <w:rsid w:val="000D1AFF"/>
    <w:rsid w:val="000D426E"/>
    <w:rsid w:val="000F3DC8"/>
    <w:rsid w:val="000F6268"/>
    <w:rsid w:val="000F7515"/>
    <w:rsid w:val="00102C93"/>
    <w:rsid w:val="00107E03"/>
    <w:rsid w:val="001133EE"/>
    <w:rsid w:val="00113FCE"/>
    <w:rsid w:val="0011555B"/>
    <w:rsid w:val="00117CBA"/>
    <w:rsid w:val="00122CC7"/>
    <w:rsid w:val="00122D6E"/>
    <w:rsid w:val="00133A4F"/>
    <w:rsid w:val="00140A1E"/>
    <w:rsid w:val="00141543"/>
    <w:rsid w:val="00144894"/>
    <w:rsid w:val="00147F2E"/>
    <w:rsid w:val="00151B69"/>
    <w:rsid w:val="001520EF"/>
    <w:rsid w:val="00153606"/>
    <w:rsid w:val="00155701"/>
    <w:rsid w:val="0016038A"/>
    <w:rsid w:val="00161457"/>
    <w:rsid w:val="00161600"/>
    <w:rsid w:val="001639BE"/>
    <w:rsid w:val="00165F20"/>
    <w:rsid w:val="00170F8C"/>
    <w:rsid w:val="001725DF"/>
    <w:rsid w:val="0017734A"/>
    <w:rsid w:val="001804A4"/>
    <w:rsid w:val="00180FE4"/>
    <w:rsid w:val="0018111F"/>
    <w:rsid w:val="00187528"/>
    <w:rsid w:val="001911F3"/>
    <w:rsid w:val="00192815"/>
    <w:rsid w:val="00194CF0"/>
    <w:rsid w:val="001A0A03"/>
    <w:rsid w:val="001A2051"/>
    <w:rsid w:val="001A2E15"/>
    <w:rsid w:val="001B289D"/>
    <w:rsid w:val="001B2D09"/>
    <w:rsid w:val="001C08A0"/>
    <w:rsid w:val="001C18B9"/>
    <w:rsid w:val="001C212E"/>
    <w:rsid w:val="001C3C1C"/>
    <w:rsid w:val="001D3001"/>
    <w:rsid w:val="001D5EF5"/>
    <w:rsid w:val="001D733D"/>
    <w:rsid w:val="001E24EC"/>
    <w:rsid w:val="001E5E20"/>
    <w:rsid w:val="001F015B"/>
    <w:rsid w:val="001F0167"/>
    <w:rsid w:val="001F0179"/>
    <w:rsid w:val="001F06FF"/>
    <w:rsid w:val="001F25EB"/>
    <w:rsid w:val="00200E48"/>
    <w:rsid w:val="0020151A"/>
    <w:rsid w:val="0020151B"/>
    <w:rsid w:val="002214C1"/>
    <w:rsid w:val="00223061"/>
    <w:rsid w:val="00242477"/>
    <w:rsid w:val="0025296A"/>
    <w:rsid w:val="002538B2"/>
    <w:rsid w:val="0025510A"/>
    <w:rsid w:val="00255EB3"/>
    <w:rsid w:val="00256250"/>
    <w:rsid w:val="00257B6A"/>
    <w:rsid w:val="002629AB"/>
    <w:rsid w:val="00263B19"/>
    <w:rsid w:val="00265593"/>
    <w:rsid w:val="002661FF"/>
    <w:rsid w:val="00270BDA"/>
    <w:rsid w:val="0027217D"/>
    <w:rsid w:val="00275ACF"/>
    <w:rsid w:val="0028098F"/>
    <w:rsid w:val="00280FB8"/>
    <w:rsid w:val="00282D72"/>
    <w:rsid w:val="00291484"/>
    <w:rsid w:val="00296265"/>
    <w:rsid w:val="00297483"/>
    <w:rsid w:val="002A1C89"/>
    <w:rsid w:val="002A367F"/>
    <w:rsid w:val="002B0B27"/>
    <w:rsid w:val="002B0CD1"/>
    <w:rsid w:val="002B38E4"/>
    <w:rsid w:val="002B583D"/>
    <w:rsid w:val="002B73D8"/>
    <w:rsid w:val="002C0BAB"/>
    <w:rsid w:val="002C4A84"/>
    <w:rsid w:val="002C7428"/>
    <w:rsid w:val="002D04FD"/>
    <w:rsid w:val="002E0B9C"/>
    <w:rsid w:val="002E33DD"/>
    <w:rsid w:val="002E4569"/>
    <w:rsid w:val="002E7DF4"/>
    <w:rsid w:val="002F0E3F"/>
    <w:rsid w:val="002F27AA"/>
    <w:rsid w:val="002F688C"/>
    <w:rsid w:val="002F74D6"/>
    <w:rsid w:val="00300B1E"/>
    <w:rsid w:val="0030124E"/>
    <w:rsid w:val="00304A12"/>
    <w:rsid w:val="00320925"/>
    <w:rsid w:val="00321ABD"/>
    <w:rsid w:val="00321B5B"/>
    <w:rsid w:val="00322A2F"/>
    <w:rsid w:val="00330C34"/>
    <w:rsid w:val="0033296E"/>
    <w:rsid w:val="003423A1"/>
    <w:rsid w:val="00342F7A"/>
    <w:rsid w:val="00353DF4"/>
    <w:rsid w:val="00353F85"/>
    <w:rsid w:val="00354089"/>
    <w:rsid w:val="00360832"/>
    <w:rsid w:val="00363607"/>
    <w:rsid w:val="00363640"/>
    <w:rsid w:val="00363A89"/>
    <w:rsid w:val="003654D3"/>
    <w:rsid w:val="00366807"/>
    <w:rsid w:val="00366988"/>
    <w:rsid w:val="00367243"/>
    <w:rsid w:val="003731C8"/>
    <w:rsid w:val="00373672"/>
    <w:rsid w:val="0037398A"/>
    <w:rsid w:val="00375F77"/>
    <w:rsid w:val="003829D5"/>
    <w:rsid w:val="00383C08"/>
    <w:rsid w:val="00386F3E"/>
    <w:rsid w:val="00396101"/>
    <w:rsid w:val="003961B7"/>
    <w:rsid w:val="003964EE"/>
    <w:rsid w:val="003A2948"/>
    <w:rsid w:val="003A6DB3"/>
    <w:rsid w:val="003C2DB5"/>
    <w:rsid w:val="003C72AF"/>
    <w:rsid w:val="003D4D2E"/>
    <w:rsid w:val="003D78D3"/>
    <w:rsid w:val="003E4C32"/>
    <w:rsid w:val="003E55FA"/>
    <w:rsid w:val="003E5E8B"/>
    <w:rsid w:val="003E624B"/>
    <w:rsid w:val="003F0388"/>
    <w:rsid w:val="003F0CBA"/>
    <w:rsid w:val="003F590E"/>
    <w:rsid w:val="003F5C7A"/>
    <w:rsid w:val="003F7B5A"/>
    <w:rsid w:val="0040785C"/>
    <w:rsid w:val="00410967"/>
    <w:rsid w:val="00410987"/>
    <w:rsid w:val="0041318A"/>
    <w:rsid w:val="0041561C"/>
    <w:rsid w:val="00424443"/>
    <w:rsid w:val="0042462D"/>
    <w:rsid w:val="0043322F"/>
    <w:rsid w:val="00434D18"/>
    <w:rsid w:val="004361D9"/>
    <w:rsid w:val="00443562"/>
    <w:rsid w:val="0045115B"/>
    <w:rsid w:val="00451990"/>
    <w:rsid w:val="00460FD9"/>
    <w:rsid w:val="00463172"/>
    <w:rsid w:val="00463FD7"/>
    <w:rsid w:val="004649F2"/>
    <w:rsid w:val="0046557C"/>
    <w:rsid w:val="00466750"/>
    <w:rsid w:val="00467D4A"/>
    <w:rsid w:val="00471A47"/>
    <w:rsid w:val="00472601"/>
    <w:rsid w:val="00474837"/>
    <w:rsid w:val="00475130"/>
    <w:rsid w:val="0048065C"/>
    <w:rsid w:val="00484AA4"/>
    <w:rsid w:val="004A33C4"/>
    <w:rsid w:val="004A3F26"/>
    <w:rsid w:val="004A6259"/>
    <w:rsid w:val="004B3596"/>
    <w:rsid w:val="004B60B0"/>
    <w:rsid w:val="004C0EF9"/>
    <w:rsid w:val="004C1AB0"/>
    <w:rsid w:val="004C2A27"/>
    <w:rsid w:val="004C6415"/>
    <w:rsid w:val="004D6B79"/>
    <w:rsid w:val="004F2F08"/>
    <w:rsid w:val="004F4C51"/>
    <w:rsid w:val="004F4F5C"/>
    <w:rsid w:val="004F6299"/>
    <w:rsid w:val="004F63F7"/>
    <w:rsid w:val="004F6660"/>
    <w:rsid w:val="005037CE"/>
    <w:rsid w:val="00510EC0"/>
    <w:rsid w:val="005110A3"/>
    <w:rsid w:val="00514EC2"/>
    <w:rsid w:val="00517890"/>
    <w:rsid w:val="005264F5"/>
    <w:rsid w:val="00526FDB"/>
    <w:rsid w:val="0053053B"/>
    <w:rsid w:val="00553BCD"/>
    <w:rsid w:val="005545EE"/>
    <w:rsid w:val="005555CC"/>
    <w:rsid w:val="00555895"/>
    <w:rsid w:val="0055696E"/>
    <w:rsid w:val="0056022F"/>
    <w:rsid w:val="00564D1C"/>
    <w:rsid w:val="00571DA0"/>
    <w:rsid w:val="0057295A"/>
    <w:rsid w:val="00572A28"/>
    <w:rsid w:val="00581EF8"/>
    <w:rsid w:val="005854FA"/>
    <w:rsid w:val="005874EC"/>
    <w:rsid w:val="005917F6"/>
    <w:rsid w:val="005925B5"/>
    <w:rsid w:val="00593914"/>
    <w:rsid w:val="00594831"/>
    <w:rsid w:val="005957A6"/>
    <w:rsid w:val="00595A27"/>
    <w:rsid w:val="005A03C1"/>
    <w:rsid w:val="005A0DD0"/>
    <w:rsid w:val="005A3116"/>
    <w:rsid w:val="005A384B"/>
    <w:rsid w:val="005A5402"/>
    <w:rsid w:val="005A650C"/>
    <w:rsid w:val="005B2075"/>
    <w:rsid w:val="005B2154"/>
    <w:rsid w:val="005B2A10"/>
    <w:rsid w:val="005B315F"/>
    <w:rsid w:val="005B4846"/>
    <w:rsid w:val="005B6C7F"/>
    <w:rsid w:val="005D0346"/>
    <w:rsid w:val="005D3ADF"/>
    <w:rsid w:val="005D470A"/>
    <w:rsid w:val="005D4E65"/>
    <w:rsid w:val="005D5B51"/>
    <w:rsid w:val="005D7276"/>
    <w:rsid w:val="005E52E5"/>
    <w:rsid w:val="00602650"/>
    <w:rsid w:val="00603B4A"/>
    <w:rsid w:val="00605805"/>
    <w:rsid w:val="006133DD"/>
    <w:rsid w:val="00613490"/>
    <w:rsid w:val="00615D3D"/>
    <w:rsid w:val="0061629B"/>
    <w:rsid w:val="00617518"/>
    <w:rsid w:val="00633ED4"/>
    <w:rsid w:val="00634611"/>
    <w:rsid w:val="006346E6"/>
    <w:rsid w:val="00637365"/>
    <w:rsid w:val="00647503"/>
    <w:rsid w:val="00651CC7"/>
    <w:rsid w:val="00652137"/>
    <w:rsid w:val="006525C0"/>
    <w:rsid w:val="00652AAF"/>
    <w:rsid w:val="00652E03"/>
    <w:rsid w:val="00653A76"/>
    <w:rsid w:val="00656210"/>
    <w:rsid w:val="006708DD"/>
    <w:rsid w:val="00671407"/>
    <w:rsid w:val="006720C6"/>
    <w:rsid w:val="00680248"/>
    <w:rsid w:val="00683C88"/>
    <w:rsid w:val="00686F94"/>
    <w:rsid w:val="006878BA"/>
    <w:rsid w:val="00693F99"/>
    <w:rsid w:val="00693FEA"/>
    <w:rsid w:val="0069529B"/>
    <w:rsid w:val="006A0FAE"/>
    <w:rsid w:val="006A2615"/>
    <w:rsid w:val="006A2BA8"/>
    <w:rsid w:val="006A66F0"/>
    <w:rsid w:val="006B2DF4"/>
    <w:rsid w:val="006B647C"/>
    <w:rsid w:val="006C0251"/>
    <w:rsid w:val="006C0CD7"/>
    <w:rsid w:val="006C7332"/>
    <w:rsid w:val="006D0331"/>
    <w:rsid w:val="006D0641"/>
    <w:rsid w:val="006D4951"/>
    <w:rsid w:val="006D5B58"/>
    <w:rsid w:val="006D7B18"/>
    <w:rsid w:val="006E17A3"/>
    <w:rsid w:val="006E5CCC"/>
    <w:rsid w:val="006F4FF0"/>
    <w:rsid w:val="006F5CF2"/>
    <w:rsid w:val="006F6397"/>
    <w:rsid w:val="006F7A5F"/>
    <w:rsid w:val="00703828"/>
    <w:rsid w:val="00706E87"/>
    <w:rsid w:val="0071302E"/>
    <w:rsid w:val="00713DED"/>
    <w:rsid w:val="00716BA3"/>
    <w:rsid w:val="00721966"/>
    <w:rsid w:val="00724D69"/>
    <w:rsid w:val="00725BE1"/>
    <w:rsid w:val="00725F20"/>
    <w:rsid w:val="00733783"/>
    <w:rsid w:val="00733FB0"/>
    <w:rsid w:val="00735492"/>
    <w:rsid w:val="0073609D"/>
    <w:rsid w:val="00741B82"/>
    <w:rsid w:val="00743B96"/>
    <w:rsid w:val="00754200"/>
    <w:rsid w:val="00754B69"/>
    <w:rsid w:val="0076103A"/>
    <w:rsid w:val="0077241A"/>
    <w:rsid w:val="00774B20"/>
    <w:rsid w:val="007758A3"/>
    <w:rsid w:val="0078423A"/>
    <w:rsid w:val="00785FAC"/>
    <w:rsid w:val="0078785F"/>
    <w:rsid w:val="007910D9"/>
    <w:rsid w:val="0079451F"/>
    <w:rsid w:val="00794A66"/>
    <w:rsid w:val="0079584D"/>
    <w:rsid w:val="00795DC9"/>
    <w:rsid w:val="007963F6"/>
    <w:rsid w:val="007A2974"/>
    <w:rsid w:val="007A29F8"/>
    <w:rsid w:val="007B64AF"/>
    <w:rsid w:val="007B7273"/>
    <w:rsid w:val="007C37F3"/>
    <w:rsid w:val="007C384E"/>
    <w:rsid w:val="007C5165"/>
    <w:rsid w:val="007C68AB"/>
    <w:rsid w:val="007C6982"/>
    <w:rsid w:val="007C7D72"/>
    <w:rsid w:val="007D4E2A"/>
    <w:rsid w:val="007D71D3"/>
    <w:rsid w:val="007D7D8E"/>
    <w:rsid w:val="007E587A"/>
    <w:rsid w:val="007E624B"/>
    <w:rsid w:val="007E71A6"/>
    <w:rsid w:val="007F148D"/>
    <w:rsid w:val="007F5F77"/>
    <w:rsid w:val="007F7C3E"/>
    <w:rsid w:val="00800926"/>
    <w:rsid w:val="00802D85"/>
    <w:rsid w:val="00817CBD"/>
    <w:rsid w:val="00822990"/>
    <w:rsid w:val="0082499B"/>
    <w:rsid w:val="0082661D"/>
    <w:rsid w:val="008310ED"/>
    <w:rsid w:val="00834AD8"/>
    <w:rsid w:val="00834BA4"/>
    <w:rsid w:val="00835B47"/>
    <w:rsid w:val="00843482"/>
    <w:rsid w:val="00843517"/>
    <w:rsid w:val="00845CE7"/>
    <w:rsid w:val="00845FC1"/>
    <w:rsid w:val="00851A07"/>
    <w:rsid w:val="00853982"/>
    <w:rsid w:val="00856255"/>
    <w:rsid w:val="00860DA4"/>
    <w:rsid w:val="00862A40"/>
    <w:rsid w:val="008672A6"/>
    <w:rsid w:val="00867944"/>
    <w:rsid w:val="008817E6"/>
    <w:rsid w:val="0089096B"/>
    <w:rsid w:val="00891F23"/>
    <w:rsid w:val="00892659"/>
    <w:rsid w:val="00892A5D"/>
    <w:rsid w:val="0089480D"/>
    <w:rsid w:val="00894F38"/>
    <w:rsid w:val="00896A23"/>
    <w:rsid w:val="00897384"/>
    <w:rsid w:val="008B1542"/>
    <w:rsid w:val="008B1609"/>
    <w:rsid w:val="008B287A"/>
    <w:rsid w:val="008B51EA"/>
    <w:rsid w:val="008B57EB"/>
    <w:rsid w:val="008B779B"/>
    <w:rsid w:val="008C0552"/>
    <w:rsid w:val="008C4267"/>
    <w:rsid w:val="008D642E"/>
    <w:rsid w:val="008E4432"/>
    <w:rsid w:val="008E60DA"/>
    <w:rsid w:val="008F3755"/>
    <w:rsid w:val="008F4636"/>
    <w:rsid w:val="008F538B"/>
    <w:rsid w:val="00903D15"/>
    <w:rsid w:val="00904155"/>
    <w:rsid w:val="00910C86"/>
    <w:rsid w:val="00913B7A"/>
    <w:rsid w:val="0091575E"/>
    <w:rsid w:val="00915B57"/>
    <w:rsid w:val="00916320"/>
    <w:rsid w:val="009177AA"/>
    <w:rsid w:val="0091792E"/>
    <w:rsid w:val="00921182"/>
    <w:rsid w:val="009229F9"/>
    <w:rsid w:val="009300A0"/>
    <w:rsid w:val="00934C8F"/>
    <w:rsid w:val="00936215"/>
    <w:rsid w:val="0094514B"/>
    <w:rsid w:val="00946C97"/>
    <w:rsid w:val="00957210"/>
    <w:rsid w:val="00962A7A"/>
    <w:rsid w:val="00963884"/>
    <w:rsid w:val="00964A81"/>
    <w:rsid w:val="00964A83"/>
    <w:rsid w:val="00965EC8"/>
    <w:rsid w:val="00966785"/>
    <w:rsid w:val="00974960"/>
    <w:rsid w:val="009760ED"/>
    <w:rsid w:val="009765DD"/>
    <w:rsid w:val="00977048"/>
    <w:rsid w:val="00982AE5"/>
    <w:rsid w:val="00987A5F"/>
    <w:rsid w:val="0099452C"/>
    <w:rsid w:val="00994EFB"/>
    <w:rsid w:val="0099657A"/>
    <w:rsid w:val="009A29D3"/>
    <w:rsid w:val="009A302E"/>
    <w:rsid w:val="009A3694"/>
    <w:rsid w:val="009A39A7"/>
    <w:rsid w:val="009A527C"/>
    <w:rsid w:val="009B2AA4"/>
    <w:rsid w:val="009B5FE6"/>
    <w:rsid w:val="009B731A"/>
    <w:rsid w:val="009C12BC"/>
    <w:rsid w:val="009C23EC"/>
    <w:rsid w:val="009C6CE8"/>
    <w:rsid w:val="009D1E02"/>
    <w:rsid w:val="009D369A"/>
    <w:rsid w:val="009D7222"/>
    <w:rsid w:val="009E3DD4"/>
    <w:rsid w:val="009E65E9"/>
    <w:rsid w:val="009E6D6F"/>
    <w:rsid w:val="009F5918"/>
    <w:rsid w:val="00A000DD"/>
    <w:rsid w:val="00A01679"/>
    <w:rsid w:val="00A11BE8"/>
    <w:rsid w:val="00A128EC"/>
    <w:rsid w:val="00A21D68"/>
    <w:rsid w:val="00A27BB0"/>
    <w:rsid w:val="00A27E70"/>
    <w:rsid w:val="00A3493C"/>
    <w:rsid w:val="00A349EF"/>
    <w:rsid w:val="00A431DD"/>
    <w:rsid w:val="00A45081"/>
    <w:rsid w:val="00A4722B"/>
    <w:rsid w:val="00A52ADD"/>
    <w:rsid w:val="00A52EF9"/>
    <w:rsid w:val="00A533E4"/>
    <w:rsid w:val="00A55F87"/>
    <w:rsid w:val="00A6727D"/>
    <w:rsid w:val="00A7183A"/>
    <w:rsid w:val="00A7770B"/>
    <w:rsid w:val="00A8258D"/>
    <w:rsid w:val="00A826F8"/>
    <w:rsid w:val="00A908AB"/>
    <w:rsid w:val="00A921AF"/>
    <w:rsid w:val="00A93578"/>
    <w:rsid w:val="00A965A3"/>
    <w:rsid w:val="00AA08B9"/>
    <w:rsid w:val="00AA1340"/>
    <w:rsid w:val="00AA44C3"/>
    <w:rsid w:val="00AA6853"/>
    <w:rsid w:val="00AB465A"/>
    <w:rsid w:val="00AB74ED"/>
    <w:rsid w:val="00AC2860"/>
    <w:rsid w:val="00AC5C15"/>
    <w:rsid w:val="00AC673C"/>
    <w:rsid w:val="00AD14AA"/>
    <w:rsid w:val="00AD1EEA"/>
    <w:rsid w:val="00AD49BB"/>
    <w:rsid w:val="00AE50D5"/>
    <w:rsid w:val="00AE6557"/>
    <w:rsid w:val="00AE6584"/>
    <w:rsid w:val="00AE6DED"/>
    <w:rsid w:val="00AF0317"/>
    <w:rsid w:val="00AF082D"/>
    <w:rsid w:val="00AF17BD"/>
    <w:rsid w:val="00AF4A43"/>
    <w:rsid w:val="00AF646C"/>
    <w:rsid w:val="00B00150"/>
    <w:rsid w:val="00B00BE2"/>
    <w:rsid w:val="00B02813"/>
    <w:rsid w:val="00B10B96"/>
    <w:rsid w:val="00B1150A"/>
    <w:rsid w:val="00B12953"/>
    <w:rsid w:val="00B16F5A"/>
    <w:rsid w:val="00B22FA4"/>
    <w:rsid w:val="00B251B8"/>
    <w:rsid w:val="00B26EDE"/>
    <w:rsid w:val="00B35BEC"/>
    <w:rsid w:val="00B5591B"/>
    <w:rsid w:val="00B5643E"/>
    <w:rsid w:val="00B6117D"/>
    <w:rsid w:val="00B6143B"/>
    <w:rsid w:val="00B62FD9"/>
    <w:rsid w:val="00B63087"/>
    <w:rsid w:val="00B66EE3"/>
    <w:rsid w:val="00B72FCA"/>
    <w:rsid w:val="00B7359B"/>
    <w:rsid w:val="00B744AE"/>
    <w:rsid w:val="00B81F7D"/>
    <w:rsid w:val="00B83602"/>
    <w:rsid w:val="00B90F17"/>
    <w:rsid w:val="00B92908"/>
    <w:rsid w:val="00B92F09"/>
    <w:rsid w:val="00B9353C"/>
    <w:rsid w:val="00B9360E"/>
    <w:rsid w:val="00B9760B"/>
    <w:rsid w:val="00B97AE1"/>
    <w:rsid w:val="00BA0408"/>
    <w:rsid w:val="00BA1CBB"/>
    <w:rsid w:val="00BA1E21"/>
    <w:rsid w:val="00BA4496"/>
    <w:rsid w:val="00BA7DAD"/>
    <w:rsid w:val="00BC1344"/>
    <w:rsid w:val="00BC426C"/>
    <w:rsid w:val="00BD159C"/>
    <w:rsid w:val="00BD452B"/>
    <w:rsid w:val="00BD6351"/>
    <w:rsid w:val="00BD7598"/>
    <w:rsid w:val="00BD77C9"/>
    <w:rsid w:val="00BE088C"/>
    <w:rsid w:val="00BE22ED"/>
    <w:rsid w:val="00BE240E"/>
    <w:rsid w:val="00BE3B20"/>
    <w:rsid w:val="00BE661D"/>
    <w:rsid w:val="00BE7F71"/>
    <w:rsid w:val="00BF49D2"/>
    <w:rsid w:val="00C15D65"/>
    <w:rsid w:val="00C1614B"/>
    <w:rsid w:val="00C16D76"/>
    <w:rsid w:val="00C2013C"/>
    <w:rsid w:val="00C23D6A"/>
    <w:rsid w:val="00C302EC"/>
    <w:rsid w:val="00C30A56"/>
    <w:rsid w:val="00C33F68"/>
    <w:rsid w:val="00C36DD1"/>
    <w:rsid w:val="00C37108"/>
    <w:rsid w:val="00C40717"/>
    <w:rsid w:val="00C45F5F"/>
    <w:rsid w:val="00C461B2"/>
    <w:rsid w:val="00C474D8"/>
    <w:rsid w:val="00C53495"/>
    <w:rsid w:val="00C64C55"/>
    <w:rsid w:val="00C701C3"/>
    <w:rsid w:val="00C72D74"/>
    <w:rsid w:val="00C7389D"/>
    <w:rsid w:val="00C76D7E"/>
    <w:rsid w:val="00C810B1"/>
    <w:rsid w:val="00C81720"/>
    <w:rsid w:val="00C8299D"/>
    <w:rsid w:val="00C8545A"/>
    <w:rsid w:val="00C87BBB"/>
    <w:rsid w:val="00C9412A"/>
    <w:rsid w:val="00CA16A1"/>
    <w:rsid w:val="00CA39AD"/>
    <w:rsid w:val="00CA5512"/>
    <w:rsid w:val="00CB17BC"/>
    <w:rsid w:val="00CB3497"/>
    <w:rsid w:val="00CB46E2"/>
    <w:rsid w:val="00CC64DD"/>
    <w:rsid w:val="00CC6CB3"/>
    <w:rsid w:val="00CD25F5"/>
    <w:rsid w:val="00CD3FC0"/>
    <w:rsid w:val="00CE0BBB"/>
    <w:rsid w:val="00CE1231"/>
    <w:rsid w:val="00CE299C"/>
    <w:rsid w:val="00CE4803"/>
    <w:rsid w:val="00CE5ACC"/>
    <w:rsid w:val="00CE7F11"/>
    <w:rsid w:val="00CF3F76"/>
    <w:rsid w:val="00D057DB"/>
    <w:rsid w:val="00D11187"/>
    <w:rsid w:val="00D14E6D"/>
    <w:rsid w:val="00D159CA"/>
    <w:rsid w:val="00D160F7"/>
    <w:rsid w:val="00D16BE5"/>
    <w:rsid w:val="00D17BEC"/>
    <w:rsid w:val="00D30F20"/>
    <w:rsid w:val="00D33952"/>
    <w:rsid w:val="00D46AD7"/>
    <w:rsid w:val="00D540B0"/>
    <w:rsid w:val="00D55032"/>
    <w:rsid w:val="00D5513A"/>
    <w:rsid w:val="00D55FBC"/>
    <w:rsid w:val="00D6556E"/>
    <w:rsid w:val="00D65CAC"/>
    <w:rsid w:val="00D673EF"/>
    <w:rsid w:val="00D8149C"/>
    <w:rsid w:val="00D91CC3"/>
    <w:rsid w:val="00D9269B"/>
    <w:rsid w:val="00D95A71"/>
    <w:rsid w:val="00D972AB"/>
    <w:rsid w:val="00DA0313"/>
    <w:rsid w:val="00DA1381"/>
    <w:rsid w:val="00DA2DF8"/>
    <w:rsid w:val="00DA5FA7"/>
    <w:rsid w:val="00DB4A47"/>
    <w:rsid w:val="00DB7479"/>
    <w:rsid w:val="00DC320A"/>
    <w:rsid w:val="00DC40FF"/>
    <w:rsid w:val="00DC5F44"/>
    <w:rsid w:val="00DC738F"/>
    <w:rsid w:val="00DD2798"/>
    <w:rsid w:val="00DE4593"/>
    <w:rsid w:val="00DF164D"/>
    <w:rsid w:val="00DF44E2"/>
    <w:rsid w:val="00DF4F54"/>
    <w:rsid w:val="00E0211A"/>
    <w:rsid w:val="00E02860"/>
    <w:rsid w:val="00E0410D"/>
    <w:rsid w:val="00E047AC"/>
    <w:rsid w:val="00E1191F"/>
    <w:rsid w:val="00E17F59"/>
    <w:rsid w:val="00E20FDD"/>
    <w:rsid w:val="00E22361"/>
    <w:rsid w:val="00E242E2"/>
    <w:rsid w:val="00E2691B"/>
    <w:rsid w:val="00E3067D"/>
    <w:rsid w:val="00E318F7"/>
    <w:rsid w:val="00E5180F"/>
    <w:rsid w:val="00E518CD"/>
    <w:rsid w:val="00E52E28"/>
    <w:rsid w:val="00E574C3"/>
    <w:rsid w:val="00E60B06"/>
    <w:rsid w:val="00E6225B"/>
    <w:rsid w:val="00E625D9"/>
    <w:rsid w:val="00E6363D"/>
    <w:rsid w:val="00E7332E"/>
    <w:rsid w:val="00E85769"/>
    <w:rsid w:val="00E97384"/>
    <w:rsid w:val="00EA0DC9"/>
    <w:rsid w:val="00EB0A69"/>
    <w:rsid w:val="00EB1744"/>
    <w:rsid w:val="00EB4ECA"/>
    <w:rsid w:val="00EB65BF"/>
    <w:rsid w:val="00EB7EFB"/>
    <w:rsid w:val="00EC4FBA"/>
    <w:rsid w:val="00EC54C3"/>
    <w:rsid w:val="00EC7DF8"/>
    <w:rsid w:val="00ED0787"/>
    <w:rsid w:val="00ED1608"/>
    <w:rsid w:val="00EE01A2"/>
    <w:rsid w:val="00EE1325"/>
    <w:rsid w:val="00EE2EDE"/>
    <w:rsid w:val="00EF3D21"/>
    <w:rsid w:val="00F02FA9"/>
    <w:rsid w:val="00F05487"/>
    <w:rsid w:val="00F07FC1"/>
    <w:rsid w:val="00F103F6"/>
    <w:rsid w:val="00F178D3"/>
    <w:rsid w:val="00F23716"/>
    <w:rsid w:val="00F3064A"/>
    <w:rsid w:val="00F31EC9"/>
    <w:rsid w:val="00F34881"/>
    <w:rsid w:val="00F34887"/>
    <w:rsid w:val="00F37B8C"/>
    <w:rsid w:val="00F37D0E"/>
    <w:rsid w:val="00F40D3C"/>
    <w:rsid w:val="00F4431E"/>
    <w:rsid w:val="00F4464F"/>
    <w:rsid w:val="00F60F5C"/>
    <w:rsid w:val="00F61F76"/>
    <w:rsid w:val="00F64669"/>
    <w:rsid w:val="00F6611F"/>
    <w:rsid w:val="00F67231"/>
    <w:rsid w:val="00F72C18"/>
    <w:rsid w:val="00F734D5"/>
    <w:rsid w:val="00F77DB5"/>
    <w:rsid w:val="00F850C5"/>
    <w:rsid w:val="00F856A6"/>
    <w:rsid w:val="00F85ED9"/>
    <w:rsid w:val="00F90642"/>
    <w:rsid w:val="00F954DA"/>
    <w:rsid w:val="00FA023E"/>
    <w:rsid w:val="00FA221B"/>
    <w:rsid w:val="00FA3FE8"/>
    <w:rsid w:val="00FA5290"/>
    <w:rsid w:val="00FB4555"/>
    <w:rsid w:val="00FB59C1"/>
    <w:rsid w:val="00FC2D51"/>
    <w:rsid w:val="00FC509B"/>
    <w:rsid w:val="00FC76D4"/>
    <w:rsid w:val="00FD4E88"/>
    <w:rsid w:val="00FD556D"/>
    <w:rsid w:val="00FD563E"/>
    <w:rsid w:val="00FE0306"/>
    <w:rsid w:val="00FE6B62"/>
    <w:rsid w:val="00FF305D"/>
    <w:rsid w:val="00FF550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qFormat/>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CompiledMadeUnder">
    <w:name w:val="CompiledMadeUnder"/>
    <w:basedOn w:val="Normal"/>
    <w:next w:val="Normal"/>
    <w:rsid w:val="001C18B9"/>
    <w:pPr>
      <w:spacing w:after="0" w:line="260" w:lineRule="atLeast"/>
    </w:pPr>
    <w:rPr>
      <w:rFonts w:ascii="Times New Roman" w:eastAsia="Times New Roman" w:hAnsi="Times New Roman" w:cs="Times New Roman"/>
      <w:i/>
      <w:sz w:val="24"/>
      <w:szCs w:val="24"/>
      <w:lang w:eastAsia="en-AU"/>
    </w:rPr>
  </w:style>
  <w:style w:type="paragraph" w:customStyle="1" w:styleId="MadeunderText">
    <w:name w:val="MadeunderText"/>
    <w:basedOn w:val="Normal"/>
    <w:next w:val="CompiledMadeUnder"/>
    <w:rsid w:val="001C18B9"/>
    <w:pPr>
      <w:spacing w:before="240" w:after="0" w:line="260" w:lineRule="atLeast"/>
    </w:pPr>
    <w:rPr>
      <w:rFonts w:ascii="Times New Roman" w:eastAsia="Times New Roman" w:hAnsi="Times New Roman" w:cs="Times New Roman"/>
      <w:sz w:val="24"/>
      <w:szCs w:val="24"/>
      <w:lang w:eastAsia="en-AU"/>
    </w:rPr>
  </w:style>
  <w:style w:type="paragraph" w:styleId="TOC3">
    <w:name w:val="toc 3"/>
    <w:basedOn w:val="Normal"/>
    <w:next w:val="Normal"/>
    <w:uiPriority w:val="39"/>
    <w:unhideWhenUsed/>
    <w:rsid w:val="0011555B"/>
    <w:pPr>
      <w:keepNext/>
      <w:keepLines/>
      <w:tabs>
        <w:tab w:val="right" w:pos="8278"/>
      </w:tabs>
      <w:spacing w:before="80" w:after="0" w:line="240" w:lineRule="auto"/>
      <w:ind w:left="1604" w:right="567" w:hanging="1179"/>
    </w:pPr>
    <w:rPr>
      <w:rFonts w:ascii="Times New Roman" w:eastAsia="Times New Roman" w:hAnsi="Times New Roman" w:cs="Times New Roman"/>
      <w:b/>
      <w:kern w:val="28"/>
      <w:szCs w:val="20"/>
      <w:lang w:eastAsia="en-AU"/>
    </w:rPr>
  </w:style>
  <w:style w:type="paragraph" w:styleId="NormalWeb">
    <w:name w:val="Normal (Web)"/>
    <w:basedOn w:val="Normal"/>
    <w:uiPriority w:val="99"/>
    <w:semiHidden/>
    <w:unhideWhenUsed/>
    <w:rsid w:val="00D339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qFormat/>
    <w:rsid w:val="008F4636"/>
  </w:style>
  <w:style w:type="character" w:customStyle="1" w:styleId="CharDivText">
    <w:name w:val="CharDivText"/>
    <w:basedOn w:val="DefaultParagraphFont"/>
    <w:qFormat/>
    <w:rsid w:val="008F4636"/>
  </w:style>
  <w:style w:type="paragraph" w:customStyle="1" w:styleId="ENotesText">
    <w:name w:val="ENotesText"/>
    <w:aliases w:val="Ent"/>
    <w:basedOn w:val="Normal"/>
    <w:next w:val="Normal"/>
    <w:rsid w:val="008F4636"/>
    <w:pPr>
      <w:spacing w:before="120" w:after="0" w:line="260" w:lineRule="atLeast"/>
    </w:pPr>
    <w:rPr>
      <w:rFonts w:ascii="Times New Roman" w:eastAsia="Times New Roman" w:hAnsi="Times New Roman" w:cs="Times New Roman"/>
      <w:szCs w:val="20"/>
      <w:lang w:eastAsia="en-AU"/>
    </w:rPr>
  </w:style>
  <w:style w:type="paragraph" w:customStyle="1" w:styleId="ENoteTableHeading">
    <w:name w:val="ENoteTableHeading"/>
    <w:aliases w:val="enth"/>
    <w:basedOn w:val="Normal"/>
    <w:rsid w:val="008F4636"/>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8F4636"/>
    <w:pPr>
      <w:spacing w:before="60" w:after="0" w:line="240" w:lineRule="atLeast"/>
    </w:pPr>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8F4636"/>
    <w:pPr>
      <w:spacing w:before="60" w:after="0" w:line="240" w:lineRule="atLeast"/>
    </w:pPr>
    <w:rPr>
      <w:rFonts w:ascii="Times New Roman" w:eastAsia="Times New Roman" w:hAnsi="Times New Roman" w:cs="Times New Roman"/>
      <w:sz w:val="20"/>
      <w:szCs w:val="20"/>
      <w:lang w:eastAsia="en-AU"/>
    </w:rPr>
  </w:style>
  <w:style w:type="paragraph" w:customStyle="1" w:styleId="ENotesHeading2">
    <w:name w:val="ENotesHeading 2"/>
    <w:aliases w:val="Enh2"/>
    <w:basedOn w:val="Normal"/>
    <w:next w:val="Normal"/>
    <w:rsid w:val="008F4636"/>
    <w:pPr>
      <w:spacing w:before="120" w:after="120" w:line="260" w:lineRule="atLeast"/>
      <w:outlineLvl w:val="2"/>
    </w:pPr>
    <w:rPr>
      <w:rFonts w:ascii="Times New Roman" w:eastAsia="Times New Roman" w:hAnsi="Times New Roman" w:cs="Times New Roman"/>
      <w:b/>
      <w:sz w:val="24"/>
      <w:szCs w:val="28"/>
      <w:lang w:eastAsia="en-AU"/>
    </w:rPr>
  </w:style>
  <w:style w:type="paragraph" w:styleId="Title">
    <w:name w:val="Title"/>
    <w:basedOn w:val="Normal"/>
    <w:next w:val="Normal"/>
    <w:link w:val="TitleChar"/>
    <w:qFormat/>
    <w:rsid w:val="00296265"/>
    <w:pPr>
      <w:spacing w:before="480" w:after="0" w:line="240" w:lineRule="auto"/>
    </w:pPr>
    <w:rPr>
      <w:rFonts w:ascii="Arial" w:eastAsia="Times New Roman" w:hAnsi="Arial" w:cs="Arial"/>
      <w:b/>
      <w:bCs/>
      <w:noProof/>
      <w:sz w:val="40"/>
      <w:szCs w:val="40"/>
    </w:rPr>
  </w:style>
  <w:style w:type="character" w:customStyle="1" w:styleId="TitleChar">
    <w:name w:val="Title Char"/>
    <w:basedOn w:val="DefaultParagraphFont"/>
    <w:link w:val="Title"/>
    <w:rsid w:val="00296265"/>
    <w:rPr>
      <w:rFonts w:ascii="Arial" w:eastAsia="Times New Roman" w:hAnsi="Arial" w:cs="Arial"/>
      <w:b/>
      <w:bCs/>
      <w:noProof/>
      <w:sz w:val="40"/>
      <w:szCs w:val="40"/>
    </w:rPr>
  </w:style>
  <w:style w:type="paragraph" w:customStyle="1" w:styleId="definition0">
    <w:name w:val="definition"/>
    <w:basedOn w:val="Normal"/>
    <w:rsid w:val="004F6299"/>
    <w:pPr>
      <w:spacing w:before="80" w:after="0" w:line="260" w:lineRule="exact"/>
      <w:ind w:left="964"/>
      <w:jc w:val="both"/>
    </w:pPr>
    <w:rPr>
      <w:rFonts w:ascii="Times New Roman" w:eastAsia="Times New Roman" w:hAnsi="Times New Roman" w:cs="Times New Roman"/>
      <w:noProof/>
      <w:sz w:val="24"/>
      <w:szCs w:val="24"/>
    </w:rPr>
  </w:style>
  <w:style w:type="paragraph" w:customStyle="1" w:styleId="HE">
    <w:name w:val="HE"/>
    <w:aliases w:val="Example heading"/>
    <w:basedOn w:val="Normal"/>
    <w:next w:val="Normal"/>
    <w:rsid w:val="004F6299"/>
    <w:pPr>
      <w:keepNext/>
      <w:spacing w:before="120" w:after="0" w:line="220" w:lineRule="exact"/>
      <w:ind w:left="964"/>
    </w:pPr>
    <w:rPr>
      <w:rFonts w:ascii="Times New Roman" w:eastAsia="Times New Roman" w:hAnsi="Times New Roman" w:cs="Times New Roman"/>
      <w:i/>
      <w:noProof/>
      <w:sz w:val="20"/>
      <w:szCs w:val="24"/>
    </w:rPr>
  </w:style>
  <w:style w:type="paragraph" w:customStyle="1" w:styleId="HR">
    <w:name w:val="HR"/>
    <w:aliases w:val="Regulation Heading"/>
    <w:basedOn w:val="Normal"/>
    <w:next w:val="Normal"/>
    <w:rsid w:val="004F6299"/>
    <w:pPr>
      <w:keepNext/>
      <w:spacing w:before="360" w:after="0" w:line="240" w:lineRule="auto"/>
      <w:ind w:left="964" w:hanging="964"/>
    </w:pPr>
    <w:rPr>
      <w:rFonts w:ascii="Arial" w:eastAsia="Times New Roman" w:hAnsi="Arial" w:cs="Times New Roman"/>
      <w:b/>
      <w:noProof/>
      <w:sz w:val="24"/>
      <w:szCs w:val="24"/>
    </w:rPr>
  </w:style>
  <w:style w:type="paragraph" w:customStyle="1" w:styleId="Note">
    <w:name w:val="Note"/>
    <w:basedOn w:val="Normal"/>
    <w:rsid w:val="004F6299"/>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P1">
    <w:name w:val="P1"/>
    <w:aliases w:val="(a)"/>
    <w:basedOn w:val="Normal"/>
    <w:rsid w:val="004F6299"/>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paragraph" w:customStyle="1" w:styleId="R1">
    <w:name w:val="R1"/>
    <w:aliases w:val="1. or 1.(1)"/>
    <w:basedOn w:val="Normal"/>
    <w:next w:val="Normal"/>
    <w:rsid w:val="004F6299"/>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paragraph" w:customStyle="1" w:styleId="R2">
    <w:name w:val="R2"/>
    <w:aliases w:val="(2)"/>
    <w:basedOn w:val="Normal"/>
    <w:rsid w:val="004F6299"/>
    <w:pPr>
      <w:tabs>
        <w:tab w:val="right" w:pos="794"/>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ZR1">
    <w:name w:val="ZR1"/>
    <w:basedOn w:val="R1"/>
    <w:rsid w:val="004F6299"/>
    <w:pPr>
      <w:keepNext/>
    </w:pPr>
  </w:style>
  <w:style w:type="character" w:styleId="UnresolvedMention">
    <w:name w:val="Unresolved Mention"/>
    <w:basedOn w:val="DefaultParagraphFont"/>
    <w:uiPriority w:val="99"/>
    <w:semiHidden/>
    <w:unhideWhenUsed/>
    <w:rsid w:val="00AA1340"/>
    <w:rPr>
      <w:color w:val="605E5C"/>
      <w:shd w:val="clear" w:color="auto" w:fill="E1DFDD"/>
    </w:rPr>
  </w:style>
  <w:style w:type="character" w:customStyle="1" w:styleId="paragraphChar">
    <w:name w:val="paragraph Char"/>
    <w:aliases w:val="a Char"/>
    <w:link w:val="paragraph"/>
    <w:rsid w:val="00DA0313"/>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AC5C15"/>
    <w:rPr>
      <w:rFonts w:ascii="Times New Roman" w:eastAsia="Times New Roman" w:hAnsi="Times New Roman" w:cs="Times New Roman"/>
      <w:szCs w:val="20"/>
      <w:lang w:eastAsia="en-AU"/>
    </w:rPr>
  </w:style>
  <w:style w:type="paragraph" w:styleId="Revision">
    <w:name w:val="Revision"/>
    <w:hidden/>
    <w:uiPriority w:val="99"/>
    <w:semiHidden/>
    <w:rsid w:val="00B26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9750">
      <w:bodyDiv w:val="1"/>
      <w:marLeft w:val="0"/>
      <w:marRight w:val="0"/>
      <w:marTop w:val="0"/>
      <w:marBottom w:val="0"/>
      <w:divBdr>
        <w:top w:val="none" w:sz="0" w:space="0" w:color="auto"/>
        <w:left w:val="none" w:sz="0" w:space="0" w:color="auto"/>
        <w:bottom w:val="none" w:sz="0" w:space="0" w:color="auto"/>
        <w:right w:val="none" w:sz="0" w:space="0" w:color="auto"/>
      </w:divBdr>
    </w:div>
    <w:div w:id="1660843615">
      <w:bodyDiv w:val="1"/>
      <w:marLeft w:val="0"/>
      <w:marRight w:val="0"/>
      <w:marTop w:val="0"/>
      <w:marBottom w:val="0"/>
      <w:divBdr>
        <w:top w:val="none" w:sz="0" w:space="0" w:color="auto"/>
        <w:left w:val="none" w:sz="0" w:space="0" w:color="auto"/>
        <w:bottom w:val="none" w:sz="0" w:space="0" w:color="auto"/>
        <w:right w:val="none" w:sz="0" w:space="0" w:color="auto"/>
      </w:divBdr>
    </w:div>
    <w:div w:id="1886024615">
      <w:bodyDiv w:val="1"/>
      <w:marLeft w:val="0"/>
      <w:marRight w:val="0"/>
      <w:marTop w:val="0"/>
      <w:marBottom w:val="0"/>
      <w:divBdr>
        <w:top w:val="none" w:sz="0" w:space="0" w:color="auto"/>
        <w:left w:val="none" w:sz="0" w:space="0" w:color="auto"/>
        <w:bottom w:val="none" w:sz="0" w:space="0" w:color="auto"/>
        <w:right w:val="none" w:sz="0" w:space="0" w:color="auto"/>
      </w:divBdr>
      <w:divsChild>
        <w:div w:id="37777772">
          <w:marLeft w:val="0"/>
          <w:marRight w:val="0"/>
          <w:marTop w:val="0"/>
          <w:marBottom w:val="0"/>
          <w:divBdr>
            <w:top w:val="none" w:sz="0" w:space="0" w:color="auto"/>
            <w:left w:val="none" w:sz="0" w:space="0" w:color="auto"/>
            <w:bottom w:val="none" w:sz="0" w:space="0" w:color="auto"/>
            <w:right w:val="none" w:sz="0" w:space="0" w:color="auto"/>
          </w:divBdr>
          <w:divsChild>
            <w:div w:id="1272203759">
              <w:marLeft w:val="0"/>
              <w:marRight w:val="0"/>
              <w:marTop w:val="0"/>
              <w:marBottom w:val="0"/>
              <w:divBdr>
                <w:top w:val="none" w:sz="0" w:space="0" w:color="auto"/>
                <w:left w:val="none" w:sz="0" w:space="0" w:color="auto"/>
                <w:bottom w:val="none" w:sz="0" w:space="0" w:color="auto"/>
                <w:right w:val="none" w:sz="0" w:space="0" w:color="auto"/>
              </w:divBdr>
              <w:divsChild>
                <w:div w:id="765658808">
                  <w:marLeft w:val="0"/>
                  <w:marRight w:val="0"/>
                  <w:marTop w:val="0"/>
                  <w:marBottom w:val="0"/>
                  <w:divBdr>
                    <w:top w:val="none" w:sz="0" w:space="0" w:color="auto"/>
                    <w:left w:val="none" w:sz="0" w:space="0" w:color="auto"/>
                    <w:bottom w:val="none" w:sz="0" w:space="0" w:color="auto"/>
                    <w:right w:val="none" w:sz="0" w:space="0" w:color="auto"/>
                  </w:divBdr>
                  <w:divsChild>
                    <w:div w:id="1802842293">
                      <w:marLeft w:val="0"/>
                      <w:marRight w:val="0"/>
                      <w:marTop w:val="0"/>
                      <w:marBottom w:val="0"/>
                      <w:divBdr>
                        <w:top w:val="none" w:sz="0" w:space="0" w:color="auto"/>
                        <w:left w:val="none" w:sz="0" w:space="0" w:color="auto"/>
                        <w:bottom w:val="none" w:sz="0" w:space="0" w:color="auto"/>
                        <w:right w:val="none" w:sz="0" w:space="0" w:color="auto"/>
                      </w:divBdr>
                      <w:divsChild>
                        <w:div w:id="1791826138">
                          <w:marLeft w:val="0"/>
                          <w:marRight w:val="0"/>
                          <w:marTop w:val="0"/>
                          <w:marBottom w:val="0"/>
                          <w:divBdr>
                            <w:top w:val="single" w:sz="36" w:space="0" w:color="FFFFFF"/>
                            <w:left w:val="single" w:sz="36" w:space="0" w:color="FFFFFF"/>
                            <w:bottom w:val="single" w:sz="36" w:space="0" w:color="FFFFFF"/>
                            <w:right w:val="single" w:sz="36" w:space="0" w:color="FFFFFF"/>
                          </w:divBdr>
                          <w:divsChild>
                            <w:div w:id="103792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m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EA8B-E03C-4CBF-97CB-CD0C85AABB6C}">
  <ds:schemaRefs>
    <ds:schemaRef ds:uri="http://schemas.microsoft.com/sharepoint/v3/contenttype/forms"/>
  </ds:schemaRefs>
</ds:datastoreItem>
</file>

<file path=customXml/itemProps2.xml><?xml version="1.0" encoding="utf-8"?>
<ds:datastoreItem xmlns:ds="http://schemas.openxmlformats.org/officeDocument/2006/customXml" ds:itemID="{A2328D0E-0D72-4A0A-BFE1-24D115E5EF4D}">
  <ds:schemaRefs>
    <ds:schemaRef ds:uri="http://schemas.microsoft.com/office/2006/documentManagement/types"/>
    <ds:schemaRef ds:uri="85d45f94-32ec-4546-b73b-9a6848394926"/>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fb919850-406e-4d20-9cee-cf3a55172231"/>
  </ds:schemaRefs>
</ds:datastoreItem>
</file>

<file path=customXml/itemProps3.xml><?xml version="1.0" encoding="utf-8"?>
<ds:datastoreItem xmlns:ds="http://schemas.openxmlformats.org/officeDocument/2006/customXml" ds:itemID="{D7096C2B-58EA-4752-AA9B-61602028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A174-5FA9-4894-8E76-0F073C3F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Compilation Template</vt:lpstr>
    </vt:vector>
  </TitlesOfParts>
  <Company>Australian Communications and Media Authority</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Template</dc:title>
  <dc:subject/>
  <dc:creator>Annette Vella</dc:creator>
  <cp:keywords/>
  <dc:description/>
  <cp:lastModifiedBy>Morgan Vaudrey</cp:lastModifiedBy>
  <cp:revision>6</cp:revision>
  <cp:lastPrinted>2025-02-13T05:42:00Z</cp:lastPrinted>
  <dcterms:created xsi:type="dcterms:W3CDTF">2025-02-14T01:36:00Z</dcterms:created>
  <dcterms:modified xsi:type="dcterms:W3CDTF">2025-02-27T22:22:00Z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_dlc_DocIdItemGuid">
    <vt:lpwstr>3aa44ec1-fc5d-401f-b008-ed34178c1423</vt:lpwstr>
  </property>
  <property fmtid="{D5CDD505-2E9C-101B-9397-08002B2CF9AE}" pid="4" name="MediaServiceImageTags">
    <vt:lpwstr/>
  </property>
</Properties>
</file>